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Fish Resources Management Act 1994</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Fish Resources Management Regulations 1995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Citation</w:t>
      </w:r>
      <w:r>
        <w:tab/>
      </w:r>
      <w:r>
        <w:fldChar w:fldCharType="begin"/>
      </w:r>
      <w:r>
        <w:instrText xml:space="preserve"> PAGEREF _Toc359316608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_Toc359316609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Terms used</w:t>
      </w:r>
      <w:r>
        <w:tab/>
      </w:r>
      <w:r>
        <w:fldChar w:fldCharType="begin"/>
      </w:r>
      <w:r>
        <w:instrText xml:space="preserve"> PAGEREF _Toc359316610 \h </w:instrText>
      </w:r>
      <w:r>
        <w:fldChar w:fldCharType="separate"/>
      </w:r>
      <w:r>
        <w:t>1</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 xml:space="preserve">Body prescribed (Act s. 4(1) </w:t>
      </w:r>
      <w:r>
        <w:rPr>
          <w:i/>
          <w:snapToGrid w:val="0"/>
        </w:rPr>
        <w:t>peak industry body</w:t>
      </w:r>
      <w:r>
        <w:rPr>
          <w:snapToGrid w:val="0"/>
        </w:rPr>
        <w:t>)</w:t>
      </w:r>
      <w:r>
        <w:tab/>
      </w:r>
      <w:r>
        <w:fldChar w:fldCharType="begin"/>
      </w:r>
      <w:r>
        <w:instrText xml:space="preserve"> PAGEREF _Toc359316611 \h </w:instrText>
      </w:r>
      <w:r>
        <w:fldChar w:fldCharType="separate"/>
      </w:r>
      <w:r>
        <w:t>8</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 xml:space="preserve">Classes of fish prescribed (Act s. 4(1) </w:t>
      </w:r>
      <w:r>
        <w:rPr>
          <w:i/>
          <w:snapToGrid w:val="0"/>
        </w:rPr>
        <w:t>process</w:t>
      </w:r>
      <w:r>
        <w:rPr>
          <w:snapToGrid w:val="0"/>
        </w:rPr>
        <w:t>)</w:t>
      </w:r>
      <w:r>
        <w:tab/>
      </w:r>
      <w:r>
        <w:fldChar w:fldCharType="begin"/>
      </w:r>
      <w:r>
        <w:instrText xml:space="preserve"> PAGEREF _Toc359316612 \h </w:instrText>
      </w:r>
      <w:r>
        <w:fldChar w:fldCharType="separate"/>
      </w:r>
      <w:r>
        <w:t>9</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Fee prescribed for exemption application (Act s. 7(4))</w:t>
      </w:r>
      <w:r>
        <w:tab/>
      </w:r>
      <w:r>
        <w:fldChar w:fldCharType="begin"/>
      </w:r>
      <w:r>
        <w:instrText xml:space="preserve"> PAGEREF _Toc359316613 \h </w:instrText>
      </w:r>
      <w:r>
        <w:fldChar w:fldCharType="separate"/>
      </w:r>
      <w:r>
        <w:t>9</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Exemption, power to require return of</w:t>
      </w:r>
      <w:r>
        <w:tab/>
      </w:r>
      <w:r>
        <w:fldChar w:fldCharType="begin"/>
      </w:r>
      <w:r>
        <w:instrText xml:space="preserve"> PAGEREF _Toc359316614 \h </w:instrText>
      </w:r>
      <w:r>
        <w:fldChar w:fldCharType="separate"/>
      </w:r>
      <w:r>
        <w:t>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Administration</w:t>
      </w:r>
    </w:p>
    <w:p>
      <w:pPr>
        <w:pStyle w:val="TOC8"/>
        <w:rPr>
          <w:rFonts w:asciiTheme="minorHAnsi" w:eastAsiaTheme="minorEastAsia" w:hAnsiTheme="minorHAnsi" w:cstheme="minorBidi"/>
          <w:szCs w:val="22"/>
          <w:lang w:eastAsia="en-AU"/>
        </w:rPr>
      </w:pPr>
      <w:r>
        <w:t>8</w:t>
      </w:r>
      <w:r>
        <w:rPr>
          <w:snapToGrid w:val="0"/>
        </w:rPr>
        <w:t>.</w:t>
      </w:r>
      <w:r>
        <w:rPr>
          <w:snapToGrid w:val="0"/>
        </w:rPr>
        <w:tab/>
        <w:t>Common seal of Minister for Fisheries, use of etc.</w:t>
      </w:r>
      <w:r>
        <w:tab/>
      </w:r>
      <w:r>
        <w:fldChar w:fldCharType="begin"/>
      </w:r>
      <w:r>
        <w:instrText xml:space="preserve"> PAGEREF _Toc359316616 \h </w:instrText>
      </w:r>
      <w:r>
        <w:fldChar w:fldCharType="separate"/>
      </w:r>
      <w:r>
        <w:t>10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Advisory committees</w:t>
      </w:r>
    </w:p>
    <w:p>
      <w:pPr>
        <w:pStyle w:val="TOC8"/>
        <w:rPr>
          <w:rFonts w:asciiTheme="minorHAnsi" w:eastAsiaTheme="minorEastAsia" w:hAnsiTheme="minorHAnsi" w:cstheme="minorBidi"/>
          <w:szCs w:val="22"/>
          <w:lang w:eastAsia="en-AU"/>
        </w:rPr>
      </w:pPr>
      <w:r>
        <w:t>9</w:t>
      </w:r>
      <w:r>
        <w:rPr>
          <w:snapToGrid w:val="0"/>
        </w:rPr>
        <w:t>.</w:t>
      </w:r>
      <w:r>
        <w:rPr>
          <w:snapToGrid w:val="0"/>
        </w:rPr>
        <w:tab/>
        <w:t>Procedure for appointments prescribed (Act s. 29(2), 33(2) and 37(2))</w:t>
      </w:r>
      <w:r>
        <w:tab/>
      </w:r>
      <w:r>
        <w:fldChar w:fldCharType="begin"/>
      </w:r>
      <w:r>
        <w:instrText xml:space="preserve"> PAGEREF _Toc359316618 \h </w:instrText>
      </w:r>
      <w:r>
        <w:fldChar w:fldCharType="separate"/>
      </w:r>
      <w:r>
        <w:t>11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General regulation of fishing</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Protected fish</w:t>
      </w:r>
    </w:p>
    <w:p>
      <w:pPr>
        <w:pStyle w:val="TOC8"/>
        <w:rPr>
          <w:rFonts w:asciiTheme="minorHAnsi" w:eastAsiaTheme="minorEastAsia" w:hAnsiTheme="minorHAnsi" w:cstheme="minorBidi"/>
          <w:szCs w:val="22"/>
          <w:lang w:eastAsia="en-AU"/>
        </w:rPr>
      </w:pPr>
      <w:r>
        <w:t>10.</w:t>
      </w:r>
      <w:r>
        <w:tab/>
        <w:t>Classes of fish prescribed (Act s. 45)</w:t>
      </w:r>
      <w:r>
        <w:tab/>
      </w:r>
      <w:r>
        <w:fldChar w:fldCharType="begin"/>
      </w:r>
      <w:r>
        <w:instrText xml:space="preserve"> PAGEREF _Toc359316621 \h </w:instrText>
      </w:r>
      <w:r>
        <w:fldChar w:fldCharType="separate"/>
      </w:r>
      <w:r>
        <w:t>12</w:t>
      </w:r>
      <w:r>
        <w:fldChar w:fldCharType="end"/>
      </w:r>
    </w:p>
    <w:p>
      <w:pPr>
        <w:pStyle w:val="TOC8"/>
        <w:rPr>
          <w:rFonts w:asciiTheme="minorHAnsi" w:eastAsiaTheme="minorEastAsia" w:hAnsiTheme="minorHAnsi" w:cstheme="minorBidi"/>
          <w:szCs w:val="22"/>
          <w:lang w:eastAsia="en-AU"/>
        </w:rPr>
      </w:pPr>
      <w:r>
        <w:t>11.</w:t>
      </w:r>
      <w:r>
        <w:tab/>
        <w:t>Defences etc. prescribed (Act s. 48)</w:t>
      </w:r>
      <w:r>
        <w:tab/>
      </w:r>
      <w:r>
        <w:fldChar w:fldCharType="begin"/>
      </w:r>
      <w:r>
        <w:instrText xml:space="preserve"> PAGEREF _Toc359316622 \h </w:instrText>
      </w:r>
      <w:r>
        <w:fldChar w:fldCharType="separate"/>
      </w:r>
      <w:r>
        <w:t>12</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Totally protected rock lobsters and crabs to be released</w:t>
      </w:r>
      <w:r>
        <w:tab/>
      </w:r>
      <w:r>
        <w:fldChar w:fldCharType="begin"/>
      </w:r>
      <w:r>
        <w:instrText xml:space="preserve"> PAGEREF _Toc359316623 \h </w:instrText>
      </w:r>
      <w:r>
        <w:fldChar w:fldCharType="separate"/>
      </w:r>
      <w:r>
        <w:t>13</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Mutilated etc. protected fish, possession of</w:t>
      </w:r>
      <w:r>
        <w:tab/>
      </w:r>
      <w:r>
        <w:fldChar w:fldCharType="begin"/>
      </w:r>
      <w:r>
        <w:instrText xml:space="preserve"> PAGEREF _Toc359316624 \h </w:instrText>
      </w:r>
      <w:r>
        <w:fldChar w:fldCharType="separate"/>
      </w:r>
      <w:r>
        <w:t>14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Requirements regarding fish trunks and fillets</w:t>
      </w:r>
    </w:p>
    <w:p>
      <w:pPr>
        <w:pStyle w:val="TOC8"/>
        <w:rPr>
          <w:rFonts w:asciiTheme="minorHAnsi" w:eastAsiaTheme="minorEastAsia" w:hAnsiTheme="minorHAnsi" w:cstheme="minorBidi"/>
          <w:szCs w:val="22"/>
          <w:lang w:eastAsia="en-AU"/>
        </w:rPr>
      </w:pPr>
      <w:r>
        <w:t>14A.</w:t>
      </w:r>
      <w:r>
        <w:tab/>
        <w:t>Term used: specified size</w:t>
      </w:r>
      <w:r>
        <w:tab/>
      </w:r>
      <w:r>
        <w:fldChar w:fldCharType="begin"/>
      </w:r>
      <w:r>
        <w:instrText xml:space="preserve"> PAGEREF _Toc359316626 \h </w:instrText>
      </w:r>
      <w:r>
        <w:fldChar w:fldCharType="separate"/>
      </w:r>
      <w:r>
        <w:t>14</w:t>
      </w:r>
      <w:r>
        <w:fldChar w:fldCharType="end"/>
      </w:r>
    </w:p>
    <w:p>
      <w:pPr>
        <w:pStyle w:val="TOC8"/>
        <w:rPr>
          <w:rFonts w:asciiTheme="minorHAnsi" w:eastAsiaTheme="minorEastAsia" w:hAnsiTheme="minorHAnsi" w:cstheme="minorBidi"/>
          <w:szCs w:val="22"/>
          <w:lang w:eastAsia="en-AU"/>
        </w:rPr>
      </w:pPr>
      <w:r>
        <w:t>14.</w:t>
      </w:r>
      <w:r>
        <w:tab/>
        <w:t>Certain types of finfish, how to be landed</w:t>
      </w:r>
      <w:r>
        <w:tab/>
      </w:r>
      <w:r>
        <w:fldChar w:fldCharType="begin"/>
      </w:r>
      <w:r>
        <w:instrText xml:space="preserve"> PAGEREF _Toc359316627 \h </w:instrText>
      </w:r>
      <w:r>
        <w:fldChar w:fldCharType="separate"/>
      </w:r>
      <w:r>
        <w:t>15</w:t>
      </w:r>
      <w:r>
        <w:fldChar w:fldCharType="end"/>
      </w:r>
    </w:p>
    <w:p>
      <w:pPr>
        <w:pStyle w:val="TOC8"/>
        <w:rPr>
          <w:rFonts w:asciiTheme="minorHAnsi" w:eastAsiaTheme="minorEastAsia" w:hAnsiTheme="minorHAnsi" w:cstheme="minorBidi"/>
          <w:szCs w:val="22"/>
          <w:lang w:eastAsia="en-AU"/>
        </w:rPr>
      </w:pPr>
      <w:r>
        <w:t>15.</w:t>
      </w:r>
      <w:r>
        <w:tab/>
        <w:t>Certain large finfish, how to be landed</w:t>
      </w:r>
      <w:r>
        <w:tab/>
      </w:r>
      <w:r>
        <w:fldChar w:fldCharType="begin"/>
      </w:r>
      <w:r>
        <w:instrText xml:space="preserve"> PAGEREF _Toc359316628 \h </w:instrText>
      </w:r>
      <w:r>
        <w:fldChar w:fldCharType="separate"/>
      </w:r>
      <w:r>
        <w:t>15</w:t>
      </w:r>
      <w:r>
        <w:fldChar w:fldCharType="end"/>
      </w:r>
    </w:p>
    <w:p>
      <w:pPr>
        <w:pStyle w:val="TOC8"/>
        <w:rPr>
          <w:rFonts w:asciiTheme="minorHAnsi" w:eastAsiaTheme="minorEastAsia" w:hAnsiTheme="minorHAnsi" w:cstheme="minorBidi"/>
          <w:szCs w:val="22"/>
          <w:lang w:eastAsia="en-AU"/>
        </w:rPr>
      </w:pPr>
      <w:r>
        <w:t>16.</w:t>
      </w:r>
      <w:r>
        <w:tab/>
        <w:t>Certain small protected finfish, how to be landed</w:t>
      </w:r>
      <w:r>
        <w:tab/>
      </w:r>
      <w:r>
        <w:fldChar w:fldCharType="begin"/>
      </w:r>
      <w:r>
        <w:instrText xml:space="preserve"> PAGEREF _Toc359316629 \h </w:instrText>
      </w:r>
      <w:r>
        <w:fldChar w:fldCharType="separate"/>
      </w:r>
      <w:r>
        <w:t>16</w:t>
      </w:r>
      <w:r>
        <w:fldChar w:fldCharType="end"/>
      </w:r>
    </w:p>
    <w:p>
      <w:pPr>
        <w:pStyle w:val="TOC8"/>
        <w:rPr>
          <w:rFonts w:asciiTheme="minorHAnsi" w:eastAsiaTheme="minorEastAsia" w:hAnsiTheme="minorHAnsi" w:cstheme="minorBidi"/>
          <w:szCs w:val="22"/>
          <w:lang w:eastAsia="en-AU"/>
        </w:rPr>
      </w:pPr>
      <w:r>
        <w:t>16B.</w:t>
      </w:r>
      <w:r>
        <w:tab/>
        <w:t>Sharks and rays, possession of by commercial fishers</w:t>
      </w:r>
      <w:r>
        <w:tab/>
      </w:r>
      <w:r>
        <w:fldChar w:fldCharType="begin"/>
      </w:r>
      <w:r>
        <w:instrText xml:space="preserve"> PAGEREF _Toc359316630 \h </w:instrText>
      </w:r>
      <w:r>
        <w:fldChar w:fldCharType="separate"/>
      </w:r>
      <w:r>
        <w:t>16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Possession limits</w:t>
      </w:r>
    </w:p>
    <w:p>
      <w:pPr>
        <w:pStyle w:val="TOC6"/>
        <w:tabs>
          <w:tab w:val="right" w:leader="dot" w:pos="7086"/>
        </w:tabs>
        <w:rPr>
          <w:rFonts w:asciiTheme="minorHAnsi" w:eastAsiaTheme="minorEastAsia" w:hAnsiTheme="minorHAnsi" w:cstheme="minorBidi"/>
          <w:b w:val="0"/>
          <w:sz w:val="22"/>
          <w:szCs w:val="22"/>
          <w:lang w:eastAsia="en-AU"/>
        </w:rPr>
      </w:pPr>
      <w:r>
        <w:t>Subdivision 1A — Preliminary</w:t>
      </w:r>
    </w:p>
    <w:p>
      <w:pPr>
        <w:pStyle w:val="TOC8"/>
        <w:rPr>
          <w:rFonts w:asciiTheme="minorHAnsi" w:eastAsiaTheme="minorEastAsia" w:hAnsiTheme="minorHAnsi" w:cstheme="minorBidi"/>
          <w:szCs w:val="22"/>
          <w:lang w:eastAsia="en-AU"/>
        </w:rPr>
      </w:pPr>
      <w:r>
        <w:t>16C.</w:t>
      </w:r>
      <w:r>
        <w:tab/>
        <w:t>Term used: finfish</w:t>
      </w:r>
      <w:r>
        <w:tab/>
      </w:r>
      <w:r>
        <w:fldChar w:fldCharType="begin"/>
      </w:r>
      <w:r>
        <w:instrText xml:space="preserve"> PAGEREF _Toc359316633 \h </w:instrText>
      </w:r>
      <w:r>
        <w:fldChar w:fldCharType="separate"/>
      </w:r>
      <w:r>
        <w:t>18</w:t>
      </w:r>
      <w:r>
        <w:fldChar w:fldCharType="end"/>
      </w:r>
    </w:p>
    <w:p>
      <w:pPr>
        <w:pStyle w:val="TOC8"/>
        <w:rPr>
          <w:rFonts w:asciiTheme="minorHAnsi" w:eastAsiaTheme="minorEastAsia" w:hAnsiTheme="minorHAnsi" w:cstheme="minorBidi"/>
          <w:szCs w:val="22"/>
          <w:lang w:eastAsia="en-AU"/>
        </w:rPr>
      </w:pPr>
      <w:r>
        <w:t>16CA.</w:t>
      </w:r>
      <w:r>
        <w:tab/>
        <w:t>Bag limits, application and effect of</w:t>
      </w:r>
      <w:r>
        <w:tab/>
      </w:r>
      <w:r>
        <w:fldChar w:fldCharType="begin"/>
      </w:r>
      <w:r>
        <w:instrText xml:space="preserve"> PAGEREF _Toc359316634 \h </w:instrText>
      </w:r>
      <w:r>
        <w:fldChar w:fldCharType="separate"/>
      </w:r>
      <w:r>
        <w:t>18</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1 — Possession limits Statewide</w:t>
      </w:r>
    </w:p>
    <w:p>
      <w:pPr>
        <w:pStyle w:val="TOC8"/>
        <w:rPr>
          <w:rFonts w:asciiTheme="minorHAnsi" w:eastAsiaTheme="minorEastAsia" w:hAnsiTheme="minorHAnsi" w:cstheme="minorBidi"/>
          <w:szCs w:val="22"/>
          <w:lang w:eastAsia="en-AU"/>
        </w:rPr>
      </w:pPr>
      <w:r>
        <w:t>16D</w:t>
      </w:r>
      <w:r>
        <w:rPr>
          <w:snapToGrid w:val="0"/>
        </w:rPr>
        <w:t>.</w:t>
      </w:r>
      <w:r>
        <w:rPr>
          <w:snapToGrid w:val="0"/>
        </w:rPr>
        <w:tab/>
        <w:t>Finfish, general possession limit of (Act s. 51(1))</w:t>
      </w:r>
      <w:r>
        <w:tab/>
      </w:r>
      <w:r>
        <w:fldChar w:fldCharType="begin"/>
      </w:r>
      <w:r>
        <w:instrText xml:space="preserve"> PAGEREF _Toc359316636 \h </w:instrText>
      </w:r>
      <w:r>
        <w:fldChar w:fldCharType="separate"/>
      </w:r>
      <w:r>
        <w:t>19</w:t>
      </w:r>
      <w:r>
        <w:fldChar w:fldCharType="end"/>
      </w:r>
    </w:p>
    <w:p>
      <w:pPr>
        <w:pStyle w:val="TOC8"/>
        <w:rPr>
          <w:rFonts w:asciiTheme="minorHAnsi" w:eastAsiaTheme="minorEastAsia" w:hAnsiTheme="minorHAnsi" w:cstheme="minorBidi"/>
          <w:szCs w:val="22"/>
          <w:lang w:eastAsia="en-AU"/>
        </w:rPr>
      </w:pPr>
      <w:r>
        <w:t>16E.</w:t>
      </w:r>
      <w:r>
        <w:tab/>
        <w:t>Fish on boats (Act s. 51(1))</w:t>
      </w:r>
      <w:r>
        <w:tab/>
      </w:r>
      <w:r>
        <w:fldChar w:fldCharType="begin"/>
      </w:r>
      <w:r>
        <w:instrText xml:space="preserve"> PAGEREF _Toc359316637 \h </w:instrText>
      </w:r>
      <w:r>
        <w:fldChar w:fldCharType="separate"/>
      </w:r>
      <w:r>
        <w:t>19</w:t>
      </w:r>
      <w:r>
        <w:fldChar w:fldCharType="end"/>
      </w:r>
    </w:p>
    <w:p>
      <w:pPr>
        <w:pStyle w:val="TOC8"/>
        <w:rPr>
          <w:rFonts w:asciiTheme="minorHAnsi" w:eastAsiaTheme="minorEastAsia" w:hAnsiTheme="minorHAnsi" w:cstheme="minorBidi"/>
          <w:szCs w:val="22"/>
          <w:lang w:eastAsia="en-AU"/>
        </w:rPr>
      </w:pPr>
      <w:r>
        <w:t>16GA.</w:t>
      </w:r>
      <w:r>
        <w:tab/>
        <w:t>Rock lobster (Act s. 51(1))</w:t>
      </w:r>
      <w:r>
        <w:tab/>
      </w:r>
      <w:r>
        <w:fldChar w:fldCharType="begin"/>
      </w:r>
      <w:r>
        <w:instrText xml:space="preserve"> PAGEREF _Toc359316638 \h </w:instrText>
      </w:r>
      <w:r>
        <w:fldChar w:fldCharType="separate"/>
      </w:r>
      <w:r>
        <w:t>24</w:t>
      </w:r>
      <w:r>
        <w:fldChar w:fldCharType="end"/>
      </w:r>
    </w:p>
    <w:p>
      <w:pPr>
        <w:pStyle w:val="TOC8"/>
        <w:rPr>
          <w:rFonts w:asciiTheme="minorHAnsi" w:eastAsiaTheme="minorEastAsia" w:hAnsiTheme="minorHAnsi" w:cstheme="minorBidi"/>
          <w:szCs w:val="22"/>
          <w:lang w:eastAsia="en-AU"/>
        </w:rPr>
      </w:pPr>
      <w:r>
        <w:t>16GB.</w:t>
      </w:r>
      <w:r>
        <w:tab/>
        <w:t>Barramundi (Act s. 51(1))</w:t>
      </w:r>
      <w:r>
        <w:tab/>
      </w:r>
      <w:r>
        <w:fldChar w:fldCharType="begin"/>
      </w:r>
      <w:r>
        <w:instrText xml:space="preserve"> PAGEREF _Toc359316639 \h </w:instrText>
      </w:r>
      <w:r>
        <w:fldChar w:fldCharType="separate"/>
      </w:r>
      <w:r>
        <w:t>25</w:t>
      </w:r>
      <w:r>
        <w:fldChar w:fldCharType="end"/>
      </w:r>
    </w:p>
    <w:p>
      <w:pPr>
        <w:pStyle w:val="TOC8"/>
        <w:rPr>
          <w:rFonts w:asciiTheme="minorHAnsi" w:eastAsiaTheme="minorEastAsia" w:hAnsiTheme="minorHAnsi" w:cstheme="minorBidi"/>
          <w:szCs w:val="22"/>
          <w:lang w:eastAsia="en-AU"/>
        </w:rPr>
      </w:pPr>
      <w:r>
        <w:t>16GC.</w:t>
      </w:r>
      <w:r>
        <w:tab/>
        <w:t>Marron (Act s. 51(1), (2))</w:t>
      </w:r>
      <w:r>
        <w:tab/>
      </w:r>
      <w:r>
        <w:fldChar w:fldCharType="begin"/>
      </w:r>
      <w:r>
        <w:instrText xml:space="preserve"> PAGEREF _Toc359316640 \h </w:instrText>
      </w:r>
      <w:r>
        <w:fldChar w:fldCharType="separate"/>
      </w:r>
      <w:r>
        <w:t>25</w:t>
      </w:r>
      <w:r>
        <w:fldChar w:fldCharType="end"/>
      </w:r>
    </w:p>
    <w:p>
      <w:pPr>
        <w:pStyle w:val="TOC8"/>
        <w:rPr>
          <w:rFonts w:asciiTheme="minorHAnsi" w:eastAsiaTheme="minorEastAsia" w:hAnsiTheme="minorHAnsi" w:cstheme="minorBidi"/>
          <w:szCs w:val="22"/>
          <w:lang w:eastAsia="en-AU"/>
        </w:rPr>
      </w:pPr>
      <w:r>
        <w:t>16GD.</w:t>
      </w:r>
      <w:r>
        <w:tab/>
        <w:t>Abalone (Act s. 51(1))</w:t>
      </w:r>
      <w:r>
        <w:tab/>
      </w:r>
      <w:r>
        <w:fldChar w:fldCharType="begin"/>
      </w:r>
      <w:r>
        <w:instrText xml:space="preserve"> PAGEREF _Toc359316641 \h </w:instrText>
      </w:r>
      <w:r>
        <w:fldChar w:fldCharType="separate"/>
      </w:r>
      <w:r>
        <w:t>26</w:t>
      </w:r>
      <w:r>
        <w:fldChar w:fldCharType="end"/>
      </w:r>
    </w:p>
    <w:p>
      <w:pPr>
        <w:pStyle w:val="TOC8"/>
        <w:rPr>
          <w:rFonts w:asciiTheme="minorHAnsi" w:eastAsiaTheme="minorEastAsia" w:hAnsiTheme="minorHAnsi" w:cstheme="minorBidi"/>
          <w:szCs w:val="22"/>
          <w:lang w:eastAsia="en-AU"/>
        </w:rPr>
      </w:pPr>
      <w:r>
        <w:t>16GE.</w:t>
      </w:r>
      <w:r>
        <w:tab/>
        <w:t>Fish on fishing boats (commercial)</w:t>
      </w:r>
      <w:r>
        <w:tab/>
      </w:r>
      <w:r>
        <w:fldChar w:fldCharType="begin"/>
      </w:r>
      <w:r>
        <w:instrText xml:space="preserve"> PAGEREF _Toc359316642 \h </w:instrText>
      </w:r>
      <w:r>
        <w:fldChar w:fldCharType="separate"/>
      </w:r>
      <w:r>
        <w:t>26</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3 — Possession limits — pink snapper at Shark Bay</w:t>
      </w:r>
    </w:p>
    <w:p>
      <w:pPr>
        <w:pStyle w:val="TOC8"/>
        <w:rPr>
          <w:rFonts w:asciiTheme="minorHAnsi" w:eastAsiaTheme="minorEastAsia" w:hAnsiTheme="minorHAnsi" w:cstheme="minorBidi"/>
          <w:szCs w:val="22"/>
          <w:lang w:eastAsia="en-AU"/>
        </w:rPr>
      </w:pPr>
      <w:r>
        <w:t>16G.</w:t>
      </w:r>
      <w:r>
        <w:tab/>
      </w:r>
      <w:r>
        <w:rPr>
          <w:snapToGrid w:val="0"/>
        </w:rPr>
        <w:t>Terms used</w:t>
      </w:r>
      <w:r>
        <w:tab/>
      </w:r>
      <w:r>
        <w:fldChar w:fldCharType="begin"/>
      </w:r>
      <w:r>
        <w:instrText xml:space="preserve"> PAGEREF _Toc359316644 \h </w:instrText>
      </w:r>
      <w:r>
        <w:fldChar w:fldCharType="separate"/>
      </w:r>
      <w:r>
        <w:t>28</w:t>
      </w:r>
      <w:r>
        <w:fldChar w:fldCharType="end"/>
      </w:r>
    </w:p>
    <w:p>
      <w:pPr>
        <w:pStyle w:val="TOC8"/>
        <w:rPr>
          <w:rFonts w:asciiTheme="minorHAnsi" w:eastAsiaTheme="minorEastAsia" w:hAnsiTheme="minorHAnsi" w:cstheme="minorBidi"/>
          <w:szCs w:val="22"/>
          <w:lang w:eastAsia="en-AU"/>
        </w:rPr>
      </w:pPr>
      <w:r>
        <w:t>16H</w:t>
      </w:r>
      <w:r>
        <w:rPr>
          <w:snapToGrid w:val="0"/>
        </w:rPr>
        <w:t>.</w:t>
      </w:r>
      <w:r>
        <w:rPr>
          <w:snapToGrid w:val="0"/>
        </w:rPr>
        <w:tab/>
        <w:t>Pink snapper in Freycinet Estuary area</w:t>
      </w:r>
      <w:r>
        <w:tab/>
      </w:r>
      <w:r>
        <w:fldChar w:fldCharType="begin"/>
      </w:r>
      <w:r>
        <w:instrText xml:space="preserve"> PAGEREF _Toc359316645 \h </w:instrText>
      </w:r>
      <w:r>
        <w:fldChar w:fldCharType="separate"/>
      </w:r>
      <w:r>
        <w:t>28</w:t>
      </w:r>
      <w:r>
        <w:fldChar w:fldCharType="end"/>
      </w:r>
    </w:p>
    <w:p>
      <w:pPr>
        <w:pStyle w:val="TOC8"/>
        <w:rPr>
          <w:rFonts w:asciiTheme="minorHAnsi" w:eastAsiaTheme="minorEastAsia" w:hAnsiTheme="minorHAnsi" w:cstheme="minorBidi"/>
          <w:szCs w:val="22"/>
          <w:lang w:eastAsia="en-AU"/>
        </w:rPr>
      </w:pPr>
      <w:r>
        <w:t>16I</w:t>
      </w:r>
      <w:r>
        <w:rPr>
          <w:snapToGrid w:val="0"/>
        </w:rPr>
        <w:t>.</w:t>
      </w:r>
      <w:r>
        <w:rPr>
          <w:snapToGrid w:val="0"/>
        </w:rPr>
        <w:tab/>
        <w:t>Tags authorising possession of pink snapper in Freycinet Estuary area, application for and issue of</w:t>
      </w:r>
      <w:r>
        <w:tab/>
      </w:r>
      <w:r>
        <w:fldChar w:fldCharType="begin"/>
      </w:r>
      <w:r>
        <w:instrText xml:space="preserve"> PAGEREF _Toc359316646 \h </w:instrText>
      </w:r>
      <w:r>
        <w:fldChar w:fldCharType="separate"/>
      </w:r>
      <w:r>
        <w:t>29</w:t>
      </w:r>
      <w:r>
        <w:fldChar w:fldCharType="end"/>
      </w:r>
    </w:p>
    <w:p>
      <w:pPr>
        <w:pStyle w:val="TOC8"/>
        <w:rPr>
          <w:rFonts w:asciiTheme="minorHAnsi" w:eastAsiaTheme="minorEastAsia" w:hAnsiTheme="minorHAnsi" w:cstheme="minorBidi"/>
          <w:szCs w:val="22"/>
          <w:lang w:eastAsia="en-AU"/>
        </w:rPr>
      </w:pPr>
      <w:r>
        <w:t>16J.</w:t>
      </w:r>
      <w:r>
        <w:tab/>
      </w:r>
      <w:r>
        <w:rPr>
          <w:snapToGrid w:val="0"/>
        </w:rPr>
        <w:t>Form of tag issued under r. 16I</w:t>
      </w:r>
      <w:r>
        <w:tab/>
      </w:r>
      <w:r>
        <w:fldChar w:fldCharType="begin"/>
      </w:r>
      <w:r>
        <w:instrText xml:space="preserve"> PAGEREF _Toc359316647 \h </w:instrText>
      </w:r>
      <w:r>
        <w:fldChar w:fldCharType="separate"/>
      </w:r>
      <w:r>
        <w:t>30</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4 — Possession limits in Abrolhos Islands</w:t>
      </w:r>
    </w:p>
    <w:p>
      <w:pPr>
        <w:pStyle w:val="TOC8"/>
        <w:rPr>
          <w:rFonts w:asciiTheme="minorHAnsi" w:eastAsiaTheme="minorEastAsia" w:hAnsiTheme="minorHAnsi" w:cstheme="minorBidi"/>
          <w:szCs w:val="22"/>
          <w:lang w:eastAsia="en-AU"/>
        </w:rPr>
      </w:pPr>
      <w:r>
        <w:t>16K.</w:t>
      </w:r>
      <w:r>
        <w:tab/>
        <w:t>Finfish in Abrolhos Islands reserve or Abrolhos Islands Fish Habitat Protection Area (Act s. 51(1))</w:t>
      </w:r>
      <w:r>
        <w:tab/>
      </w:r>
      <w:r>
        <w:fldChar w:fldCharType="begin"/>
      </w:r>
      <w:r>
        <w:instrText xml:space="preserve"> PAGEREF _Toc359316649 \h </w:instrText>
      </w:r>
      <w:r>
        <w:fldChar w:fldCharType="separate"/>
      </w:r>
      <w:r>
        <w:t>30</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5 — Miscellaneous</w:t>
      </w:r>
    </w:p>
    <w:p>
      <w:pPr>
        <w:pStyle w:val="TOC8"/>
        <w:rPr>
          <w:rFonts w:asciiTheme="minorHAnsi" w:eastAsiaTheme="minorEastAsia" w:hAnsiTheme="minorHAnsi" w:cstheme="minorBidi"/>
          <w:szCs w:val="22"/>
          <w:lang w:eastAsia="en-AU"/>
        </w:rPr>
      </w:pPr>
      <w:r>
        <w:t>20</w:t>
      </w:r>
      <w:r>
        <w:rPr>
          <w:snapToGrid w:val="0"/>
        </w:rPr>
        <w:t>.</w:t>
      </w:r>
      <w:r>
        <w:rPr>
          <w:snapToGrid w:val="0"/>
        </w:rPr>
        <w:tab/>
        <w:t>Defence prescribed (Act s. 51(2))</w:t>
      </w:r>
      <w:r>
        <w:tab/>
      </w:r>
      <w:r>
        <w:fldChar w:fldCharType="begin"/>
      </w:r>
      <w:r>
        <w:instrText xml:space="preserve"> PAGEREF _Toc359316651 \h </w:instrText>
      </w:r>
      <w:r>
        <w:fldChar w:fldCharType="separate"/>
      </w:r>
      <w:r>
        <w:t>31</w:t>
      </w:r>
      <w:r>
        <w:fldChar w:fldCharType="end"/>
      </w:r>
    </w:p>
    <w:p>
      <w:pPr>
        <w:pStyle w:val="TOC8"/>
        <w:rPr>
          <w:rFonts w:asciiTheme="minorHAnsi" w:eastAsiaTheme="minorEastAsia" w:hAnsiTheme="minorHAnsi" w:cstheme="minorBidi"/>
          <w:szCs w:val="22"/>
          <w:lang w:eastAsia="en-AU"/>
        </w:rPr>
      </w:pPr>
      <w:r>
        <w:t>21.</w:t>
      </w:r>
      <w:r>
        <w:tab/>
        <w:t>People presumed to be in possession of fish (Act s. 51)</w:t>
      </w:r>
      <w:r>
        <w:tab/>
      </w:r>
      <w:r>
        <w:fldChar w:fldCharType="begin"/>
      </w:r>
      <w:r>
        <w:instrText xml:space="preserve"> PAGEREF _Toc359316652 \h </w:instrText>
      </w:r>
      <w:r>
        <w:fldChar w:fldCharType="separate"/>
      </w:r>
      <w:r>
        <w:t>31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Labelling of fish</w:t>
      </w:r>
    </w:p>
    <w:p>
      <w:pPr>
        <w:pStyle w:val="TOC8"/>
        <w:rPr>
          <w:rFonts w:asciiTheme="minorHAnsi" w:eastAsiaTheme="minorEastAsia" w:hAnsiTheme="minorHAnsi" w:cstheme="minorBidi"/>
          <w:szCs w:val="22"/>
          <w:lang w:eastAsia="en-AU"/>
        </w:rPr>
      </w:pPr>
      <w:r>
        <w:t>22.</w:t>
      </w:r>
      <w:r>
        <w:tab/>
        <w:t>Labelling requirements for packed or stored fish</w:t>
      </w:r>
      <w:r>
        <w:tab/>
      </w:r>
      <w:r>
        <w:fldChar w:fldCharType="begin"/>
      </w:r>
      <w:r>
        <w:instrText xml:space="preserve"> PAGEREF _Toc359316654 \h </w:instrText>
      </w:r>
      <w:r>
        <w:fldChar w:fldCharType="separate"/>
      </w:r>
      <w:r>
        <w:t>31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w:t>
      </w:r>
      <w:r>
        <w:rPr>
          <w:snapToGrid w:val="0"/>
        </w:rPr>
        <w:t> — </w:t>
      </w:r>
      <w:r>
        <w:t>Requirements regarding rock lobsters</w:t>
      </w:r>
    </w:p>
    <w:p>
      <w:pPr>
        <w:pStyle w:val="TOC8"/>
        <w:rPr>
          <w:rFonts w:asciiTheme="minorHAnsi" w:eastAsiaTheme="minorEastAsia" w:hAnsiTheme="minorHAnsi" w:cstheme="minorBidi"/>
          <w:szCs w:val="22"/>
          <w:lang w:eastAsia="en-AU"/>
        </w:rPr>
      </w:pPr>
      <w:r>
        <w:t>31</w:t>
      </w:r>
      <w:r>
        <w:rPr>
          <w:snapToGrid w:val="0"/>
        </w:rPr>
        <w:t>.</w:t>
      </w:r>
      <w:r>
        <w:rPr>
          <w:snapToGrid w:val="0"/>
        </w:rPr>
        <w:tab/>
        <w:t>Rock lobster, permitted ways to fish for; tail marking</w:t>
      </w:r>
      <w:r>
        <w:tab/>
      </w:r>
      <w:r>
        <w:fldChar w:fldCharType="begin"/>
      </w:r>
      <w:r>
        <w:instrText xml:space="preserve"> PAGEREF _Toc359316656 \h </w:instrText>
      </w:r>
      <w:r>
        <w:fldChar w:fldCharType="separate"/>
      </w:r>
      <w:r>
        <w:t>34</w:t>
      </w:r>
      <w:r>
        <w:fldChar w:fldCharType="end"/>
      </w:r>
    </w:p>
    <w:p>
      <w:pPr>
        <w:pStyle w:val="TOC8"/>
        <w:rPr>
          <w:rFonts w:asciiTheme="minorHAnsi" w:eastAsiaTheme="minorEastAsia" w:hAnsiTheme="minorHAnsi" w:cstheme="minorBidi"/>
          <w:szCs w:val="22"/>
          <w:lang w:eastAsia="en-AU"/>
        </w:rPr>
      </w:pPr>
      <w:r>
        <w:t>31A.</w:t>
      </w:r>
      <w:r>
        <w:tab/>
        <w:t>Bait for rock lobster, limits on type of</w:t>
      </w:r>
      <w:r>
        <w:tab/>
      </w:r>
      <w:r>
        <w:fldChar w:fldCharType="begin"/>
      </w:r>
      <w:r>
        <w:instrText xml:space="preserve"> PAGEREF _Toc359316657 \h </w:instrText>
      </w:r>
      <w:r>
        <w:fldChar w:fldCharType="separate"/>
      </w:r>
      <w:r>
        <w:t>35</w:t>
      </w:r>
      <w:r>
        <w:fldChar w:fldCharType="end"/>
      </w:r>
    </w:p>
    <w:p>
      <w:pPr>
        <w:pStyle w:val="TOC8"/>
        <w:rPr>
          <w:rFonts w:asciiTheme="minorHAnsi" w:eastAsiaTheme="minorEastAsia" w:hAnsiTheme="minorHAnsi" w:cstheme="minorBidi"/>
          <w:szCs w:val="22"/>
          <w:lang w:eastAsia="en-AU"/>
        </w:rPr>
      </w:pPr>
      <w:r>
        <w:t>32</w:t>
      </w:r>
      <w:r>
        <w:rPr>
          <w:snapToGrid w:val="0"/>
        </w:rPr>
        <w:t>.</w:t>
      </w:r>
      <w:r>
        <w:rPr>
          <w:snapToGrid w:val="0"/>
        </w:rPr>
        <w:tab/>
        <w:t>Rock lobster pot floats, requirements for</w:t>
      </w:r>
      <w:r>
        <w:tab/>
      </w:r>
      <w:r>
        <w:fldChar w:fldCharType="begin"/>
      </w:r>
      <w:r>
        <w:instrText xml:space="preserve"> PAGEREF _Toc359316658 \h </w:instrText>
      </w:r>
      <w:r>
        <w:fldChar w:fldCharType="separate"/>
      </w:r>
      <w:r>
        <w:t>36</w:t>
      </w:r>
      <w:r>
        <w:fldChar w:fldCharType="end"/>
      </w:r>
    </w:p>
    <w:p>
      <w:pPr>
        <w:pStyle w:val="TOC8"/>
        <w:rPr>
          <w:rFonts w:asciiTheme="minorHAnsi" w:eastAsiaTheme="minorEastAsia" w:hAnsiTheme="minorHAnsi" w:cstheme="minorBidi"/>
          <w:szCs w:val="22"/>
          <w:lang w:eastAsia="en-AU"/>
        </w:rPr>
      </w:pPr>
      <w:r>
        <w:t>35</w:t>
      </w:r>
      <w:r>
        <w:rPr>
          <w:snapToGrid w:val="0"/>
        </w:rPr>
        <w:t>.</w:t>
      </w:r>
      <w:r>
        <w:rPr>
          <w:snapToGrid w:val="0"/>
        </w:rPr>
        <w:tab/>
        <w:t>Rock lobster flesh, possession of</w:t>
      </w:r>
      <w:r>
        <w:tab/>
      </w:r>
      <w:r>
        <w:fldChar w:fldCharType="begin"/>
      </w:r>
      <w:r>
        <w:instrText xml:space="preserve"> PAGEREF _Toc359316659 \h </w:instrText>
      </w:r>
      <w:r>
        <w:fldChar w:fldCharType="separate"/>
      </w:r>
      <w:r>
        <w:t>37</w:t>
      </w:r>
      <w:r>
        <w:fldChar w:fldCharType="end"/>
      </w:r>
    </w:p>
    <w:p>
      <w:pPr>
        <w:pStyle w:val="TOC8"/>
        <w:rPr>
          <w:rFonts w:asciiTheme="minorHAnsi" w:eastAsiaTheme="minorEastAsia" w:hAnsiTheme="minorHAnsi" w:cstheme="minorBidi"/>
          <w:szCs w:val="22"/>
          <w:lang w:eastAsia="en-AU"/>
        </w:rPr>
      </w:pPr>
      <w:r>
        <w:t>36</w:t>
      </w:r>
      <w:r>
        <w:rPr>
          <w:snapToGrid w:val="0"/>
        </w:rPr>
        <w:t>.</w:t>
      </w:r>
      <w:r>
        <w:rPr>
          <w:snapToGrid w:val="0"/>
        </w:rPr>
        <w:tab/>
        <w:t>Boats (not fishing boats) used to fish for rock lobsters, rules for</w:t>
      </w:r>
      <w:r>
        <w:tab/>
      </w:r>
      <w:r>
        <w:fldChar w:fldCharType="begin"/>
      </w:r>
      <w:r>
        <w:instrText xml:space="preserve"> PAGEREF _Toc359316660 \h </w:instrText>
      </w:r>
      <w:r>
        <w:fldChar w:fldCharType="separate"/>
      </w:r>
      <w:r>
        <w:t>37</w:t>
      </w:r>
      <w:r>
        <w:fldChar w:fldCharType="end"/>
      </w:r>
    </w:p>
    <w:p>
      <w:pPr>
        <w:pStyle w:val="TOC8"/>
        <w:rPr>
          <w:rFonts w:asciiTheme="minorHAnsi" w:eastAsiaTheme="minorEastAsia" w:hAnsiTheme="minorHAnsi" w:cstheme="minorBidi"/>
          <w:szCs w:val="22"/>
          <w:lang w:eastAsia="en-AU"/>
        </w:rPr>
      </w:pPr>
      <w:r>
        <w:t>37</w:t>
      </w:r>
      <w:r>
        <w:rPr>
          <w:snapToGrid w:val="0"/>
        </w:rPr>
        <w:t>.</w:t>
      </w:r>
      <w:r>
        <w:rPr>
          <w:snapToGrid w:val="0"/>
        </w:rPr>
        <w:tab/>
        <w:t>Offences against r. 36, defences for</w:t>
      </w:r>
      <w:r>
        <w:tab/>
      </w:r>
      <w:r>
        <w:fldChar w:fldCharType="begin"/>
      </w:r>
      <w:r>
        <w:instrText xml:space="preserve"> PAGEREF _Toc359316661 \h </w:instrText>
      </w:r>
      <w:r>
        <w:fldChar w:fldCharType="separate"/>
      </w:r>
      <w:r>
        <w:t>38</w:t>
      </w:r>
      <w:r>
        <w:fldChar w:fldCharType="end"/>
      </w:r>
    </w:p>
    <w:p>
      <w:pPr>
        <w:pStyle w:val="TOC8"/>
        <w:rPr>
          <w:rFonts w:asciiTheme="minorHAnsi" w:eastAsiaTheme="minorEastAsia" w:hAnsiTheme="minorHAnsi" w:cstheme="minorBidi"/>
          <w:szCs w:val="22"/>
          <w:lang w:eastAsia="en-AU"/>
        </w:rPr>
      </w:pPr>
      <w:r>
        <w:t>38</w:t>
      </w:r>
      <w:r>
        <w:rPr>
          <w:snapToGrid w:val="0"/>
        </w:rPr>
        <w:t>.</w:t>
      </w:r>
      <w:r>
        <w:rPr>
          <w:snapToGrid w:val="0"/>
        </w:rPr>
        <w:tab/>
        <w:t>Rock lobster pots, requirements for</w:t>
      </w:r>
      <w:r>
        <w:tab/>
      </w:r>
      <w:r>
        <w:fldChar w:fldCharType="begin"/>
      </w:r>
      <w:r>
        <w:instrText xml:space="preserve"> PAGEREF _Toc359316662 \h </w:instrText>
      </w:r>
      <w:r>
        <w:fldChar w:fldCharType="separate"/>
      </w:r>
      <w:r>
        <w:t>39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5A — Requirements regarding deep sea crabs</w:t>
      </w:r>
    </w:p>
    <w:p>
      <w:pPr>
        <w:pStyle w:val="TOC8"/>
        <w:rPr>
          <w:rFonts w:asciiTheme="minorHAnsi" w:eastAsiaTheme="minorEastAsia" w:hAnsiTheme="minorHAnsi" w:cstheme="minorBidi"/>
          <w:szCs w:val="22"/>
          <w:lang w:eastAsia="en-AU"/>
        </w:rPr>
      </w:pPr>
      <w:r>
        <w:t>38A.</w:t>
      </w:r>
      <w:r>
        <w:tab/>
        <w:t>Term used: deep sea crab</w:t>
      </w:r>
      <w:r>
        <w:tab/>
      </w:r>
      <w:r>
        <w:fldChar w:fldCharType="begin"/>
      </w:r>
      <w:r>
        <w:instrText xml:space="preserve"> PAGEREF _Toc359316664 \h </w:instrText>
      </w:r>
      <w:r>
        <w:fldChar w:fldCharType="separate"/>
      </w:r>
      <w:r>
        <w:t>42</w:t>
      </w:r>
      <w:r>
        <w:fldChar w:fldCharType="end"/>
      </w:r>
    </w:p>
    <w:p>
      <w:pPr>
        <w:pStyle w:val="TOC8"/>
        <w:rPr>
          <w:rFonts w:asciiTheme="minorHAnsi" w:eastAsiaTheme="minorEastAsia" w:hAnsiTheme="minorHAnsi" w:cstheme="minorBidi"/>
          <w:szCs w:val="22"/>
          <w:lang w:eastAsia="en-AU"/>
        </w:rPr>
      </w:pPr>
      <w:r>
        <w:t>38B.</w:t>
      </w:r>
      <w:r>
        <w:tab/>
        <w:t>Possession and sale of parts of deep sea crabs</w:t>
      </w:r>
      <w:r>
        <w:tab/>
      </w:r>
      <w:r>
        <w:fldChar w:fldCharType="begin"/>
      </w:r>
      <w:r>
        <w:instrText xml:space="preserve"> PAGEREF _Toc359316665 \h </w:instrText>
      </w:r>
      <w:r>
        <w:fldChar w:fldCharType="separate"/>
      </w:r>
      <w:r>
        <w:t>42</w:t>
      </w:r>
      <w:r>
        <w:fldChar w:fldCharType="end"/>
      </w:r>
    </w:p>
    <w:p>
      <w:pPr>
        <w:pStyle w:val="TOC8"/>
        <w:rPr>
          <w:rFonts w:asciiTheme="minorHAnsi" w:eastAsiaTheme="minorEastAsia" w:hAnsiTheme="minorHAnsi" w:cstheme="minorBidi"/>
          <w:szCs w:val="22"/>
          <w:lang w:eastAsia="en-AU"/>
        </w:rPr>
      </w:pPr>
      <w:r>
        <w:t>38C.</w:t>
      </w:r>
      <w:r>
        <w:tab/>
        <w:t>Parts of deep sea crabs not to be landed</w:t>
      </w:r>
      <w:r>
        <w:tab/>
      </w:r>
      <w:r>
        <w:fldChar w:fldCharType="begin"/>
      </w:r>
      <w:r>
        <w:instrText xml:space="preserve"> PAGEREF _Toc359316666 \h </w:instrText>
      </w:r>
      <w:r>
        <w:fldChar w:fldCharType="separate"/>
      </w:r>
      <w:r>
        <w:t>43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5B — Requirements regarding abalone</w:t>
      </w:r>
    </w:p>
    <w:p>
      <w:pPr>
        <w:pStyle w:val="TOC8"/>
        <w:rPr>
          <w:rFonts w:asciiTheme="minorHAnsi" w:eastAsiaTheme="minorEastAsia" w:hAnsiTheme="minorHAnsi" w:cstheme="minorBidi"/>
          <w:szCs w:val="22"/>
          <w:lang w:eastAsia="en-AU"/>
        </w:rPr>
      </w:pPr>
      <w:r>
        <w:t>38D.</w:t>
      </w:r>
      <w:r>
        <w:tab/>
        <w:t>When fishing for abalone allowed</w:t>
      </w:r>
      <w:r>
        <w:tab/>
      </w:r>
      <w:r>
        <w:fldChar w:fldCharType="begin"/>
      </w:r>
      <w:r>
        <w:instrText xml:space="preserve"> PAGEREF _Toc359316668 \h </w:instrText>
      </w:r>
      <w:r>
        <w:fldChar w:fldCharType="separate"/>
      </w:r>
      <w:r>
        <w:t>43</w:t>
      </w:r>
      <w:r>
        <w:fldChar w:fldCharType="end"/>
      </w:r>
    </w:p>
    <w:p>
      <w:pPr>
        <w:pStyle w:val="TOC8"/>
        <w:rPr>
          <w:rFonts w:asciiTheme="minorHAnsi" w:eastAsiaTheme="minorEastAsia" w:hAnsiTheme="minorHAnsi" w:cstheme="minorBidi"/>
          <w:szCs w:val="22"/>
          <w:lang w:eastAsia="en-AU"/>
        </w:rPr>
      </w:pPr>
      <w:r>
        <w:t>38E.</w:t>
      </w:r>
      <w:r>
        <w:tab/>
        <w:t>Diving for abalone using breathing apparatus prohibited in Abalone Zone 1</w:t>
      </w:r>
      <w:r>
        <w:tab/>
      </w:r>
      <w:r>
        <w:fldChar w:fldCharType="begin"/>
      </w:r>
      <w:r>
        <w:instrText xml:space="preserve"> PAGEREF _Toc359316669 \h </w:instrText>
      </w:r>
      <w:r>
        <w:fldChar w:fldCharType="separate"/>
      </w:r>
      <w:r>
        <w:t>44</w:t>
      </w:r>
      <w:r>
        <w:fldChar w:fldCharType="end"/>
      </w:r>
    </w:p>
    <w:p>
      <w:pPr>
        <w:pStyle w:val="TOC8"/>
        <w:rPr>
          <w:rFonts w:asciiTheme="minorHAnsi" w:eastAsiaTheme="minorEastAsia" w:hAnsiTheme="minorHAnsi" w:cstheme="minorBidi"/>
          <w:szCs w:val="22"/>
          <w:lang w:eastAsia="en-AU"/>
        </w:rPr>
      </w:pPr>
      <w:r>
        <w:t>38F.</w:t>
      </w:r>
      <w:r>
        <w:tab/>
        <w:t>Use of abalone material as bait</w:t>
      </w:r>
      <w:r>
        <w:tab/>
      </w:r>
      <w:r>
        <w:fldChar w:fldCharType="begin"/>
      </w:r>
      <w:r>
        <w:instrText xml:space="preserve"> PAGEREF _Toc359316670 \h </w:instrText>
      </w:r>
      <w:r>
        <w:fldChar w:fldCharType="separate"/>
      </w:r>
      <w:r>
        <w:t>44</w:t>
      </w:r>
      <w:r>
        <w:fldChar w:fldCharType="end"/>
      </w:r>
    </w:p>
    <w:p>
      <w:pPr>
        <w:pStyle w:val="TOC8"/>
        <w:rPr>
          <w:rFonts w:asciiTheme="minorHAnsi" w:eastAsiaTheme="minorEastAsia" w:hAnsiTheme="minorHAnsi" w:cstheme="minorBidi"/>
          <w:szCs w:val="22"/>
          <w:lang w:eastAsia="en-AU"/>
        </w:rPr>
      </w:pPr>
      <w:r>
        <w:t>38GA.</w:t>
      </w:r>
      <w:r>
        <w:tab/>
        <w:t>Possession of abalone material</w:t>
      </w:r>
      <w:r>
        <w:tab/>
      </w:r>
      <w:r>
        <w:fldChar w:fldCharType="begin"/>
      </w:r>
      <w:r>
        <w:instrText xml:space="preserve"> PAGEREF _Toc359316671 \h </w:instrText>
      </w:r>
      <w:r>
        <w:fldChar w:fldCharType="separate"/>
      </w:r>
      <w:r>
        <w:t>44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5C — Requirements regarding marron</w:t>
      </w:r>
    </w:p>
    <w:p>
      <w:pPr>
        <w:pStyle w:val="TOC6"/>
        <w:tabs>
          <w:tab w:val="right" w:leader="dot" w:pos="7086"/>
        </w:tabs>
        <w:rPr>
          <w:rFonts w:asciiTheme="minorHAnsi" w:eastAsiaTheme="minorEastAsia" w:hAnsiTheme="minorHAnsi" w:cstheme="minorBidi"/>
          <w:b w:val="0"/>
          <w:sz w:val="22"/>
          <w:szCs w:val="22"/>
          <w:lang w:eastAsia="en-AU"/>
        </w:rPr>
      </w:pPr>
      <w:r>
        <w:t>Subdivision 1 — Interpretation</w:t>
      </w:r>
    </w:p>
    <w:p>
      <w:pPr>
        <w:pStyle w:val="TOC8"/>
        <w:rPr>
          <w:rFonts w:asciiTheme="minorHAnsi" w:eastAsiaTheme="minorEastAsia" w:hAnsiTheme="minorHAnsi" w:cstheme="minorBidi"/>
          <w:szCs w:val="22"/>
          <w:lang w:eastAsia="en-AU"/>
        </w:rPr>
      </w:pPr>
      <w:r>
        <w:t>38G.</w:t>
      </w:r>
      <w:r>
        <w:tab/>
        <w:t>Terms used</w:t>
      </w:r>
      <w:r>
        <w:tab/>
      </w:r>
      <w:r>
        <w:fldChar w:fldCharType="begin"/>
      </w:r>
      <w:r>
        <w:instrText xml:space="preserve"> PAGEREF _Toc359316674 \h </w:instrText>
      </w:r>
      <w:r>
        <w:fldChar w:fldCharType="separate"/>
      </w:r>
      <w:r>
        <w:t>45</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General restrictions on fishing for marron</w:t>
      </w:r>
    </w:p>
    <w:p>
      <w:pPr>
        <w:pStyle w:val="TOC8"/>
        <w:rPr>
          <w:rFonts w:asciiTheme="minorHAnsi" w:eastAsiaTheme="minorEastAsia" w:hAnsiTheme="minorHAnsi" w:cstheme="minorBidi"/>
          <w:szCs w:val="22"/>
          <w:lang w:eastAsia="en-AU"/>
        </w:rPr>
      </w:pPr>
      <w:r>
        <w:t>38H.</w:t>
      </w:r>
      <w:r>
        <w:tab/>
        <w:t>Marron, permitted ways to fish for</w:t>
      </w:r>
      <w:r>
        <w:tab/>
      </w:r>
      <w:r>
        <w:fldChar w:fldCharType="begin"/>
      </w:r>
      <w:r>
        <w:instrText xml:space="preserve"> PAGEREF _Toc359316676 \h </w:instrText>
      </w:r>
      <w:r>
        <w:fldChar w:fldCharType="separate"/>
      </w:r>
      <w:r>
        <w:t>47</w:t>
      </w:r>
      <w:r>
        <w:fldChar w:fldCharType="end"/>
      </w:r>
    </w:p>
    <w:p>
      <w:pPr>
        <w:pStyle w:val="TOC8"/>
        <w:rPr>
          <w:rFonts w:asciiTheme="minorHAnsi" w:eastAsiaTheme="minorEastAsia" w:hAnsiTheme="minorHAnsi" w:cstheme="minorBidi"/>
          <w:szCs w:val="22"/>
          <w:lang w:eastAsia="en-AU"/>
        </w:rPr>
      </w:pPr>
      <w:r>
        <w:t>38I.</w:t>
      </w:r>
      <w:r>
        <w:tab/>
        <w:t>Single marron pole snare only to be used in some waters</w:t>
      </w:r>
      <w:r>
        <w:tab/>
      </w:r>
      <w:r>
        <w:fldChar w:fldCharType="begin"/>
      </w:r>
      <w:r>
        <w:instrText xml:space="preserve"> PAGEREF _Toc359316677 \h </w:instrText>
      </w:r>
      <w:r>
        <w:fldChar w:fldCharType="separate"/>
      </w:r>
      <w:r>
        <w:t>47</w:t>
      </w:r>
      <w:r>
        <w:fldChar w:fldCharType="end"/>
      </w:r>
    </w:p>
    <w:p>
      <w:pPr>
        <w:pStyle w:val="TOC8"/>
        <w:rPr>
          <w:rFonts w:asciiTheme="minorHAnsi" w:eastAsiaTheme="minorEastAsia" w:hAnsiTheme="minorHAnsi" w:cstheme="minorBidi"/>
          <w:szCs w:val="22"/>
          <w:lang w:eastAsia="en-AU"/>
        </w:rPr>
      </w:pPr>
      <w:r>
        <w:t>38J.</w:t>
      </w:r>
      <w:r>
        <w:tab/>
        <w:t>Marron fishing prohibited in certain Margaret River waters</w:t>
      </w:r>
      <w:r>
        <w:tab/>
      </w:r>
      <w:r>
        <w:fldChar w:fldCharType="begin"/>
      </w:r>
      <w:r>
        <w:instrText xml:space="preserve"> PAGEREF _Toc359316678 \h </w:instrText>
      </w:r>
      <w:r>
        <w:fldChar w:fldCharType="separate"/>
      </w:r>
      <w:r>
        <w:t>48</w:t>
      </w:r>
      <w:r>
        <w:fldChar w:fldCharType="end"/>
      </w:r>
    </w:p>
    <w:p>
      <w:pPr>
        <w:pStyle w:val="TOC8"/>
        <w:rPr>
          <w:rFonts w:asciiTheme="minorHAnsi" w:eastAsiaTheme="minorEastAsia" w:hAnsiTheme="minorHAnsi" w:cstheme="minorBidi"/>
          <w:szCs w:val="22"/>
          <w:lang w:eastAsia="en-AU"/>
        </w:rPr>
      </w:pPr>
      <w:r>
        <w:t>38K.</w:t>
      </w:r>
      <w:r>
        <w:tab/>
        <w:t>Marron fishing prohibited from boats or by swimming or diving</w:t>
      </w:r>
      <w:r>
        <w:tab/>
      </w:r>
      <w:r>
        <w:fldChar w:fldCharType="begin"/>
      </w:r>
      <w:r>
        <w:instrText xml:space="preserve"> PAGEREF _Toc359316679 \h </w:instrText>
      </w:r>
      <w:r>
        <w:fldChar w:fldCharType="separate"/>
      </w:r>
      <w:r>
        <w:t>48</w:t>
      </w:r>
      <w:r>
        <w:fldChar w:fldCharType="end"/>
      </w:r>
    </w:p>
    <w:p>
      <w:pPr>
        <w:pStyle w:val="TOC8"/>
        <w:rPr>
          <w:rFonts w:asciiTheme="minorHAnsi" w:eastAsiaTheme="minorEastAsia" w:hAnsiTheme="minorHAnsi" w:cstheme="minorBidi"/>
          <w:szCs w:val="22"/>
          <w:lang w:eastAsia="en-AU"/>
        </w:rPr>
      </w:pPr>
      <w:r>
        <w:t>38L.</w:t>
      </w:r>
      <w:r>
        <w:tab/>
        <w:t>Marron nets not to be transported in boats in most cases</w:t>
      </w:r>
      <w:r>
        <w:tab/>
      </w:r>
      <w:r>
        <w:fldChar w:fldCharType="begin"/>
      </w:r>
      <w:r>
        <w:instrText xml:space="preserve"> PAGEREF _Toc359316680 \h </w:instrText>
      </w:r>
      <w:r>
        <w:fldChar w:fldCharType="separate"/>
      </w:r>
      <w:r>
        <w:t>49</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3 — Closed season restrictions relating to marron</w:t>
      </w:r>
    </w:p>
    <w:p>
      <w:pPr>
        <w:pStyle w:val="TOC8"/>
        <w:rPr>
          <w:rFonts w:asciiTheme="minorHAnsi" w:eastAsiaTheme="minorEastAsia" w:hAnsiTheme="minorHAnsi" w:cstheme="minorBidi"/>
          <w:szCs w:val="22"/>
          <w:lang w:eastAsia="en-AU"/>
        </w:rPr>
      </w:pPr>
      <w:r>
        <w:t>38M.</w:t>
      </w:r>
      <w:r>
        <w:tab/>
        <w:t>Closed season for marron fishing</w:t>
      </w:r>
      <w:r>
        <w:tab/>
      </w:r>
      <w:r>
        <w:fldChar w:fldCharType="begin"/>
      </w:r>
      <w:r>
        <w:instrText xml:space="preserve"> PAGEREF _Toc359316682 \h </w:instrText>
      </w:r>
      <w:r>
        <w:fldChar w:fldCharType="separate"/>
      </w:r>
      <w:r>
        <w:t>49</w:t>
      </w:r>
      <w:r>
        <w:fldChar w:fldCharType="end"/>
      </w:r>
    </w:p>
    <w:p>
      <w:pPr>
        <w:pStyle w:val="TOC8"/>
        <w:rPr>
          <w:rFonts w:asciiTheme="minorHAnsi" w:eastAsiaTheme="minorEastAsia" w:hAnsiTheme="minorHAnsi" w:cstheme="minorBidi"/>
          <w:szCs w:val="22"/>
          <w:lang w:eastAsia="en-AU"/>
        </w:rPr>
      </w:pPr>
      <w:r>
        <w:t>38N.</w:t>
      </w:r>
      <w:r>
        <w:tab/>
        <w:t>Removing marron from private land in closed season</w:t>
      </w:r>
      <w:r>
        <w:tab/>
      </w:r>
      <w:r>
        <w:fldChar w:fldCharType="begin"/>
      </w:r>
      <w:r>
        <w:instrText xml:space="preserve"> PAGEREF _Toc359316683 \h </w:instrText>
      </w:r>
      <w:r>
        <w:fldChar w:fldCharType="separate"/>
      </w:r>
      <w:r>
        <w:t>49</w:t>
      </w:r>
      <w:r>
        <w:fldChar w:fldCharType="end"/>
      </w:r>
    </w:p>
    <w:p>
      <w:pPr>
        <w:pStyle w:val="TOC8"/>
        <w:rPr>
          <w:rFonts w:asciiTheme="minorHAnsi" w:eastAsiaTheme="minorEastAsia" w:hAnsiTheme="minorHAnsi" w:cstheme="minorBidi"/>
          <w:szCs w:val="22"/>
          <w:lang w:eastAsia="en-AU"/>
        </w:rPr>
      </w:pPr>
      <w:r>
        <w:t>38O.</w:t>
      </w:r>
      <w:r>
        <w:tab/>
        <w:t>Possession of marron during non</w:t>
      </w:r>
      <w:r>
        <w:noBreakHyphen/>
        <w:t>possession period</w:t>
      </w:r>
      <w:r>
        <w:tab/>
      </w:r>
      <w:r>
        <w:fldChar w:fldCharType="begin"/>
      </w:r>
      <w:r>
        <w:instrText xml:space="preserve"> PAGEREF _Toc359316684 \h </w:instrText>
      </w:r>
      <w:r>
        <w:fldChar w:fldCharType="separate"/>
      </w:r>
      <w:r>
        <w:t>50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w:t>
      </w:r>
      <w:r>
        <w:rPr>
          <w:snapToGrid w:val="0"/>
        </w:rPr>
        <w:t> — </w:t>
      </w:r>
      <w:r>
        <w:t>Requirements relating to the taking of certain fish</w:t>
      </w:r>
    </w:p>
    <w:p>
      <w:pPr>
        <w:pStyle w:val="TOC8"/>
        <w:rPr>
          <w:rFonts w:asciiTheme="minorHAnsi" w:eastAsiaTheme="minorEastAsia" w:hAnsiTheme="minorHAnsi" w:cstheme="minorBidi"/>
          <w:szCs w:val="22"/>
          <w:lang w:eastAsia="en-AU"/>
        </w:rPr>
      </w:pPr>
      <w:r>
        <w:t>39</w:t>
      </w:r>
      <w:r>
        <w:rPr>
          <w:snapToGrid w:val="0"/>
        </w:rPr>
        <w:t>.</w:t>
      </w:r>
      <w:r>
        <w:rPr>
          <w:snapToGrid w:val="0"/>
        </w:rPr>
        <w:tab/>
        <w:t>Prawns, permitted ways to fish for by recreational fishers</w:t>
      </w:r>
      <w:r>
        <w:tab/>
      </w:r>
      <w:r>
        <w:fldChar w:fldCharType="begin"/>
      </w:r>
      <w:r>
        <w:instrText xml:space="preserve"> PAGEREF _Toc359316686 \h </w:instrText>
      </w:r>
      <w:r>
        <w:fldChar w:fldCharType="separate"/>
      </w:r>
      <w:r>
        <w:t>51</w:t>
      </w:r>
      <w:r>
        <w:fldChar w:fldCharType="end"/>
      </w:r>
    </w:p>
    <w:p>
      <w:pPr>
        <w:pStyle w:val="TOC8"/>
        <w:rPr>
          <w:rFonts w:asciiTheme="minorHAnsi" w:eastAsiaTheme="minorEastAsia" w:hAnsiTheme="minorHAnsi" w:cstheme="minorBidi"/>
          <w:szCs w:val="22"/>
          <w:lang w:eastAsia="en-AU"/>
        </w:rPr>
      </w:pPr>
      <w:r>
        <w:t>40</w:t>
      </w:r>
      <w:r>
        <w:rPr>
          <w:snapToGrid w:val="0"/>
        </w:rPr>
        <w:t>.</w:t>
      </w:r>
      <w:r>
        <w:rPr>
          <w:snapToGrid w:val="0"/>
        </w:rPr>
        <w:tab/>
        <w:t>Cherabin, permitted ways to fish for</w:t>
      </w:r>
      <w:r>
        <w:tab/>
      </w:r>
      <w:r>
        <w:fldChar w:fldCharType="begin"/>
      </w:r>
      <w:r>
        <w:instrText xml:space="preserve"> PAGEREF _Toc359316687 \h </w:instrText>
      </w:r>
      <w:r>
        <w:fldChar w:fldCharType="separate"/>
      </w:r>
      <w:r>
        <w:t>52</w:t>
      </w:r>
      <w:r>
        <w:fldChar w:fldCharType="end"/>
      </w:r>
    </w:p>
    <w:p>
      <w:pPr>
        <w:pStyle w:val="TOC8"/>
        <w:rPr>
          <w:rFonts w:asciiTheme="minorHAnsi" w:eastAsiaTheme="minorEastAsia" w:hAnsiTheme="minorHAnsi" w:cstheme="minorBidi"/>
          <w:szCs w:val="22"/>
          <w:lang w:eastAsia="en-AU"/>
        </w:rPr>
      </w:pPr>
      <w:r>
        <w:t>41</w:t>
      </w:r>
      <w:r>
        <w:rPr>
          <w:snapToGrid w:val="0"/>
        </w:rPr>
        <w:t>.</w:t>
      </w:r>
      <w:r>
        <w:rPr>
          <w:snapToGrid w:val="0"/>
        </w:rPr>
        <w:tab/>
        <w:t>Abalone, who may shuck or possess when shucked</w:t>
      </w:r>
      <w:r>
        <w:tab/>
      </w:r>
      <w:r>
        <w:fldChar w:fldCharType="begin"/>
      </w:r>
      <w:r>
        <w:instrText xml:space="preserve"> PAGEREF _Toc359316688 \h </w:instrText>
      </w:r>
      <w:r>
        <w:fldChar w:fldCharType="separate"/>
      </w:r>
      <w:r>
        <w:t>52</w:t>
      </w:r>
      <w:r>
        <w:fldChar w:fldCharType="end"/>
      </w:r>
    </w:p>
    <w:p>
      <w:pPr>
        <w:pStyle w:val="TOC8"/>
        <w:rPr>
          <w:rFonts w:asciiTheme="minorHAnsi" w:eastAsiaTheme="minorEastAsia" w:hAnsiTheme="minorHAnsi" w:cstheme="minorBidi"/>
          <w:szCs w:val="22"/>
          <w:lang w:eastAsia="en-AU"/>
        </w:rPr>
      </w:pPr>
      <w:r>
        <w:t>42</w:t>
      </w:r>
      <w:r>
        <w:rPr>
          <w:snapToGrid w:val="0"/>
        </w:rPr>
        <w:t>.</w:t>
      </w:r>
      <w:r>
        <w:rPr>
          <w:snapToGrid w:val="0"/>
        </w:rPr>
        <w:tab/>
        <w:t>Molluscs (not abalone or oyster), shucking of</w:t>
      </w:r>
      <w:r>
        <w:tab/>
      </w:r>
      <w:r>
        <w:fldChar w:fldCharType="begin"/>
      </w:r>
      <w:r>
        <w:instrText xml:space="preserve"> PAGEREF _Toc359316689 \h </w:instrText>
      </w:r>
      <w:r>
        <w:fldChar w:fldCharType="separate"/>
      </w:r>
      <w:r>
        <w:t>53</w:t>
      </w:r>
      <w:r>
        <w:fldChar w:fldCharType="end"/>
      </w:r>
    </w:p>
    <w:p>
      <w:pPr>
        <w:pStyle w:val="TOC8"/>
        <w:rPr>
          <w:rFonts w:asciiTheme="minorHAnsi" w:eastAsiaTheme="minorEastAsia" w:hAnsiTheme="minorHAnsi" w:cstheme="minorBidi"/>
          <w:szCs w:val="22"/>
          <w:lang w:eastAsia="en-AU"/>
        </w:rPr>
      </w:pPr>
      <w:r>
        <w:t>43</w:t>
      </w:r>
      <w:r>
        <w:rPr>
          <w:snapToGrid w:val="0"/>
        </w:rPr>
        <w:t>.</w:t>
      </w:r>
      <w:r>
        <w:rPr>
          <w:snapToGrid w:val="0"/>
        </w:rPr>
        <w:tab/>
        <w:t>Trout, obstructing etc.</w:t>
      </w:r>
      <w:r>
        <w:tab/>
      </w:r>
      <w:r>
        <w:fldChar w:fldCharType="begin"/>
      </w:r>
      <w:r>
        <w:instrText xml:space="preserve"> PAGEREF _Toc359316690 \h </w:instrText>
      </w:r>
      <w:r>
        <w:fldChar w:fldCharType="separate"/>
      </w:r>
      <w:r>
        <w:t>54</w:t>
      </w:r>
      <w:r>
        <w:fldChar w:fldCharType="end"/>
      </w:r>
    </w:p>
    <w:p>
      <w:pPr>
        <w:pStyle w:val="TOC8"/>
        <w:rPr>
          <w:rFonts w:asciiTheme="minorHAnsi" w:eastAsiaTheme="minorEastAsia" w:hAnsiTheme="minorHAnsi" w:cstheme="minorBidi"/>
          <w:szCs w:val="22"/>
          <w:lang w:eastAsia="en-AU"/>
        </w:rPr>
      </w:pPr>
      <w:r>
        <w:t>44</w:t>
      </w:r>
      <w:r>
        <w:rPr>
          <w:snapToGrid w:val="0"/>
        </w:rPr>
        <w:t>.</w:t>
      </w:r>
      <w:r>
        <w:rPr>
          <w:snapToGrid w:val="0"/>
        </w:rPr>
        <w:tab/>
        <w:t>Barramundi, trout, freshwater cobbler and redfin perch, permitted ways to fish for</w:t>
      </w:r>
      <w:r>
        <w:tab/>
      </w:r>
      <w:r>
        <w:fldChar w:fldCharType="begin"/>
      </w:r>
      <w:r>
        <w:instrText xml:space="preserve"> PAGEREF _Toc359316691 \h </w:instrText>
      </w:r>
      <w:r>
        <w:fldChar w:fldCharType="separate"/>
      </w:r>
      <w:r>
        <w:t>54</w:t>
      </w:r>
      <w:r>
        <w:fldChar w:fldCharType="end"/>
      </w:r>
    </w:p>
    <w:p>
      <w:pPr>
        <w:pStyle w:val="TOC8"/>
        <w:rPr>
          <w:rFonts w:asciiTheme="minorHAnsi" w:eastAsiaTheme="minorEastAsia" w:hAnsiTheme="minorHAnsi" w:cstheme="minorBidi"/>
          <w:szCs w:val="22"/>
          <w:lang w:eastAsia="en-AU"/>
        </w:rPr>
      </w:pPr>
      <w:r>
        <w:t>44A.</w:t>
      </w:r>
      <w:r>
        <w:tab/>
        <w:t>Freshwater fish, closed season for</w:t>
      </w:r>
      <w:r>
        <w:tab/>
      </w:r>
      <w:r>
        <w:fldChar w:fldCharType="begin"/>
      </w:r>
      <w:r>
        <w:instrText xml:space="preserve"> PAGEREF _Toc359316692 \h </w:instrText>
      </w:r>
      <w:r>
        <w:fldChar w:fldCharType="separate"/>
      </w:r>
      <w:r>
        <w:t>55</w:t>
      </w:r>
      <w:r>
        <w:fldChar w:fldCharType="end"/>
      </w:r>
    </w:p>
    <w:p>
      <w:pPr>
        <w:pStyle w:val="TOC8"/>
        <w:rPr>
          <w:rFonts w:asciiTheme="minorHAnsi" w:eastAsiaTheme="minorEastAsia" w:hAnsiTheme="minorHAnsi" w:cstheme="minorBidi"/>
          <w:szCs w:val="22"/>
          <w:lang w:eastAsia="en-AU"/>
        </w:rPr>
      </w:pPr>
      <w:r>
        <w:t>45.</w:t>
      </w:r>
      <w:r>
        <w:tab/>
        <w:t>Demersal scalefish in West Coast Region, closed season for recreational fishing for</w:t>
      </w:r>
      <w:r>
        <w:tab/>
      </w:r>
      <w:r>
        <w:fldChar w:fldCharType="begin"/>
      </w:r>
      <w:r>
        <w:instrText xml:space="preserve"> PAGEREF _Toc359316693 \h </w:instrText>
      </w:r>
      <w:r>
        <w:fldChar w:fldCharType="separate"/>
      </w:r>
      <w:r>
        <w:t>56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7A</w:t>
      </w:r>
      <w:r>
        <w:rPr>
          <w:snapToGrid w:val="0"/>
        </w:rPr>
        <w:t> — </w:t>
      </w:r>
      <w:r>
        <w:t>Requirements relating to automatic location communicators</w:t>
      </w:r>
    </w:p>
    <w:p>
      <w:pPr>
        <w:pStyle w:val="TOC8"/>
        <w:rPr>
          <w:rFonts w:asciiTheme="minorHAnsi" w:eastAsiaTheme="minorEastAsia" w:hAnsiTheme="minorHAnsi" w:cstheme="minorBidi"/>
          <w:szCs w:val="22"/>
          <w:lang w:eastAsia="en-AU"/>
        </w:rPr>
      </w:pPr>
      <w:r>
        <w:t>55A.</w:t>
      </w:r>
      <w:r>
        <w:tab/>
        <w:t>Terms used</w:t>
      </w:r>
      <w:r>
        <w:tab/>
      </w:r>
      <w:r>
        <w:fldChar w:fldCharType="begin"/>
      </w:r>
      <w:r>
        <w:instrText xml:space="preserve"> PAGEREF _Toc359316695 \h </w:instrText>
      </w:r>
      <w:r>
        <w:fldChar w:fldCharType="separate"/>
      </w:r>
      <w:r>
        <w:t>57</w:t>
      </w:r>
      <w:r>
        <w:fldChar w:fldCharType="end"/>
      </w:r>
    </w:p>
    <w:p>
      <w:pPr>
        <w:pStyle w:val="TOC8"/>
        <w:rPr>
          <w:rFonts w:asciiTheme="minorHAnsi" w:eastAsiaTheme="minorEastAsia" w:hAnsiTheme="minorHAnsi" w:cstheme="minorBidi"/>
          <w:szCs w:val="22"/>
          <w:lang w:eastAsia="en-AU"/>
        </w:rPr>
      </w:pPr>
      <w:r>
        <w:t>55AA.</w:t>
      </w:r>
      <w:r>
        <w:tab/>
        <w:t>ALCs, approval of; directions for use of etc.</w:t>
      </w:r>
      <w:r>
        <w:tab/>
      </w:r>
      <w:r>
        <w:fldChar w:fldCharType="begin"/>
      </w:r>
      <w:r>
        <w:instrText xml:space="preserve"> PAGEREF _Toc359316696 \h </w:instrText>
      </w:r>
      <w:r>
        <w:fldChar w:fldCharType="separate"/>
      </w:r>
      <w:r>
        <w:t>58</w:t>
      </w:r>
      <w:r>
        <w:fldChar w:fldCharType="end"/>
      </w:r>
    </w:p>
    <w:p>
      <w:pPr>
        <w:pStyle w:val="TOC8"/>
        <w:rPr>
          <w:rFonts w:asciiTheme="minorHAnsi" w:eastAsiaTheme="minorEastAsia" w:hAnsiTheme="minorHAnsi" w:cstheme="minorBidi"/>
          <w:szCs w:val="22"/>
          <w:lang w:eastAsia="en-AU"/>
        </w:rPr>
      </w:pPr>
      <w:r>
        <w:t>55B</w:t>
      </w:r>
      <w:r>
        <w:rPr>
          <w:snapToGrid w:val="0"/>
        </w:rPr>
        <w:t>.</w:t>
      </w:r>
      <w:r>
        <w:rPr>
          <w:snapToGrid w:val="0"/>
        </w:rPr>
        <w:tab/>
        <w:t>ALC, CEO may direct installation of etc. in fishing boat</w:t>
      </w:r>
      <w:r>
        <w:tab/>
      </w:r>
      <w:r>
        <w:fldChar w:fldCharType="begin"/>
      </w:r>
      <w:r>
        <w:instrText xml:space="preserve"> PAGEREF _Toc359316697 \h </w:instrText>
      </w:r>
      <w:r>
        <w:fldChar w:fldCharType="separate"/>
      </w:r>
      <w:r>
        <w:t>58</w:t>
      </w:r>
      <w:r>
        <w:fldChar w:fldCharType="end"/>
      </w:r>
    </w:p>
    <w:p>
      <w:pPr>
        <w:pStyle w:val="TOC8"/>
        <w:rPr>
          <w:rFonts w:asciiTheme="minorHAnsi" w:eastAsiaTheme="minorEastAsia" w:hAnsiTheme="minorHAnsi" w:cstheme="minorBidi"/>
          <w:szCs w:val="22"/>
          <w:lang w:eastAsia="en-AU"/>
        </w:rPr>
      </w:pPr>
      <w:r>
        <w:t>55C</w:t>
      </w:r>
      <w:r>
        <w:rPr>
          <w:snapToGrid w:val="0"/>
        </w:rPr>
        <w:t>.</w:t>
      </w:r>
      <w:r>
        <w:rPr>
          <w:snapToGrid w:val="0"/>
        </w:rPr>
        <w:tab/>
        <w:t>Master of fishing boat, duties of as to ALC</w:t>
      </w:r>
      <w:r>
        <w:tab/>
      </w:r>
      <w:r>
        <w:fldChar w:fldCharType="begin"/>
      </w:r>
      <w:r>
        <w:instrText xml:space="preserve"> PAGEREF _Toc359316698 \h </w:instrText>
      </w:r>
      <w:r>
        <w:fldChar w:fldCharType="separate"/>
      </w:r>
      <w:r>
        <w:t>59</w:t>
      </w:r>
      <w:r>
        <w:fldChar w:fldCharType="end"/>
      </w:r>
    </w:p>
    <w:p>
      <w:pPr>
        <w:pStyle w:val="TOC8"/>
        <w:rPr>
          <w:rFonts w:asciiTheme="minorHAnsi" w:eastAsiaTheme="minorEastAsia" w:hAnsiTheme="minorHAnsi" w:cstheme="minorBidi"/>
          <w:szCs w:val="22"/>
          <w:lang w:eastAsia="en-AU"/>
        </w:rPr>
      </w:pPr>
      <w:r>
        <w:t>55D</w:t>
      </w:r>
      <w:r>
        <w:rPr>
          <w:snapToGrid w:val="0"/>
        </w:rPr>
        <w:t>.</w:t>
      </w:r>
      <w:r>
        <w:rPr>
          <w:snapToGrid w:val="0"/>
        </w:rPr>
        <w:tab/>
        <w:t>Interfering etc. with ALC or approved seal</w:t>
      </w:r>
      <w:r>
        <w:tab/>
      </w:r>
      <w:r>
        <w:fldChar w:fldCharType="begin"/>
      </w:r>
      <w:r>
        <w:instrText xml:space="preserve"> PAGEREF _Toc359316699 \h </w:instrText>
      </w:r>
      <w:r>
        <w:fldChar w:fldCharType="separate"/>
      </w:r>
      <w:r>
        <w:t>60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7B — Requirements relating to bait bands</w:t>
      </w:r>
    </w:p>
    <w:p>
      <w:pPr>
        <w:pStyle w:val="TOC8"/>
        <w:rPr>
          <w:rFonts w:asciiTheme="minorHAnsi" w:eastAsiaTheme="minorEastAsia" w:hAnsiTheme="minorHAnsi" w:cstheme="minorBidi"/>
          <w:szCs w:val="22"/>
          <w:lang w:eastAsia="en-AU"/>
        </w:rPr>
      </w:pPr>
      <w:r>
        <w:t>55E.</w:t>
      </w:r>
      <w:r>
        <w:tab/>
        <w:t>Terms used</w:t>
      </w:r>
      <w:r>
        <w:tab/>
      </w:r>
      <w:r>
        <w:fldChar w:fldCharType="begin"/>
      </w:r>
      <w:r>
        <w:instrText xml:space="preserve"> PAGEREF _Toc359316701 \h </w:instrText>
      </w:r>
      <w:r>
        <w:fldChar w:fldCharType="separate"/>
      </w:r>
      <w:r>
        <w:t>61</w:t>
      </w:r>
      <w:r>
        <w:fldChar w:fldCharType="end"/>
      </w:r>
    </w:p>
    <w:p>
      <w:pPr>
        <w:pStyle w:val="TOC8"/>
        <w:rPr>
          <w:rFonts w:asciiTheme="minorHAnsi" w:eastAsiaTheme="minorEastAsia" w:hAnsiTheme="minorHAnsi" w:cstheme="minorBidi"/>
          <w:szCs w:val="22"/>
          <w:lang w:eastAsia="en-AU"/>
        </w:rPr>
      </w:pPr>
      <w:r>
        <w:t>55F.</w:t>
      </w:r>
      <w:r>
        <w:tab/>
        <w:t>Bait bands on boats prohibited</w:t>
      </w:r>
      <w:r>
        <w:tab/>
      </w:r>
      <w:r>
        <w:fldChar w:fldCharType="begin"/>
      </w:r>
      <w:r>
        <w:instrText xml:space="preserve"> PAGEREF _Toc359316702 \h </w:instrText>
      </w:r>
      <w:r>
        <w:fldChar w:fldCharType="separate"/>
      </w:r>
      <w:r>
        <w:t>61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8</w:t>
      </w:r>
      <w:r>
        <w:rPr>
          <w:snapToGrid w:val="0"/>
        </w:rPr>
        <w:t> — </w:t>
      </w:r>
      <w:r>
        <w:t>Miscellaneous requirements</w:t>
      </w:r>
    </w:p>
    <w:p>
      <w:pPr>
        <w:pStyle w:val="TOC8"/>
        <w:rPr>
          <w:rFonts w:asciiTheme="minorHAnsi" w:eastAsiaTheme="minorEastAsia" w:hAnsiTheme="minorHAnsi" w:cstheme="minorBidi"/>
          <w:szCs w:val="22"/>
          <w:lang w:eastAsia="en-AU"/>
        </w:rPr>
      </w:pPr>
      <w:r>
        <w:t>56</w:t>
      </w:r>
      <w:r>
        <w:rPr>
          <w:snapToGrid w:val="0"/>
        </w:rPr>
        <w:t>.</w:t>
      </w:r>
      <w:r>
        <w:rPr>
          <w:snapToGrid w:val="0"/>
        </w:rPr>
        <w:tab/>
        <w:t>Documents to be carried on licensed fishing boat</w:t>
      </w:r>
      <w:r>
        <w:tab/>
      </w:r>
      <w:r>
        <w:fldChar w:fldCharType="begin"/>
      </w:r>
      <w:r>
        <w:instrText xml:space="preserve"> PAGEREF _Toc359316704 \h </w:instrText>
      </w:r>
      <w:r>
        <w:fldChar w:fldCharType="separate"/>
      </w:r>
      <w:r>
        <w:t>62</w:t>
      </w:r>
      <w:r>
        <w:fldChar w:fldCharType="end"/>
      </w:r>
    </w:p>
    <w:p>
      <w:pPr>
        <w:pStyle w:val="TOC8"/>
        <w:rPr>
          <w:rFonts w:asciiTheme="minorHAnsi" w:eastAsiaTheme="minorEastAsia" w:hAnsiTheme="minorHAnsi" w:cstheme="minorBidi"/>
          <w:szCs w:val="22"/>
          <w:lang w:eastAsia="en-AU"/>
        </w:rPr>
      </w:pPr>
      <w:r>
        <w:t>56A.</w:t>
      </w:r>
      <w:r>
        <w:tab/>
        <w:t>Fish hooks attached to rock lobster pots, float lines, moorings etc. not to be used to fish</w:t>
      </w:r>
      <w:r>
        <w:tab/>
      </w:r>
      <w:r>
        <w:fldChar w:fldCharType="begin"/>
      </w:r>
      <w:r>
        <w:instrText xml:space="preserve"> PAGEREF _Toc359316705 \h </w:instrText>
      </w:r>
      <w:r>
        <w:fldChar w:fldCharType="separate"/>
      </w:r>
      <w:r>
        <w:t>62</w:t>
      </w:r>
      <w:r>
        <w:fldChar w:fldCharType="end"/>
      </w:r>
    </w:p>
    <w:p>
      <w:pPr>
        <w:pStyle w:val="TOC8"/>
        <w:rPr>
          <w:rFonts w:asciiTheme="minorHAnsi" w:eastAsiaTheme="minorEastAsia" w:hAnsiTheme="minorHAnsi" w:cstheme="minorBidi"/>
          <w:szCs w:val="22"/>
          <w:lang w:eastAsia="en-AU"/>
        </w:rPr>
      </w:pPr>
      <w:r>
        <w:t>57</w:t>
      </w:r>
      <w:r>
        <w:rPr>
          <w:snapToGrid w:val="0"/>
        </w:rPr>
        <w:t>.</w:t>
      </w:r>
      <w:r>
        <w:rPr>
          <w:snapToGrid w:val="0"/>
        </w:rPr>
        <w:tab/>
        <w:t>Snapper in Shark Bay region, restrictions on fishing for</w:t>
      </w:r>
      <w:r>
        <w:tab/>
      </w:r>
      <w:r>
        <w:fldChar w:fldCharType="begin"/>
      </w:r>
      <w:r>
        <w:instrText xml:space="preserve"> PAGEREF _Toc359316706 \h </w:instrText>
      </w:r>
      <w:r>
        <w:fldChar w:fldCharType="separate"/>
      </w:r>
      <w:r>
        <w:t>63</w:t>
      </w:r>
      <w:r>
        <w:fldChar w:fldCharType="end"/>
      </w:r>
    </w:p>
    <w:p>
      <w:pPr>
        <w:pStyle w:val="TOC8"/>
        <w:rPr>
          <w:rFonts w:asciiTheme="minorHAnsi" w:eastAsiaTheme="minorEastAsia" w:hAnsiTheme="minorHAnsi" w:cstheme="minorBidi"/>
          <w:szCs w:val="22"/>
          <w:lang w:eastAsia="en-AU"/>
        </w:rPr>
      </w:pPr>
      <w:r>
        <w:t>59</w:t>
      </w:r>
      <w:r>
        <w:rPr>
          <w:snapToGrid w:val="0"/>
        </w:rPr>
        <w:t>.</w:t>
      </w:r>
      <w:r>
        <w:rPr>
          <w:snapToGrid w:val="0"/>
        </w:rPr>
        <w:tab/>
        <w:t>Sale of fish by authorised trade names</w:t>
      </w:r>
      <w:r>
        <w:tab/>
      </w:r>
      <w:r>
        <w:fldChar w:fldCharType="begin"/>
      </w:r>
      <w:r>
        <w:instrText xml:space="preserve"> PAGEREF _Toc359316707 \h </w:instrText>
      </w:r>
      <w:r>
        <w:fldChar w:fldCharType="separate"/>
      </w:r>
      <w:r>
        <w:t>63</w:t>
      </w:r>
      <w:r>
        <w:fldChar w:fldCharType="end"/>
      </w:r>
    </w:p>
    <w:p>
      <w:pPr>
        <w:pStyle w:val="TOC8"/>
        <w:rPr>
          <w:rFonts w:asciiTheme="minorHAnsi" w:eastAsiaTheme="minorEastAsia" w:hAnsiTheme="minorHAnsi" w:cstheme="minorBidi"/>
          <w:szCs w:val="22"/>
          <w:lang w:eastAsia="en-AU"/>
        </w:rPr>
      </w:pPr>
      <w:r>
        <w:t>60</w:t>
      </w:r>
      <w:r>
        <w:rPr>
          <w:snapToGrid w:val="0"/>
        </w:rPr>
        <w:t>.</w:t>
      </w:r>
      <w:r>
        <w:rPr>
          <w:snapToGrid w:val="0"/>
        </w:rPr>
        <w:tab/>
        <w:t>Rock lobsters, maximum size of packages etc. of</w:t>
      </w:r>
      <w:r>
        <w:tab/>
      </w:r>
      <w:r>
        <w:fldChar w:fldCharType="begin"/>
      </w:r>
      <w:r>
        <w:instrText xml:space="preserve"> PAGEREF _Toc359316708 \h </w:instrText>
      </w:r>
      <w:r>
        <w:fldChar w:fldCharType="separate"/>
      </w:r>
      <w:r>
        <w:t>64</w:t>
      </w:r>
      <w:r>
        <w:fldChar w:fldCharType="end"/>
      </w:r>
    </w:p>
    <w:p>
      <w:pPr>
        <w:pStyle w:val="TOC8"/>
        <w:rPr>
          <w:rFonts w:asciiTheme="minorHAnsi" w:eastAsiaTheme="minorEastAsia" w:hAnsiTheme="minorHAnsi" w:cstheme="minorBidi"/>
          <w:szCs w:val="22"/>
          <w:lang w:eastAsia="en-AU"/>
        </w:rPr>
      </w:pPr>
      <w:r>
        <w:t>61</w:t>
      </w:r>
      <w:r>
        <w:rPr>
          <w:snapToGrid w:val="0"/>
        </w:rPr>
        <w:t>.</w:t>
      </w:r>
      <w:r>
        <w:rPr>
          <w:snapToGrid w:val="0"/>
        </w:rPr>
        <w:tab/>
        <w:t>Fish for sale etc., labelling requirements for</w:t>
      </w:r>
      <w:r>
        <w:tab/>
      </w:r>
      <w:r>
        <w:fldChar w:fldCharType="begin"/>
      </w:r>
      <w:r>
        <w:instrText xml:space="preserve"> PAGEREF _Toc359316709 \h </w:instrText>
      </w:r>
      <w:r>
        <w:fldChar w:fldCharType="separate"/>
      </w:r>
      <w:r>
        <w:t>64</w:t>
      </w:r>
      <w:r>
        <w:fldChar w:fldCharType="end"/>
      </w:r>
    </w:p>
    <w:p>
      <w:pPr>
        <w:pStyle w:val="TOC8"/>
        <w:rPr>
          <w:rFonts w:asciiTheme="minorHAnsi" w:eastAsiaTheme="minorEastAsia" w:hAnsiTheme="minorHAnsi" w:cstheme="minorBidi"/>
          <w:szCs w:val="22"/>
          <w:lang w:eastAsia="en-AU"/>
        </w:rPr>
      </w:pPr>
      <w:r>
        <w:t>62</w:t>
      </w:r>
      <w:r>
        <w:rPr>
          <w:snapToGrid w:val="0"/>
        </w:rPr>
        <w:t>.</w:t>
      </w:r>
      <w:r>
        <w:rPr>
          <w:snapToGrid w:val="0"/>
        </w:rPr>
        <w:tab/>
        <w:t>Refuse etc. not to be deposited in waters etc. where fish are</w:t>
      </w:r>
      <w:r>
        <w:tab/>
      </w:r>
      <w:r>
        <w:fldChar w:fldCharType="begin"/>
      </w:r>
      <w:r>
        <w:instrText xml:space="preserve"> PAGEREF _Toc359316710 \h </w:instrText>
      </w:r>
      <w:r>
        <w:fldChar w:fldCharType="separate"/>
      </w:r>
      <w:r>
        <w:t>66</w:t>
      </w:r>
      <w:r>
        <w:fldChar w:fldCharType="end"/>
      </w:r>
    </w:p>
    <w:p>
      <w:pPr>
        <w:pStyle w:val="TOC8"/>
        <w:rPr>
          <w:rFonts w:asciiTheme="minorHAnsi" w:eastAsiaTheme="minorEastAsia" w:hAnsiTheme="minorHAnsi" w:cstheme="minorBidi"/>
          <w:szCs w:val="22"/>
          <w:lang w:eastAsia="en-AU"/>
        </w:rPr>
      </w:pPr>
      <w:r>
        <w:t>63A.</w:t>
      </w:r>
      <w:r>
        <w:tab/>
        <w:t>Use of berley containing mammal or bird products</w:t>
      </w:r>
      <w:r>
        <w:tab/>
      </w:r>
      <w:r>
        <w:fldChar w:fldCharType="begin"/>
      </w:r>
      <w:r>
        <w:instrText xml:space="preserve"> PAGEREF _Toc359316711 \h </w:instrText>
      </w:r>
      <w:r>
        <w:fldChar w:fldCharType="separate"/>
      </w:r>
      <w:r>
        <w:t>66</w:t>
      </w:r>
      <w:r>
        <w:fldChar w:fldCharType="end"/>
      </w:r>
    </w:p>
    <w:p>
      <w:pPr>
        <w:pStyle w:val="TOC8"/>
        <w:rPr>
          <w:rFonts w:asciiTheme="minorHAnsi" w:eastAsiaTheme="minorEastAsia" w:hAnsiTheme="minorHAnsi" w:cstheme="minorBidi"/>
          <w:szCs w:val="22"/>
          <w:lang w:eastAsia="en-AU"/>
        </w:rPr>
      </w:pPr>
      <w:r>
        <w:t>63</w:t>
      </w:r>
      <w:r>
        <w:rPr>
          <w:snapToGrid w:val="0"/>
        </w:rPr>
        <w:t>.</w:t>
      </w:r>
      <w:r>
        <w:rPr>
          <w:snapToGrid w:val="0"/>
        </w:rPr>
        <w:tab/>
        <w:t>Fishing gear prohibited from use in waters, possession of</w:t>
      </w:r>
      <w:r>
        <w:tab/>
      </w:r>
      <w:r>
        <w:fldChar w:fldCharType="begin"/>
      </w:r>
      <w:r>
        <w:instrText xml:space="preserve"> PAGEREF _Toc359316712 \h </w:instrText>
      </w:r>
      <w:r>
        <w:fldChar w:fldCharType="separate"/>
      </w:r>
      <w:r>
        <w:t>66</w:t>
      </w:r>
      <w:r>
        <w:fldChar w:fldCharType="end"/>
      </w:r>
    </w:p>
    <w:p>
      <w:pPr>
        <w:pStyle w:val="TOC8"/>
        <w:rPr>
          <w:rFonts w:asciiTheme="minorHAnsi" w:eastAsiaTheme="minorEastAsia" w:hAnsiTheme="minorHAnsi" w:cstheme="minorBidi"/>
          <w:szCs w:val="22"/>
          <w:lang w:eastAsia="en-AU"/>
        </w:rPr>
      </w:pPr>
      <w:r>
        <w:t>64</w:t>
      </w:r>
      <w:r>
        <w:rPr>
          <w:snapToGrid w:val="0"/>
        </w:rPr>
        <w:t>.</w:t>
      </w:r>
      <w:r>
        <w:rPr>
          <w:snapToGrid w:val="0"/>
        </w:rPr>
        <w:tab/>
        <w:t>Commercial fishers etc., duties of as to records and returns</w:t>
      </w:r>
      <w:r>
        <w:tab/>
      </w:r>
      <w:r>
        <w:fldChar w:fldCharType="begin"/>
      </w:r>
      <w:r>
        <w:instrText xml:space="preserve"> PAGEREF _Toc359316713 \h </w:instrText>
      </w:r>
      <w:r>
        <w:fldChar w:fldCharType="separate"/>
      </w:r>
      <w:r>
        <w:t>68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4A</w:t>
      </w:r>
      <w:r>
        <w:rPr>
          <w:b w:val="0"/>
        </w:rPr>
        <w:t> </w:t>
      </w:r>
      <w:r>
        <w:t>—</w:t>
      </w:r>
      <w:r>
        <w:rPr>
          <w:b w:val="0"/>
        </w:rPr>
        <w:t> </w:t>
      </w:r>
      <w:r>
        <w:t>Requirements regarding fishing gear</w:t>
      </w:r>
    </w:p>
    <w:p>
      <w:pPr>
        <w:pStyle w:val="TOC4"/>
        <w:tabs>
          <w:tab w:val="right" w:leader="dot" w:pos="7086"/>
        </w:tabs>
        <w:rPr>
          <w:rFonts w:asciiTheme="minorHAnsi" w:eastAsiaTheme="minorEastAsia" w:hAnsiTheme="minorHAnsi" w:cstheme="minorBidi"/>
          <w:b w:val="0"/>
          <w:szCs w:val="22"/>
          <w:lang w:eastAsia="en-AU"/>
        </w:rPr>
      </w:pPr>
      <w:r>
        <w:t>Division 1 — Preliminary</w:t>
      </w:r>
    </w:p>
    <w:p>
      <w:pPr>
        <w:pStyle w:val="TOC8"/>
        <w:rPr>
          <w:rFonts w:asciiTheme="minorHAnsi" w:eastAsiaTheme="minorEastAsia" w:hAnsiTheme="minorHAnsi" w:cstheme="minorBidi"/>
          <w:szCs w:val="22"/>
          <w:lang w:eastAsia="en-AU"/>
        </w:rPr>
      </w:pPr>
      <w:r>
        <w:t>64A.</w:t>
      </w:r>
      <w:r>
        <w:tab/>
        <w:t>Order of precedence of Div. 2, 3 and 4</w:t>
      </w:r>
      <w:r>
        <w:tab/>
      </w:r>
      <w:r>
        <w:fldChar w:fldCharType="begin"/>
      </w:r>
      <w:r>
        <w:instrText xml:space="preserve"> PAGEREF _Toc359316716 \h </w:instrText>
      </w:r>
      <w:r>
        <w:fldChar w:fldCharType="separate"/>
      </w:r>
      <w:r>
        <w:t>71</w:t>
      </w:r>
      <w:r>
        <w:fldChar w:fldCharType="end"/>
      </w:r>
    </w:p>
    <w:p>
      <w:pPr>
        <w:pStyle w:val="TOC8"/>
        <w:rPr>
          <w:rFonts w:asciiTheme="minorHAnsi" w:eastAsiaTheme="minorEastAsia" w:hAnsiTheme="minorHAnsi" w:cstheme="minorBidi"/>
          <w:szCs w:val="22"/>
          <w:lang w:eastAsia="en-AU"/>
        </w:rPr>
      </w:pPr>
      <w:r>
        <w:t>64B.</w:t>
      </w:r>
      <w:r>
        <w:tab/>
        <w:t>Term used: attend</w:t>
      </w:r>
      <w:r>
        <w:tab/>
      </w:r>
      <w:r>
        <w:fldChar w:fldCharType="begin"/>
      </w:r>
      <w:r>
        <w:instrText xml:space="preserve"> PAGEREF _Toc359316717 \h </w:instrText>
      </w:r>
      <w:r>
        <w:fldChar w:fldCharType="separate"/>
      </w:r>
      <w:r>
        <w:t>71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Statewide requirements regarding fishing gear</w:t>
      </w:r>
    </w:p>
    <w:p>
      <w:pPr>
        <w:pStyle w:val="TOC8"/>
        <w:rPr>
          <w:rFonts w:asciiTheme="minorHAnsi" w:eastAsiaTheme="minorEastAsia" w:hAnsiTheme="minorHAnsi" w:cstheme="minorBidi"/>
          <w:szCs w:val="22"/>
          <w:lang w:eastAsia="en-AU"/>
        </w:rPr>
      </w:pPr>
      <w:r>
        <w:t>64C.</w:t>
      </w:r>
      <w:r>
        <w:tab/>
        <w:t>Fishing lines in use for recreational fishing must be attended</w:t>
      </w:r>
      <w:r>
        <w:tab/>
      </w:r>
      <w:r>
        <w:fldChar w:fldCharType="begin"/>
      </w:r>
      <w:r>
        <w:instrText xml:space="preserve"> PAGEREF _Toc359316719 \h </w:instrText>
      </w:r>
      <w:r>
        <w:fldChar w:fldCharType="separate"/>
      </w:r>
      <w:r>
        <w:t>71</w:t>
      </w:r>
      <w:r>
        <w:fldChar w:fldCharType="end"/>
      </w:r>
    </w:p>
    <w:p>
      <w:pPr>
        <w:pStyle w:val="TOC8"/>
        <w:rPr>
          <w:rFonts w:asciiTheme="minorHAnsi" w:eastAsiaTheme="minorEastAsia" w:hAnsiTheme="minorHAnsi" w:cstheme="minorBidi"/>
          <w:szCs w:val="22"/>
          <w:lang w:eastAsia="en-AU"/>
        </w:rPr>
      </w:pPr>
      <w:r>
        <w:t>64D.</w:t>
      </w:r>
      <w:r>
        <w:tab/>
        <w:t>Nets, determining length, depth and mesh of</w:t>
      </w:r>
      <w:r>
        <w:tab/>
      </w:r>
      <w:r>
        <w:fldChar w:fldCharType="begin"/>
      </w:r>
      <w:r>
        <w:instrText xml:space="preserve"> PAGEREF _Toc359316720 \h </w:instrText>
      </w:r>
      <w:r>
        <w:fldChar w:fldCharType="separate"/>
      </w:r>
      <w:r>
        <w:t>72</w:t>
      </w:r>
      <w:r>
        <w:fldChar w:fldCharType="end"/>
      </w:r>
    </w:p>
    <w:p>
      <w:pPr>
        <w:pStyle w:val="TOC8"/>
        <w:rPr>
          <w:rFonts w:asciiTheme="minorHAnsi" w:eastAsiaTheme="minorEastAsia" w:hAnsiTheme="minorHAnsi" w:cstheme="minorBidi"/>
          <w:szCs w:val="22"/>
          <w:lang w:eastAsia="en-AU"/>
        </w:rPr>
      </w:pPr>
      <w:r>
        <w:t>64DA.</w:t>
      </w:r>
      <w:r>
        <w:tab/>
        <w:t>Hauling nets for recreational fishing, use of</w:t>
      </w:r>
      <w:r>
        <w:tab/>
      </w:r>
      <w:r>
        <w:fldChar w:fldCharType="begin"/>
      </w:r>
      <w:r>
        <w:instrText xml:space="preserve"> PAGEREF _Toc359316721 \h </w:instrText>
      </w:r>
      <w:r>
        <w:fldChar w:fldCharType="separate"/>
      </w:r>
      <w:r>
        <w:t>72</w:t>
      </w:r>
      <w:r>
        <w:fldChar w:fldCharType="end"/>
      </w:r>
    </w:p>
    <w:p>
      <w:pPr>
        <w:pStyle w:val="TOC8"/>
        <w:rPr>
          <w:rFonts w:asciiTheme="minorHAnsi" w:eastAsiaTheme="minorEastAsia" w:hAnsiTheme="minorHAnsi" w:cstheme="minorBidi"/>
          <w:szCs w:val="22"/>
          <w:lang w:eastAsia="en-AU"/>
        </w:rPr>
      </w:pPr>
      <w:r>
        <w:t>64E.</w:t>
      </w:r>
      <w:r>
        <w:tab/>
        <w:t>Lines etc. used for recreational fishing, limit on number of</w:t>
      </w:r>
      <w:r>
        <w:tab/>
      </w:r>
      <w:r>
        <w:fldChar w:fldCharType="begin"/>
      </w:r>
      <w:r>
        <w:instrText xml:space="preserve"> PAGEREF _Toc359316722 \h </w:instrText>
      </w:r>
      <w:r>
        <w:fldChar w:fldCharType="separate"/>
      </w:r>
      <w:r>
        <w:t>73</w:t>
      </w:r>
      <w:r>
        <w:fldChar w:fldCharType="end"/>
      </w:r>
    </w:p>
    <w:p>
      <w:pPr>
        <w:pStyle w:val="TOC8"/>
        <w:rPr>
          <w:rFonts w:asciiTheme="minorHAnsi" w:eastAsiaTheme="minorEastAsia" w:hAnsiTheme="minorHAnsi" w:cstheme="minorBidi"/>
          <w:szCs w:val="22"/>
          <w:lang w:eastAsia="en-AU"/>
        </w:rPr>
      </w:pPr>
      <w:r>
        <w:t>64F.</w:t>
      </w:r>
      <w:r>
        <w:tab/>
        <w:t>Fishing nets, general requirements for</w:t>
      </w:r>
      <w:r>
        <w:tab/>
      </w:r>
      <w:r>
        <w:fldChar w:fldCharType="begin"/>
      </w:r>
      <w:r>
        <w:instrText xml:space="preserve"> PAGEREF _Toc359316723 \h </w:instrText>
      </w:r>
      <w:r>
        <w:fldChar w:fldCharType="separate"/>
      </w:r>
      <w:r>
        <w:t>73</w:t>
      </w:r>
      <w:r>
        <w:fldChar w:fldCharType="end"/>
      </w:r>
    </w:p>
    <w:p>
      <w:pPr>
        <w:pStyle w:val="TOC8"/>
        <w:rPr>
          <w:rFonts w:asciiTheme="minorHAnsi" w:eastAsiaTheme="minorEastAsia" w:hAnsiTheme="minorHAnsi" w:cstheme="minorBidi"/>
          <w:szCs w:val="22"/>
          <w:lang w:eastAsia="en-AU"/>
        </w:rPr>
      </w:pPr>
      <w:r>
        <w:t>64G.</w:t>
      </w:r>
      <w:r>
        <w:tab/>
        <w:t>Fishing nets, minimum distance between when set</w:t>
      </w:r>
      <w:r>
        <w:tab/>
      </w:r>
      <w:r>
        <w:fldChar w:fldCharType="begin"/>
      </w:r>
      <w:r>
        <w:instrText xml:space="preserve"> PAGEREF _Toc359316724 \h </w:instrText>
      </w:r>
      <w:r>
        <w:fldChar w:fldCharType="separate"/>
      </w:r>
      <w:r>
        <w:t>75</w:t>
      </w:r>
      <w:r>
        <w:fldChar w:fldCharType="end"/>
      </w:r>
    </w:p>
    <w:p>
      <w:pPr>
        <w:pStyle w:val="TOC8"/>
        <w:rPr>
          <w:rFonts w:asciiTheme="minorHAnsi" w:eastAsiaTheme="minorEastAsia" w:hAnsiTheme="minorHAnsi" w:cstheme="minorBidi"/>
          <w:szCs w:val="22"/>
          <w:lang w:eastAsia="en-AU"/>
        </w:rPr>
      </w:pPr>
      <w:r>
        <w:t>64H.</w:t>
      </w:r>
      <w:r>
        <w:tab/>
        <w:t>Fishing nets to be drawn so as to protect protected fish</w:t>
      </w:r>
      <w:r>
        <w:tab/>
      </w:r>
      <w:r>
        <w:fldChar w:fldCharType="begin"/>
      </w:r>
      <w:r>
        <w:instrText xml:space="preserve"> PAGEREF _Toc359316725 \h </w:instrText>
      </w:r>
      <w:r>
        <w:fldChar w:fldCharType="separate"/>
      </w:r>
      <w:r>
        <w:t>75</w:t>
      </w:r>
      <w:r>
        <w:fldChar w:fldCharType="end"/>
      </w:r>
    </w:p>
    <w:p>
      <w:pPr>
        <w:pStyle w:val="TOC8"/>
        <w:rPr>
          <w:rFonts w:asciiTheme="minorHAnsi" w:eastAsiaTheme="minorEastAsia" w:hAnsiTheme="minorHAnsi" w:cstheme="minorBidi"/>
          <w:szCs w:val="22"/>
          <w:lang w:eastAsia="en-AU"/>
        </w:rPr>
      </w:pPr>
      <w:r>
        <w:t>64I.</w:t>
      </w:r>
      <w:r>
        <w:tab/>
        <w:t>Net fishing by commercial fishers in same area, priority rights between</w:t>
      </w:r>
      <w:r>
        <w:tab/>
      </w:r>
      <w:r>
        <w:fldChar w:fldCharType="begin"/>
      </w:r>
      <w:r>
        <w:instrText xml:space="preserve"> PAGEREF _Toc359316726 \h </w:instrText>
      </w:r>
      <w:r>
        <w:fldChar w:fldCharType="separate"/>
      </w:r>
      <w:r>
        <w:t>75</w:t>
      </w:r>
      <w:r>
        <w:fldChar w:fldCharType="end"/>
      </w:r>
    </w:p>
    <w:p>
      <w:pPr>
        <w:pStyle w:val="TOC8"/>
        <w:rPr>
          <w:rFonts w:asciiTheme="minorHAnsi" w:eastAsiaTheme="minorEastAsia" w:hAnsiTheme="minorHAnsi" w:cstheme="minorBidi"/>
          <w:szCs w:val="22"/>
          <w:lang w:eastAsia="en-AU"/>
        </w:rPr>
      </w:pPr>
      <w:r>
        <w:t>64J.</w:t>
      </w:r>
      <w:r>
        <w:tab/>
        <w:t>Fishing nets for recreational fishing, use of</w:t>
      </w:r>
      <w:r>
        <w:tab/>
      </w:r>
      <w:r>
        <w:fldChar w:fldCharType="begin"/>
      </w:r>
      <w:r>
        <w:instrText xml:space="preserve"> PAGEREF _Toc359316727 \h </w:instrText>
      </w:r>
      <w:r>
        <w:fldChar w:fldCharType="separate"/>
      </w:r>
      <w:r>
        <w:t>78</w:t>
      </w:r>
      <w:r>
        <w:fldChar w:fldCharType="end"/>
      </w:r>
    </w:p>
    <w:p>
      <w:pPr>
        <w:pStyle w:val="TOC8"/>
        <w:rPr>
          <w:rFonts w:asciiTheme="minorHAnsi" w:eastAsiaTheme="minorEastAsia" w:hAnsiTheme="minorHAnsi" w:cstheme="minorBidi"/>
          <w:szCs w:val="22"/>
          <w:lang w:eastAsia="en-AU"/>
        </w:rPr>
      </w:pPr>
      <w:r>
        <w:t>64K.</w:t>
      </w:r>
      <w:r>
        <w:tab/>
        <w:t>Hauling nets not to be used for recreational fishing in estuaries etc.</w:t>
      </w:r>
      <w:r>
        <w:tab/>
      </w:r>
      <w:r>
        <w:fldChar w:fldCharType="begin"/>
      </w:r>
      <w:r>
        <w:instrText xml:space="preserve"> PAGEREF _Toc359316728 \h </w:instrText>
      </w:r>
      <w:r>
        <w:fldChar w:fldCharType="separate"/>
      </w:r>
      <w:r>
        <w:t>78</w:t>
      </w:r>
      <w:r>
        <w:fldChar w:fldCharType="end"/>
      </w:r>
    </w:p>
    <w:p>
      <w:pPr>
        <w:pStyle w:val="TOC8"/>
        <w:rPr>
          <w:rFonts w:asciiTheme="minorHAnsi" w:eastAsiaTheme="minorEastAsia" w:hAnsiTheme="minorHAnsi" w:cstheme="minorBidi"/>
          <w:szCs w:val="22"/>
          <w:lang w:eastAsia="en-AU"/>
        </w:rPr>
      </w:pPr>
      <w:r>
        <w:t>64L.</w:t>
      </w:r>
      <w:r>
        <w:tab/>
        <w:t>Crabs, permitted ways to fish for by recreational fishers</w:t>
      </w:r>
      <w:r>
        <w:tab/>
      </w:r>
      <w:r>
        <w:fldChar w:fldCharType="begin"/>
      </w:r>
      <w:r>
        <w:instrText xml:space="preserve"> PAGEREF _Toc359316729 \h </w:instrText>
      </w:r>
      <w:r>
        <w:fldChar w:fldCharType="separate"/>
      </w:r>
      <w:r>
        <w:t>79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Requirements regarding fishing gear in the West Coast Region</w:t>
      </w:r>
    </w:p>
    <w:p>
      <w:pPr>
        <w:pStyle w:val="TOC8"/>
        <w:rPr>
          <w:rFonts w:asciiTheme="minorHAnsi" w:eastAsiaTheme="minorEastAsia" w:hAnsiTheme="minorHAnsi" w:cstheme="minorBidi"/>
          <w:szCs w:val="22"/>
          <w:lang w:eastAsia="en-AU"/>
        </w:rPr>
      </w:pPr>
      <w:r>
        <w:t>64M.</w:t>
      </w:r>
      <w:r>
        <w:tab/>
        <w:t>Term used: attend</w:t>
      </w:r>
      <w:r>
        <w:tab/>
      </w:r>
      <w:r>
        <w:fldChar w:fldCharType="begin"/>
      </w:r>
      <w:r>
        <w:instrText xml:space="preserve"> PAGEREF _Toc359316731 \h </w:instrText>
      </w:r>
      <w:r>
        <w:fldChar w:fldCharType="separate"/>
      </w:r>
      <w:r>
        <w:t>80</w:t>
      </w:r>
      <w:r>
        <w:fldChar w:fldCharType="end"/>
      </w:r>
    </w:p>
    <w:p>
      <w:pPr>
        <w:pStyle w:val="TOC8"/>
        <w:rPr>
          <w:rFonts w:asciiTheme="minorHAnsi" w:eastAsiaTheme="minorEastAsia" w:hAnsiTheme="minorHAnsi" w:cstheme="minorBidi"/>
          <w:szCs w:val="22"/>
          <w:lang w:eastAsia="en-AU"/>
        </w:rPr>
      </w:pPr>
      <w:r>
        <w:t>64N.</w:t>
      </w:r>
      <w:r>
        <w:tab/>
        <w:t>Application of this Division</w:t>
      </w:r>
      <w:r>
        <w:tab/>
      </w:r>
      <w:r>
        <w:fldChar w:fldCharType="begin"/>
      </w:r>
      <w:r>
        <w:instrText xml:space="preserve"> PAGEREF _Toc359316732 \h </w:instrText>
      </w:r>
      <w:r>
        <w:fldChar w:fldCharType="separate"/>
      </w:r>
      <w:r>
        <w:t>80</w:t>
      </w:r>
      <w:r>
        <w:fldChar w:fldCharType="end"/>
      </w:r>
    </w:p>
    <w:p>
      <w:pPr>
        <w:pStyle w:val="TOC8"/>
        <w:rPr>
          <w:rFonts w:asciiTheme="minorHAnsi" w:eastAsiaTheme="minorEastAsia" w:hAnsiTheme="minorHAnsi" w:cstheme="minorBidi"/>
          <w:szCs w:val="22"/>
          <w:lang w:eastAsia="en-AU"/>
        </w:rPr>
      </w:pPr>
      <w:r>
        <w:t>64NA.</w:t>
      </w:r>
      <w:r>
        <w:tab/>
        <w:t>Prawn hand trawl nets not to be used in certain places</w:t>
      </w:r>
      <w:r>
        <w:tab/>
      </w:r>
      <w:r>
        <w:fldChar w:fldCharType="begin"/>
      </w:r>
      <w:r>
        <w:instrText xml:space="preserve"> PAGEREF _Toc359316733 \h </w:instrText>
      </w:r>
      <w:r>
        <w:fldChar w:fldCharType="separate"/>
      </w:r>
      <w:r>
        <w:t>80</w:t>
      </w:r>
      <w:r>
        <w:fldChar w:fldCharType="end"/>
      </w:r>
    </w:p>
    <w:p>
      <w:pPr>
        <w:pStyle w:val="TOC8"/>
        <w:rPr>
          <w:rFonts w:asciiTheme="minorHAnsi" w:eastAsiaTheme="minorEastAsia" w:hAnsiTheme="minorHAnsi" w:cstheme="minorBidi"/>
          <w:szCs w:val="22"/>
          <w:lang w:eastAsia="en-AU"/>
        </w:rPr>
      </w:pPr>
      <w:r>
        <w:t>64O.</w:t>
      </w:r>
      <w:r>
        <w:tab/>
        <w:t>Set fishing nets, use of</w:t>
      </w:r>
      <w:r>
        <w:tab/>
      </w:r>
      <w:r>
        <w:fldChar w:fldCharType="begin"/>
      </w:r>
      <w:r>
        <w:instrText xml:space="preserve"> PAGEREF _Toc359316734 \h </w:instrText>
      </w:r>
      <w:r>
        <w:fldChar w:fldCharType="separate"/>
      </w:r>
      <w:r>
        <w:t>80</w:t>
      </w:r>
      <w:r>
        <w:fldChar w:fldCharType="end"/>
      </w:r>
    </w:p>
    <w:p>
      <w:pPr>
        <w:pStyle w:val="TOC8"/>
        <w:rPr>
          <w:rFonts w:asciiTheme="minorHAnsi" w:eastAsiaTheme="minorEastAsia" w:hAnsiTheme="minorHAnsi" w:cstheme="minorBidi"/>
          <w:szCs w:val="22"/>
          <w:lang w:eastAsia="en-AU"/>
        </w:rPr>
      </w:pPr>
      <w:r>
        <w:t>64OAA.</w:t>
      </w:r>
      <w:r>
        <w:tab/>
        <w:t>Release weight to be on boat used to fish for demersal scalefish</w:t>
      </w:r>
      <w:r>
        <w:tab/>
      </w:r>
      <w:r>
        <w:fldChar w:fldCharType="begin"/>
      </w:r>
      <w:r>
        <w:instrText xml:space="preserve"> PAGEREF _Toc359316735 \h </w:instrText>
      </w:r>
      <w:r>
        <w:fldChar w:fldCharType="separate"/>
      </w:r>
      <w:r>
        <w:t>81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3A — Requirements regarding fishing gear in the Pilbara and Kimberley Region</w:t>
      </w:r>
    </w:p>
    <w:p>
      <w:pPr>
        <w:pStyle w:val="TOC8"/>
        <w:rPr>
          <w:rFonts w:asciiTheme="minorHAnsi" w:eastAsiaTheme="minorEastAsia" w:hAnsiTheme="minorHAnsi" w:cstheme="minorBidi"/>
          <w:szCs w:val="22"/>
          <w:lang w:eastAsia="en-AU"/>
        </w:rPr>
      </w:pPr>
      <w:r>
        <w:t>64OA.</w:t>
      </w:r>
      <w:r>
        <w:tab/>
        <w:t>Application of this Division</w:t>
      </w:r>
      <w:r>
        <w:tab/>
      </w:r>
      <w:r>
        <w:fldChar w:fldCharType="begin"/>
      </w:r>
      <w:r>
        <w:instrText xml:space="preserve"> PAGEREF _Toc359316737 \h </w:instrText>
      </w:r>
      <w:r>
        <w:fldChar w:fldCharType="separate"/>
      </w:r>
      <w:r>
        <w:t>82</w:t>
      </w:r>
      <w:r>
        <w:fldChar w:fldCharType="end"/>
      </w:r>
    </w:p>
    <w:p>
      <w:pPr>
        <w:pStyle w:val="TOC8"/>
        <w:rPr>
          <w:rFonts w:asciiTheme="minorHAnsi" w:eastAsiaTheme="minorEastAsia" w:hAnsiTheme="minorHAnsi" w:cstheme="minorBidi"/>
          <w:szCs w:val="22"/>
          <w:lang w:eastAsia="en-AU"/>
        </w:rPr>
      </w:pPr>
      <w:r>
        <w:t>64OB.</w:t>
      </w:r>
      <w:r>
        <w:tab/>
        <w:t>Haul and set nets, restrictions on use of</w:t>
      </w:r>
      <w:r>
        <w:tab/>
      </w:r>
      <w:r>
        <w:fldChar w:fldCharType="begin"/>
      </w:r>
      <w:r>
        <w:instrText xml:space="preserve"> PAGEREF _Toc359316738 \h </w:instrText>
      </w:r>
      <w:r>
        <w:fldChar w:fldCharType="separate"/>
      </w:r>
      <w:r>
        <w:t>82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3B — Requirements regarding fishing gear in the South Coast Region</w:t>
      </w:r>
    </w:p>
    <w:p>
      <w:pPr>
        <w:pStyle w:val="TOC8"/>
        <w:rPr>
          <w:rFonts w:asciiTheme="minorHAnsi" w:eastAsiaTheme="minorEastAsia" w:hAnsiTheme="minorHAnsi" w:cstheme="minorBidi"/>
          <w:szCs w:val="22"/>
          <w:lang w:eastAsia="en-AU"/>
        </w:rPr>
      </w:pPr>
      <w:r>
        <w:t>64OC.</w:t>
      </w:r>
      <w:r>
        <w:tab/>
        <w:t>Application of this Division</w:t>
      </w:r>
      <w:r>
        <w:tab/>
      </w:r>
      <w:r>
        <w:fldChar w:fldCharType="begin"/>
      </w:r>
      <w:r>
        <w:instrText xml:space="preserve"> PAGEREF _Toc359316740 \h </w:instrText>
      </w:r>
      <w:r>
        <w:fldChar w:fldCharType="separate"/>
      </w:r>
      <w:r>
        <w:t>83</w:t>
      </w:r>
      <w:r>
        <w:fldChar w:fldCharType="end"/>
      </w:r>
    </w:p>
    <w:p>
      <w:pPr>
        <w:pStyle w:val="TOC8"/>
        <w:rPr>
          <w:rFonts w:asciiTheme="minorHAnsi" w:eastAsiaTheme="minorEastAsia" w:hAnsiTheme="minorHAnsi" w:cstheme="minorBidi"/>
          <w:szCs w:val="22"/>
          <w:lang w:eastAsia="en-AU"/>
        </w:rPr>
      </w:pPr>
      <w:r>
        <w:t>64OD.</w:t>
      </w:r>
      <w:r>
        <w:tab/>
        <w:t>Set fishing nets, use of</w:t>
      </w:r>
      <w:r>
        <w:tab/>
      </w:r>
      <w:r>
        <w:fldChar w:fldCharType="begin"/>
      </w:r>
      <w:r>
        <w:instrText xml:space="preserve"> PAGEREF _Toc359316741 \h </w:instrText>
      </w:r>
      <w:r>
        <w:fldChar w:fldCharType="separate"/>
      </w:r>
      <w:r>
        <w:t>83</w:t>
      </w:r>
      <w:r>
        <w:fldChar w:fldCharType="end"/>
      </w:r>
    </w:p>
    <w:p>
      <w:pPr>
        <w:pStyle w:val="TOC8"/>
        <w:rPr>
          <w:rFonts w:asciiTheme="minorHAnsi" w:eastAsiaTheme="minorEastAsia" w:hAnsiTheme="minorHAnsi" w:cstheme="minorBidi"/>
          <w:szCs w:val="22"/>
          <w:lang w:eastAsia="en-AU"/>
        </w:rPr>
      </w:pPr>
      <w:r>
        <w:t>64OE.</w:t>
      </w:r>
      <w:r>
        <w:tab/>
        <w:t>Throw nets, use of</w:t>
      </w:r>
      <w:r>
        <w:tab/>
      </w:r>
      <w:r>
        <w:fldChar w:fldCharType="begin"/>
      </w:r>
      <w:r>
        <w:instrText xml:space="preserve"> PAGEREF _Toc359316742 \h </w:instrText>
      </w:r>
      <w:r>
        <w:fldChar w:fldCharType="separate"/>
      </w:r>
      <w:r>
        <w:t>84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Requirements regarding fishing gear in certain other areas</w:t>
      </w:r>
    </w:p>
    <w:p>
      <w:pPr>
        <w:pStyle w:val="TOC8"/>
        <w:rPr>
          <w:rFonts w:asciiTheme="minorHAnsi" w:eastAsiaTheme="minorEastAsia" w:hAnsiTheme="minorHAnsi" w:cstheme="minorBidi"/>
          <w:szCs w:val="22"/>
          <w:lang w:eastAsia="en-AU"/>
        </w:rPr>
      </w:pPr>
      <w:r>
        <w:t>64P.</w:t>
      </w:r>
      <w:r>
        <w:tab/>
        <w:t>Prawn hand trawl nets, use of in Swan River and Leschenault Estuary</w:t>
      </w:r>
      <w:r>
        <w:tab/>
      </w:r>
      <w:r>
        <w:fldChar w:fldCharType="begin"/>
      </w:r>
      <w:r>
        <w:instrText xml:space="preserve"> PAGEREF _Toc359316744 \h </w:instrText>
      </w:r>
      <w:r>
        <w:fldChar w:fldCharType="separate"/>
      </w:r>
      <w:r>
        <w:t>85</w:t>
      </w:r>
      <w:r>
        <w:fldChar w:fldCharType="end"/>
      </w:r>
    </w:p>
    <w:p>
      <w:pPr>
        <w:pStyle w:val="TOC8"/>
        <w:rPr>
          <w:rFonts w:asciiTheme="minorHAnsi" w:eastAsiaTheme="minorEastAsia" w:hAnsiTheme="minorHAnsi" w:cstheme="minorBidi"/>
          <w:szCs w:val="22"/>
          <w:lang w:eastAsia="en-AU"/>
        </w:rPr>
      </w:pPr>
      <w:r>
        <w:t>64Q.</w:t>
      </w:r>
      <w:r>
        <w:tab/>
        <w:t>Fishing nets, use of etc. by commercial fishers in certain areas</w:t>
      </w:r>
      <w:r>
        <w:tab/>
      </w:r>
      <w:r>
        <w:fldChar w:fldCharType="begin"/>
      </w:r>
      <w:r>
        <w:instrText xml:space="preserve"> PAGEREF _Toc359316745 \h </w:instrText>
      </w:r>
      <w:r>
        <w:fldChar w:fldCharType="separate"/>
      </w:r>
      <w:r>
        <w:t>85</w:t>
      </w:r>
      <w:r>
        <w:fldChar w:fldCharType="end"/>
      </w:r>
    </w:p>
    <w:p>
      <w:pPr>
        <w:pStyle w:val="TOC8"/>
        <w:rPr>
          <w:rFonts w:asciiTheme="minorHAnsi" w:eastAsiaTheme="minorEastAsia" w:hAnsiTheme="minorHAnsi" w:cstheme="minorBidi"/>
          <w:szCs w:val="22"/>
          <w:lang w:eastAsia="en-AU"/>
        </w:rPr>
      </w:pPr>
      <w:r>
        <w:t>64S.</w:t>
      </w:r>
      <w:r>
        <w:tab/>
        <w:t>Certain fishing gear not to be possessed near certain rivers and dams</w:t>
      </w:r>
      <w:r>
        <w:tab/>
      </w:r>
      <w:r>
        <w:fldChar w:fldCharType="begin"/>
      </w:r>
      <w:r>
        <w:instrText xml:space="preserve"> PAGEREF _Toc359316746 \h </w:instrText>
      </w:r>
      <w:r>
        <w:fldChar w:fldCharType="separate"/>
      </w:r>
      <w:r>
        <w:t>86</w:t>
      </w:r>
      <w:r>
        <w:fldChar w:fldCharType="end"/>
      </w:r>
    </w:p>
    <w:p>
      <w:pPr>
        <w:pStyle w:val="TOC8"/>
        <w:rPr>
          <w:rFonts w:asciiTheme="minorHAnsi" w:eastAsiaTheme="minorEastAsia" w:hAnsiTheme="minorHAnsi" w:cstheme="minorBidi"/>
          <w:szCs w:val="22"/>
          <w:lang w:eastAsia="en-AU"/>
        </w:rPr>
      </w:pPr>
      <w:r>
        <w:t>64T.</w:t>
      </w:r>
      <w:r>
        <w:tab/>
        <w:t>Landing nets, use of in certain rivers and dams</w:t>
      </w:r>
      <w:r>
        <w:tab/>
      </w:r>
      <w:r>
        <w:fldChar w:fldCharType="begin"/>
      </w:r>
      <w:r>
        <w:instrText xml:space="preserve"> PAGEREF _Toc359316747 \h </w:instrText>
      </w:r>
      <w:r>
        <w:fldChar w:fldCharType="separate"/>
      </w:r>
      <w:r>
        <w:t>88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4B</w:t>
      </w:r>
      <w:r>
        <w:rPr>
          <w:b w:val="0"/>
        </w:rPr>
        <w:t> </w:t>
      </w:r>
      <w:r>
        <w:t>—</w:t>
      </w:r>
      <w:r>
        <w:rPr>
          <w:b w:val="0"/>
        </w:rPr>
        <w:t> </w:t>
      </w:r>
      <w:r>
        <w:t>Bag limits</w:t>
      </w:r>
    </w:p>
    <w:p>
      <w:pPr>
        <w:pStyle w:val="TOC4"/>
        <w:tabs>
          <w:tab w:val="right" w:leader="dot" w:pos="7086"/>
        </w:tabs>
        <w:rPr>
          <w:rFonts w:asciiTheme="minorHAnsi" w:eastAsiaTheme="minorEastAsia" w:hAnsiTheme="minorHAnsi" w:cstheme="minorBidi"/>
          <w:b w:val="0"/>
          <w:szCs w:val="22"/>
          <w:lang w:eastAsia="en-AU"/>
        </w:rPr>
      </w:pPr>
      <w:r>
        <w:t>Division 1 — Preliminary</w:t>
      </w:r>
    </w:p>
    <w:p>
      <w:pPr>
        <w:pStyle w:val="TOC8"/>
        <w:rPr>
          <w:rFonts w:asciiTheme="minorHAnsi" w:eastAsiaTheme="minorEastAsia" w:hAnsiTheme="minorHAnsi" w:cstheme="minorBidi"/>
          <w:szCs w:val="22"/>
          <w:lang w:eastAsia="en-AU"/>
        </w:rPr>
      </w:pPr>
      <w:r>
        <w:t>64W.</w:t>
      </w:r>
      <w:r>
        <w:tab/>
        <w:t>Defences prescribed (Act s. 50(3))</w:t>
      </w:r>
      <w:r>
        <w:tab/>
      </w:r>
      <w:r>
        <w:fldChar w:fldCharType="begin"/>
      </w:r>
      <w:r>
        <w:instrText xml:space="preserve"> PAGEREF _Toc359316750 \h </w:instrText>
      </w:r>
      <w:r>
        <w:fldChar w:fldCharType="separate"/>
      </w:r>
      <w:r>
        <w:t>90</w:t>
      </w:r>
      <w:r>
        <w:fldChar w:fldCharType="end"/>
      </w:r>
    </w:p>
    <w:p>
      <w:pPr>
        <w:pStyle w:val="TOC8"/>
        <w:rPr>
          <w:rFonts w:asciiTheme="minorHAnsi" w:eastAsiaTheme="minorEastAsia" w:hAnsiTheme="minorHAnsi" w:cstheme="minorBidi"/>
          <w:szCs w:val="22"/>
          <w:lang w:eastAsia="en-AU"/>
        </w:rPr>
      </w:pPr>
      <w:r>
        <w:t>64X.</w:t>
      </w:r>
      <w:r>
        <w:tab/>
        <w:t>Bag limits, application of</w:t>
      </w:r>
      <w:r>
        <w:tab/>
      </w:r>
      <w:r>
        <w:fldChar w:fldCharType="begin"/>
      </w:r>
      <w:r>
        <w:instrText xml:space="preserve"> PAGEREF _Toc359316751 \h </w:instrText>
      </w:r>
      <w:r>
        <w:fldChar w:fldCharType="separate"/>
      </w:r>
      <w:r>
        <w:t>90</w:t>
      </w:r>
      <w:r>
        <w:fldChar w:fldCharType="end"/>
      </w:r>
    </w:p>
    <w:p>
      <w:pPr>
        <w:pStyle w:val="TOC4"/>
        <w:tabs>
          <w:tab w:val="right" w:leader="dot" w:pos="7086"/>
        </w:tabs>
        <w:rPr>
          <w:rFonts w:asciiTheme="minorHAnsi" w:eastAsiaTheme="minorEastAsia" w:hAnsiTheme="minorHAnsi" w:cstheme="minorBidi"/>
          <w:b w:val="0"/>
          <w:szCs w:val="22"/>
          <w:lang w:eastAsia="en-AU"/>
        </w:rPr>
      </w:pPr>
      <w:r>
        <w:rPr>
          <w:lang w:val="fr-FR"/>
        </w:rPr>
        <w:t>Division 2 — Bag limits</w:t>
      </w:r>
    </w:p>
    <w:p>
      <w:pPr>
        <w:pStyle w:val="TOC8"/>
        <w:rPr>
          <w:rFonts w:asciiTheme="minorHAnsi" w:eastAsiaTheme="minorEastAsia" w:hAnsiTheme="minorHAnsi" w:cstheme="minorBidi"/>
          <w:szCs w:val="22"/>
          <w:lang w:eastAsia="en-AU"/>
        </w:rPr>
      </w:pPr>
      <w:r>
        <w:t>65A.</w:t>
      </w:r>
      <w:r>
        <w:tab/>
        <w:t>Bag limits for demersal finfish (regions other than West Coast region)</w:t>
      </w:r>
      <w:r>
        <w:tab/>
      </w:r>
      <w:r>
        <w:fldChar w:fldCharType="begin"/>
      </w:r>
      <w:r>
        <w:instrText xml:space="preserve"> PAGEREF _Toc359316753 \h </w:instrText>
      </w:r>
      <w:r>
        <w:fldChar w:fldCharType="separate"/>
      </w:r>
      <w:r>
        <w:t>91</w:t>
      </w:r>
      <w:r>
        <w:fldChar w:fldCharType="end"/>
      </w:r>
    </w:p>
    <w:p>
      <w:pPr>
        <w:pStyle w:val="TOC8"/>
        <w:rPr>
          <w:rFonts w:asciiTheme="minorHAnsi" w:eastAsiaTheme="minorEastAsia" w:hAnsiTheme="minorHAnsi" w:cstheme="minorBidi"/>
          <w:szCs w:val="22"/>
          <w:lang w:eastAsia="en-AU"/>
        </w:rPr>
      </w:pPr>
      <w:r>
        <w:t>65B.</w:t>
      </w:r>
      <w:r>
        <w:tab/>
        <w:t>Bag limits for demersal finfish (West Coast region)</w:t>
      </w:r>
      <w:r>
        <w:tab/>
      </w:r>
      <w:r>
        <w:fldChar w:fldCharType="begin"/>
      </w:r>
      <w:r>
        <w:instrText xml:space="preserve"> PAGEREF _Toc359316754 \h </w:instrText>
      </w:r>
      <w:r>
        <w:fldChar w:fldCharType="separate"/>
      </w:r>
      <w:r>
        <w:t>91</w:t>
      </w:r>
      <w:r>
        <w:fldChar w:fldCharType="end"/>
      </w:r>
    </w:p>
    <w:p>
      <w:pPr>
        <w:pStyle w:val="TOC8"/>
        <w:rPr>
          <w:rFonts w:asciiTheme="minorHAnsi" w:eastAsiaTheme="minorEastAsia" w:hAnsiTheme="minorHAnsi" w:cstheme="minorBidi"/>
          <w:szCs w:val="22"/>
          <w:lang w:eastAsia="en-AU"/>
        </w:rPr>
      </w:pPr>
      <w:r>
        <w:t>65C.</w:t>
      </w:r>
      <w:r>
        <w:tab/>
        <w:t>Bag limits for large pelagic finfish</w:t>
      </w:r>
      <w:r>
        <w:tab/>
      </w:r>
      <w:r>
        <w:fldChar w:fldCharType="begin"/>
      </w:r>
      <w:r>
        <w:instrText xml:space="preserve"> PAGEREF _Toc359316755 \h </w:instrText>
      </w:r>
      <w:r>
        <w:fldChar w:fldCharType="separate"/>
      </w:r>
      <w:r>
        <w:t>92</w:t>
      </w:r>
      <w:r>
        <w:fldChar w:fldCharType="end"/>
      </w:r>
    </w:p>
    <w:p>
      <w:pPr>
        <w:pStyle w:val="TOC8"/>
        <w:rPr>
          <w:rFonts w:asciiTheme="minorHAnsi" w:eastAsiaTheme="minorEastAsia" w:hAnsiTheme="minorHAnsi" w:cstheme="minorBidi"/>
          <w:szCs w:val="22"/>
          <w:lang w:eastAsia="en-AU"/>
        </w:rPr>
      </w:pPr>
      <w:r>
        <w:t>65D.</w:t>
      </w:r>
      <w:r>
        <w:tab/>
        <w:t>Bag limits for nearshore or estuarine finfish</w:t>
      </w:r>
      <w:r>
        <w:tab/>
      </w:r>
      <w:r>
        <w:fldChar w:fldCharType="begin"/>
      </w:r>
      <w:r>
        <w:instrText xml:space="preserve"> PAGEREF _Toc359316756 \h </w:instrText>
      </w:r>
      <w:r>
        <w:fldChar w:fldCharType="separate"/>
      </w:r>
      <w:r>
        <w:t>92</w:t>
      </w:r>
      <w:r>
        <w:fldChar w:fldCharType="end"/>
      </w:r>
    </w:p>
    <w:p>
      <w:pPr>
        <w:pStyle w:val="TOC8"/>
        <w:rPr>
          <w:rFonts w:asciiTheme="minorHAnsi" w:eastAsiaTheme="minorEastAsia" w:hAnsiTheme="minorHAnsi" w:cstheme="minorBidi"/>
          <w:szCs w:val="22"/>
          <w:lang w:eastAsia="en-AU"/>
        </w:rPr>
      </w:pPr>
      <w:r>
        <w:t>65E.</w:t>
      </w:r>
      <w:r>
        <w:tab/>
        <w:t>Bag limits for freshwater finfish</w:t>
      </w:r>
      <w:r>
        <w:tab/>
      </w:r>
      <w:r>
        <w:fldChar w:fldCharType="begin"/>
      </w:r>
      <w:r>
        <w:instrText xml:space="preserve"> PAGEREF _Toc359316757 \h </w:instrText>
      </w:r>
      <w:r>
        <w:fldChar w:fldCharType="separate"/>
      </w:r>
      <w:r>
        <w:t>92</w:t>
      </w:r>
      <w:r>
        <w:fldChar w:fldCharType="end"/>
      </w:r>
    </w:p>
    <w:p>
      <w:pPr>
        <w:pStyle w:val="TOC8"/>
        <w:rPr>
          <w:rFonts w:asciiTheme="minorHAnsi" w:eastAsiaTheme="minorEastAsia" w:hAnsiTheme="minorHAnsi" w:cstheme="minorBidi"/>
          <w:szCs w:val="22"/>
          <w:lang w:eastAsia="en-AU"/>
        </w:rPr>
      </w:pPr>
      <w:r>
        <w:t>65F.</w:t>
      </w:r>
      <w:r>
        <w:tab/>
        <w:t>Bag limits for other finfish</w:t>
      </w:r>
      <w:r>
        <w:tab/>
      </w:r>
      <w:r>
        <w:fldChar w:fldCharType="begin"/>
      </w:r>
      <w:r>
        <w:instrText xml:space="preserve"> PAGEREF _Toc359316758 \h </w:instrText>
      </w:r>
      <w:r>
        <w:fldChar w:fldCharType="separate"/>
      </w:r>
      <w:r>
        <w:t>93</w:t>
      </w:r>
      <w:r>
        <w:fldChar w:fldCharType="end"/>
      </w:r>
    </w:p>
    <w:p>
      <w:pPr>
        <w:pStyle w:val="TOC8"/>
        <w:rPr>
          <w:rFonts w:asciiTheme="minorHAnsi" w:eastAsiaTheme="minorEastAsia" w:hAnsiTheme="minorHAnsi" w:cstheme="minorBidi"/>
          <w:szCs w:val="22"/>
          <w:lang w:eastAsia="en-AU"/>
        </w:rPr>
      </w:pPr>
      <w:r>
        <w:t>65G.</w:t>
      </w:r>
      <w:r>
        <w:tab/>
        <w:t>Bag limits for crustaceans</w:t>
      </w:r>
      <w:r>
        <w:tab/>
      </w:r>
      <w:r>
        <w:fldChar w:fldCharType="begin"/>
      </w:r>
      <w:r>
        <w:instrText xml:space="preserve"> PAGEREF _Toc359316759 \h </w:instrText>
      </w:r>
      <w:r>
        <w:fldChar w:fldCharType="separate"/>
      </w:r>
      <w:r>
        <w:t>93</w:t>
      </w:r>
      <w:r>
        <w:fldChar w:fldCharType="end"/>
      </w:r>
    </w:p>
    <w:p>
      <w:pPr>
        <w:pStyle w:val="TOC8"/>
        <w:rPr>
          <w:rFonts w:asciiTheme="minorHAnsi" w:eastAsiaTheme="minorEastAsia" w:hAnsiTheme="minorHAnsi" w:cstheme="minorBidi"/>
          <w:szCs w:val="22"/>
          <w:lang w:eastAsia="en-AU"/>
        </w:rPr>
      </w:pPr>
      <w:r>
        <w:t>65H.</w:t>
      </w:r>
      <w:r>
        <w:tab/>
        <w:t>Bag limits for molluscs and other invertebrates</w:t>
      </w:r>
      <w:r>
        <w:tab/>
      </w:r>
      <w:r>
        <w:fldChar w:fldCharType="begin"/>
      </w:r>
      <w:r>
        <w:instrText xml:space="preserve"> PAGEREF _Toc359316760 \h </w:instrText>
      </w:r>
      <w:r>
        <w:fldChar w:fldCharType="separate"/>
      </w:r>
      <w:r>
        <w:t>93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5 — Fish processing</w:t>
      </w:r>
    </w:p>
    <w:p>
      <w:pPr>
        <w:pStyle w:val="TOC8"/>
        <w:rPr>
          <w:rFonts w:asciiTheme="minorHAnsi" w:eastAsiaTheme="minorEastAsia" w:hAnsiTheme="minorHAnsi" w:cstheme="minorBidi"/>
          <w:szCs w:val="22"/>
          <w:lang w:eastAsia="en-AU"/>
        </w:rPr>
      </w:pPr>
      <w:r>
        <w:t>65</w:t>
      </w:r>
      <w:r>
        <w:rPr>
          <w:snapToGrid w:val="0"/>
        </w:rPr>
        <w:t>.</w:t>
      </w:r>
      <w:r>
        <w:rPr>
          <w:snapToGrid w:val="0"/>
        </w:rPr>
        <w:tab/>
        <w:t>Classes of fish prescribed (Act s. 82(2)(a))</w:t>
      </w:r>
      <w:r>
        <w:tab/>
      </w:r>
      <w:r>
        <w:fldChar w:fldCharType="begin"/>
      </w:r>
      <w:r>
        <w:instrText xml:space="preserve"> PAGEREF _Toc359316762 \h </w:instrText>
      </w:r>
      <w:r>
        <w:fldChar w:fldCharType="separate"/>
      </w:r>
      <w:r>
        <w:t>94</w:t>
      </w:r>
      <w:r>
        <w:fldChar w:fldCharType="end"/>
      </w:r>
    </w:p>
    <w:p>
      <w:pPr>
        <w:pStyle w:val="TOC8"/>
        <w:rPr>
          <w:rFonts w:asciiTheme="minorHAnsi" w:eastAsiaTheme="minorEastAsia" w:hAnsiTheme="minorHAnsi" w:cstheme="minorBidi"/>
          <w:szCs w:val="22"/>
          <w:lang w:eastAsia="en-AU"/>
        </w:rPr>
      </w:pPr>
      <w:r>
        <w:t>66.</w:t>
      </w:r>
      <w:r>
        <w:tab/>
        <w:t>Fish processor’s licences, conditions of</w:t>
      </w:r>
      <w:r>
        <w:tab/>
      </w:r>
      <w:r>
        <w:fldChar w:fldCharType="begin"/>
      </w:r>
      <w:r>
        <w:instrText xml:space="preserve"> PAGEREF _Toc359316763 \h </w:instrText>
      </w:r>
      <w:r>
        <w:fldChar w:fldCharType="separate"/>
      </w:r>
      <w:r>
        <w:t>94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6 — Aquaculture</w:t>
      </w:r>
    </w:p>
    <w:p>
      <w:pPr>
        <w:pStyle w:val="TOC8"/>
        <w:rPr>
          <w:rFonts w:asciiTheme="minorHAnsi" w:eastAsiaTheme="minorEastAsia" w:hAnsiTheme="minorHAnsi" w:cstheme="minorBidi"/>
          <w:szCs w:val="22"/>
          <w:lang w:eastAsia="en-AU"/>
        </w:rPr>
      </w:pPr>
      <w:r>
        <w:t>67</w:t>
      </w:r>
      <w:r>
        <w:rPr>
          <w:snapToGrid w:val="0"/>
        </w:rPr>
        <w:t>.</w:t>
      </w:r>
      <w:r>
        <w:rPr>
          <w:snapToGrid w:val="0"/>
        </w:rPr>
        <w:tab/>
        <w:t>Aquaculture leases, application for</w:t>
      </w:r>
      <w:r>
        <w:tab/>
      </w:r>
      <w:r>
        <w:fldChar w:fldCharType="begin"/>
      </w:r>
      <w:r>
        <w:instrText xml:space="preserve"> PAGEREF _Toc359316765 \h </w:instrText>
      </w:r>
      <w:r>
        <w:fldChar w:fldCharType="separate"/>
      </w:r>
      <w:r>
        <w:t>96</w:t>
      </w:r>
      <w:r>
        <w:fldChar w:fldCharType="end"/>
      </w:r>
    </w:p>
    <w:p>
      <w:pPr>
        <w:pStyle w:val="TOC8"/>
        <w:rPr>
          <w:rFonts w:asciiTheme="minorHAnsi" w:eastAsiaTheme="minorEastAsia" w:hAnsiTheme="minorHAnsi" w:cstheme="minorBidi"/>
          <w:szCs w:val="22"/>
          <w:lang w:eastAsia="en-AU"/>
        </w:rPr>
      </w:pPr>
      <w:r>
        <w:t>68</w:t>
      </w:r>
      <w:r>
        <w:rPr>
          <w:snapToGrid w:val="0"/>
        </w:rPr>
        <w:t>.</w:t>
      </w:r>
      <w:r>
        <w:rPr>
          <w:snapToGrid w:val="0"/>
        </w:rPr>
        <w:tab/>
        <w:t>Classes of fish etc. prescribed (Act s. 91(a) and (d))</w:t>
      </w:r>
      <w:r>
        <w:tab/>
      </w:r>
      <w:r>
        <w:fldChar w:fldCharType="begin"/>
      </w:r>
      <w:r>
        <w:instrText xml:space="preserve"> PAGEREF _Toc359316766 \h </w:instrText>
      </w:r>
      <w:r>
        <w:fldChar w:fldCharType="separate"/>
      </w:r>
      <w:r>
        <w:t>96</w:t>
      </w:r>
      <w:r>
        <w:fldChar w:fldCharType="end"/>
      </w:r>
    </w:p>
    <w:p>
      <w:pPr>
        <w:pStyle w:val="TOC8"/>
        <w:rPr>
          <w:rFonts w:asciiTheme="minorHAnsi" w:eastAsiaTheme="minorEastAsia" w:hAnsiTheme="minorHAnsi" w:cstheme="minorBidi"/>
          <w:szCs w:val="22"/>
          <w:lang w:eastAsia="en-AU"/>
        </w:rPr>
      </w:pPr>
      <w:r>
        <w:t>69</w:t>
      </w:r>
      <w:r>
        <w:rPr>
          <w:snapToGrid w:val="0"/>
        </w:rPr>
        <w:t>.</w:t>
      </w:r>
      <w:r>
        <w:rPr>
          <w:snapToGrid w:val="0"/>
        </w:rPr>
        <w:tab/>
        <w:t>Aquaculture licences, conditions of</w:t>
      </w:r>
      <w:r>
        <w:tab/>
      </w:r>
      <w:r>
        <w:fldChar w:fldCharType="begin"/>
      </w:r>
      <w:r>
        <w:instrText xml:space="preserve"> PAGEREF _Toc359316767 \h </w:instrText>
      </w:r>
      <w:r>
        <w:fldChar w:fldCharType="separate"/>
      </w:r>
      <w:r>
        <w:t>97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7 — Noxious fish</w:t>
      </w:r>
    </w:p>
    <w:p>
      <w:pPr>
        <w:pStyle w:val="TOC8"/>
        <w:rPr>
          <w:rFonts w:asciiTheme="minorHAnsi" w:eastAsiaTheme="minorEastAsia" w:hAnsiTheme="minorHAnsi" w:cstheme="minorBidi"/>
          <w:szCs w:val="22"/>
          <w:lang w:eastAsia="en-AU"/>
        </w:rPr>
      </w:pPr>
      <w:r>
        <w:t>70</w:t>
      </w:r>
      <w:r>
        <w:rPr>
          <w:snapToGrid w:val="0"/>
        </w:rPr>
        <w:t>.</w:t>
      </w:r>
      <w:r>
        <w:rPr>
          <w:snapToGrid w:val="0"/>
        </w:rPr>
        <w:tab/>
        <w:t>Species prescribed (Sch. 5 and Act s. 103)</w:t>
      </w:r>
      <w:r>
        <w:tab/>
      </w:r>
      <w:r>
        <w:fldChar w:fldCharType="begin"/>
      </w:r>
      <w:r>
        <w:instrText xml:space="preserve"> PAGEREF _Toc359316769 \h </w:instrText>
      </w:r>
      <w:r>
        <w:fldChar w:fldCharType="separate"/>
      </w:r>
      <w:r>
        <w:t>100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8 — Designated fishing zones</w:t>
      </w:r>
    </w:p>
    <w:p>
      <w:pPr>
        <w:pStyle w:val="TOC8"/>
        <w:rPr>
          <w:rFonts w:asciiTheme="minorHAnsi" w:eastAsiaTheme="minorEastAsia" w:hAnsiTheme="minorHAnsi" w:cstheme="minorBidi"/>
          <w:szCs w:val="22"/>
          <w:lang w:eastAsia="en-AU"/>
        </w:rPr>
      </w:pPr>
      <w:r>
        <w:t>71</w:t>
      </w:r>
      <w:r>
        <w:rPr>
          <w:snapToGrid w:val="0"/>
        </w:rPr>
        <w:t>.</w:t>
      </w:r>
      <w:r>
        <w:rPr>
          <w:snapToGrid w:val="0"/>
        </w:rPr>
        <w:tab/>
        <w:t>Fisheries officer may restrict activities etc. in zones</w:t>
      </w:r>
      <w:r>
        <w:tab/>
      </w:r>
      <w:r>
        <w:fldChar w:fldCharType="begin"/>
      </w:r>
      <w:r>
        <w:instrText xml:space="preserve"> PAGEREF _Toc359316771 \h </w:instrText>
      </w:r>
      <w:r>
        <w:fldChar w:fldCharType="separate"/>
      </w:r>
      <w:r>
        <w:t>101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9 — Abrolhos Islands reserve</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Interpretation and application of Part</w:t>
      </w:r>
    </w:p>
    <w:p>
      <w:pPr>
        <w:pStyle w:val="TOC8"/>
        <w:rPr>
          <w:rFonts w:asciiTheme="minorHAnsi" w:eastAsiaTheme="minorEastAsia" w:hAnsiTheme="minorHAnsi" w:cstheme="minorBidi"/>
          <w:szCs w:val="22"/>
          <w:lang w:eastAsia="en-AU"/>
        </w:rPr>
      </w:pPr>
      <w:r>
        <w:t>72</w:t>
      </w:r>
      <w:r>
        <w:rPr>
          <w:snapToGrid w:val="0"/>
        </w:rPr>
        <w:t>.</w:t>
      </w:r>
      <w:r>
        <w:rPr>
          <w:snapToGrid w:val="0"/>
        </w:rPr>
        <w:tab/>
        <w:t>Terms used</w:t>
      </w:r>
      <w:r>
        <w:tab/>
      </w:r>
      <w:r>
        <w:fldChar w:fldCharType="begin"/>
      </w:r>
      <w:r>
        <w:instrText xml:space="preserve"> PAGEREF _Toc359316774 \h </w:instrText>
      </w:r>
      <w:r>
        <w:fldChar w:fldCharType="separate"/>
      </w:r>
      <w:r>
        <w:t>102</w:t>
      </w:r>
      <w:r>
        <w:fldChar w:fldCharType="end"/>
      </w:r>
    </w:p>
    <w:p>
      <w:pPr>
        <w:pStyle w:val="TOC8"/>
        <w:rPr>
          <w:rFonts w:asciiTheme="minorHAnsi" w:eastAsiaTheme="minorEastAsia" w:hAnsiTheme="minorHAnsi" w:cstheme="minorBidi"/>
          <w:szCs w:val="22"/>
          <w:lang w:eastAsia="en-AU"/>
        </w:rPr>
      </w:pPr>
      <w:r>
        <w:t>73</w:t>
      </w:r>
      <w:r>
        <w:rPr>
          <w:snapToGrid w:val="0"/>
        </w:rPr>
        <w:t>.</w:t>
      </w:r>
      <w:r>
        <w:rPr>
          <w:snapToGrid w:val="0"/>
        </w:rPr>
        <w:tab/>
        <w:t>Application of this Part</w:t>
      </w:r>
      <w:r>
        <w:tab/>
      </w:r>
      <w:r>
        <w:fldChar w:fldCharType="begin"/>
      </w:r>
      <w:r>
        <w:instrText xml:space="preserve"> PAGEREF _Toc359316775 \h </w:instrText>
      </w:r>
      <w:r>
        <w:fldChar w:fldCharType="separate"/>
      </w:r>
      <w:r>
        <w:t>103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Jetties</w:t>
      </w:r>
    </w:p>
    <w:p>
      <w:pPr>
        <w:pStyle w:val="TOC8"/>
        <w:rPr>
          <w:rFonts w:asciiTheme="minorHAnsi" w:eastAsiaTheme="minorEastAsia" w:hAnsiTheme="minorHAnsi" w:cstheme="minorBidi"/>
          <w:szCs w:val="22"/>
          <w:lang w:eastAsia="en-AU"/>
        </w:rPr>
      </w:pPr>
      <w:r>
        <w:t>74</w:t>
      </w:r>
      <w:r>
        <w:rPr>
          <w:snapToGrid w:val="0"/>
        </w:rPr>
        <w:t>.</w:t>
      </w:r>
      <w:r>
        <w:rPr>
          <w:snapToGrid w:val="0"/>
        </w:rPr>
        <w:tab/>
        <w:t>Construction and modification of jetties and moorings</w:t>
      </w:r>
      <w:r>
        <w:tab/>
      </w:r>
      <w:r>
        <w:fldChar w:fldCharType="begin"/>
      </w:r>
      <w:r>
        <w:instrText xml:space="preserve"> PAGEREF _Toc359316777 \h </w:instrText>
      </w:r>
      <w:r>
        <w:fldChar w:fldCharType="separate"/>
      </w:r>
      <w:r>
        <w:t>103</w:t>
      </w:r>
      <w:r>
        <w:fldChar w:fldCharType="end"/>
      </w:r>
    </w:p>
    <w:p>
      <w:pPr>
        <w:pStyle w:val="TOC8"/>
        <w:rPr>
          <w:rFonts w:asciiTheme="minorHAnsi" w:eastAsiaTheme="minorEastAsia" w:hAnsiTheme="minorHAnsi" w:cstheme="minorBidi"/>
          <w:szCs w:val="22"/>
          <w:lang w:eastAsia="en-AU"/>
        </w:rPr>
      </w:pPr>
      <w:r>
        <w:t>75</w:t>
      </w:r>
      <w:r>
        <w:rPr>
          <w:snapToGrid w:val="0"/>
        </w:rPr>
        <w:t>.</w:t>
      </w:r>
      <w:r>
        <w:rPr>
          <w:snapToGrid w:val="0"/>
        </w:rPr>
        <w:tab/>
        <w:t>Unauthorised use of jetties and moorings</w:t>
      </w:r>
      <w:r>
        <w:tab/>
      </w:r>
      <w:r>
        <w:fldChar w:fldCharType="begin"/>
      </w:r>
      <w:r>
        <w:instrText xml:space="preserve"> PAGEREF _Toc359316778 \h </w:instrText>
      </w:r>
      <w:r>
        <w:fldChar w:fldCharType="separate"/>
      </w:r>
      <w:r>
        <w:t>103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w:t>
      </w:r>
      <w:r>
        <w:rPr>
          <w:snapToGrid w:val="0"/>
        </w:rPr>
        <w:t> — </w:t>
      </w:r>
      <w:r>
        <w:t>Buildings and facilities</w:t>
      </w:r>
    </w:p>
    <w:p>
      <w:pPr>
        <w:pStyle w:val="TOC8"/>
        <w:rPr>
          <w:rFonts w:asciiTheme="minorHAnsi" w:eastAsiaTheme="minorEastAsia" w:hAnsiTheme="minorHAnsi" w:cstheme="minorBidi"/>
          <w:szCs w:val="22"/>
          <w:lang w:eastAsia="en-AU"/>
        </w:rPr>
      </w:pPr>
      <w:r>
        <w:t>76</w:t>
      </w:r>
      <w:r>
        <w:rPr>
          <w:snapToGrid w:val="0"/>
        </w:rPr>
        <w:t>.</w:t>
      </w:r>
      <w:r>
        <w:rPr>
          <w:snapToGrid w:val="0"/>
        </w:rPr>
        <w:tab/>
        <w:t>CEO may waive requirements of this Division</w:t>
      </w:r>
      <w:r>
        <w:tab/>
      </w:r>
      <w:r>
        <w:fldChar w:fldCharType="begin"/>
      </w:r>
      <w:r>
        <w:instrText xml:space="preserve"> PAGEREF _Toc359316780 \h </w:instrText>
      </w:r>
      <w:r>
        <w:fldChar w:fldCharType="separate"/>
      </w:r>
      <w:r>
        <w:t>104</w:t>
      </w:r>
      <w:r>
        <w:fldChar w:fldCharType="end"/>
      </w:r>
    </w:p>
    <w:p>
      <w:pPr>
        <w:pStyle w:val="TOC8"/>
        <w:rPr>
          <w:rFonts w:asciiTheme="minorHAnsi" w:eastAsiaTheme="minorEastAsia" w:hAnsiTheme="minorHAnsi" w:cstheme="minorBidi"/>
          <w:szCs w:val="22"/>
          <w:lang w:eastAsia="en-AU"/>
        </w:rPr>
      </w:pPr>
      <w:r>
        <w:t>77</w:t>
      </w:r>
      <w:r>
        <w:rPr>
          <w:snapToGrid w:val="0"/>
        </w:rPr>
        <w:t>.</w:t>
      </w:r>
      <w:r>
        <w:rPr>
          <w:snapToGrid w:val="0"/>
        </w:rPr>
        <w:tab/>
        <w:t>Camps associated with rock lobster licences, transfer of etc.</w:t>
      </w:r>
      <w:r>
        <w:tab/>
      </w:r>
      <w:r>
        <w:fldChar w:fldCharType="begin"/>
      </w:r>
      <w:r>
        <w:instrText xml:space="preserve"> PAGEREF _Toc359316781 \h </w:instrText>
      </w:r>
      <w:r>
        <w:fldChar w:fldCharType="separate"/>
      </w:r>
      <w:r>
        <w:t>105</w:t>
      </w:r>
      <w:r>
        <w:fldChar w:fldCharType="end"/>
      </w:r>
    </w:p>
    <w:p>
      <w:pPr>
        <w:pStyle w:val="TOC8"/>
        <w:rPr>
          <w:rFonts w:asciiTheme="minorHAnsi" w:eastAsiaTheme="minorEastAsia" w:hAnsiTheme="minorHAnsi" w:cstheme="minorBidi"/>
          <w:szCs w:val="22"/>
          <w:lang w:eastAsia="en-AU"/>
        </w:rPr>
      </w:pPr>
      <w:r>
        <w:t>78</w:t>
      </w:r>
      <w:r>
        <w:rPr>
          <w:snapToGrid w:val="0"/>
        </w:rPr>
        <w:t>.</w:t>
      </w:r>
      <w:r>
        <w:rPr>
          <w:snapToGrid w:val="0"/>
        </w:rPr>
        <w:tab/>
        <w:t>Camp not transferred etc. under r. 77 becomes unauthorised structure</w:t>
      </w:r>
      <w:r>
        <w:tab/>
      </w:r>
      <w:r>
        <w:fldChar w:fldCharType="begin"/>
      </w:r>
      <w:r>
        <w:instrText xml:space="preserve"> PAGEREF _Toc359316782 \h </w:instrText>
      </w:r>
      <w:r>
        <w:fldChar w:fldCharType="separate"/>
      </w:r>
      <w:r>
        <w:t>106</w:t>
      </w:r>
      <w:r>
        <w:fldChar w:fldCharType="end"/>
      </w:r>
    </w:p>
    <w:p>
      <w:pPr>
        <w:pStyle w:val="TOC8"/>
        <w:rPr>
          <w:rFonts w:asciiTheme="minorHAnsi" w:eastAsiaTheme="minorEastAsia" w:hAnsiTheme="minorHAnsi" w:cstheme="minorBidi"/>
          <w:szCs w:val="22"/>
          <w:lang w:eastAsia="en-AU"/>
        </w:rPr>
      </w:pPr>
      <w:r>
        <w:t>79</w:t>
      </w:r>
      <w:r>
        <w:rPr>
          <w:snapToGrid w:val="0"/>
        </w:rPr>
        <w:t>.</w:t>
      </w:r>
      <w:r>
        <w:rPr>
          <w:snapToGrid w:val="0"/>
        </w:rPr>
        <w:tab/>
        <w:t>Building standards, owners’ duties as to</w:t>
      </w:r>
      <w:r>
        <w:tab/>
      </w:r>
      <w:r>
        <w:fldChar w:fldCharType="begin"/>
      </w:r>
      <w:r>
        <w:instrText xml:space="preserve"> PAGEREF _Toc359316783 \h </w:instrText>
      </w:r>
      <w:r>
        <w:fldChar w:fldCharType="separate"/>
      </w:r>
      <w:r>
        <w:t>107</w:t>
      </w:r>
      <w:r>
        <w:fldChar w:fldCharType="end"/>
      </w:r>
    </w:p>
    <w:p>
      <w:pPr>
        <w:pStyle w:val="TOC8"/>
        <w:rPr>
          <w:rFonts w:asciiTheme="minorHAnsi" w:eastAsiaTheme="minorEastAsia" w:hAnsiTheme="minorHAnsi" w:cstheme="minorBidi"/>
          <w:szCs w:val="22"/>
          <w:lang w:eastAsia="en-AU"/>
        </w:rPr>
      </w:pPr>
      <w:r>
        <w:t>80</w:t>
      </w:r>
      <w:r>
        <w:rPr>
          <w:snapToGrid w:val="0"/>
        </w:rPr>
        <w:t>.</w:t>
      </w:r>
      <w:r>
        <w:rPr>
          <w:snapToGrid w:val="0"/>
        </w:rPr>
        <w:tab/>
        <w:t>Minor structural changes to buildings, requirements for</w:t>
      </w:r>
      <w:r>
        <w:tab/>
      </w:r>
      <w:r>
        <w:fldChar w:fldCharType="begin"/>
      </w:r>
      <w:r>
        <w:instrText xml:space="preserve"> PAGEREF _Toc359316784 \h </w:instrText>
      </w:r>
      <w:r>
        <w:fldChar w:fldCharType="separate"/>
      </w:r>
      <w:r>
        <w:t>108</w:t>
      </w:r>
      <w:r>
        <w:fldChar w:fldCharType="end"/>
      </w:r>
    </w:p>
    <w:p>
      <w:pPr>
        <w:pStyle w:val="TOC8"/>
        <w:rPr>
          <w:rFonts w:asciiTheme="minorHAnsi" w:eastAsiaTheme="minorEastAsia" w:hAnsiTheme="minorHAnsi" w:cstheme="minorBidi"/>
          <w:szCs w:val="22"/>
          <w:lang w:eastAsia="en-AU"/>
        </w:rPr>
      </w:pPr>
      <w:r>
        <w:t>81</w:t>
      </w:r>
      <w:r>
        <w:rPr>
          <w:snapToGrid w:val="0"/>
        </w:rPr>
        <w:t>.</w:t>
      </w:r>
      <w:r>
        <w:rPr>
          <w:snapToGrid w:val="0"/>
        </w:rPr>
        <w:tab/>
        <w:t>New buildings and major structural changes to buildings, requirements for</w:t>
      </w:r>
      <w:r>
        <w:tab/>
      </w:r>
      <w:r>
        <w:fldChar w:fldCharType="begin"/>
      </w:r>
      <w:r>
        <w:instrText xml:space="preserve"> PAGEREF _Toc359316785 \h </w:instrText>
      </w:r>
      <w:r>
        <w:fldChar w:fldCharType="separate"/>
      </w:r>
      <w:r>
        <w:t>108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w:t>
      </w:r>
      <w:r>
        <w:rPr>
          <w:snapToGrid w:val="0"/>
        </w:rPr>
        <w:t> — </w:t>
      </w:r>
      <w:r>
        <w:t>Power and maintenance</w:t>
      </w:r>
    </w:p>
    <w:p>
      <w:pPr>
        <w:pStyle w:val="TOC8"/>
        <w:rPr>
          <w:rFonts w:asciiTheme="minorHAnsi" w:eastAsiaTheme="minorEastAsia" w:hAnsiTheme="minorHAnsi" w:cstheme="minorBidi"/>
          <w:szCs w:val="22"/>
          <w:lang w:eastAsia="en-AU"/>
        </w:rPr>
      </w:pPr>
      <w:r>
        <w:t>84</w:t>
      </w:r>
      <w:r>
        <w:rPr>
          <w:snapToGrid w:val="0"/>
        </w:rPr>
        <w:t>.</w:t>
      </w:r>
      <w:r>
        <w:rPr>
          <w:snapToGrid w:val="0"/>
        </w:rPr>
        <w:tab/>
        <w:t>Water tanks etc., occupiers’ duties as to</w:t>
      </w:r>
      <w:r>
        <w:tab/>
      </w:r>
      <w:r>
        <w:fldChar w:fldCharType="begin"/>
      </w:r>
      <w:r>
        <w:instrText xml:space="preserve"> PAGEREF _Toc359316787 \h </w:instrText>
      </w:r>
      <w:r>
        <w:fldChar w:fldCharType="separate"/>
      </w:r>
      <w:r>
        <w:t>110</w:t>
      </w:r>
      <w:r>
        <w:fldChar w:fldCharType="end"/>
      </w:r>
    </w:p>
    <w:p>
      <w:pPr>
        <w:pStyle w:val="TOC8"/>
        <w:rPr>
          <w:rFonts w:asciiTheme="minorHAnsi" w:eastAsiaTheme="minorEastAsia" w:hAnsiTheme="minorHAnsi" w:cstheme="minorBidi"/>
          <w:szCs w:val="22"/>
          <w:lang w:eastAsia="en-AU"/>
        </w:rPr>
      </w:pPr>
      <w:r>
        <w:t>85</w:t>
      </w:r>
      <w:r>
        <w:rPr>
          <w:snapToGrid w:val="0"/>
        </w:rPr>
        <w:t>.</w:t>
      </w:r>
      <w:r>
        <w:rPr>
          <w:snapToGrid w:val="0"/>
        </w:rPr>
        <w:tab/>
        <w:t>Generators, installation and use of</w:t>
      </w:r>
      <w:r>
        <w:tab/>
      </w:r>
      <w:r>
        <w:fldChar w:fldCharType="begin"/>
      </w:r>
      <w:r>
        <w:instrText xml:space="preserve"> PAGEREF _Toc359316788 \h </w:instrText>
      </w:r>
      <w:r>
        <w:fldChar w:fldCharType="separate"/>
      </w:r>
      <w:r>
        <w:t>110</w:t>
      </w:r>
      <w:r>
        <w:fldChar w:fldCharType="end"/>
      </w:r>
    </w:p>
    <w:p>
      <w:pPr>
        <w:pStyle w:val="TOC8"/>
        <w:rPr>
          <w:rFonts w:asciiTheme="minorHAnsi" w:eastAsiaTheme="minorEastAsia" w:hAnsiTheme="minorHAnsi" w:cstheme="minorBidi"/>
          <w:szCs w:val="22"/>
          <w:lang w:eastAsia="en-AU"/>
        </w:rPr>
      </w:pPr>
      <w:r>
        <w:t>86</w:t>
      </w:r>
      <w:r>
        <w:rPr>
          <w:snapToGrid w:val="0"/>
        </w:rPr>
        <w:t>.</w:t>
      </w:r>
      <w:r>
        <w:rPr>
          <w:snapToGrid w:val="0"/>
        </w:rPr>
        <w:tab/>
        <w:t>Machinery noise, fisheries officer’s powers as to</w:t>
      </w:r>
      <w:r>
        <w:tab/>
      </w:r>
      <w:r>
        <w:fldChar w:fldCharType="begin"/>
      </w:r>
      <w:r>
        <w:instrText xml:space="preserve"> PAGEREF _Toc359316789 \h </w:instrText>
      </w:r>
      <w:r>
        <w:fldChar w:fldCharType="separate"/>
      </w:r>
      <w:r>
        <w:t>111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w:t>
      </w:r>
      <w:r>
        <w:rPr>
          <w:snapToGrid w:val="0"/>
        </w:rPr>
        <w:t> — </w:t>
      </w:r>
      <w:r>
        <w:t>Unauthorised structures and termination of tenancy</w:t>
      </w:r>
    </w:p>
    <w:p>
      <w:pPr>
        <w:pStyle w:val="TOC8"/>
        <w:rPr>
          <w:rFonts w:asciiTheme="minorHAnsi" w:eastAsiaTheme="minorEastAsia" w:hAnsiTheme="minorHAnsi" w:cstheme="minorBidi"/>
          <w:szCs w:val="22"/>
          <w:lang w:eastAsia="en-AU"/>
        </w:rPr>
      </w:pPr>
      <w:r>
        <w:t>87</w:t>
      </w:r>
      <w:r>
        <w:rPr>
          <w:snapToGrid w:val="0"/>
        </w:rPr>
        <w:t>.</w:t>
      </w:r>
      <w:r>
        <w:rPr>
          <w:snapToGrid w:val="0"/>
        </w:rPr>
        <w:tab/>
        <w:t>Terms used</w:t>
      </w:r>
      <w:r>
        <w:tab/>
      </w:r>
      <w:r>
        <w:fldChar w:fldCharType="begin"/>
      </w:r>
      <w:r>
        <w:instrText xml:space="preserve"> PAGEREF _Toc359316791 \h </w:instrText>
      </w:r>
      <w:r>
        <w:fldChar w:fldCharType="separate"/>
      </w:r>
      <w:r>
        <w:t>111</w:t>
      </w:r>
      <w:r>
        <w:fldChar w:fldCharType="end"/>
      </w:r>
    </w:p>
    <w:p>
      <w:pPr>
        <w:pStyle w:val="TOC8"/>
        <w:rPr>
          <w:rFonts w:asciiTheme="minorHAnsi" w:eastAsiaTheme="minorEastAsia" w:hAnsiTheme="minorHAnsi" w:cstheme="minorBidi"/>
          <w:szCs w:val="22"/>
          <w:lang w:eastAsia="en-AU"/>
        </w:rPr>
      </w:pPr>
      <w:r>
        <w:t>88</w:t>
      </w:r>
      <w:r>
        <w:rPr>
          <w:snapToGrid w:val="0"/>
        </w:rPr>
        <w:t>.</w:t>
      </w:r>
      <w:r>
        <w:rPr>
          <w:snapToGrid w:val="0"/>
        </w:rPr>
        <w:tab/>
        <w:t>Unauthorised structures, CEO may direct removal of</w:t>
      </w:r>
      <w:r>
        <w:tab/>
      </w:r>
      <w:r>
        <w:fldChar w:fldCharType="begin"/>
      </w:r>
      <w:r>
        <w:instrText xml:space="preserve"> PAGEREF _Toc359316792 \h </w:instrText>
      </w:r>
      <w:r>
        <w:fldChar w:fldCharType="separate"/>
      </w:r>
      <w:r>
        <w:t>112</w:t>
      </w:r>
      <w:r>
        <w:fldChar w:fldCharType="end"/>
      </w:r>
    </w:p>
    <w:p>
      <w:pPr>
        <w:pStyle w:val="TOC8"/>
        <w:rPr>
          <w:rFonts w:asciiTheme="minorHAnsi" w:eastAsiaTheme="minorEastAsia" w:hAnsiTheme="minorHAnsi" w:cstheme="minorBidi"/>
          <w:szCs w:val="22"/>
          <w:lang w:eastAsia="en-AU"/>
        </w:rPr>
      </w:pPr>
      <w:r>
        <w:t>89</w:t>
      </w:r>
      <w:r>
        <w:rPr>
          <w:snapToGrid w:val="0"/>
        </w:rPr>
        <w:t>.</w:t>
      </w:r>
      <w:r>
        <w:rPr>
          <w:snapToGrid w:val="0"/>
        </w:rPr>
        <w:tab/>
        <w:t>Service of r. 88 notice</w:t>
      </w:r>
      <w:r>
        <w:tab/>
      </w:r>
      <w:r>
        <w:fldChar w:fldCharType="begin"/>
      </w:r>
      <w:r>
        <w:instrText xml:space="preserve"> PAGEREF _Toc359316793 \h </w:instrText>
      </w:r>
      <w:r>
        <w:fldChar w:fldCharType="separate"/>
      </w:r>
      <w:r>
        <w:t>112</w:t>
      </w:r>
      <w:r>
        <w:fldChar w:fldCharType="end"/>
      </w:r>
    </w:p>
    <w:p>
      <w:pPr>
        <w:pStyle w:val="TOC8"/>
        <w:rPr>
          <w:rFonts w:asciiTheme="minorHAnsi" w:eastAsiaTheme="minorEastAsia" w:hAnsiTheme="minorHAnsi" w:cstheme="minorBidi"/>
          <w:szCs w:val="22"/>
          <w:lang w:eastAsia="en-AU"/>
        </w:rPr>
      </w:pPr>
      <w:r>
        <w:t>90</w:t>
      </w:r>
      <w:r>
        <w:rPr>
          <w:snapToGrid w:val="0"/>
        </w:rPr>
        <w:t>.</w:t>
      </w:r>
      <w:r>
        <w:rPr>
          <w:snapToGrid w:val="0"/>
        </w:rPr>
        <w:tab/>
        <w:t>Non</w:t>
      </w:r>
      <w:r>
        <w:rPr>
          <w:snapToGrid w:val="0"/>
        </w:rPr>
        <w:noBreakHyphen/>
        <w:t>compliance with r. 88 notice</w:t>
      </w:r>
      <w:r>
        <w:tab/>
      </w:r>
      <w:r>
        <w:fldChar w:fldCharType="begin"/>
      </w:r>
      <w:r>
        <w:instrText xml:space="preserve"> PAGEREF _Toc359316794 \h </w:instrText>
      </w:r>
      <w:r>
        <w:fldChar w:fldCharType="separate"/>
      </w:r>
      <w:r>
        <w:t>113</w:t>
      </w:r>
      <w:r>
        <w:fldChar w:fldCharType="end"/>
      </w:r>
    </w:p>
    <w:p>
      <w:pPr>
        <w:pStyle w:val="TOC8"/>
        <w:rPr>
          <w:rFonts w:asciiTheme="minorHAnsi" w:eastAsiaTheme="minorEastAsia" w:hAnsiTheme="minorHAnsi" w:cstheme="minorBidi"/>
          <w:szCs w:val="22"/>
          <w:lang w:eastAsia="en-AU"/>
        </w:rPr>
      </w:pPr>
      <w:r>
        <w:t>91</w:t>
      </w:r>
      <w:r>
        <w:rPr>
          <w:snapToGrid w:val="0"/>
        </w:rPr>
        <w:t>.</w:t>
      </w:r>
      <w:r>
        <w:rPr>
          <w:snapToGrid w:val="0"/>
        </w:rPr>
        <w:tab/>
        <w:t>Site of unauthorised structure to be cleared completely</w:t>
      </w:r>
      <w:r>
        <w:tab/>
      </w:r>
      <w:r>
        <w:fldChar w:fldCharType="begin"/>
      </w:r>
      <w:r>
        <w:instrText xml:space="preserve"> PAGEREF _Toc359316795 \h </w:instrText>
      </w:r>
      <w:r>
        <w:fldChar w:fldCharType="separate"/>
      </w:r>
      <w:r>
        <w:t>114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w:t>
      </w:r>
      <w:r>
        <w:rPr>
          <w:snapToGrid w:val="0"/>
        </w:rPr>
        <w:t> — </w:t>
      </w:r>
      <w:r>
        <w:t>Share arrangements and dispute procedure</w:t>
      </w:r>
    </w:p>
    <w:p>
      <w:pPr>
        <w:pStyle w:val="TOC8"/>
        <w:rPr>
          <w:rFonts w:asciiTheme="minorHAnsi" w:eastAsiaTheme="minorEastAsia" w:hAnsiTheme="minorHAnsi" w:cstheme="minorBidi"/>
          <w:szCs w:val="22"/>
          <w:lang w:eastAsia="en-AU"/>
        </w:rPr>
      </w:pPr>
      <w:r>
        <w:t>92</w:t>
      </w:r>
      <w:r>
        <w:rPr>
          <w:snapToGrid w:val="0"/>
        </w:rPr>
        <w:t>.</w:t>
      </w:r>
      <w:r>
        <w:rPr>
          <w:snapToGrid w:val="0"/>
        </w:rPr>
        <w:tab/>
        <w:t>Share arrangement to be subject of written agreement</w:t>
      </w:r>
      <w:r>
        <w:tab/>
      </w:r>
      <w:r>
        <w:fldChar w:fldCharType="begin"/>
      </w:r>
      <w:r>
        <w:instrText xml:space="preserve"> PAGEREF _Toc359316797 \h </w:instrText>
      </w:r>
      <w:r>
        <w:fldChar w:fldCharType="separate"/>
      </w:r>
      <w:r>
        <w:t>114</w:t>
      </w:r>
      <w:r>
        <w:fldChar w:fldCharType="end"/>
      </w:r>
    </w:p>
    <w:p>
      <w:pPr>
        <w:pStyle w:val="TOC8"/>
        <w:rPr>
          <w:rFonts w:asciiTheme="minorHAnsi" w:eastAsiaTheme="minorEastAsia" w:hAnsiTheme="minorHAnsi" w:cstheme="minorBidi"/>
          <w:szCs w:val="22"/>
          <w:lang w:eastAsia="en-AU"/>
        </w:rPr>
      </w:pPr>
      <w:r>
        <w:t>93</w:t>
      </w:r>
      <w:r>
        <w:rPr>
          <w:snapToGrid w:val="0"/>
        </w:rPr>
        <w:t>.</w:t>
      </w:r>
      <w:r>
        <w:rPr>
          <w:snapToGrid w:val="0"/>
        </w:rPr>
        <w:tab/>
        <w:t>Disputes over use of shared buildings etc., resolution procedure for</w:t>
      </w:r>
      <w:r>
        <w:tab/>
      </w:r>
      <w:r>
        <w:fldChar w:fldCharType="begin"/>
      </w:r>
      <w:r>
        <w:instrText xml:space="preserve"> PAGEREF _Toc359316798 \h </w:instrText>
      </w:r>
      <w:r>
        <w:fldChar w:fldCharType="separate"/>
      </w:r>
      <w:r>
        <w:t>115</w:t>
      </w:r>
      <w:r>
        <w:fldChar w:fldCharType="end"/>
      </w:r>
    </w:p>
    <w:p>
      <w:pPr>
        <w:pStyle w:val="TOC8"/>
        <w:rPr>
          <w:rFonts w:asciiTheme="minorHAnsi" w:eastAsiaTheme="minorEastAsia" w:hAnsiTheme="minorHAnsi" w:cstheme="minorBidi"/>
          <w:szCs w:val="22"/>
          <w:lang w:eastAsia="en-AU"/>
        </w:rPr>
      </w:pPr>
      <w:r>
        <w:t>94</w:t>
      </w:r>
      <w:r>
        <w:rPr>
          <w:snapToGrid w:val="0"/>
        </w:rPr>
        <w:t>.</w:t>
      </w:r>
      <w:r>
        <w:rPr>
          <w:snapToGrid w:val="0"/>
        </w:rPr>
        <w:tab/>
        <w:t>Independent arbitrators, duties of</w:t>
      </w:r>
      <w:r>
        <w:tab/>
      </w:r>
      <w:r>
        <w:fldChar w:fldCharType="begin"/>
      </w:r>
      <w:r>
        <w:instrText xml:space="preserve"> PAGEREF _Toc359316799 \h </w:instrText>
      </w:r>
      <w:r>
        <w:fldChar w:fldCharType="separate"/>
      </w:r>
      <w:r>
        <w:t>115</w:t>
      </w:r>
      <w:r>
        <w:fldChar w:fldCharType="end"/>
      </w:r>
    </w:p>
    <w:p>
      <w:pPr>
        <w:pStyle w:val="TOC8"/>
        <w:rPr>
          <w:rFonts w:asciiTheme="minorHAnsi" w:eastAsiaTheme="minorEastAsia" w:hAnsiTheme="minorHAnsi" w:cstheme="minorBidi"/>
          <w:szCs w:val="22"/>
          <w:lang w:eastAsia="en-AU"/>
        </w:rPr>
      </w:pPr>
      <w:r>
        <w:t>95</w:t>
      </w:r>
      <w:r>
        <w:rPr>
          <w:snapToGrid w:val="0"/>
        </w:rPr>
        <w:t>.</w:t>
      </w:r>
      <w:r>
        <w:rPr>
          <w:snapToGrid w:val="0"/>
        </w:rPr>
        <w:tab/>
        <w:t>Arbitrator’s determination to be decided by Minister</w:t>
      </w:r>
      <w:r>
        <w:tab/>
      </w:r>
      <w:r>
        <w:fldChar w:fldCharType="begin"/>
      </w:r>
      <w:r>
        <w:instrText xml:space="preserve"> PAGEREF _Toc359316800 \h </w:instrText>
      </w:r>
      <w:r>
        <w:fldChar w:fldCharType="separate"/>
      </w:r>
      <w:r>
        <w:t>116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7</w:t>
      </w:r>
      <w:r>
        <w:rPr>
          <w:snapToGrid w:val="0"/>
        </w:rPr>
        <w:t> — </w:t>
      </w:r>
      <w:r>
        <w:t>Disposal of waste</w:t>
      </w:r>
    </w:p>
    <w:p>
      <w:pPr>
        <w:pStyle w:val="TOC8"/>
        <w:rPr>
          <w:rFonts w:asciiTheme="minorHAnsi" w:eastAsiaTheme="minorEastAsia" w:hAnsiTheme="minorHAnsi" w:cstheme="minorBidi"/>
          <w:szCs w:val="22"/>
          <w:lang w:eastAsia="en-AU"/>
        </w:rPr>
      </w:pPr>
      <w:r>
        <w:t>96</w:t>
      </w:r>
      <w:r>
        <w:rPr>
          <w:snapToGrid w:val="0"/>
        </w:rPr>
        <w:t>.</w:t>
      </w:r>
      <w:r>
        <w:rPr>
          <w:snapToGrid w:val="0"/>
        </w:rPr>
        <w:tab/>
        <w:t>Waste disposal to be in accordance with this Division</w:t>
      </w:r>
      <w:r>
        <w:tab/>
      </w:r>
      <w:r>
        <w:fldChar w:fldCharType="begin"/>
      </w:r>
      <w:r>
        <w:instrText xml:space="preserve"> PAGEREF _Toc359316802 \h </w:instrText>
      </w:r>
      <w:r>
        <w:fldChar w:fldCharType="separate"/>
      </w:r>
      <w:r>
        <w:t>116</w:t>
      </w:r>
      <w:r>
        <w:fldChar w:fldCharType="end"/>
      </w:r>
    </w:p>
    <w:p>
      <w:pPr>
        <w:pStyle w:val="TOC8"/>
        <w:rPr>
          <w:rFonts w:asciiTheme="minorHAnsi" w:eastAsiaTheme="minorEastAsia" w:hAnsiTheme="minorHAnsi" w:cstheme="minorBidi"/>
          <w:szCs w:val="22"/>
          <w:lang w:eastAsia="en-AU"/>
        </w:rPr>
      </w:pPr>
      <w:r>
        <w:t>97</w:t>
      </w:r>
      <w:r>
        <w:rPr>
          <w:snapToGrid w:val="0"/>
        </w:rPr>
        <w:t>.</w:t>
      </w:r>
      <w:r>
        <w:rPr>
          <w:snapToGrid w:val="0"/>
        </w:rPr>
        <w:tab/>
        <w:t>Food waste</w:t>
      </w:r>
      <w:r>
        <w:tab/>
      </w:r>
      <w:r>
        <w:fldChar w:fldCharType="begin"/>
      </w:r>
      <w:r>
        <w:instrText xml:space="preserve"> PAGEREF _Toc359316803 \h </w:instrText>
      </w:r>
      <w:r>
        <w:fldChar w:fldCharType="separate"/>
      </w:r>
      <w:r>
        <w:t>116</w:t>
      </w:r>
      <w:r>
        <w:fldChar w:fldCharType="end"/>
      </w:r>
    </w:p>
    <w:p>
      <w:pPr>
        <w:pStyle w:val="TOC8"/>
        <w:rPr>
          <w:rFonts w:asciiTheme="minorHAnsi" w:eastAsiaTheme="minorEastAsia" w:hAnsiTheme="minorHAnsi" w:cstheme="minorBidi"/>
          <w:szCs w:val="22"/>
          <w:lang w:eastAsia="en-AU"/>
        </w:rPr>
      </w:pPr>
      <w:r>
        <w:t>98</w:t>
      </w:r>
      <w:r>
        <w:rPr>
          <w:snapToGrid w:val="0"/>
        </w:rPr>
        <w:t>.</w:t>
      </w:r>
      <w:r>
        <w:rPr>
          <w:snapToGrid w:val="0"/>
        </w:rPr>
        <w:tab/>
        <w:t>Paper, plastic, cardboard, bait bags etc.</w:t>
      </w:r>
      <w:r>
        <w:tab/>
      </w:r>
      <w:r>
        <w:fldChar w:fldCharType="begin"/>
      </w:r>
      <w:r>
        <w:instrText xml:space="preserve"> PAGEREF _Toc359316804 \h </w:instrText>
      </w:r>
      <w:r>
        <w:fldChar w:fldCharType="separate"/>
      </w:r>
      <w:r>
        <w:t>117</w:t>
      </w:r>
      <w:r>
        <w:fldChar w:fldCharType="end"/>
      </w:r>
    </w:p>
    <w:p>
      <w:pPr>
        <w:pStyle w:val="TOC8"/>
        <w:rPr>
          <w:rFonts w:asciiTheme="minorHAnsi" w:eastAsiaTheme="minorEastAsia" w:hAnsiTheme="minorHAnsi" w:cstheme="minorBidi"/>
          <w:szCs w:val="22"/>
          <w:lang w:eastAsia="en-AU"/>
        </w:rPr>
      </w:pPr>
      <w:r>
        <w:t>99</w:t>
      </w:r>
      <w:r>
        <w:rPr>
          <w:snapToGrid w:val="0"/>
        </w:rPr>
        <w:t>.</w:t>
      </w:r>
      <w:r>
        <w:rPr>
          <w:snapToGrid w:val="0"/>
        </w:rPr>
        <w:tab/>
        <w:t>Non</w:t>
      </w:r>
      <w:r>
        <w:rPr>
          <w:snapToGrid w:val="0"/>
        </w:rPr>
        <w:noBreakHyphen/>
        <w:t>hazardous and non</w:t>
      </w:r>
      <w:r>
        <w:rPr>
          <w:snapToGrid w:val="0"/>
        </w:rPr>
        <w:noBreakHyphen/>
        <w:t>combustible waste</w:t>
      </w:r>
      <w:r>
        <w:tab/>
      </w:r>
      <w:r>
        <w:fldChar w:fldCharType="begin"/>
      </w:r>
      <w:r>
        <w:instrText xml:space="preserve"> PAGEREF _Toc359316805 \h </w:instrText>
      </w:r>
      <w:r>
        <w:fldChar w:fldCharType="separate"/>
      </w:r>
      <w:r>
        <w:t>117</w:t>
      </w:r>
      <w:r>
        <w:fldChar w:fldCharType="end"/>
      </w:r>
    </w:p>
    <w:p>
      <w:pPr>
        <w:pStyle w:val="TOC8"/>
        <w:rPr>
          <w:rFonts w:asciiTheme="minorHAnsi" w:eastAsiaTheme="minorEastAsia" w:hAnsiTheme="minorHAnsi" w:cstheme="minorBidi"/>
          <w:szCs w:val="22"/>
          <w:lang w:eastAsia="en-AU"/>
        </w:rPr>
      </w:pPr>
      <w:r>
        <w:t>100</w:t>
      </w:r>
      <w:r>
        <w:rPr>
          <w:snapToGrid w:val="0"/>
        </w:rPr>
        <w:t>.</w:t>
      </w:r>
      <w:r>
        <w:rPr>
          <w:snapToGrid w:val="0"/>
        </w:rPr>
        <w:tab/>
        <w:t>Oil, fuel, engine filters and batteries</w:t>
      </w:r>
      <w:r>
        <w:tab/>
      </w:r>
      <w:r>
        <w:fldChar w:fldCharType="begin"/>
      </w:r>
      <w:r>
        <w:instrText xml:space="preserve"> PAGEREF _Toc359316806 \h </w:instrText>
      </w:r>
      <w:r>
        <w:fldChar w:fldCharType="separate"/>
      </w:r>
      <w:r>
        <w:t>118</w:t>
      </w:r>
      <w:r>
        <w:fldChar w:fldCharType="end"/>
      </w:r>
    </w:p>
    <w:p>
      <w:pPr>
        <w:pStyle w:val="TOC8"/>
        <w:rPr>
          <w:rFonts w:asciiTheme="minorHAnsi" w:eastAsiaTheme="minorEastAsia" w:hAnsiTheme="minorHAnsi" w:cstheme="minorBidi"/>
          <w:szCs w:val="22"/>
          <w:lang w:eastAsia="en-AU"/>
        </w:rPr>
      </w:pPr>
      <w:r>
        <w:t>101</w:t>
      </w:r>
      <w:r>
        <w:rPr>
          <w:snapToGrid w:val="0"/>
        </w:rPr>
        <w:t>.</w:t>
      </w:r>
      <w:r>
        <w:rPr>
          <w:snapToGrid w:val="0"/>
        </w:rPr>
        <w:tab/>
        <w:t>Campsite waste</w:t>
      </w:r>
      <w:r>
        <w:tab/>
      </w:r>
      <w:r>
        <w:fldChar w:fldCharType="begin"/>
      </w:r>
      <w:r>
        <w:instrText xml:space="preserve"> PAGEREF _Toc359316807 \h </w:instrText>
      </w:r>
      <w:r>
        <w:fldChar w:fldCharType="separate"/>
      </w:r>
      <w:r>
        <w:t>118</w:t>
      </w:r>
      <w:r>
        <w:fldChar w:fldCharType="end"/>
      </w:r>
    </w:p>
    <w:p>
      <w:pPr>
        <w:pStyle w:val="TOC8"/>
        <w:rPr>
          <w:rFonts w:asciiTheme="minorHAnsi" w:eastAsiaTheme="minorEastAsia" w:hAnsiTheme="minorHAnsi" w:cstheme="minorBidi"/>
          <w:szCs w:val="22"/>
          <w:lang w:eastAsia="en-AU"/>
        </w:rPr>
      </w:pPr>
      <w:r>
        <w:t>102</w:t>
      </w:r>
      <w:r>
        <w:rPr>
          <w:snapToGrid w:val="0"/>
        </w:rPr>
        <w:t>.</w:t>
      </w:r>
      <w:r>
        <w:rPr>
          <w:snapToGrid w:val="0"/>
        </w:rPr>
        <w:tab/>
        <w:t>Sewage</w:t>
      </w:r>
      <w:r>
        <w:tab/>
      </w:r>
      <w:r>
        <w:fldChar w:fldCharType="begin"/>
      </w:r>
      <w:r>
        <w:instrText xml:space="preserve"> PAGEREF _Toc359316808 \h </w:instrText>
      </w:r>
      <w:r>
        <w:fldChar w:fldCharType="separate"/>
      </w:r>
      <w:r>
        <w:t>118</w:t>
      </w:r>
      <w:r>
        <w:fldChar w:fldCharType="end"/>
      </w:r>
    </w:p>
    <w:p>
      <w:pPr>
        <w:pStyle w:val="TOC8"/>
        <w:rPr>
          <w:rFonts w:asciiTheme="minorHAnsi" w:eastAsiaTheme="minorEastAsia" w:hAnsiTheme="minorHAnsi" w:cstheme="minorBidi"/>
          <w:szCs w:val="22"/>
          <w:lang w:eastAsia="en-AU"/>
        </w:rPr>
      </w:pPr>
      <w:r>
        <w:t>103</w:t>
      </w:r>
      <w:r>
        <w:rPr>
          <w:snapToGrid w:val="0"/>
        </w:rPr>
        <w:t>.</w:t>
      </w:r>
      <w:r>
        <w:rPr>
          <w:snapToGrid w:val="0"/>
        </w:rPr>
        <w:tab/>
        <w:t>Incinerators, construction and use of</w:t>
      </w:r>
      <w:r>
        <w:tab/>
      </w:r>
      <w:r>
        <w:fldChar w:fldCharType="begin"/>
      </w:r>
      <w:r>
        <w:instrText xml:space="preserve"> PAGEREF _Toc359316809 \h </w:instrText>
      </w:r>
      <w:r>
        <w:fldChar w:fldCharType="separate"/>
      </w:r>
      <w:r>
        <w:t>119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8</w:t>
      </w:r>
      <w:r>
        <w:rPr>
          <w:snapToGrid w:val="0"/>
        </w:rPr>
        <w:t> — </w:t>
      </w:r>
      <w:r>
        <w:t>Miscellaneous</w:t>
      </w:r>
    </w:p>
    <w:p>
      <w:pPr>
        <w:pStyle w:val="TOC8"/>
        <w:rPr>
          <w:rFonts w:asciiTheme="minorHAnsi" w:eastAsiaTheme="minorEastAsia" w:hAnsiTheme="minorHAnsi" w:cstheme="minorBidi"/>
          <w:szCs w:val="22"/>
          <w:lang w:eastAsia="en-AU"/>
        </w:rPr>
      </w:pPr>
      <w:r>
        <w:t>104</w:t>
      </w:r>
      <w:r>
        <w:rPr>
          <w:snapToGrid w:val="0"/>
        </w:rPr>
        <w:t>.</w:t>
      </w:r>
      <w:r>
        <w:rPr>
          <w:snapToGrid w:val="0"/>
        </w:rPr>
        <w:tab/>
        <w:t>Noise to be kept below certain levels</w:t>
      </w:r>
      <w:r>
        <w:tab/>
      </w:r>
      <w:r>
        <w:fldChar w:fldCharType="begin"/>
      </w:r>
      <w:r>
        <w:instrText xml:space="preserve"> PAGEREF _Toc359316811 \h </w:instrText>
      </w:r>
      <w:r>
        <w:fldChar w:fldCharType="separate"/>
      </w:r>
      <w:r>
        <w:t>119</w:t>
      </w:r>
      <w:r>
        <w:fldChar w:fldCharType="end"/>
      </w:r>
    </w:p>
    <w:p>
      <w:pPr>
        <w:pStyle w:val="TOC8"/>
        <w:rPr>
          <w:rFonts w:asciiTheme="minorHAnsi" w:eastAsiaTheme="minorEastAsia" w:hAnsiTheme="minorHAnsi" w:cstheme="minorBidi"/>
          <w:szCs w:val="22"/>
          <w:lang w:eastAsia="en-AU"/>
        </w:rPr>
      </w:pPr>
      <w:r>
        <w:t>105</w:t>
      </w:r>
      <w:r>
        <w:rPr>
          <w:snapToGrid w:val="0"/>
        </w:rPr>
        <w:t>.</w:t>
      </w:r>
      <w:r>
        <w:rPr>
          <w:snapToGrid w:val="0"/>
        </w:rPr>
        <w:tab/>
        <w:t>Vehicles not to be used without CEO’s approval</w:t>
      </w:r>
      <w:r>
        <w:tab/>
      </w:r>
      <w:r>
        <w:fldChar w:fldCharType="begin"/>
      </w:r>
      <w:r>
        <w:instrText xml:space="preserve"> PAGEREF _Toc359316812 \h </w:instrText>
      </w:r>
      <w:r>
        <w:fldChar w:fldCharType="separate"/>
      </w:r>
      <w:r>
        <w:t>120</w:t>
      </w:r>
      <w:r>
        <w:fldChar w:fldCharType="end"/>
      </w:r>
    </w:p>
    <w:p>
      <w:pPr>
        <w:pStyle w:val="TOC8"/>
        <w:rPr>
          <w:rFonts w:asciiTheme="minorHAnsi" w:eastAsiaTheme="minorEastAsia" w:hAnsiTheme="minorHAnsi" w:cstheme="minorBidi"/>
          <w:szCs w:val="22"/>
          <w:lang w:eastAsia="en-AU"/>
        </w:rPr>
      </w:pPr>
      <w:r>
        <w:t>106</w:t>
      </w:r>
      <w:r>
        <w:rPr>
          <w:snapToGrid w:val="0"/>
        </w:rPr>
        <w:t>.</w:t>
      </w:r>
      <w:r>
        <w:rPr>
          <w:snapToGrid w:val="0"/>
        </w:rPr>
        <w:tab/>
        <w:t>Domestic pets prohibited on reserve and boats at jetties</w:t>
      </w:r>
      <w:r>
        <w:tab/>
      </w:r>
      <w:r>
        <w:fldChar w:fldCharType="begin"/>
      </w:r>
      <w:r>
        <w:instrText xml:space="preserve"> PAGEREF _Toc359316813 \h </w:instrText>
      </w:r>
      <w:r>
        <w:fldChar w:fldCharType="separate"/>
      </w:r>
      <w:r>
        <w:t>121</w:t>
      </w:r>
      <w:r>
        <w:fldChar w:fldCharType="end"/>
      </w:r>
    </w:p>
    <w:p>
      <w:pPr>
        <w:pStyle w:val="TOC8"/>
        <w:rPr>
          <w:rFonts w:asciiTheme="minorHAnsi" w:eastAsiaTheme="minorEastAsia" w:hAnsiTheme="minorHAnsi" w:cstheme="minorBidi"/>
          <w:szCs w:val="22"/>
          <w:lang w:eastAsia="en-AU"/>
        </w:rPr>
      </w:pPr>
      <w:r>
        <w:t>107</w:t>
      </w:r>
      <w:r>
        <w:rPr>
          <w:snapToGrid w:val="0"/>
        </w:rPr>
        <w:t>.</w:t>
      </w:r>
      <w:r>
        <w:rPr>
          <w:snapToGrid w:val="0"/>
        </w:rPr>
        <w:tab/>
        <w:t>Flora and fauna not to be introduced without approval</w:t>
      </w:r>
      <w:r>
        <w:tab/>
      </w:r>
      <w:r>
        <w:fldChar w:fldCharType="begin"/>
      </w:r>
      <w:r>
        <w:instrText xml:space="preserve"> PAGEREF _Toc359316814 \h </w:instrText>
      </w:r>
      <w:r>
        <w:fldChar w:fldCharType="separate"/>
      </w:r>
      <w:r>
        <w:t>121</w:t>
      </w:r>
      <w:r>
        <w:fldChar w:fldCharType="end"/>
      </w:r>
    </w:p>
    <w:p>
      <w:pPr>
        <w:pStyle w:val="TOC8"/>
        <w:rPr>
          <w:rFonts w:asciiTheme="minorHAnsi" w:eastAsiaTheme="minorEastAsia" w:hAnsiTheme="minorHAnsi" w:cstheme="minorBidi"/>
          <w:szCs w:val="22"/>
          <w:lang w:eastAsia="en-AU"/>
        </w:rPr>
      </w:pPr>
      <w:r>
        <w:t>108</w:t>
      </w:r>
      <w:r>
        <w:rPr>
          <w:snapToGrid w:val="0"/>
        </w:rPr>
        <w:t>.</w:t>
      </w:r>
      <w:r>
        <w:rPr>
          <w:snapToGrid w:val="0"/>
        </w:rPr>
        <w:tab/>
        <w:t>Noxious etc. plants, pests etc., control of to be by approved methods</w:t>
      </w:r>
      <w:r>
        <w:tab/>
      </w:r>
      <w:r>
        <w:fldChar w:fldCharType="begin"/>
      </w:r>
      <w:r>
        <w:instrText xml:space="preserve"> PAGEREF _Toc359316815 \h </w:instrText>
      </w:r>
      <w:r>
        <w:fldChar w:fldCharType="separate"/>
      </w:r>
      <w:r>
        <w:t>121</w:t>
      </w:r>
      <w:r>
        <w:fldChar w:fldCharType="end"/>
      </w:r>
    </w:p>
    <w:p>
      <w:pPr>
        <w:pStyle w:val="TOC8"/>
        <w:rPr>
          <w:rFonts w:asciiTheme="minorHAnsi" w:eastAsiaTheme="minorEastAsia" w:hAnsiTheme="minorHAnsi" w:cstheme="minorBidi"/>
          <w:szCs w:val="22"/>
          <w:lang w:eastAsia="en-AU"/>
        </w:rPr>
      </w:pPr>
      <w:r>
        <w:t>109</w:t>
      </w:r>
      <w:r>
        <w:rPr>
          <w:snapToGrid w:val="0"/>
        </w:rPr>
        <w:t>.</w:t>
      </w:r>
      <w:r>
        <w:rPr>
          <w:snapToGrid w:val="0"/>
        </w:rPr>
        <w:tab/>
        <w:t>Behaviour standards for people; power to direct person to leave</w:t>
      </w:r>
      <w:r>
        <w:tab/>
      </w:r>
      <w:r>
        <w:fldChar w:fldCharType="begin"/>
      </w:r>
      <w:r>
        <w:instrText xml:space="preserve"> PAGEREF _Toc359316816 \h </w:instrText>
      </w:r>
      <w:r>
        <w:fldChar w:fldCharType="separate"/>
      </w:r>
      <w:r>
        <w:t>122</w:t>
      </w:r>
      <w:r>
        <w:fldChar w:fldCharType="end"/>
      </w:r>
    </w:p>
    <w:p>
      <w:pPr>
        <w:pStyle w:val="TOC8"/>
        <w:rPr>
          <w:rFonts w:asciiTheme="minorHAnsi" w:eastAsiaTheme="minorEastAsia" w:hAnsiTheme="minorHAnsi" w:cstheme="minorBidi"/>
          <w:szCs w:val="22"/>
          <w:lang w:eastAsia="en-AU"/>
        </w:rPr>
      </w:pPr>
      <w:r>
        <w:t>110</w:t>
      </w:r>
      <w:r>
        <w:rPr>
          <w:snapToGrid w:val="0"/>
        </w:rPr>
        <w:t>.</w:t>
      </w:r>
      <w:r>
        <w:rPr>
          <w:snapToGrid w:val="0"/>
        </w:rPr>
        <w:tab/>
        <w:t>Chlorine tarping of boats, restrictions on</w:t>
      </w:r>
      <w:r>
        <w:tab/>
      </w:r>
      <w:r>
        <w:fldChar w:fldCharType="begin"/>
      </w:r>
      <w:r>
        <w:instrText xml:space="preserve"> PAGEREF _Toc359316817 \h </w:instrText>
      </w:r>
      <w:r>
        <w:fldChar w:fldCharType="separate"/>
      </w:r>
      <w:r>
        <w:t>122</w:t>
      </w:r>
      <w:r>
        <w:fldChar w:fldCharType="end"/>
      </w:r>
    </w:p>
    <w:p>
      <w:pPr>
        <w:pStyle w:val="TOC8"/>
        <w:rPr>
          <w:rFonts w:asciiTheme="minorHAnsi" w:eastAsiaTheme="minorEastAsia" w:hAnsiTheme="minorHAnsi" w:cstheme="minorBidi"/>
          <w:szCs w:val="22"/>
          <w:lang w:eastAsia="en-AU"/>
        </w:rPr>
      </w:pPr>
      <w:r>
        <w:t>111</w:t>
      </w:r>
      <w:r>
        <w:rPr>
          <w:snapToGrid w:val="0"/>
        </w:rPr>
        <w:t>.</w:t>
      </w:r>
      <w:r>
        <w:rPr>
          <w:snapToGrid w:val="0"/>
        </w:rPr>
        <w:tab/>
        <w:t>Travel to reserve between 15 Jul and 20 Feb, notice of required</w:t>
      </w:r>
      <w:r>
        <w:tab/>
      </w:r>
      <w:r>
        <w:fldChar w:fldCharType="begin"/>
      </w:r>
      <w:r>
        <w:instrText xml:space="preserve"> PAGEREF _Toc359316818 \h </w:instrText>
      </w:r>
      <w:r>
        <w:fldChar w:fldCharType="separate"/>
      </w:r>
      <w:r>
        <w:t>122</w:t>
      </w:r>
      <w:r>
        <w:fldChar w:fldCharType="end"/>
      </w:r>
    </w:p>
    <w:p>
      <w:pPr>
        <w:pStyle w:val="TOC8"/>
        <w:rPr>
          <w:rFonts w:asciiTheme="minorHAnsi" w:eastAsiaTheme="minorEastAsia" w:hAnsiTheme="minorHAnsi" w:cstheme="minorBidi"/>
          <w:szCs w:val="22"/>
          <w:lang w:eastAsia="en-AU"/>
        </w:rPr>
      </w:pPr>
      <w:r>
        <w:t>112</w:t>
      </w:r>
      <w:r>
        <w:rPr>
          <w:snapToGrid w:val="0"/>
        </w:rPr>
        <w:t>.</w:t>
      </w:r>
      <w:r>
        <w:rPr>
          <w:snapToGrid w:val="0"/>
        </w:rPr>
        <w:tab/>
        <w:t>Weapons prohibited</w:t>
      </w:r>
      <w:r>
        <w:tab/>
      </w:r>
      <w:r>
        <w:fldChar w:fldCharType="begin"/>
      </w:r>
      <w:r>
        <w:instrText xml:space="preserve"> PAGEREF _Toc359316819 \h </w:instrText>
      </w:r>
      <w:r>
        <w:fldChar w:fldCharType="separate"/>
      </w:r>
      <w:r>
        <w:t>123</w:t>
      </w:r>
      <w:r>
        <w:fldChar w:fldCharType="end"/>
      </w:r>
    </w:p>
    <w:p>
      <w:pPr>
        <w:pStyle w:val="TOC8"/>
        <w:rPr>
          <w:rFonts w:asciiTheme="minorHAnsi" w:eastAsiaTheme="minorEastAsia" w:hAnsiTheme="minorHAnsi" w:cstheme="minorBidi"/>
          <w:szCs w:val="22"/>
          <w:lang w:eastAsia="en-AU"/>
        </w:rPr>
      </w:pPr>
      <w:r>
        <w:t>113</w:t>
      </w:r>
      <w:r>
        <w:rPr>
          <w:snapToGrid w:val="0"/>
        </w:rPr>
        <w:t>.</w:t>
      </w:r>
      <w:r>
        <w:rPr>
          <w:snapToGrid w:val="0"/>
        </w:rPr>
        <w:tab/>
        <w:t>Open fires prohibited</w:t>
      </w:r>
      <w:r>
        <w:tab/>
      </w:r>
      <w:r>
        <w:fldChar w:fldCharType="begin"/>
      </w:r>
      <w:r>
        <w:instrText xml:space="preserve"> PAGEREF _Toc359316820 \h </w:instrText>
      </w:r>
      <w:r>
        <w:fldChar w:fldCharType="separate"/>
      </w:r>
      <w:r>
        <w:t>123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9A</w:t>
      </w:r>
      <w:r>
        <w:rPr>
          <w:b w:val="0"/>
        </w:rPr>
        <w:t> </w:t>
      </w:r>
      <w:r>
        <w:t>—</w:t>
      </w:r>
      <w:r>
        <w:rPr>
          <w:b w:val="0"/>
        </w:rPr>
        <w:t> </w:t>
      </w:r>
      <w:r>
        <w:t>Fish Habitat Protection Areas</w:t>
      </w:r>
    </w:p>
    <w:p>
      <w:pPr>
        <w:pStyle w:val="TOC4"/>
        <w:tabs>
          <w:tab w:val="right" w:leader="dot" w:pos="7086"/>
        </w:tabs>
        <w:rPr>
          <w:rFonts w:asciiTheme="minorHAnsi" w:eastAsiaTheme="minorEastAsia" w:hAnsiTheme="minorHAnsi" w:cstheme="minorBidi"/>
          <w:b w:val="0"/>
          <w:szCs w:val="22"/>
          <w:lang w:eastAsia="en-AU"/>
        </w:rPr>
      </w:pPr>
      <w:r>
        <w:t>Division 1 — Cottesloe Reef Fish Habitat Protection Area</w:t>
      </w:r>
    </w:p>
    <w:p>
      <w:pPr>
        <w:pStyle w:val="TOC8"/>
        <w:rPr>
          <w:rFonts w:asciiTheme="minorHAnsi" w:eastAsiaTheme="minorEastAsia" w:hAnsiTheme="minorHAnsi" w:cstheme="minorBidi"/>
          <w:szCs w:val="22"/>
          <w:lang w:eastAsia="en-AU"/>
        </w:rPr>
      </w:pPr>
      <w:r>
        <w:t>113A.</w:t>
      </w:r>
      <w:r>
        <w:tab/>
        <w:t>Prohibited activities</w:t>
      </w:r>
      <w:r>
        <w:tab/>
      </w:r>
      <w:r>
        <w:fldChar w:fldCharType="begin"/>
      </w:r>
      <w:r>
        <w:instrText xml:space="preserve"> PAGEREF _Toc359316823 \h </w:instrText>
      </w:r>
      <w:r>
        <w:fldChar w:fldCharType="separate"/>
      </w:r>
      <w:r>
        <w:t>124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Lancelin Island Lagoon Fish Habitat Protection Area</w:t>
      </w:r>
    </w:p>
    <w:p>
      <w:pPr>
        <w:pStyle w:val="TOC8"/>
        <w:rPr>
          <w:rFonts w:asciiTheme="minorHAnsi" w:eastAsiaTheme="minorEastAsia" w:hAnsiTheme="minorHAnsi" w:cstheme="minorBidi"/>
          <w:szCs w:val="22"/>
          <w:lang w:eastAsia="en-AU"/>
        </w:rPr>
      </w:pPr>
      <w:r>
        <w:t>113B.</w:t>
      </w:r>
      <w:r>
        <w:tab/>
        <w:t>Prohibited activities</w:t>
      </w:r>
      <w:r>
        <w:tab/>
      </w:r>
      <w:r>
        <w:fldChar w:fldCharType="begin"/>
      </w:r>
      <w:r>
        <w:instrText xml:space="preserve"> PAGEREF _Toc359316825 \h </w:instrText>
      </w:r>
      <w:r>
        <w:fldChar w:fldCharType="separate"/>
      </w:r>
      <w:r>
        <w:t>125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Kalbarri Blue Holes Fish Habitat Protection Area</w:t>
      </w:r>
    </w:p>
    <w:p>
      <w:pPr>
        <w:pStyle w:val="TOC8"/>
        <w:rPr>
          <w:rFonts w:asciiTheme="minorHAnsi" w:eastAsiaTheme="minorEastAsia" w:hAnsiTheme="minorHAnsi" w:cstheme="minorBidi"/>
          <w:szCs w:val="22"/>
          <w:lang w:eastAsia="en-AU"/>
        </w:rPr>
      </w:pPr>
      <w:r>
        <w:t>113C.</w:t>
      </w:r>
      <w:r>
        <w:tab/>
        <w:t>Prohibited activities</w:t>
      </w:r>
      <w:r>
        <w:tab/>
      </w:r>
      <w:r>
        <w:fldChar w:fldCharType="begin"/>
      </w:r>
      <w:r>
        <w:instrText xml:space="preserve"> PAGEREF _Toc359316827 \h </w:instrText>
      </w:r>
      <w:r>
        <w:fldChar w:fldCharType="separate"/>
      </w:r>
      <w:r>
        <w:t>125</w:t>
      </w:r>
      <w:r>
        <w:fldChar w:fldCharType="end"/>
      </w:r>
    </w:p>
    <w:p>
      <w:pPr>
        <w:pStyle w:val="TOC4"/>
        <w:tabs>
          <w:tab w:val="right" w:leader="dot" w:pos="7086"/>
        </w:tabs>
        <w:rPr>
          <w:rFonts w:asciiTheme="minorHAnsi" w:eastAsiaTheme="minorEastAsia" w:hAnsiTheme="minorHAnsi" w:cstheme="minorBidi"/>
          <w:b w:val="0"/>
          <w:szCs w:val="22"/>
          <w:lang w:eastAsia="en-AU"/>
        </w:rPr>
      </w:pPr>
      <w:r>
        <w:rPr>
          <w:lang w:val="fr-FR"/>
        </w:rPr>
        <w:t>Division 4 — Point Quobba Fish Habitat Protection Area</w:t>
      </w:r>
    </w:p>
    <w:p>
      <w:pPr>
        <w:pStyle w:val="TOC8"/>
        <w:rPr>
          <w:rFonts w:asciiTheme="minorHAnsi" w:eastAsiaTheme="minorEastAsia" w:hAnsiTheme="minorHAnsi" w:cstheme="minorBidi"/>
          <w:szCs w:val="22"/>
          <w:lang w:eastAsia="en-AU"/>
        </w:rPr>
      </w:pPr>
      <w:r>
        <w:t>113D.</w:t>
      </w:r>
      <w:r>
        <w:tab/>
        <w:t>Terms used</w:t>
      </w:r>
      <w:r>
        <w:tab/>
      </w:r>
      <w:r>
        <w:fldChar w:fldCharType="begin"/>
      </w:r>
      <w:r>
        <w:instrText xml:space="preserve"> PAGEREF _Toc359316829 \h </w:instrText>
      </w:r>
      <w:r>
        <w:fldChar w:fldCharType="separate"/>
      </w:r>
      <w:r>
        <w:t>126</w:t>
      </w:r>
      <w:r>
        <w:fldChar w:fldCharType="end"/>
      </w:r>
    </w:p>
    <w:p>
      <w:pPr>
        <w:pStyle w:val="TOC8"/>
        <w:rPr>
          <w:rFonts w:asciiTheme="minorHAnsi" w:eastAsiaTheme="minorEastAsia" w:hAnsiTheme="minorHAnsi" w:cstheme="minorBidi"/>
          <w:szCs w:val="22"/>
          <w:lang w:eastAsia="en-AU"/>
        </w:rPr>
      </w:pPr>
      <w:r>
        <w:t>113E.</w:t>
      </w:r>
      <w:r>
        <w:tab/>
        <w:t>Prohibited activities</w:t>
      </w:r>
      <w:r>
        <w:tab/>
      </w:r>
      <w:r>
        <w:fldChar w:fldCharType="begin"/>
      </w:r>
      <w:r>
        <w:instrText xml:space="preserve"> PAGEREF _Toc359316830 \h </w:instrText>
      </w:r>
      <w:r>
        <w:fldChar w:fldCharType="separate"/>
      </w:r>
      <w:r>
        <w:t>126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10 — Register</w:t>
      </w:r>
    </w:p>
    <w:p>
      <w:pPr>
        <w:pStyle w:val="TOC8"/>
        <w:rPr>
          <w:rFonts w:asciiTheme="minorHAnsi" w:eastAsiaTheme="minorEastAsia" w:hAnsiTheme="minorHAnsi" w:cstheme="minorBidi"/>
          <w:szCs w:val="22"/>
          <w:lang w:eastAsia="en-AU"/>
        </w:rPr>
      </w:pPr>
      <w:r>
        <w:t>114</w:t>
      </w:r>
      <w:r>
        <w:rPr>
          <w:snapToGrid w:val="0"/>
        </w:rPr>
        <w:t>.</w:t>
      </w:r>
      <w:r>
        <w:rPr>
          <w:snapToGrid w:val="0"/>
        </w:rPr>
        <w:tab/>
        <w:t>Hours, place and fees prescribed (Act s. 124)</w:t>
      </w:r>
      <w:r>
        <w:tab/>
      </w:r>
      <w:r>
        <w:fldChar w:fldCharType="begin"/>
      </w:r>
      <w:r>
        <w:instrText xml:space="preserve"> PAGEREF _Toc359316832 \h </w:instrText>
      </w:r>
      <w:r>
        <w:fldChar w:fldCharType="separate"/>
      </w:r>
      <w:r>
        <w:t>127</w:t>
      </w:r>
      <w:r>
        <w:fldChar w:fldCharType="end"/>
      </w:r>
    </w:p>
    <w:p>
      <w:pPr>
        <w:pStyle w:val="TOC8"/>
        <w:rPr>
          <w:rFonts w:asciiTheme="minorHAnsi" w:eastAsiaTheme="minorEastAsia" w:hAnsiTheme="minorHAnsi" w:cstheme="minorBidi"/>
          <w:szCs w:val="22"/>
          <w:lang w:eastAsia="en-AU"/>
        </w:rPr>
      </w:pPr>
      <w:r>
        <w:t>115</w:t>
      </w:r>
      <w:r>
        <w:rPr>
          <w:snapToGrid w:val="0"/>
        </w:rPr>
        <w:t>.</w:t>
      </w:r>
      <w:r>
        <w:rPr>
          <w:snapToGrid w:val="0"/>
        </w:rPr>
        <w:tab/>
        <w:t>Details prescribed (Act s. 126(e))</w:t>
      </w:r>
      <w:r>
        <w:tab/>
      </w:r>
      <w:r>
        <w:fldChar w:fldCharType="begin"/>
      </w:r>
      <w:r>
        <w:instrText xml:space="preserve"> PAGEREF _Toc359316833 \h </w:instrText>
      </w:r>
      <w:r>
        <w:fldChar w:fldCharType="separate"/>
      </w:r>
      <w:r>
        <w:t>127</w:t>
      </w:r>
      <w:r>
        <w:fldChar w:fldCharType="end"/>
      </w:r>
    </w:p>
    <w:p>
      <w:pPr>
        <w:pStyle w:val="TOC8"/>
        <w:rPr>
          <w:rFonts w:asciiTheme="minorHAnsi" w:eastAsiaTheme="minorEastAsia" w:hAnsiTheme="minorHAnsi" w:cstheme="minorBidi"/>
          <w:szCs w:val="22"/>
          <w:lang w:eastAsia="en-AU"/>
        </w:rPr>
      </w:pPr>
      <w:r>
        <w:t>116</w:t>
      </w:r>
      <w:r>
        <w:rPr>
          <w:snapToGrid w:val="0"/>
        </w:rPr>
        <w:t>.</w:t>
      </w:r>
      <w:r>
        <w:rPr>
          <w:snapToGrid w:val="0"/>
        </w:rPr>
        <w:tab/>
        <w:t>Details of security interest prescribed (Act s. 128(2)(c))</w:t>
      </w:r>
      <w:r>
        <w:tab/>
      </w:r>
      <w:r>
        <w:fldChar w:fldCharType="begin"/>
      </w:r>
      <w:r>
        <w:instrText xml:space="preserve"> PAGEREF _Toc359316834 \h </w:instrText>
      </w:r>
      <w:r>
        <w:fldChar w:fldCharType="separate"/>
      </w:r>
      <w:r>
        <w:t>128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11 — Authorisations</w:t>
      </w:r>
    </w:p>
    <w:p>
      <w:pPr>
        <w:pStyle w:val="TOC4"/>
        <w:tabs>
          <w:tab w:val="right" w:leader="dot" w:pos="7086"/>
        </w:tabs>
        <w:rPr>
          <w:rFonts w:asciiTheme="minorHAnsi" w:eastAsiaTheme="minorEastAsia" w:hAnsiTheme="minorHAnsi" w:cstheme="minorBidi"/>
          <w:b w:val="0"/>
          <w:szCs w:val="22"/>
          <w:lang w:eastAsia="en-AU"/>
        </w:rPr>
      </w:pPr>
      <w:r>
        <w:t>Division 1 — Commercial fishing</w:t>
      </w:r>
    </w:p>
    <w:p>
      <w:pPr>
        <w:pStyle w:val="TOC8"/>
        <w:rPr>
          <w:rFonts w:asciiTheme="minorHAnsi" w:eastAsiaTheme="minorEastAsia" w:hAnsiTheme="minorHAnsi" w:cstheme="minorBidi"/>
          <w:szCs w:val="22"/>
          <w:lang w:eastAsia="en-AU"/>
        </w:rPr>
      </w:pPr>
      <w:r>
        <w:t>117</w:t>
      </w:r>
      <w:r>
        <w:rPr>
          <w:snapToGrid w:val="0"/>
        </w:rPr>
        <w:t>.</w:t>
      </w:r>
      <w:r>
        <w:rPr>
          <w:snapToGrid w:val="0"/>
        </w:rPr>
        <w:tab/>
        <w:t>Fishing boats, duties of masters etc. as to licences, LFB numbers etc.</w:t>
      </w:r>
      <w:r>
        <w:tab/>
      </w:r>
      <w:r>
        <w:fldChar w:fldCharType="begin"/>
      </w:r>
      <w:r>
        <w:instrText xml:space="preserve"> PAGEREF _Toc359316837 \h </w:instrText>
      </w:r>
      <w:r>
        <w:fldChar w:fldCharType="separate"/>
      </w:r>
      <w:r>
        <w:t>129</w:t>
      </w:r>
      <w:r>
        <w:fldChar w:fldCharType="end"/>
      </w:r>
    </w:p>
    <w:p>
      <w:pPr>
        <w:pStyle w:val="TOC8"/>
        <w:rPr>
          <w:rFonts w:asciiTheme="minorHAnsi" w:eastAsiaTheme="minorEastAsia" w:hAnsiTheme="minorHAnsi" w:cstheme="minorBidi"/>
          <w:szCs w:val="22"/>
          <w:lang w:eastAsia="en-AU"/>
        </w:rPr>
      </w:pPr>
      <w:r>
        <w:t>118</w:t>
      </w:r>
      <w:r>
        <w:rPr>
          <w:snapToGrid w:val="0"/>
        </w:rPr>
        <w:t>.</w:t>
      </w:r>
      <w:r>
        <w:rPr>
          <w:snapToGrid w:val="0"/>
        </w:rPr>
        <w:tab/>
        <w:t>Fishing boat licences, grant of</w:t>
      </w:r>
      <w:r>
        <w:tab/>
      </w:r>
      <w:r>
        <w:fldChar w:fldCharType="begin"/>
      </w:r>
      <w:r>
        <w:instrText xml:space="preserve"> PAGEREF _Toc359316838 \h </w:instrText>
      </w:r>
      <w:r>
        <w:fldChar w:fldCharType="separate"/>
      </w:r>
      <w:r>
        <w:t>130</w:t>
      </w:r>
      <w:r>
        <w:fldChar w:fldCharType="end"/>
      </w:r>
    </w:p>
    <w:p>
      <w:pPr>
        <w:pStyle w:val="TOC8"/>
        <w:rPr>
          <w:rFonts w:asciiTheme="minorHAnsi" w:eastAsiaTheme="minorEastAsia" w:hAnsiTheme="minorHAnsi" w:cstheme="minorBidi"/>
          <w:szCs w:val="22"/>
          <w:lang w:eastAsia="en-AU"/>
        </w:rPr>
      </w:pPr>
      <w:r>
        <w:t>118A.</w:t>
      </w:r>
      <w:r>
        <w:tab/>
        <w:t>Fishing boat licence of no effect in some circumstances</w:t>
      </w:r>
      <w:r>
        <w:tab/>
      </w:r>
      <w:r>
        <w:fldChar w:fldCharType="begin"/>
      </w:r>
      <w:r>
        <w:instrText xml:space="preserve"> PAGEREF _Toc359316839 \h </w:instrText>
      </w:r>
      <w:r>
        <w:fldChar w:fldCharType="separate"/>
      </w:r>
      <w:r>
        <w:t>131</w:t>
      </w:r>
      <w:r>
        <w:fldChar w:fldCharType="end"/>
      </w:r>
    </w:p>
    <w:p>
      <w:pPr>
        <w:pStyle w:val="TOC8"/>
        <w:rPr>
          <w:rFonts w:asciiTheme="minorHAnsi" w:eastAsiaTheme="minorEastAsia" w:hAnsiTheme="minorHAnsi" w:cstheme="minorBidi"/>
          <w:szCs w:val="22"/>
          <w:lang w:eastAsia="en-AU"/>
        </w:rPr>
      </w:pPr>
      <w:r>
        <w:t>119</w:t>
      </w:r>
      <w:r>
        <w:rPr>
          <w:snapToGrid w:val="0"/>
        </w:rPr>
        <w:t>.</w:t>
      </w:r>
      <w:r>
        <w:rPr>
          <w:snapToGrid w:val="0"/>
        </w:rPr>
        <w:tab/>
        <w:t>Carrier boats, duties of masters etc. as to licences, LCB numbers etc.</w:t>
      </w:r>
      <w:r>
        <w:tab/>
      </w:r>
      <w:r>
        <w:fldChar w:fldCharType="begin"/>
      </w:r>
      <w:r>
        <w:instrText xml:space="preserve"> PAGEREF _Toc359316840 \h </w:instrText>
      </w:r>
      <w:r>
        <w:fldChar w:fldCharType="separate"/>
      </w:r>
      <w:r>
        <w:t>132</w:t>
      </w:r>
      <w:r>
        <w:fldChar w:fldCharType="end"/>
      </w:r>
    </w:p>
    <w:p>
      <w:pPr>
        <w:pStyle w:val="TOC8"/>
        <w:rPr>
          <w:rFonts w:asciiTheme="minorHAnsi" w:eastAsiaTheme="minorEastAsia" w:hAnsiTheme="minorHAnsi" w:cstheme="minorBidi"/>
          <w:szCs w:val="22"/>
          <w:lang w:eastAsia="en-AU"/>
        </w:rPr>
      </w:pPr>
      <w:r>
        <w:t>120</w:t>
      </w:r>
      <w:r>
        <w:rPr>
          <w:snapToGrid w:val="0"/>
        </w:rPr>
        <w:t>.</w:t>
      </w:r>
      <w:r>
        <w:rPr>
          <w:snapToGrid w:val="0"/>
        </w:rPr>
        <w:tab/>
        <w:t>Carrier boat licences, grant of</w:t>
      </w:r>
      <w:r>
        <w:tab/>
      </w:r>
      <w:r>
        <w:fldChar w:fldCharType="begin"/>
      </w:r>
      <w:r>
        <w:instrText xml:space="preserve"> PAGEREF _Toc359316841 \h </w:instrText>
      </w:r>
      <w:r>
        <w:fldChar w:fldCharType="separate"/>
      </w:r>
      <w:r>
        <w:t>133</w:t>
      </w:r>
      <w:r>
        <w:fldChar w:fldCharType="end"/>
      </w:r>
    </w:p>
    <w:p>
      <w:pPr>
        <w:pStyle w:val="TOC8"/>
        <w:rPr>
          <w:rFonts w:asciiTheme="minorHAnsi" w:eastAsiaTheme="minorEastAsia" w:hAnsiTheme="minorHAnsi" w:cstheme="minorBidi"/>
          <w:szCs w:val="22"/>
          <w:lang w:eastAsia="en-AU"/>
        </w:rPr>
      </w:pPr>
      <w:r>
        <w:t>121</w:t>
      </w:r>
      <w:r>
        <w:rPr>
          <w:snapToGrid w:val="0"/>
        </w:rPr>
        <w:t>.</w:t>
      </w:r>
      <w:r>
        <w:rPr>
          <w:snapToGrid w:val="0"/>
        </w:rPr>
        <w:tab/>
        <w:t>Commercial fishing licence, when required</w:t>
      </w:r>
      <w:r>
        <w:tab/>
      </w:r>
      <w:r>
        <w:fldChar w:fldCharType="begin"/>
      </w:r>
      <w:r>
        <w:instrText xml:space="preserve"> PAGEREF _Toc359316842 \h </w:instrText>
      </w:r>
      <w:r>
        <w:fldChar w:fldCharType="separate"/>
      </w:r>
      <w:r>
        <w:t>134</w:t>
      </w:r>
      <w:r>
        <w:fldChar w:fldCharType="end"/>
      </w:r>
    </w:p>
    <w:p>
      <w:pPr>
        <w:pStyle w:val="TOC8"/>
        <w:rPr>
          <w:rFonts w:asciiTheme="minorHAnsi" w:eastAsiaTheme="minorEastAsia" w:hAnsiTheme="minorHAnsi" w:cstheme="minorBidi"/>
          <w:szCs w:val="22"/>
          <w:lang w:eastAsia="en-AU"/>
        </w:rPr>
      </w:pPr>
      <w:r>
        <w:t>122</w:t>
      </w:r>
      <w:r>
        <w:rPr>
          <w:snapToGrid w:val="0"/>
        </w:rPr>
        <w:t>.</w:t>
      </w:r>
      <w:r>
        <w:rPr>
          <w:snapToGrid w:val="0"/>
        </w:rPr>
        <w:tab/>
        <w:t>Commercial fishing licences, grant of</w:t>
      </w:r>
      <w:r>
        <w:tab/>
      </w:r>
      <w:r>
        <w:fldChar w:fldCharType="begin"/>
      </w:r>
      <w:r>
        <w:instrText xml:space="preserve"> PAGEREF _Toc359316843 \h </w:instrText>
      </w:r>
      <w:r>
        <w:fldChar w:fldCharType="separate"/>
      </w:r>
      <w:r>
        <w:t>134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Recreational fishing</w:t>
      </w:r>
    </w:p>
    <w:p>
      <w:pPr>
        <w:pStyle w:val="TOC6"/>
        <w:tabs>
          <w:tab w:val="right" w:leader="dot" w:pos="7086"/>
        </w:tabs>
        <w:rPr>
          <w:rFonts w:asciiTheme="minorHAnsi" w:eastAsiaTheme="minorEastAsia" w:hAnsiTheme="minorHAnsi" w:cstheme="minorBidi"/>
          <w:b w:val="0"/>
          <w:sz w:val="22"/>
          <w:szCs w:val="22"/>
          <w:lang w:eastAsia="en-AU"/>
        </w:rPr>
      </w:pPr>
      <w:r>
        <w:t>Subdivision 1 — Recreational fishing licence</w:t>
      </w:r>
    </w:p>
    <w:p>
      <w:pPr>
        <w:pStyle w:val="TOC8"/>
        <w:rPr>
          <w:rFonts w:asciiTheme="minorHAnsi" w:eastAsiaTheme="minorEastAsia" w:hAnsiTheme="minorHAnsi" w:cstheme="minorBidi"/>
          <w:szCs w:val="22"/>
          <w:lang w:eastAsia="en-AU"/>
        </w:rPr>
      </w:pPr>
      <w:r>
        <w:t>123</w:t>
      </w:r>
      <w:r>
        <w:rPr>
          <w:snapToGrid w:val="0"/>
        </w:rPr>
        <w:t>.</w:t>
      </w:r>
      <w:r>
        <w:rPr>
          <w:snapToGrid w:val="0"/>
        </w:rPr>
        <w:tab/>
        <w:t>Recreational fishing licence, when required</w:t>
      </w:r>
      <w:r>
        <w:tab/>
      </w:r>
      <w:r>
        <w:fldChar w:fldCharType="begin"/>
      </w:r>
      <w:r>
        <w:instrText xml:space="preserve"> PAGEREF _Toc359316846 \h </w:instrText>
      </w:r>
      <w:r>
        <w:fldChar w:fldCharType="separate"/>
      </w:r>
      <w:r>
        <w:t>134</w:t>
      </w:r>
      <w:r>
        <w:fldChar w:fldCharType="end"/>
      </w:r>
    </w:p>
    <w:p>
      <w:pPr>
        <w:pStyle w:val="TOC8"/>
        <w:rPr>
          <w:rFonts w:asciiTheme="minorHAnsi" w:eastAsiaTheme="minorEastAsia" w:hAnsiTheme="minorHAnsi" w:cstheme="minorBidi"/>
          <w:szCs w:val="22"/>
          <w:lang w:eastAsia="en-AU"/>
        </w:rPr>
      </w:pPr>
      <w:r>
        <w:t>124</w:t>
      </w:r>
      <w:r>
        <w:rPr>
          <w:snapToGrid w:val="0"/>
        </w:rPr>
        <w:t>.</w:t>
      </w:r>
      <w:r>
        <w:rPr>
          <w:snapToGrid w:val="0"/>
        </w:rPr>
        <w:tab/>
        <w:t>Recreational fishing licences, grant of</w:t>
      </w:r>
      <w:r>
        <w:tab/>
      </w:r>
      <w:r>
        <w:fldChar w:fldCharType="begin"/>
      </w:r>
      <w:r>
        <w:instrText xml:space="preserve"> PAGEREF _Toc359316847 \h </w:instrText>
      </w:r>
      <w:r>
        <w:fldChar w:fldCharType="separate"/>
      </w:r>
      <w:r>
        <w:t>135</w:t>
      </w:r>
      <w:r>
        <w:fldChar w:fldCharType="end"/>
      </w:r>
    </w:p>
    <w:p>
      <w:pPr>
        <w:pStyle w:val="TOC8"/>
        <w:rPr>
          <w:rFonts w:asciiTheme="minorHAnsi" w:eastAsiaTheme="minorEastAsia" w:hAnsiTheme="minorHAnsi" w:cstheme="minorBidi"/>
          <w:szCs w:val="22"/>
          <w:lang w:eastAsia="en-AU"/>
        </w:rPr>
      </w:pPr>
      <w:r>
        <w:t>124A.</w:t>
      </w:r>
      <w:r>
        <w:tab/>
        <w:t>Recreational fishing licence receipt may have effect as a recreational fishing licence</w:t>
      </w:r>
      <w:r>
        <w:tab/>
      </w:r>
      <w:r>
        <w:fldChar w:fldCharType="begin"/>
      </w:r>
      <w:r>
        <w:instrText xml:space="preserve"> PAGEREF _Toc359316848 \h </w:instrText>
      </w:r>
      <w:r>
        <w:fldChar w:fldCharType="separate"/>
      </w:r>
      <w:r>
        <w:t>136</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Recreational (boat) fishing licence</w:t>
      </w:r>
    </w:p>
    <w:p>
      <w:pPr>
        <w:pStyle w:val="TOC8"/>
        <w:rPr>
          <w:rFonts w:asciiTheme="minorHAnsi" w:eastAsiaTheme="minorEastAsia" w:hAnsiTheme="minorHAnsi" w:cstheme="minorBidi"/>
          <w:szCs w:val="22"/>
          <w:lang w:eastAsia="en-AU"/>
        </w:rPr>
      </w:pPr>
      <w:r>
        <w:t>124B.</w:t>
      </w:r>
      <w:r>
        <w:tab/>
        <w:t>Recreational (boat) fishing licence, when required</w:t>
      </w:r>
      <w:r>
        <w:tab/>
      </w:r>
      <w:r>
        <w:fldChar w:fldCharType="begin"/>
      </w:r>
      <w:r>
        <w:instrText xml:space="preserve"> PAGEREF _Toc359316850 \h </w:instrText>
      </w:r>
      <w:r>
        <w:fldChar w:fldCharType="separate"/>
      </w:r>
      <w:r>
        <w:t>137</w:t>
      </w:r>
      <w:r>
        <w:fldChar w:fldCharType="end"/>
      </w:r>
    </w:p>
    <w:p>
      <w:pPr>
        <w:pStyle w:val="TOC8"/>
        <w:rPr>
          <w:rFonts w:asciiTheme="minorHAnsi" w:eastAsiaTheme="minorEastAsia" w:hAnsiTheme="minorHAnsi" w:cstheme="minorBidi"/>
          <w:szCs w:val="22"/>
          <w:lang w:eastAsia="en-AU"/>
        </w:rPr>
      </w:pPr>
      <w:r>
        <w:t>124C.</w:t>
      </w:r>
      <w:r>
        <w:tab/>
        <w:t>Recreational (boat) fishing licences, grant of</w:t>
      </w:r>
      <w:r>
        <w:tab/>
      </w:r>
      <w:r>
        <w:fldChar w:fldCharType="begin"/>
      </w:r>
      <w:r>
        <w:instrText xml:space="preserve"> PAGEREF _Toc359316851 \h </w:instrText>
      </w:r>
      <w:r>
        <w:fldChar w:fldCharType="separate"/>
      </w:r>
      <w:r>
        <w:t>138</w:t>
      </w:r>
      <w:r>
        <w:fldChar w:fldCharType="end"/>
      </w:r>
    </w:p>
    <w:p>
      <w:pPr>
        <w:pStyle w:val="TOC8"/>
        <w:rPr>
          <w:rFonts w:asciiTheme="minorHAnsi" w:eastAsiaTheme="minorEastAsia" w:hAnsiTheme="minorHAnsi" w:cstheme="minorBidi"/>
          <w:szCs w:val="22"/>
          <w:lang w:eastAsia="en-AU"/>
        </w:rPr>
      </w:pPr>
      <w:r>
        <w:t>124D.</w:t>
      </w:r>
      <w:r>
        <w:tab/>
        <w:t>Recreational fishing (boat) licence receipt may have effect as a recreational (boat) fishing licence</w:t>
      </w:r>
      <w:r>
        <w:tab/>
      </w:r>
      <w:r>
        <w:fldChar w:fldCharType="begin"/>
      </w:r>
      <w:r>
        <w:instrText xml:space="preserve"> PAGEREF _Toc359316852 \h </w:instrText>
      </w:r>
      <w:r>
        <w:fldChar w:fldCharType="separate"/>
      </w:r>
      <w:r>
        <w:t>138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Specific fish or specific methods of fishing</w:t>
      </w:r>
    </w:p>
    <w:p>
      <w:pPr>
        <w:pStyle w:val="TOC8"/>
        <w:rPr>
          <w:rFonts w:asciiTheme="minorHAnsi" w:eastAsiaTheme="minorEastAsia" w:hAnsiTheme="minorHAnsi" w:cstheme="minorBidi"/>
          <w:szCs w:val="22"/>
          <w:lang w:eastAsia="en-AU"/>
        </w:rPr>
      </w:pPr>
      <w:r>
        <w:t>125</w:t>
      </w:r>
      <w:r>
        <w:rPr>
          <w:snapToGrid w:val="0"/>
        </w:rPr>
        <w:t>.</w:t>
      </w:r>
      <w:r>
        <w:rPr>
          <w:snapToGrid w:val="0"/>
        </w:rPr>
        <w:tab/>
        <w:t>Rock lobster pot licence, when required</w:t>
      </w:r>
      <w:r>
        <w:tab/>
      </w:r>
      <w:r>
        <w:fldChar w:fldCharType="begin"/>
      </w:r>
      <w:r>
        <w:instrText xml:space="preserve"> PAGEREF _Toc359316854 \h </w:instrText>
      </w:r>
      <w:r>
        <w:fldChar w:fldCharType="separate"/>
      </w:r>
      <w:r>
        <w:t>139</w:t>
      </w:r>
      <w:r>
        <w:fldChar w:fldCharType="end"/>
      </w:r>
    </w:p>
    <w:p>
      <w:pPr>
        <w:pStyle w:val="TOC8"/>
        <w:rPr>
          <w:rFonts w:asciiTheme="minorHAnsi" w:eastAsiaTheme="minorEastAsia" w:hAnsiTheme="minorHAnsi" w:cstheme="minorBidi"/>
          <w:szCs w:val="22"/>
          <w:lang w:eastAsia="en-AU"/>
        </w:rPr>
      </w:pPr>
      <w:r>
        <w:t>126</w:t>
      </w:r>
      <w:r>
        <w:rPr>
          <w:snapToGrid w:val="0"/>
        </w:rPr>
        <w:t>.</w:t>
      </w:r>
      <w:r>
        <w:rPr>
          <w:snapToGrid w:val="0"/>
        </w:rPr>
        <w:tab/>
        <w:t>Rock lobster pot licence, grant of</w:t>
      </w:r>
      <w:r>
        <w:tab/>
      </w:r>
      <w:r>
        <w:fldChar w:fldCharType="begin"/>
      </w:r>
      <w:r>
        <w:instrText xml:space="preserve"> PAGEREF _Toc359316855 \h </w:instrText>
      </w:r>
      <w:r>
        <w:fldChar w:fldCharType="separate"/>
      </w:r>
      <w:r>
        <w:t>140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Aquatic eco</w:t>
      </w:r>
      <w:r>
        <w:noBreakHyphen/>
        <w:t>tourism operators</w:t>
      </w:r>
    </w:p>
    <w:p>
      <w:pPr>
        <w:pStyle w:val="TOC8"/>
        <w:rPr>
          <w:rFonts w:asciiTheme="minorHAnsi" w:eastAsiaTheme="minorEastAsia" w:hAnsiTheme="minorHAnsi" w:cstheme="minorBidi"/>
          <w:szCs w:val="22"/>
          <w:lang w:eastAsia="en-AU"/>
        </w:rPr>
      </w:pPr>
      <w:r>
        <w:t>128A.</w:t>
      </w:r>
      <w:r>
        <w:tab/>
        <w:t>Aquatic eco</w:t>
      </w:r>
      <w:r>
        <w:noBreakHyphen/>
        <w:t>tourism operator’s licence, when required</w:t>
      </w:r>
      <w:r>
        <w:tab/>
      </w:r>
      <w:r>
        <w:fldChar w:fldCharType="begin"/>
      </w:r>
      <w:r>
        <w:instrText xml:space="preserve"> PAGEREF _Toc359316857 \h </w:instrText>
      </w:r>
      <w:r>
        <w:fldChar w:fldCharType="separate"/>
      </w:r>
      <w:r>
        <w:t>140</w:t>
      </w:r>
      <w:r>
        <w:fldChar w:fldCharType="end"/>
      </w:r>
    </w:p>
    <w:p>
      <w:pPr>
        <w:pStyle w:val="TOC8"/>
        <w:rPr>
          <w:rFonts w:asciiTheme="minorHAnsi" w:eastAsiaTheme="minorEastAsia" w:hAnsiTheme="minorHAnsi" w:cstheme="minorBidi"/>
          <w:szCs w:val="22"/>
          <w:lang w:eastAsia="en-AU"/>
        </w:rPr>
      </w:pPr>
      <w:r>
        <w:t>128B.</w:t>
      </w:r>
      <w:r>
        <w:tab/>
        <w:t>Aquatic eco</w:t>
      </w:r>
      <w:r>
        <w:noBreakHyphen/>
        <w:t>tourism operator’s licence, grant of</w:t>
      </w:r>
      <w:r>
        <w:tab/>
      </w:r>
      <w:r>
        <w:fldChar w:fldCharType="begin"/>
      </w:r>
      <w:r>
        <w:instrText xml:space="preserve"> PAGEREF _Toc359316858 \h </w:instrText>
      </w:r>
      <w:r>
        <w:fldChar w:fldCharType="separate"/>
      </w:r>
      <w:r>
        <w:t>141</w:t>
      </w:r>
      <w:r>
        <w:fldChar w:fldCharType="end"/>
      </w:r>
    </w:p>
    <w:p>
      <w:pPr>
        <w:pStyle w:val="TOC8"/>
        <w:rPr>
          <w:rFonts w:asciiTheme="minorHAnsi" w:eastAsiaTheme="minorEastAsia" w:hAnsiTheme="minorHAnsi" w:cstheme="minorBidi"/>
          <w:szCs w:val="22"/>
          <w:lang w:eastAsia="en-AU"/>
        </w:rPr>
      </w:pPr>
      <w:r>
        <w:t>128D.</w:t>
      </w:r>
      <w:r>
        <w:tab/>
        <w:t>Documents to be carried on boat etc. connected with aquatic eco-tour</w:t>
      </w:r>
      <w:r>
        <w:tab/>
      </w:r>
      <w:r>
        <w:fldChar w:fldCharType="begin"/>
      </w:r>
      <w:r>
        <w:instrText xml:space="preserve"> PAGEREF _Toc359316859 \h </w:instrText>
      </w:r>
      <w:r>
        <w:fldChar w:fldCharType="separate"/>
      </w:r>
      <w:r>
        <w:t>142</w:t>
      </w:r>
      <w:r>
        <w:fldChar w:fldCharType="end"/>
      </w:r>
    </w:p>
    <w:p>
      <w:pPr>
        <w:pStyle w:val="TOC8"/>
        <w:rPr>
          <w:rFonts w:asciiTheme="minorHAnsi" w:eastAsiaTheme="minorEastAsia" w:hAnsiTheme="minorHAnsi" w:cstheme="minorBidi"/>
          <w:szCs w:val="22"/>
          <w:lang w:eastAsia="en-AU"/>
        </w:rPr>
      </w:pPr>
      <w:r>
        <w:t>128E.</w:t>
      </w:r>
      <w:r>
        <w:tab/>
        <w:t>Licence holders, duties of as to records and returns</w:t>
      </w:r>
      <w:r>
        <w:tab/>
      </w:r>
      <w:r>
        <w:fldChar w:fldCharType="begin"/>
      </w:r>
      <w:r>
        <w:instrText xml:space="preserve"> PAGEREF _Toc359316860 \h </w:instrText>
      </w:r>
      <w:r>
        <w:fldChar w:fldCharType="separate"/>
      </w:r>
      <w:r>
        <w:t>143</w:t>
      </w:r>
      <w:r>
        <w:fldChar w:fldCharType="end"/>
      </w:r>
    </w:p>
    <w:p>
      <w:pPr>
        <w:pStyle w:val="TOC8"/>
        <w:rPr>
          <w:rFonts w:asciiTheme="minorHAnsi" w:eastAsiaTheme="minorEastAsia" w:hAnsiTheme="minorHAnsi" w:cstheme="minorBidi"/>
          <w:szCs w:val="22"/>
          <w:lang w:eastAsia="en-AU"/>
        </w:rPr>
      </w:pPr>
      <w:r>
        <w:t>128G.</w:t>
      </w:r>
      <w:r>
        <w:tab/>
        <w:t>Fishing etc. and fish prohibited on aquatic eco</w:t>
      </w:r>
      <w:r>
        <w:noBreakHyphen/>
        <w:t>tour</w:t>
      </w:r>
      <w:r>
        <w:tab/>
      </w:r>
      <w:r>
        <w:fldChar w:fldCharType="begin"/>
      </w:r>
      <w:r>
        <w:instrText xml:space="preserve"> PAGEREF _Toc359316861 \h </w:instrText>
      </w:r>
      <w:r>
        <w:fldChar w:fldCharType="separate"/>
      </w:r>
      <w:r>
        <w:t>144</w:t>
      </w:r>
      <w:r>
        <w:fldChar w:fldCharType="end"/>
      </w:r>
    </w:p>
    <w:p>
      <w:pPr>
        <w:pStyle w:val="TOC8"/>
        <w:rPr>
          <w:rFonts w:asciiTheme="minorHAnsi" w:eastAsiaTheme="minorEastAsia" w:hAnsiTheme="minorHAnsi" w:cstheme="minorBidi"/>
          <w:szCs w:val="22"/>
          <w:lang w:eastAsia="en-AU"/>
        </w:rPr>
      </w:pPr>
      <w:r>
        <w:t>128HA.</w:t>
      </w:r>
      <w:r>
        <w:tab/>
        <w:t>Shark tourism activities prohibited on aquatic eco-tour</w:t>
      </w:r>
      <w:r>
        <w:tab/>
      </w:r>
      <w:r>
        <w:fldChar w:fldCharType="begin"/>
      </w:r>
      <w:r>
        <w:instrText xml:space="preserve"> PAGEREF _Toc359316862 \h </w:instrText>
      </w:r>
      <w:r>
        <w:fldChar w:fldCharType="separate"/>
      </w:r>
      <w:r>
        <w:t>144</w:t>
      </w:r>
      <w:r>
        <w:fldChar w:fldCharType="end"/>
      </w:r>
    </w:p>
    <w:p>
      <w:pPr>
        <w:pStyle w:val="TOC8"/>
        <w:rPr>
          <w:rFonts w:asciiTheme="minorHAnsi" w:eastAsiaTheme="minorEastAsia" w:hAnsiTheme="minorHAnsi" w:cstheme="minorBidi"/>
          <w:szCs w:val="22"/>
          <w:lang w:eastAsia="en-AU"/>
        </w:rPr>
      </w:pPr>
      <w:r>
        <w:t>128H.</w:t>
      </w:r>
      <w:r>
        <w:tab/>
        <w:t>Boat not to be used for both commercial fishing and aquatic eco</w:t>
      </w:r>
      <w:r>
        <w:noBreakHyphen/>
        <w:t>tour during single trip</w:t>
      </w:r>
      <w:r>
        <w:tab/>
      </w:r>
      <w:r>
        <w:fldChar w:fldCharType="begin"/>
      </w:r>
      <w:r>
        <w:instrText xml:space="preserve"> PAGEREF _Toc359316863 \h </w:instrText>
      </w:r>
      <w:r>
        <w:fldChar w:fldCharType="separate"/>
      </w:r>
      <w:r>
        <w:t>145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Fishing tour operators</w:t>
      </w:r>
    </w:p>
    <w:p>
      <w:pPr>
        <w:pStyle w:val="TOC8"/>
        <w:rPr>
          <w:rFonts w:asciiTheme="minorHAnsi" w:eastAsiaTheme="minorEastAsia" w:hAnsiTheme="minorHAnsi" w:cstheme="minorBidi"/>
          <w:szCs w:val="22"/>
          <w:lang w:eastAsia="en-AU"/>
        </w:rPr>
      </w:pPr>
      <w:r>
        <w:t>128I.</w:t>
      </w:r>
      <w:r>
        <w:tab/>
        <w:t>Fishing tour operator’s licence, when required</w:t>
      </w:r>
      <w:r>
        <w:tab/>
      </w:r>
      <w:r>
        <w:fldChar w:fldCharType="begin"/>
      </w:r>
      <w:r>
        <w:instrText xml:space="preserve"> PAGEREF _Toc359316865 \h </w:instrText>
      </w:r>
      <w:r>
        <w:fldChar w:fldCharType="separate"/>
      </w:r>
      <w:r>
        <w:t>145</w:t>
      </w:r>
      <w:r>
        <w:fldChar w:fldCharType="end"/>
      </w:r>
    </w:p>
    <w:p>
      <w:pPr>
        <w:pStyle w:val="TOC8"/>
        <w:rPr>
          <w:rFonts w:asciiTheme="minorHAnsi" w:eastAsiaTheme="minorEastAsia" w:hAnsiTheme="minorHAnsi" w:cstheme="minorBidi"/>
          <w:szCs w:val="22"/>
          <w:lang w:eastAsia="en-AU"/>
        </w:rPr>
      </w:pPr>
      <w:r>
        <w:t>128J.</w:t>
      </w:r>
      <w:r>
        <w:tab/>
        <w:t>Fishing tour operator’s licence, grant of</w:t>
      </w:r>
      <w:r>
        <w:tab/>
      </w:r>
      <w:r>
        <w:fldChar w:fldCharType="begin"/>
      </w:r>
      <w:r>
        <w:instrText xml:space="preserve"> PAGEREF _Toc359316866 \h </w:instrText>
      </w:r>
      <w:r>
        <w:fldChar w:fldCharType="separate"/>
      </w:r>
      <w:r>
        <w:t>146</w:t>
      </w:r>
      <w:r>
        <w:fldChar w:fldCharType="end"/>
      </w:r>
    </w:p>
    <w:p>
      <w:pPr>
        <w:pStyle w:val="TOC8"/>
        <w:rPr>
          <w:rFonts w:asciiTheme="minorHAnsi" w:eastAsiaTheme="minorEastAsia" w:hAnsiTheme="minorHAnsi" w:cstheme="minorBidi"/>
          <w:szCs w:val="22"/>
          <w:lang w:eastAsia="en-AU"/>
        </w:rPr>
      </w:pPr>
      <w:r>
        <w:t>128K.</w:t>
      </w:r>
      <w:r>
        <w:tab/>
        <w:t>Master of fishing boat used for fishing tours to notify Department of commercial fishing trip</w:t>
      </w:r>
      <w:r>
        <w:tab/>
      </w:r>
      <w:r>
        <w:fldChar w:fldCharType="begin"/>
      </w:r>
      <w:r>
        <w:instrText xml:space="preserve"> PAGEREF _Toc359316867 \h </w:instrText>
      </w:r>
      <w:r>
        <w:fldChar w:fldCharType="separate"/>
      </w:r>
      <w:r>
        <w:t>147</w:t>
      </w:r>
      <w:r>
        <w:fldChar w:fldCharType="end"/>
      </w:r>
    </w:p>
    <w:p>
      <w:pPr>
        <w:pStyle w:val="TOC8"/>
        <w:rPr>
          <w:rFonts w:asciiTheme="minorHAnsi" w:eastAsiaTheme="minorEastAsia" w:hAnsiTheme="minorHAnsi" w:cstheme="minorBidi"/>
          <w:szCs w:val="22"/>
          <w:lang w:eastAsia="en-AU"/>
        </w:rPr>
      </w:pPr>
      <w:r>
        <w:t>128L.</w:t>
      </w:r>
      <w:r>
        <w:tab/>
        <w:t>Documents to be carried on boat etc. connected with fishing tour</w:t>
      </w:r>
      <w:r>
        <w:tab/>
      </w:r>
      <w:r>
        <w:fldChar w:fldCharType="begin"/>
      </w:r>
      <w:r>
        <w:instrText xml:space="preserve"> PAGEREF _Toc359316868 \h </w:instrText>
      </w:r>
      <w:r>
        <w:fldChar w:fldCharType="separate"/>
      </w:r>
      <w:r>
        <w:t>148</w:t>
      </w:r>
      <w:r>
        <w:fldChar w:fldCharType="end"/>
      </w:r>
    </w:p>
    <w:p>
      <w:pPr>
        <w:pStyle w:val="TOC8"/>
        <w:rPr>
          <w:rFonts w:asciiTheme="minorHAnsi" w:eastAsiaTheme="minorEastAsia" w:hAnsiTheme="minorHAnsi" w:cstheme="minorBidi"/>
          <w:szCs w:val="22"/>
          <w:lang w:eastAsia="en-AU"/>
        </w:rPr>
      </w:pPr>
      <w:r>
        <w:t>128M.</w:t>
      </w:r>
      <w:r>
        <w:tab/>
        <w:t>Operators etc. to ensure participants in fishing tour comply with recreational fishing laws</w:t>
      </w:r>
      <w:r>
        <w:tab/>
      </w:r>
      <w:r>
        <w:fldChar w:fldCharType="begin"/>
      </w:r>
      <w:r>
        <w:instrText xml:space="preserve"> PAGEREF _Toc359316869 \h </w:instrText>
      </w:r>
      <w:r>
        <w:fldChar w:fldCharType="separate"/>
      </w:r>
      <w:r>
        <w:t>148</w:t>
      </w:r>
      <w:r>
        <w:fldChar w:fldCharType="end"/>
      </w:r>
    </w:p>
    <w:p>
      <w:pPr>
        <w:pStyle w:val="TOC8"/>
        <w:rPr>
          <w:rFonts w:asciiTheme="minorHAnsi" w:eastAsiaTheme="minorEastAsia" w:hAnsiTheme="minorHAnsi" w:cstheme="minorBidi"/>
          <w:szCs w:val="22"/>
          <w:lang w:eastAsia="en-AU"/>
        </w:rPr>
      </w:pPr>
      <w:r>
        <w:t>128OA.</w:t>
      </w:r>
      <w:r>
        <w:tab/>
        <w:t>Shark tourism activities prohibited on fishing tour</w:t>
      </w:r>
      <w:r>
        <w:tab/>
      </w:r>
      <w:r>
        <w:fldChar w:fldCharType="begin"/>
      </w:r>
      <w:r>
        <w:instrText xml:space="preserve"> PAGEREF _Toc359316870 \h </w:instrText>
      </w:r>
      <w:r>
        <w:fldChar w:fldCharType="separate"/>
      </w:r>
      <w:r>
        <w:t>149</w:t>
      </w:r>
      <w:r>
        <w:fldChar w:fldCharType="end"/>
      </w:r>
    </w:p>
    <w:p>
      <w:pPr>
        <w:pStyle w:val="TOC8"/>
        <w:rPr>
          <w:rFonts w:asciiTheme="minorHAnsi" w:eastAsiaTheme="minorEastAsia" w:hAnsiTheme="minorHAnsi" w:cstheme="minorBidi"/>
          <w:szCs w:val="22"/>
          <w:lang w:eastAsia="en-AU"/>
        </w:rPr>
      </w:pPr>
      <w:r>
        <w:t>128O.</w:t>
      </w:r>
      <w:r>
        <w:tab/>
        <w:t>Sale of fish taken on fishing tour prohibited</w:t>
      </w:r>
      <w:r>
        <w:tab/>
      </w:r>
      <w:r>
        <w:fldChar w:fldCharType="begin"/>
      </w:r>
      <w:r>
        <w:instrText xml:space="preserve"> PAGEREF _Toc359316871 \h </w:instrText>
      </w:r>
      <w:r>
        <w:fldChar w:fldCharType="separate"/>
      </w:r>
      <w:r>
        <w:t>149</w:t>
      </w:r>
      <w:r>
        <w:fldChar w:fldCharType="end"/>
      </w:r>
    </w:p>
    <w:p>
      <w:pPr>
        <w:pStyle w:val="TOC8"/>
        <w:rPr>
          <w:rFonts w:asciiTheme="minorHAnsi" w:eastAsiaTheme="minorEastAsia" w:hAnsiTheme="minorHAnsi" w:cstheme="minorBidi"/>
          <w:szCs w:val="22"/>
          <w:lang w:eastAsia="en-AU"/>
        </w:rPr>
      </w:pPr>
      <w:r>
        <w:t>128P.</w:t>
      </w:r>
      <w:r>
        <w:tab/>
        <w:t>Boat not to be used for both commercial fishing and fishing tour during single trip</w:t>
      </w:r>
      <w:r>
        <w:tab/>
      </w:r>
      <w:r>
        <w:fldChar w:fldCharType="begin"/>
      </w:r>
      <w:r>
        <w:instrText xml:space="preserve"> PAGEREF _Toc359316872 \h </w:instrText>
      </w:r>
      <w:r>
        <w:fldChar w:fldCharType="separate"/>
      </w:r>
      <w:r>
        <w:t>150</w:t>
      </w:r>
      <w:r>
        <w:fldChar w:fldCharType="end"/>
      </w:r>
    </w:p>
    <w:p>
      <w:pPr>
        <w:pStyle w:val="TOC8"/>
        <w:rPr>
          <w:rFonts w:asciiTheme="minorHAnsi" w:eastAsiaTheme="minorEastAsia" w:hAnsiTheme="minorHAnsi" w:cstheme="minorBidi"/>
          <w:szCs w:val="22"/>
          <w:lang w:eastAsia="en-AU"/>
        </w:rPr>
      </w:pPr>
      <w:r>
        <w:t>128R.</w:t>
      </w:r>
      <w:r>
        <w:tab/>
        <w:t>Person in charge of restricted fishing tour not to permit rod on boat</w:t>
      </w:r>
      <w:r>
        <w:tab/>
      </w:r>
      <w:r>
        <w:fldChar w:fldCharType="begin"/>
      </w:r>
      <w:r>
        <w:instrText xml:space="preserve"> PAGEREF _Toc359316873 \h </w:instrText>
      </w:r>
      <w:r>
        <w:fldChar w:fldCharType="separate"/>
      </w:r>
      <w:r>
        <w:t>150</w:t>
      </w:r>
      <w:r>
        <w:fldChar w:fldCharType="end"/>
      </w:r>
    </w:p>
    <w:p>
      <w:pPr>
        <w:pStyle w:val="TOC8"/>
        <w:rPr>
          <w:rFonts w:asciiTheme="minorHAnsi" w:eastAsiaTheme="minorEastAsia" w:hAnsiTheme="minorHAnsi" w:cstheme="minorBidi"/>
          <w:szCs w:val="22"/>
          <w:lang w:eastAsia="en-AU"/>
        </w:rPr>
      </w:pPr>
      <w:r>
        <w:t>128S.</w:t>
      </w:r>
      <w:r>
        <w:tab/>
        <w:t>Restricted fishing tours, limits on fishing etc. by participants etc.</w:t>
      </w:r>
      <w:r>
        <w:tab/>
      </w:r>
      <w:r>
        <w:fldChar w:fldCharType="begin"/>
      </w:r>
      <w:r>
        <w:instrText xml:space="preserve"> PAGEREF _Toc359316874 \h </w:instrText>
      </w:r>
      <w:r>
        <w:fldChar w:fldCharType="separate"/>
      </w:r>
      <w:r>
        <w:t>150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6A — Replacement of cancelled authorisations</w:t>
      </w:r>
    </w:p>
    <w:p>
      <w:pPr>
        <w:pStyle w:val="TOC8"/>
        <w:rPr>
          <w:rFonts w:asciiTheme="minorHAnsi" w:eastAsiaTheme="minorEastAsia" w:hAnsiTheme="minorHAnsi" w:cstheme="minorBidi"/>
          <w:szCs w:val="22"/>
          <w:lang w:eastAsia="en-AU"/>
        </w:rPr>
      </w:pPr>
      <w:r>
        <w:t>129A.</w:t>
      </w:r>
      <w:r>
        <w:tab/>
        <w:t>Terms used</w:t>
      </w:r>
      <w:r>
        <w:tab/>
      </w:r>
      <w:r>
        <w:fldChar w:fldCharType="begin"/>
      </w:r>
      <w:r>
        <w:instrText xml:space="preserve"> PAGEREF _Toc359316876 \h </w:instrText>
      </w:r>
      <w:r>
        <w:fldChar w:fldCharType="separate"/>
      </w:r>
      <w:r>
        <w:t>151</w:t>
      </w:r>
      <w:r>
        <w:fldChar w:fldCharType="end"/>
      </w:r>
    </w:p>
    <w:p>
      <w:pPr>
        <w:pStyle w:val="TOC8"/>
        <w:rPr>
          <w:rFonts w:asciiTheme="minorHAnsi" w:eastAsiaTheme="minorEastAsia" w:hAnsiTheme="minorHAnsi" w:cstheme="minorBidi"/>
          <w:szCs w:val="22"/>
          <w:lang w:eastAsia="en-AU"/>
        </w:rPr>
      </w:pPr>
      <w:r>
        <w:t>129B.</w:t>
      </w:r>
      <w:r>
        <w:tab/>
        <w:t>CEO may grant certain replacement authorisations</w:t>
      </w:r>
      <w:r>
        <w:tab/>
      </w:r>
      <w:r>
        <w:fldChar w:fldCharType="begin"/>
      </w:r>
      <w:r>
        <w:instrText xml:space="preserve"> PAGEREF _Toc359316877 \h </w:instrText>
      </w:r>
      <w:r>
        <w:fldChar w:fldCharType="separate"/>
      </w:r>
      <w:r>
        <w:t>152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 — General</w:t>
      </w:r>
    </w:p>
    <w:p>
      <w:pPr>
        <w:pStyle w:val="TOC8"/>
        <w:rPr>
          <w:rFonts w:asciiTheme="minorHAnsi" w:eastAsiaTheme="minorEastAsia" w:hAnsiTheme="minorHAnsi" w:cstheme="minorBidi"/>
          <w:szCs w:val="22"/>
          <w:lang w:eastAsia="en-AU"/>
        </w:rPr>
      </w:pPr>
      <w:r>
        <w:t>129</w:t>
      </w:r>
      <w:r>
        <w:rPr>
          <w:snapToGrid w:val="0"/>
        </w:rPr>
        <w:t>.</w:t>
      </w:r>
      <w:r>
        <w:rPr>
          <w:snapToGrid w:val="0"/>
        </w:rPr>
        <w:tab/>
        <w:t>Lost etc. authorisations, replacement of</w:t>
      </w:r>
      <w:r>
        <w:tab/>
      </w:r>
      <w:r>
        <w:fldChar w:fldCharType="begin"/>
      </w:r>
      <w:r>
        <w:instrText xml:space="preserve"> PAGEREF _Toc359316879 \h </w:instrText>
      </w:r>
      <w:r>
        <w:fldChar w:fldCharType="separate"/>
      </w:r>
      <w:r>
        <w:t>153</w:t>
      </w:r>
      <w:r>
        <w:fldChar w:fldCharType="end"/>
      </w:r>
    </w:p>
    <w:p>
      <w:pPr>
        <w:pStyle w:val="TOC8"/>
        <w:rPr>
          <w:rFonts w:asciiTheme="minorHAnsi" w:eastAsiaTheme="minorEastAsia" w:hAnsiTheme="minorHAnsi" w:cstheme="minorBidi"/>
          <w:szCs w:val="22"/>
          <w:lang w:eastAsia="en-AU"/>
        </w:rPr>
      </w:pPr>
      <w:r>
        <w:t>130</w:t>
      </w:r>
      <w:r>
        <w:rPr>
          <w:snapToGrid w:val="0"/>
        </w:rPr>
        <w:t>.</w:t>
      </w:r>
      <w:r>
        <w:rPr>
          <w:snapToGrid w:val="0"/>
        </w:rPr>
        <w:tab/>
        <w:t>Conditions of licences, imposition of etc.</w:t>
      </w:r>
      <w:r>
        <w:tab/>
      </w:r>
      <w:r>
        <w:fldChar w:fldCharType="begin"/>
      </w:r>
      <w:r>
        <w:instrText xml:space="preserve"> PAGEREF _Toc359316880 \h </w:instrText>
      </w:r>
      <w:r>
        <w:fldChar w:fldCharType="separate"/>
      </w:r>
      <w:r>
        <w:t>153</w:t>
      </w:r>
      <w:r>
        <w:fldChar w:fldCharType="end"/>
      </w:r>
    </w:p>
    <w:p>
      <w:pPr>
        <w:pStyle w:val="TOC8"/>
        <w:rPr>
          <w:rFonts w:asciiTheme="minorHAnsi" w:eastAsiaTheme="minorEastAsia" w:hAnsiTheme="minorHAnsi" w:cstheme="minorBidi"/>
          <w:szCs w:val="22"/>
          <w:lang w:eastAsia="en-AU"/>
        </w:rPr>
      </w:pPr>
      <w:r>
        <w:t>130A.</w:t>
      </w:r>
      <w:r>
        <w:tab/>
        <w:t>Boat used for aquatic eco</w:t>
      </w:r>
      <w:r>
        <w:noBreakHyphen/>
        <w:t>tourism or fishing tour to be identified</w:t>
      </w:r>
      <w:r>
        <w:tab/>
      </w:r>
      <w:r>
        <w:fldChar w:fldCharType="begin"/>
      </w:r>
      <w:r>
        <w:instrText xml:space="preserve"> PAGEREF _Toc359316881 \h </w:instrText>
      </w:r>
      <w:r>
        <w:fldChar w:fldCharType="separate"/>
      </w:r>
      <w:r>
        <w:t>154</w:t>
      </w:r>
      <w:r>
        <w:fldChar w:fldCharType="end"/>
      </w:r>
    </w:p>
    <w:p>
      <w:pPr>
        <w:pStyle w:val="TOC8"/>
        <w:rPr>
          <w:rFonts w:asciiTheme="minorHAnsi" w:eastAsiaTheme="minorEastAsia" w:hAnsiTheme="minorHAnsi" w:cstheme="minorBidi"/>
          <w:szCs w:val="22"/>
          <w:lang w:eastAsia="en-AU"/>
        </w:rPr>
      </w:pPr>
      <w:r>
        <w:t>131</w:t>
      </w:r>
      <w:r>
        <w:rPr>
          <w:snapToGrid w:val="0"/>
        </w:rPr>
        <w:t>.</w:t>
      </w:r>
      <w:r>
        <w:rPr>
          <w:snapToGrid w:val="0"/>
        </w:rPr>
        <w:tab/>
        <w:t>Grounds for refusal of transfer of authorisations etc. prescribed (Act s. 140(2)(b))</w:t>
      </w:r>
      <w:r>
        <w:tab/>
      </w:r>
      <w:r>
        <w:fldChar w:fldCharType="begin"/>
      </w:r>
      <w:r>
        <w:instrText xml:space="preserve"> PAGEREF _Toc359316882 \h </w:instrText>
      </w:r>
      <w:r>
        <w:fldChar w:fldCharType="separate"/>
      </w:r>
      <w:r>
        <w:t>154</w:t>
      </w:r>
      <w:r>
        <w:fldChar w:fldCharType="end"/>
      </w:r>
    </w:p>
    <w:p>
      <w:pPr>
        <w:pStyle w:val="TOC8"/>
        <w:rPr>
          <w:rFonts w:asciiTheme="minorHAnsi" w:eastAsiaTheme="minorEastAsia" w:hAnsiTheme="minorHAnsi" w:cstheme="minorBidi"/>
          <w:szCs w:val="22"/>
          <w:lang w:eastAsia="en-AU"/>
        </w:rPr>
      </w:pPr>
      <w:r>
        <w:t>132</w:t>
      </w:r>
      <w:r>
        <w:rPr>
          <w:snapToGrid w:val="0"/>
        </w:rPr>
        <w:t>.</w:t>
      </w:r>
      <w:r>
        <w:rPr>
          <w:snapToGrid w:val="0"/>
        </w:rPr>
        <w:tab/>
        <w:t>Short term use of boat instead of lost etc. licensed fishing boat etc., authorisation of</w:t>
      </w:r>
      <w:r>
        <w:tab/>
      </w:r>
      <w:r>
        <w:fldChar w:fldCharType="begin"/>
      </w:r>
      <w:r>
        <w:instrText xml:space="preserve"> PAGEREF _Toc359316883 \h </w:instrText>
      </w:r>
      <w:r>
        <w:fldChar w:fldCharType="separate"/>
      </w:r>
      <w:r>
        <w:t>155</w:t>
      </w:r>
      <w:r>
        <w:fldChar w:fldCharType="end"/>
      </w:r>
    </w:p>
    <w:p>
      <w:pPr>
        <w:pStyle w:val="TOC8"/>
        <w:rPr>
          <w:rFonts w:asciiTheme="minorHAnsi" w:eastAsiaTheme="minorEastAsia" w:hAnsiTheme="minorHAnsi" w:cstheme="minorBidi"/>
          <w:szCs w:val="22"/>
          <w:lang w:eastAsia="en-AU"/>
        </w:rPr>
      </w:pPr>
      <w:r>
        <w:t>133</w:t>
      </w:r>
      <w:r>
        <w:rPr>
          <w:snapToGrid w:val="0"/>
        </w:rPr>
        <w:t>.</w:t>
      </w:r>
      <w:r>
        <w:rPr>
          <w:snapToGrid w:val="0"/>
        </w:rPr>
        <w:tab/>
        <w:t>Duration of licences</w:t>
      </w:r>
      <w:r>
        <w:tab/>
      </w:r>
      <w:r>
        <w:fldChar w:fldCharType="begin"/>
      </w:r>
      <w:r>
        <w:instrText xml:space="preserve"> PAGEREF _Toc359316884 \h </w:instrText>
      </w:r>
      <w:r>
        <w:fldChar w:fldCharType="separate"/>
      </w:r>
      <w:r>
        <w:t>156</w:t>
      </w:r>
      <w:r>
        <w:fldChar w:fldCharType="end"/>
      </w:r>
    </w:p>
    <w:p>
      <w:pPr>
        <w:pStyle w:val="TOC8"/>
        <w:rPr>
          <w:rFonts w:asciiTheme="minorHAnsi" w:eastAsiaTheme="minorEastAsia" w:hAnsiTheme="minorHAnsi" w:cstheme="minorBidi"/>
          <w:szCs w:val="22"/>
          <w:lang w:eastAsia="en-AU"/>
        </w:rPr>
      </w:pPr>
      <w:r>
        <w:t>134</w:t>
      </w:r>
      <w:r>
        <w:rPr>
          <w:snapToGrid w:val="0"/>
        </w:rPr>
        <w:t>.</w:t>
      </w:r>
      <w:r>
        <w:rPr>
          <w:snapToGrid w:val="0"/>
        </w:rPr>
        <w:tab/>
        <w:t>Renewal of licences</w:t>
      </w:r>
      <w:r>
        <w:tab/>
      </w:r>
      <w:r>
        <w:fldChar w:fldCharType="begin"/>
      </w:r>
      <w:r>
        <w:instrText xml:space="preserve"> PAGEREF _Toc359316885 \h </w:instrText>
      </w:r>
      <w:r>
        <w:fldChar w:fldCharType="separate"/>
      </w:r>
      <w:r>
        <w:t>157</w:t>
      </w:r>
      <w:r>
        <w:fldChar w:fldCharType="end"/>
      </w:r>
    </w:p>
    <w:p>
      <w:pPr>
        <w:pStyle w:val="TOC8"/>
        <w:rPr>
          <w:rFonts w:asciiTheme="minorHAnsi" w:eastAsiaTheme="minorEastAsia" w:hAnsiTheme="minorHAnsi" w:cstheme="minorBidi"/>
          <w:szCs w:val="22"/>
          <w:lang w:eastAsia="en-AU"/>
        </w:rPr>
      </w:pPr>
      <w:r>
        <w:t>135</w:t>
      </w:r>
      <w:r>
        <w:rPr>
          <w:snapToGrid w:val="0"/>
        </w:rPr>
        <w:t>.</w:t>
      </w:r>
      <w:r>
        <w:rPr>
          <w:snapToGrid w:val="0"/>
        </w:rPr>
        <w:tab/>
        <w:t>Application fees</w:t>
      </w:r>
      <w:r>
        <w:tab/>
      </w:r>
      <w:r>
        <w:fldChar w:fldCharType="begin"/>
      </w:r>
      <w:r>
        <w:instrText xml:space="preserve"> PAGEREF _Toc359316886 \h </w:instrText>
      </w:r>
      <w:r>
        <w:fldChar w:fldCharType="separate"/>
      </w:r>
      <w:r>
        <w:t>157</w:t>
      </w:r>
      <w:r>
        <w:fldChar w:fldCharType="end"/>
      </w:r>
    </w:p>
    <w:p>
      <w:pPr>
        <w:pStyle w:val="TOC8"/>
        <w:rPr>
          <w:rFonts w:asciiTheme="minorHAnsi" w:eastAsiaTheme="minorEastAsia" w:hAnsiTheme="minorHAnsi" w:cstheme="minorBidi"/>
          <w:szCs w:val="22"/>
          <w:lang w:eastAsia="en-AU"/>
        </w:rPr>
      </w:pPr>
      <w:r>
        <w:t>136</w:t>
      </w:r>
      <w:r>
        <w:rPr>
          <w:snapToGrid w:val="0"/>
        </w:rPr>
        <w:t>.</w:t>
      </w:r>
      <w:r>
        <w:rPr>
          <w:snapToGrid w:val="0"/>
        </w:rPr>
        <w:tab/>
        <w:t>Recreational fishing licence fee halved for pensioners etc.</w:t>
      </w:r>
      <w:r>
        <w:tab/>
      </w:r>
      <w:r>
        <w:fldChar w:fldCharType="begin"/>
      </w:r>
      <w:r>
        <w:instrText xml:space="preserve"> PAGEREF _Toc359316887 \h </w:instrText>
      </w:r>
      <w:r>
        <w:fldChar w:fldCharType="separate"/>
      </w:r>
      <w:r>
        <w:t>157</w:t>
      </w:r>
      <w:r>
        <w:fldChar w:fldCharType="end"/>
      </w:r>
    </w:p>
    <w:p>
      <w:pPr>
        <w:pStyle w:val="TOC8"/>
        <w:rPr>
          <w:rFonts w:asciiTheme="minorHAnsi" w:eastAsiaTheme="minorEastAsia" w:hAnsiTheme="minorHAnsi" w:cstheme="minorBidi"/>
          <w:szCs w:val="22"/>
          <w:lang w:eastAsia="en-AU"/>
        </w:rPr>
      </w:pPr>
      <w:r>
        <w:t>137</w:t>
      </w:r>
      <w:r>
        <w:rPr>
          <w:snapToGrid w:val="0"/>
        </w:rPr>
        <w:t>.</w:t>
      </w:r>
      <w:r>
        <w:rPr>
          <w:snapToGrid w:val="0"/>
        </w:rPr>
        <w:tab/>
        <w:t>Fees for grant or renewal of authorisation</w:t>
      </w:r>
      <w:r>
        <w:tab/>
      </w:r>
      <w:r>
        <w:fldChar w:fldCharType="begin"/>
      </w:r>
      <w:r>
        <w:instrText xml:space="preserve"> PAGEREF _Toc359316888 \h </w:instrText>
      </w:r>
      <w:r>
        <w:fldChar w:fldCharType="separate"/>
      </w:r>
      <w:r>
        <w:t>158</w:t>
      </w:r>
      <w:r>
        <w:fldChar w:fldCharType="end"/>
      </w:r>
    </w:p>
    <w:p>
      <w:pPr>
        <w:pStyle w:val="TOC8"/>
        <w:rPr>
          <w:rFonts w:asciiTheme="minorHAnsi" w:eastAsiaTheme="minorEastAsia" w:hAnsiTheme="minorHAnsi" w:cstheme="minorBidi"/>
          <w:szCs w:val="22"/>
          <w:lang w:eastAsia="en-AU"/>
        </w:rPr>
      </w:pPr>
      <w:r>
        <w:t>138</w:t>
      </w:r>
      <w:r>
        <w:rPr>
          <w:snapToGrid w:val="0"/>
        </w:rPr>
        <w:t>.</w:t>
      </w:r>
      <w:r>
        <w:rPr>
          <w:snapToGrid w:val="0"/>
        </w:rPr>
        <w:tab/>
        <w:t>Transfer of part of entitlement not permitted in some cases</w:t>
      </w:r>
      <w:r>
        <w:tab/>
      </w:r>
      <w:r>
        <w:fldChar w:fldCharType="begin"/>
      </w:r>
      <w:r>
        <w:instrText xml:space="preserve"> PAGEREF _Toc359316889 \h </w:instrText>
      </w:r>
      <w:r>
        <w:fldChar w:fldCharType="separate"/>
      </w:r>
      <w:r>
        <w:t>160</w:t>
      </w:r>
      <w:r>
        <w:fldChar w:fldCharType="end"/>
      </w:r>
    </w:p>
    <w:p>
      <w:pPr>
        <w:pStyle w:val="TOC8"/>
        <w:rPr>
          <w:rFonts w:asciiTheme="minorHAnsi" w:eastAsiaTheme="minorEastAsia" w:hAnsiTheme="minorHAnsi" w:cstheme="minorBidi"/>
          <w:szCs w:val="22"/>
          <w:lang w:eastAsia="en-AU"/>
        </w:rPr>
      </w:pPr>
      <w:r>
        <w:t>139</w:t>
      </w:r>
      <w:r>
        <w:rPr>
          <w:snapToGrid w:val="0"/>
        </w:rPr>
        <w:t>.</w:t>
      </w:r>
      <w:r>
        <w:rPr>
          <w:snapToGrid w:val="0"/>
        </w:rPr>
        <w:tab/>
        <w:t>Change of name or address, duty to notify CEO</w:t>
      </w:r>
      <w:r>
        <w:tab/>
      </w:r>
      <w:r>
        <w:fldChar w:fldCharType="begin"/>
      </w:r>
      <w:r>
        <w:instrText xml:space="preserve"> PAGEREF _Toc359316890 \h </w:instrText>
      </w:r>
      <w:r>
        <w:fldChar w:fldCharType="separate"/>
      </w:r>
      <w:r>
        <w:t>160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12 — Fish trafficking</w:t>
      </w:r>
    </w:p>
    <w:p>
      <w:pPr>
        <w:pStyle w:val="TOC8"/>
        <w:rPr>
          <w:rFonts w:asciiTheme="minorHAnsi" w:eastAsiaTheme="minorEastAsia" w:hAnsiTheme="minorHAnsi" w:cstheme="minorBidi"/>
          <w:szCs w:val="22"/>
          <w:lang w:eastAsia="en-AU"/>
        </w:rPr>
      </w:pPr>
      <w:r>
        <w:t>140.</w:t>
      </w:r>
      <w:r>
        <w:tab/>
        <w:t>Priority fish</w:t>
      </w:r>
      <w:r>
        <w:tab/>
      </w:r>
      <w:r>
        <w:fldChar w:fldCharType="begin"/>
      </w:r>
      <w:r>
        <w:instrText xml:space="preserve"> PAGEREF _Toc359316892 \h </w:instrText>
      </w:r>
      <w:r>
        <w:fldChar w:fldCharType="separate"/>
      </w:r>
      <w:r>
        <w:t>161</w:t>
      </w:r>
      <w:r>
        <w:fldChar w:fldCharType="end"/>
      </w:r>
    </w:p>
    <w:p>
      <w:pPr>
        <w:pStyle w:val="TOC8"/>
        <w:rPr>
          <w:rFonts w:asciiTheme="minorHAnsi" w:eastAsiaTheme="minorEastAsia" w:hAnsiTheme="minorHAnsi" w:cstheme="minorBidi"/>
          <w:szCs w:val="22"/>
          <w:lang w:eastAsia="en-AU"/>
        </w:rPr>
      </w:pPr>
      <w:r>
        <w:t>141.</w:t>
      </w:r>
      <w:r>
        <w:tab/>
        <w:t>Commercial quantity</w:t>
      </w:r>
      <w:r>
        <w:tab/>
      </w:r>
      <w:r>
        <w:fldChar w:fldCharType="begin"/>
      </w:r>
      <w:r>
        <w:instrText xml:space="preserve"> PAGEREF _Toc359316893 \h </w:instrText>
      </w:r>
      <w:r>
        <w:fldChar w:fldCharType="separate"/>
      </w:r>
      <w:r>
        <w:t>161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13 — Miscellaneous offences</w:t>
      </w:r>
    </w:p>
    <w:p>
      <w:pPr>
        <w:pStyle w:val="TOC8"/>
        <w:rPr>
          <w:rFonts w:asciiTheme="minorHAnsi" w:eastAsiaTheme="minorEastAsia" w:hAnsiTheme="minorHAnsi" w:cstheme="minorBidi"/>
          <w:szCs w:val="22"/>
          <w:lang w:eastAsia="en-AU"/>
        </w:rPr>
      </w:pPr>
      <w:r>
        <w:t>144</w:t>
      </w:r>
      <w:r>
        <w:rPr>
          <w:snapToGrid w:val="0"/>
        </w:rPr>
        <w:t>.</w:t>
      </w:r>
      <w:r>
        <w:rPr>
          <w:snapToGrid w:val="0"/>
        </w:rPr>
        <w:tab/>
        <w:t>Certain activities in bays etc. and as to use of traps prohibited</w:t>
      </w:r>
      <w:r>
        <w:tab/>
      </w:r>
      <w:r>
        <w:fldChar w:fldCharType="begin"/>
      </w:r>
      <w:r>
        <w:instrText xml:space="preserve"> PAGEREF _Toc359316895 \h </w:instrText>
      </w:r>
      <w:r>
        <w:fldChar w:fldCharType="separate"/>
      </w:r>
      <w:r>
        <w:t>163</w:t>
      </w:r>
      <w:r>
        <w:fldChar w:fldCharType="end"/>
      </w:r>
    </w:p>
    <w:p>
      <w:pPr>
        <w:pStyle w:val="TOC8"/>
        <w:rPr>
          <w:rFonts w:asciiTheme="minorHAnsi" w:eastAsiaTheme="minorEastAsia" w:hAnsiTheme="minorHAnsi" w:cstheme="minorBidi"/>
          <w:szCs w:val="22"/>
          <w:lang w:eastAsia="en-AU"/>
        </w:rPr>
      </w:pPr>
      <w:r>
        <w:t>145</w:t>
      </w:r>
      <w:r>
        <w:rPr>
          <w:snapToGrid w:val="0"/>
        </w:rPr>
        <w:t>.</w:t>
      </w:r>
      <w:r>
        <w:rPr>
          <w:snapToGrid w:val="0"/>
        </w:rPr>
        <w:tab/>
        <w:t>Explosives or noxious substances, carriage of on boats</w:t>
      </w:r>
      <w:r>
        <w:tab/>
      </w:r>
      <w:r>
        <w:fldChar w:fldCharType="begin"/>
      </w:r>
      <w:r>
        <w:instrText xml:space="preserve"> PAGEREF _Toc359316896 \h </w:instrText>
      </w:r>
      <w:r>
        <w:fldChar w:fldCharType="separate"/>
      </w:r>
      <w:r>
        <w:t>163</w:t>
      </w:r>
      <w:r>
        <w:fldChar w:fldCharType="end"/>
      </w:r>
    </w:p>
    <w:p>
      <w:pPr>
        <w:pStyle w:val="TOC8"/>
        <w:rPr>
          <w:rFonts w:asciiTheme="minorHAnsi" w:eastAsiaTheme="minorEastAsia" w:hAnsiTheme="minorHAnsi" w:cstheme="minorBidi"/>
          <w:szCs w:val="22"/>
          <w:lang w:eastAsia="en-AU"/>
        </w:rPr>
      </w:pPr>
      <w:r>
        <w:t>146</w:t>
      </w:r>
      <w:r>
        <w:rPr>
          <w:snapToGrid w:val="0"/>
        </w:rPr>
        <w:t>.</w:t>
      </w:r>
      <w:r>
        <w:rPr>
          <w:snapToGrid w:val="0"/>
        </w:rPr>
        <w:tab/>
        <w:t>Explosive or noxious substance used to take fish, presumptions as to possession of</w:t>
      </w:r>
      <w:r>
        <w:tab/>
      </w:r>
      <w:r>
        <w:fldChar w:fldCharType="begin"/>
      </w:r>
      <w:r>
        <w:instrText xml:space="preserve"> PAGEREF _Toc359316897 \h </w:instrText>
      </w:r>
      <w:r>
        <w:fldChar w:fldCharType="separate"/>
      </w:r>
      <w:r>
        <w:t>163</w:t>
      </w:r>
      <w:r>
        <w:fldChar w:fldCharType="end"/>
      </w:r>
    </w:p>
    <w:p>
      <w:pPr>
        <w:pStyle w:val="TOC8"/>
        <w:rPr>
          <w:rFonts w:asciiTheme="minorHAnsi" w:eastAsiaTheme="minorEastAsia" w:hAnsiTheme="minorHAnsi" w:cstheme="minorBidi"/>
          <w:szCs w:val="22"/>
          <w:lang w:eastAsia="en-AU"/>
        </w:rPr>
      </w:pPr>
      <w:r>
        <w:t>147A.</w:t>
      </w:r>
      <w:r>
        <w:tab/>
        <w:t>Arranging for transport by courier business of fish taken recreationally</w:t>
      </w:r>
      <w:r>
        <w:tab/>
      </w:r>
      <w:r>
        <w:fldChar w:fldCharType="begin"/>
      </w:r>
      <w:r>
        <w:instrText xml:space="preserve"> PAGEREF _Toc359316898 \h </w:instrText>
      </w:r>
      <w:r>
        <w:fldChar w:fldCharType="separate"/>
      </w:r>
      <w:r>
        <w:t>164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14 — Fisheries officers</w:t>
      </w:r>
    </w:p>
    <w:p>
      <w:pPr>
        <w:pStyle w:val="TOC8"/>
        <w:rPr>
          <w:rFonts w:asciiTheme="minorHAnsi" w:eastAsiaTheme="minorEastAsia" w:hAnsiTheme="minorHAnsi" w:cstheme="minorBidi"/>
          <w:szCs w:val="22"/>
          <w:lang w:eastAsia="en-AU"/>
        </w:rPr>
      </w:pPr>
      <w:r>
        <w:t>147</w:t>
      </w:r>
      <w:r>
        <w:rPr>
          <w:snapToGrid w:val="0"/>
        </w:rPr>
        <w:t>.</w:t>
      </w:r>
      <w:r>
        <w:rPr>
          <w:snapToGrid w:val="0"/>
        </w:rPr>
        <w:tab/>
        <w:t>Warrant form prescribed (Act s. 187)</w:t>
      </w:r>
      <w:r>
        <w:tab/>
      </w:r>
      <w:r>
        <w:fldChar w:fldCharType="begin"/>
      </w:r>
      <w:r>
        <w:instrText xml:space="preserve"> PAGEREF _Toc359316900 \h </w:instrText>
      </w:r>
      <w:r>
        <w:fldChar w:fldCharType="separate"/>
      </w:r>
      <w:r>
        <w:t>165</w:t>
      </w:r>
      <w:r>
        <w:fldChar w:fldCharType="end"/>
      </w:r>
    </w:p>
    <w:p>
      <w:pPr>
        <w:pStyle w:val="TOC8"/>
        <w:rPr>
          <w:rFonts w:asciiTheme="minorHAnsi" w:eastAsiaTheme="minorEastAsia" w:hAnsiTheme="minorHAnsi" w:cstheme="minorBidi"/>
          <w:szCs w:val="22"/>
          <w:lang w:eastAsia="en-AU"/>
        </w:rPr>
      </w:pPr>
      <w:r>
        <w:t>148</w:t>
      </w:r>
      <w:r>
        <w:rPr>
          <w:snapToGrid w:val="0"/>
        </w:rPr>
        <w:t>.</w:t>
      </w:r>
      <w:r>
        <w:rPr>
          <w:snapToGrid w:val="0"/>
        </w:rPr>
        <w:tab/>
        <w:t>Ways of disposing of fish prescribed (Act s. 194)</w:t>
      </w:r>
      <w:r>
        <w:tab/>
      </w:r>
      <w:r>
        <w:fldChar w:fldCharType="begin"/>
      </w:r>
      <w:r>
        <w:instrText xml:space="preserve"> PAGEREF _Toc359316901 \h </w:instrText>
      </w:r>
      <w:r>
        <w:fldChar w:fldCharType="separate"/>
      </w:r>
      <w:r>
        <w:t>165</w:t>
      </w:r>
      <w:r>
        <w:fldChar w:fldCharType="end"/>
      </w:r>
    </w:p>
    <w:p>
      <w:pPr>
        <w:pStyle w:val="TOC8"/>
        <w:rPr>
          <w:rFonts w:asciiTheme="minorHAnsi" w:eastAsiaTheme="minorEastAsia" w:hAnsiTheme="minorHAnsi" w:cstheme="minorBidi"/>
          <w:szCs w:val="22"/>
          <w:lang w:eastAsia="en-AU"/>
        </w:rPr>
      </w:pPr>
      <w:r>
        <w:t>149</w:t>
      </w:r>
      <w:r>
        <w:rPr>
          <w:snapToGrid w:val="0"/>
        </w:rPr>
        <w:t>.</w:t>
      </w:r>
      <w:r>
        <w:rPr>
          <w:snapToGrid w:val="0"/>
        </w:rPr>
        <w:tab/>
        <w:t>Accounts prescribed (Act s. 194)</w:t>
      </w:r>
      <w:r>
        <w:tab/>
      </w:r>
      <w:r>
        <w:fldChar w:fldCharType="begin"/>
      </w:r>
      <w:r>
        <w:instrText xml:space="preserve"> PAGEREF _Toc359316902 \h </w:instrText>
      </w:r>
      <w:r>
        <w:fldChar w:fldCharType="separate"/>
      </w:r>
      <w:r>
        <w:t>165</w:t>
      </w:r>
      <w:r>
        <w:fldChar w:fldCharType="end"/>
      </w:r>
    </w:p>
    <w:p>
      <w:pPr>
        <w:pStyle w:val="TOC8"/>
        <w:rPr>
          <w:rFonts w:asciiTheme="minorHAnsi" w:eastAsiaTheme="minorEastAsia" w:hAnsiTheme="minorHAnsi" w:cstheme="minorBidi"/>
          <w:szCs w:val="22"/>
          <w:lang w:eastAsia="en-AU"/>
        </w:rPr>
      </w:pPr>
      <w:r>
        <w:t>150</w:t>
      </w:r>
      <w:r>
        <w:rPr>
          <w:snapToGrid w:val="0"/>
        </w:rPr>
        <w:t>.</w:t>
      </w:r>
      <w:r>
        <w:rPr>
          <w:snapToGrid w:val="0"/>
        </w:rPr>
        <w:tab/>
        <w:t>Applying for compensation (Act s. 197(3))</w:t>
      </w:r>
      <w:r>
        <w:tab/>
      </w:r>
      <w:r>
        <w:fldChar w:fldCharType="begin"/>
      </w:r>
      <w:r>
        <w:instrText xml:space="preserve"> PAGEREF _Toc359316903 \h </w:instrText>
      </w:r>
      <w:r>
        <w:fldChar w:fldCharType="separate"/>
      </w:r>
      <w:r>
        <w:t>166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15 — Legal proceedings</w:t>
      </w:r>
    </w:p>
    <w:p>
      <w:pPr>
        <w:pStyle w:val="TOC8"/>
        <w:rPr>
          <w:rFonts w:asciiTheme="minorHAnsi" w:eastAsiaTheme="minorEastAsia" w:hAnsiTheme="minorHAnsi" w:cstheme="minorBidi"/>
          <w:szCs w:val="22"/>
          <w:lang w:eastAsia="en-AU"/>
        </w:rPr>
      </w:pPr>
      <w:r>
        <w:t>151</w:t>
      </w:r>
      <w:r>
        <w:rPr>
          <w:snapToGrid w:val="0"/>
        </w:rPr>
        <w:t>.</w:t>
      </w:r>
      <w:r>
        <w:rPr>
          <w:snapToGrid w:val="0"/>
        </w:rPr>
        <w:tab/>
        <w:t>Method for determining size etc. of fish prescribed (Act s. 214)</w:t>
      </w:r>
      <w:r>
        <w:tab/>
      </w:r>
      <w:r>
        <w:fldChar w:fldCharType="begin"/>
      </w:r>
      <w:r>
        <w:instrText xml:space="preserve"> PAGEREF _Toc359316905 \h </w:instrText>
      </w:r>
      <w:r>
        <w:fldChar w:fldCharType="separate"/>
      </w:r>
      <w:r>
        <w:t>167</w:t>
      </w:r>
      <w:r>
        <w:fldChar w:fldCharType="end"/>
      </w:r>
    </w:p>
    <w:p>
      <w:pPr>
        <w:pStyle w:val="TOC8"/>
        <w:rPr>
          <w:rFonts w:asciiTheme="minorHAnsi" w:eastAsiaTheme="minorEastAsia" w:hAnsiTheme="minorHAnsi" w:cstheme="minorBidi"/>
          <w:szCs w:val="22"/>
          <w:lang w:eastAsia="en-AU"/>
        </w:rPr>
      </w:pPr>
      <w:r>
        <w:t>152.</w:t>
      </w:r>
      <w:r>
        <w:tab/>
        <w:t>Australian datum prescribed (Act s. 216)</w:t>
      </w:r>
      <w:r>
        <w:tab/>
      </w:r>
      <w:r>
        <w:fldChar w:fldCharType="begin"/>
      </w:r>
      <w:r>
        <w:instrText xml:space="preserve"> PAGEREF _Toc359316906 \h </w:instrText>
      </w:r>
      <w:r>
        <w:fldChar w:fldCharType="separate"/>
      </w:r>
      <w:r>
        <w:t>167</w:t>
      </w:r>
      <w:r>
        <w:fldChar w:fldCharType="end"/>
      </w:r>
    </w:p>
    <w:p>
      <w:pPr>
        <w:pStyle w:val="TOC8"/>
        <w:rPr>
          <w:rFonts w:asciiTheme="minorHAnsi" w:eastAsiaTheme="minorEastAsia" w:hAnsiTheme="minorHAnsi" w:cstheme="minorBidi"/>
          <w:szCs w:val="22"/>
          <w:lang w:eastAsia="en-AU"/>
        </w:rPr>
      </w:pPr>
      <w:r>
        <w:t>153</w:t>
      </w:r>
      <w:r>
        <w:rPr>
          <w:snapToGrid w:val="0"/>
        </w:rPr>
        <w:t>.</w:t>
      </w:r>
      <w:r>
        <w:rPr>
          <w:snapToGrid w:val="0"/>
        </w:rPr>
        <w:tab/>
        <w:t>Way of giving notice prescribed (Act s. 219(1))</w:t>
      </w:r>
      <w:r>
        <w:tab/>
      </w:r>
      <w:r>
        <w:fldChar w:fldCharType="begin"/>
      </w:r>
      <w:r>
        <w:instrText xml:space="preserve"> PAGEREF _Toc359316907 \h </w:instrText>
      </w:r>
      <w:r>
        <w:fldChar w:fldCharType="separate"/>
      </w:r>
      <w:r>
        <w:t>168</w:t>
      </w:r>
      <w:r>
        <w:fldChar w:fldCharType="end"/>
      </w:r>
    </w:p>
    <w:p>
      <w:pPr>
        <w:pStyle w:val="TOC8"/>
        <w:rPr>
          <w:rFonts w:asciiTheme="minorHAnsi" w:eastAsiaTheme="minorEastAsia" w:hAnsiTheme="minorHAnsi" w:cstheme="minorBidi"/>
          <w:szCs w:val="22"/>
          <w:lang w:eastAsia="en-AU"/>
        </w:rPr>
      </w:pPr>
      <w:r>
        <w:t>154</w:t>
      </w:r>
      <w:r>
        <w:rPr>
          <w:snapToGrid w:val="0"/>
        </w:rPr>
        <w:t>.</w:t>
      </w:r>
      <w:r>
        <w:rPr>
          <w:snapToGrid w:val="0"/>
        </w:rPr>
        <w:tab/>
        <w:t>Things forfeited to Crown, disposal of</w:t>
      </w:r>
      <w:r>
        <w:tab/>
      </w:r>
      <w:r>
        <w:fldChar w:fldCharType="begin"/>
      </w:r>
      <w:r>
        <w:instrText xml:space="preserve"> PAGEREF _Toc359316908 \h </w:instrText>
      </w:r>
      <w:r>
        <w:fldChar w:fldCharType="separate"/>
      </w:r>
      <w:r>
        <w:t>168</w:t>
      </w:r>
      <w:r>
        <w:fldChar w:fldCharType="end"/>
      </w:r>
    </w:p>
    <w:p>
      <w:pPr>
        <w:pStyle w:val="TOC8"/>
        <w:rPr>
          <w:rFonts w:asciiTheme="minorHAnsi" w:eastAsiaTheme="minorEastAsia" w:hAnsiTheme="minorHAnsi" w:cstheme="minorBidi"/>
          <w:szCs w:val="22"/>
          <w:lang w:eastAsia="en-AU"/>
        </w:rPr>
      </w:pPr>
      <w:r>
        <w:t>155</w:t>
      </w:r>
      <w:r>
        <w:rPr>
          <w:snapToGrid w:val="0"/>
        </w:rPr>
        <w:t>.</w:t>
      </w:r>
      <w:r>
        <w:rPr>
          <w:snapToGrid w:val="0"/>
        </w:rPr>
        <w:tab/>
        <w:t>Accounts prescribed (Act s. 221(2))</w:t>
      </w:r>
      <w:r>
        <w:tab/>
      </w:r>
      <w:r>
        <w:fldChar w:fldCharType="begin"/>
      </w:r>
      <w:r>
        <w:instrText xml:space="preserve"> PAGEREF _Toc359316909 \h </w:instrText>
      </w:r>
      <w:r>
        <w:fldChar w:fldCharType="separate"/>
      </w:r>
      <w:r>
        <w:t>169</w:t>
      </w:r>
      <w:r>
        <w:fldChar w:fldCharType="end"/>
      </w:r>
    </w:p>
    <w:p>
      <w:pPr>
        <w:pStyle w:val="TOC8"/>
        <w:rPr>
          <w:rFonts w:asciiTheme="minorHAnsi" w:eastAsiaTheme="minorEastAsia" w:hAnsiTheme="minorHAnsi" w:cstheme="minorBidi"/>
          <w:szCs w:val="22"/>
          <w:lang w:eastAsia="en-AU"/>
        </w:rPr>
      </w:pPr>
      <w:r>
        <w:t>156</w:t>
      </w:r>
      <w:r>
        <w:rPr>
          <w:snapToGrid w:val="0"/>
        </w:rPr>
        <w:t>.</w:t>
      </w:r>
      <w:r>
        <w:rPr>
          <w:snapToGrid w:val="0"/>
        </w:rPr>
        <w:tab/>
        <w:t>Provisions of regulations prescribed (Act s. 222(1))</w:t>
      </w:r>
      <w:r>
        <w:tab/>
      </w:r>
      <w:r>
        <w:fldChar w:fldCharType="begin"/>
      </w:r>
      <w:r>
        <w:instrText xml:space="preserve"> PAGEREF _Toc359316910 \h </w:instrText>
      </w:r>
      <w:r>
        <w:fldChar w:fldCharType="separate"/>
      </w:r>
      <w:r>
        <w:t>169</w:t>
      </w:r>
      <w:r>
        <w:fldChar w:fldCharType="end"/>
      </w:r>
    </w:p>
    <w:p>
      <w:pPr>
        <w:pStyle w:val="TOC8"/>
        <w:rPr>
          <w:rFonts w:asciiTheme="minorHAnsi" w:eastAsiaTheme="minorEastAsia" w:hAnsiTheme="minorHAnsi" w:cstheme="minorBidi"/>
          <w:szCs w:val="22"/>
          <w:lang w:eastAsia="en-AU"/>
        </w:rPr>
      </w:pPr>
      <w:r>
        <w:t>157.</w:t>
      </w:r>
      <w:r>
        <w:tab/>
        <w:t>Values prescribed (Act s. 222(4)(a), (b))</w:t>
      </w:r>
      <w:r>
        <w:tab/>
      </w:r>
      <w:r>
        <w:fldChar w:fldCharType="begin"/>
      </w:r>
      <w:r>
        <w:instrText xml:space="preserve"> PAGEREF _Toc359316911 \h </w:instrText>
      </w:r>
      <w:r>
        <w:fldChar w:fldCharType="separate"/>
      </w:r>
      <w:r>
        <w:t>170</w:t>
      </w:r>
      <w:r>
        <w:fldChar w:fldCharType="end"/>
      </w:r>
    </w:p>
    <w:p>
      <w:pPr>
        <w:pStyle w:val="TOC8"/>
        <w:rPr>
          <w:rFonts w:asciiTheme="minorHAnsi" w:eastAsiaTheme="minorEastAsia" w:hAnsiTheme="minorHAnsi" w:cstheme="minorBidi"/>
          <w:szCs w:val="22"/>
          <w:lang w:eastAsia="en-AU"/>
        </w:rPr>
      </w:pPr>
      <w:r>
        <w:t>158</w:t>
      </w:r>
      <w:r>
        <w:rPr>
          <w:snapToGrid w:val="0"/>
        </w:rPr>
        <w:t>.</w:t>
      </w:r>
      <w:r>
        <w:rPr>
          <w:snapToGrid w:val="0"/>
        </w:rPr>
        <w:tab/>
        <w:t>Offences prescribed (Act s. 224(1)(a))</w:t>
      </w:r>
      <w:r>
        <w:tab/>
      </w:r>
      <w:r>
        <w:fldChar w:fldCharType="begin"/>
      </w:r>
      <w:r>
        <w:instrText xml:space="preserve"> PAGEREF _Toc359316912 \h </w:instrText>
      </w:r>
      <w:r>
        <w:fldChar w:fldCharType="separate"/>
      </w:r>
      <w:r>
        <w:t>170</w:t>
      </w:r>
      <w:r>
        <w:fldChar w:fldCharType="end"/>
      </w:r>
    </w:p>
    <w:p>
      <w:pPr>
        <w:pStyle w:val="TOC8"/>
        <w:rPr>
          <w:rFonts w:asciiTheme="minorHAnsi" w:eastAsiaTheme="minorEastAsia" w:hAnsiTheme="minorHAnsi" w:cstheme="minorBidi"/>
          <w:szCs w:val="22"/>
          <w:lang w:eastAsia="en-AU"/>
        </w:rPr>
      </w:pPr>
      <w:r>
        <w:t>159</w:t>
      </w:r>
      <w:r>
        <w:rPr>
          <w:snapToGrid w:val="0"/>
        </w:rPr>
        <w:t>.</w:t>
      </w:r>
      <w:r>
        <w:rPr>
          <w:snapToGrid w:val="0"/>
        </w:rPr>
        <w:tab/>
        <w:t>Offences prescribed (Act s. 228(1))</w:t>
      </w:r>
      <w:r>
        <w:tab/>
      </w:r>
      <w:r>
        <w:fldChar w:fldCharType="begin"/>
      </w:r>
      <w:r>
        <w:instrText xml:space="preserve"> PAGEREF _Toc359316913 \h </w:instrText>
      </w:r>
      <w:r>
        <w:fldChar w:fldCharType="separate"/>
      </w:r>
      <w:r>
        <w:t>171</w:t>
      </w:r>
      <w:r>
        <w:fldChar w:fldCharType="end"/>
      </w:r>
    </w:p>
    <w:p>
      <w:pPr>
        <w:pStyle w:val="TOC8"/>
        <w:rPr>
          <w:rFonts w:asciiTheme="minorHAnsi" w:eastAsiaTheme="minorEastAsia" w:hAnsiTheme="minorHAnsi" w:cstheme="minorBidi"/>
          <w:szCs w:val="22"/>
          <w:lang w:eastAsia="en-AU"/>
        </w:rPr>
      </w:pPr>
      <w:r>
        <w:t>160</w:t>
      </w:r>
      <w:r>
        <w:rPr>
          <w:snapToGrid w:val="0"/>
        </w:rPr>
        <w:t>.</w:t>
      </w:r>
      <w:r>
        <w:rPr>
          <w:snapToGrid w:val="0"/>
        </w:rPr>
        <w:tab/>
        <w:t>Infringement notice form prescribed (Act s. 229(1))</w:t>
      </w:r>
      <w:r>
        <w:tab/>
      </w:r>
      <w:r>
        <w:fldChar w:fldCharType="begin"/>
      </w:r>
      <w:r>
        <w:instrText xml:space="preserve"> PAGEREF _Toc359316914 \h </w:instrText>
      </w:r>
      <w:r>
        <w:fldChar w:fldCharType="separate"/>
      </w:r>
      <w:r>
        <w:t>171</w:t>
      </w:r>
      <w:r>
        <w:fldChar w:fldCharType="end"/>
      </w:r>
    </w:p>
    <w:p>
      <w:pPr>
        <w:pStyle w:val="TOC8"/>
        <w:rPr>
          <w:rFonts w:asciiTheme="minorHAnsi" w:eastAsiaTheme="minorEastAsia" w:hAnsiTheme="minorHAnsi" w:cstheme="minorBidi"/>
          <w:szCs w:val="22"/>
          <w:lang w:eastAsia="en-AU"/>
        </w:rPr>
      </w:pPr>
      <w:r>
        <w:t>161</w:t>
      </w:r>
      <w:r>
        <w:rPr>
          <w:snapToGrid w:val="0"/>
        </w:rPr>
        <w:t>.</w:t>
      </w:r>
      <w:r>
        <w:rPr>
          <w:snapToGrid w:val="0"/>
        </w:rPr>
        <w:tab/>
        <w:t>Withdrawal of infringement notice form prescribed (Act s. 231(1))</w:t>
      </w:r>
      <w:r>
        <w:tab/>
      </w:r>
      <w:r>
        <w:fldChar w:fldCharType="begin"/>
      </w:r>
      <w:r>
        <w:instrText xml:space="preserve"> PAGEREF _Toc359316915 \h </w:instrText>
      </w:r>
      <w:r>
        <w:fldChar w:fldCharType="separate"/>
      </w:r>
      <w:r>
        <w:t>171</w:t>
      </w:r>
      <w:r>
        <w:fldChar w:fldCharType="end"/>
      </w:r>
    </w:p>
    <w:p>
      <w:pPr>
        <w:pStyle w:val="TOC8"/>
        <w:rPr>
          <w:rFonts w:asciiTheme="minorHAnsi" w:eastAsiaTheme="minorEastAsia" w:hAnsiTheme="minorHAnsi" w:cstheme="minorBidi"/>
          <w:szCs w:val="22"/>
          <w:lang w:eastAsia="en-AU"/>
        </w:rPr>
      </w:pPr>
      <w:r>
        <w:t>162</w:t>
      </w:r>
      <w:r>
        <w:rPr>
          <w:snapToGrid w:val="0"/>
        </w:rPr>
        <w:t>.</w:t>
      </w:r>
      <w:r>
        <w:rPr>
          <w:snapToGrid w:val="0"/>
        </w:rPr>
        <w:tab/>
        <w:t>Modified penalties prescribed (Act s. 229(2))</w:t>
      </w:r>
      <w:r>
        <w:tab/>
      </w:r>
      <w:r>
        <w:fldChar w:fldCharType="begin"/>
      </w:r>
      <w:r>
        <w:instrText xml:space="preserve"> PAGEREF _Toc359316916 \h </w:instrText>
      </w:r>
      <w:r>
        <w:fldChar w:fldCharType="separate"/>
      </w:r>
      <w:r>
        <w:t>171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16 — Financial provisions</w:t>
      </w:r>
    </w:p>
    <w:p>
      <w:pPr>
        <w:pStyle w:val="TOC8"/>
        <w:rPr>
          <w:rFonts w:asciiTheme="minorHAnsi" w:eastAsiaTheme="minorEastAsia" w:hAnsiTheme="minorHAnsi" w:cstheme="minorBidi"/>
          <w:szCs w:val="22"/>
          <w:lang w:eastAsia="en-AU"/>
        </w:rPr>
      </w:pPr>
      <w:r>
        <w:t>163</w:t>
      </w:r>
      <w:r>
        <w:rPr>
          <w:snapToGrid w:val="0"/>
        </w:rPr>
        <w:t>.</w:t>
      </w:r>
      <w:r>
        <w:rPr>
          <w:snapToGrid w:val="0"/>
        </w:rPr>
        <w:tab/>
        <w:t>Times prescribed for special purpose audits (Act s. 240)</w:t>
      </w:r>
      <w:r>
        <w:tab/>
      </w:r>
      <w:r>
        <w:fldChar w:fldCharType="begin"/>
      </w:r>
      <w:r>
        <w:instrText xml:space="preserve"> PAGEREF _Toc359316918 \h </w:instrText>
      </w:r>
      <w:r>
        <w:fldChar w:fldCharType="separate"/>
      </w:r>
      <w:r>
        <w:t>173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17 — Miscellaneous</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Guidelines</w:t>
      </w:r>
    </w:p>
    <w:p>
      <w:pPr>
        <w:pStyle w:val="TOC8"/>
        <w:rPr>
          <w:rFonts w:asciiTheme="minorHAnsi" w:eastAsiaTheme="minorEastAsia" w:hAnsiTheme="minorHAnsi" w:cstheme="minorBidi"/>
          <w:szCs w:val="22"/>
          <w:lang w:eastAsia="en-AU"/>
        </w:rPr>
      </w:pPr>
      <w:r>
        <w:t>164</w:t>
      </w:r>
      <w:r>
        <w:rPr>
          <w:snapToGrid w:val="0"/>
        </w:rPr>
        <w:t>.</w:t>
      </w:r>
      <w:r>
        <w:rPr>
          <w:snapToGrid w:val="0"/>
        </w:rPr>
        <w:tab/>
        <w:t>Ways of publishing guidelines prescribed (Act s. 246 and 247)</w:t>
      </w:r>
      <w:r>
        <w:tab/>
      </w:r>
      <w:r>
        <w:fldChar w:fldCharType="begin"/>
      </w:r>
      <w:r>
        <w:instrText xml:space="preserve"> PAGEREF _Toc359316921 \h </w:instrText>
      </w:r>
      <w:r>
        <w:fldChar w:fldCharType="separate"/>
      </w:r>
      <w:r>
        <w:t>174</w:t>
      </w:r>
      <w:r>
        <w:fldChar w:fldCharType="end"/>
      </w:r>
    </w:p>
    <w:p>
      <w:pPr>
        <w:pStyle w:val="TOC8"/>
        <w:rPr>
          <w:rFonts w:asciiTheme="minorHAnsi" w:eastAsiaTheme="minorEastAsia" w:hAnsiTheme="minorHAnsi" w:cstheme="minorBidi"/>
          <w:szCs w:val="22"/>
          <w:lang w:eastAsia="en-AU"/>
        </w:rPr>
      </w:pPr>
      <w:r>
        <w:t>165</w:t>
      </w:r>
      <w:r>
        <w:rPr>
          <w:snapToGrid w:val="0"/>
        </w:rPr>
        <w:t>.</w:t>
      </w:r>
      <w:r>
        <w:rPr>
          <w:snapToGrid w:val="0"/>
        </w:rPr>
        <w:tab/>
        <w:t>Form of notice to attend inquiry etc. (Act s. 249(3))</w:t>
      </w:r>
      <w:r>
        <w:tab/>
      </w:r>
      <w:r>
        <w:fldChar w:fldCharType="begin"/>
      </w:r>
      <w:r>
        <w:instrText xml:space="preserve"> PAGEREF _Toc359316922 \h </w:instrText>
      </w:r>
      <w:r>
        <w:fldChar w:fldCharType="separate"/>
      </w:r>
      <w:r>
        <w:t>174</w:t>
      </w:r>
      <w:r>
        <w:fldChar w:fldCharType="end"/>
      </w:r>
    </w:p>
    <w:p>
      <w:pPr>
        <w:pStyle w:val="TOC4"/>
        <w:tabs>
          <w:tab w:val="right" w:leader="dot" w:pos="7086"/>
        </w:tabs>
        <w:rPr>
          <w:rFonts w:asciiTheme="minorHAnsi" w:eastAsiaTheme="minorEastAsia" w:hAnsiTheme="minorHAnsi" w:cstheme="minorBidi"/>
          <w:b w:val="0"/>
          <w:szCs w:val="22"/>
          <w:lang w:eastAsia="en-AU"/>
        </w:rPr>
      </w:pPr>
      <w:r>
        <w:rPr>
          <w:lang w:val="fr-FR"/>
        </w:rPr>
        <w:t>Division 2</w:t>
      </w:r>
      <w:r>
        <w:rPr>
          <w:snapToGrid w:val="0"/>
          <w:lang w:val="fr-FR"/>
        </w:rPr>
        <w:t> — </w:t>
      </w:r>
      <w:r>
        <w:rPr>
          <w:lang w:val="fr-FR"/>
        </w:rPr>
        <w:t>Exclusive licences</w:t>
      </w:r>
    </w:p>
    <w:p>
      <w:pPr>
        <w:pStyle w:val="TOC8"/>
        <w:rPr>
          <w:rFonts w:asciiTheme="minorHAnsi" w:eastAsiaTheme="minorEastAsia" w:hAnsiTheme="minorHAnsi" w:cstheme="minorBidi"/>
          <w:szCs w:val="22"/>
          <w:lang w:eastAsia="en-AU"/>
        </w:rPr>
      </w:pPr>
      <w:r>
        <w:rPr>
          <w:lang w:val="fr-FR"/>
        </w:rPr>
        <w:t>166</w:t>
      </w:r>
      <w:r>
        <w:rPr>
          <w:snapToGrid w:val="0"/>
          <w:lang w:val="fr-FR"/>
        </w:rPr>
        <w:t>.</w:t>
      </w:r>
      <w:r>
        <w:rPr>
          <w:snapToGrid w:val="0"/>
          <w:lang w:val="fr-FR"/>
        </w:rPr>
        <w:tab/>
        <w:t>Applications for exclusive licences</w:t>
      </w:r>
      <w:r>
        <w:tab/>
      </w:r>
      <w:r>
        <w:fldChar w:fldCharType="begin"/>
      </w:r>
      <w:r>
        <w:instrText xml:space="preserve"> PAGEREF _Toc359316924 \h </w:instrText>
      </w:r>
      <w:r>
        <w:fldChar w:fldCharType="separate"/>
      </w:r>
      <w:r>
        <w:t>174</w:t>
      </w:r>
      <w:r>
        <w:fldChar w:fldCharType="end"/>
      </w:r>
    </w:p>
    <w:p>
      <w:pPr>
        <w:pStyle w:val="TOC8"/>
        <w:rPr>
          <w:rFonts w:asciiTheme="minorHAnsi" w:eastAsiaTheme="minorEastAsia" w:hAnsiTheme="minorHAnsi" w:cstheme="minorBidi"/>
          <w:szCs w:val="22"/>
          <w:lang w:eastAsia="en-AU"/>
        </w:rPr>
      </w:pPr>
      <w:r>
        <w:t>167</w:t>
      </w:r>
      <w:r>
        <w:rPr>
          <w:snapToGrid w:val="0"/>
        </w:rPr>
        <w:t>.</w:t>
      </w:r>
      <w:r>
        <w:rPr>
          <w:snapToGrid w:val="0"/>
        </w:rPr>
        <w:tab/>
        <w:t>Effect of exclusive licences</w:t>
      </w:r>
      <w:r>
        <w:tab/>
      </w:r>
      <w:r>
        <w:fldChar w:fldCharType="begin"/>
      </w:r>
      <w:r>
        <w:instrText xml:space="preserve"> PAGEREF _Toc359316925 \h </w:instrText>
      </w:r>
      <w:r>
        <w:fldChar w:fldCharType="separate"/>
      </w:r>
      <w:r>
        <w:t>175</w:t>
      </w:r>
      <w:r>
        <w:fldChar w:fldCharType="end"/>
      </w:r>
    </w:p>
    <w:p>
      <w:pPr>
        <w:pStyle w:val="TOC8"/>
        <w:rPr>
          <w:rFonts w:asciiTheme="minorHAnsi" w:eastAsiaTheme="minorEastAsia" w:hAnsiTheme="minorHAnsi" w:cstheme="minorBidi"/>
          <w:szCs w:val="22"/>
          <w:lang w:eastAsia="en-AU"/>
        </w:rPr>
      </w:pPr>
      <w:r>
        <w:t>168</w:t>
      </w:r>
      <w:r>
        <w:rPr>
          <w:snapToGrid w:val="0"/>
        </w:rPr>
        <w:t>.</w:t>
      </w:r>
      <w:r>
        <w:rPr>
          <w:snapToGrid w:val="0"/>
        </w:rPr>
        <w:tab/>
        <w:t>Form of exclusive licences</w:t>
      </w:r>
      <w:r>
        <w:tab/>
      </w:r>
      <w:r>
        <w:fldChar w:fldCharType="begin"/>
      </w:r>
      <w:r>
        <w:instrText xml:space="preserve"> PAGEREF _Toc359316926 \h </w:instrText>
      </w:r>
      <w:r>
        <w:fldChar w:fldCharType="separate"/>
      </w:r>
      <w:r>
        <w:t>175</w:t>
      </w:r>
      <w:r>
        <w:fldChar w:fldCharType="end"/>
      </w:r>
    </w:p>
    <w:p>
      <w:pPr>
        <w:pStyle w:val="TOC8"/>
        <w:rPr>
          <w:rFonts w:asciiTheme="minorHAnsi" w:eastAsiaTheme="minorEastAsia" w:hAnsiTheme="minorHAnsi" w:cstheme="minorBidi"/>
          <w:szCs w:val="22"/>
          <w:lang w:eastAsia="en-AU"/>
        </w:rPr>
      </w:pPr>
      <w:r>
        <w:t>169</w:t>
      </w:r>
      <w:r>
        <w:rPr>
          <w:snapToGrid w:val="0"/>
        </w:rPr>
        <w:t>.</w:t>
      </w:r>
      <w:r>
        <w:rPr>
          <w:snapToGrid w:val="0"/>
        </w:rPr>
        <w:tab/>
        <w:t>Renewal after expiry of exclusive licences (Act s. 139)</w:t>
      </w:r>
      <w:r>
        <w:tab/>
      </w:r>
      <w:r>
        <w:fldChar w:fldCharType="begin"/>
      </w:r>
      <w:r>
        <w:instrText xml:space="preserve"> PAGEREF _Toc359316927 \h </w:instrText>
      </w:r>
      <w:r>
        <w:fldChar w:fldCharType="separate"/>
      </w:r>
      <w:r>
        <w:t>175</w:t>
      </w:r>
      <w:r>
        <w:fldChar w:fldCharType="end"/>
      </w:r>
    </w:p>
    <w:p>
      <w:pPr>
        <w:pStyle w:val="TOC8"/>
        <w:rPr>
          <w:rFonts w:asciiTheme="minorHAnsi" w:eastAsiaTheme="minorEastAsia" w:hAnsiTheme="minorHAnsi" w:cstheme="minorBidi"/>
          <w:szCs w:val="22"/>
          <w:lang w:eastAsia="en-AU"/>
        </w:rPr>
      </w:pPr>
      <w:r>
        <w:t>170</w:t>
      </w:r>
      <w:r>
        <w:rPr>
          <w:snapToGrid w:val="0"/>
        </w:rPr>
        <w:t>.</w:t>
      </w:r>
      <w:r>
        <w:rPr>
          <w:snapToGrid w:val="0"/>
        </w:rPr>
        <w:tab/>
        <w:t>Some draft exclusive licences to go before Parliament</w:t>
      </w:r>
      <w:r>
        <w:tab/>
      </w:r>
      <w:r>
        <w:fldChar w:fldCharType="begin"/>
      </w:r>
      <w:r>
        <w:instrText xml:space="preserve"> PAGEREF _Toc359316928 \h </w:instrText>
      </w:r>
      <w:r>
        <w:fldChar w:fldCharType="separate"/>
      </w:r>
      <w:r>
        <w:t>175</w:t>
      </w:r>
      <w:r>
        <w:fldChar w:fldCharType="end"/>
      </w:r>
    </w:p>
    <w:p>
      <w:pPr>
        <w:pStyle w:val="TOC8"/>
        <w:rPr>
          <w:rFonts w:asciiTheme="minorHAnsi" w:eastAsiaTheme="minorEastAsia" w:hAnsiTheme="minorHAnsi" w:cstheme="minorBidi"/>
          <w:szCs w:val="22"/>
          <w:lang w:eastAsia="en-AU"/>
        </w:rPr>
      </w:pPr>
      <w:r>
        <w:t>171</w:t>
      </w:r>
      <w:r>
        <w:rPr>
          <w:snapToGrid w:val="0"/>
        </w:rPr>
        <w:t>.</w:t>
      </w:r>
      <w:r>
        <w:rPr>
          <w:snapToGrid w:val="0"/>
        </w:rPr>
        <w:tab/>
        <w:t>Conditions of exclusive licences</w:t>
      </w:r>
      <w:r>
        <w:tab/>
      </w:r>
      <w:r>
        <w:fldChar w:fldCharType="begin"/>
      </w:r>
      <w:r>
        <w:instrText xml:space="preserve"> PAGEREF _Toc359316929 \h </w:instrText>
      </w:r>
      <w:r>
        <w:fldChar w:fldCharType="separate"/>
      </w:r>
      <w:r>
        <w:t>176</w:t>
      </w:r>
      <w:r>
        <w:fldChar w:fldCharType="end"/>
      </w:r>
    </w:p>
    <w:p>
      <w:pPr>
        <w:pStyle w:val="TOC8"/>
        <w:rPr>
          <w:rFonts w:asciiTheme="minorHAnsi" w:eastAsiaTheme="minorEastAsia" w:hAnsiTheme="minorHAnsi" w:cstheme="minorBidi"/>
          <w:szCs w:val="22"/>
          <w:lang w:eastAsia="en-AU"/>
        </w:rPr>
      </w:pPr>
      <w:r>
        <w:t>172</w:t>
      </w:r>
      <w:r>
        <w:rPr>
          <w:snapToGrid w:val="0"/>
        </w:rPr>
        <w:t>.</w:t>
      </w:r>
      <w:r>
        <w:rPr>
          <w:snapToGrid w:val="0"/>
        </w:rPr>
        <w:tab/>
        <w:t>Who can fish in areas the subject of exclusive licences</w:t>
      </w:r>
      <w:r>
        <w:tab/>
      </w:r>
      <w:r>
        <w:fldChar w:fldCharType="begin"/>
      </w:r>
      <w:r>
        <w:instrText xml:space="preserve"> PAGEREF _Toc359316930 \h </w:instrText>
      </w:r>
      <w:r>
        <w:fldChar w:fldCharType="separate"/>
      </w:r>
      <w:r>
        <w:t>176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w:t>
      </w:r>
      <w:r>
        <w:rPr>
          <w:snapToGrid w:val="0"/>
        </w:rPr>
        <w:t> — </w:t>
      </w:r>
      <w:r>
        <w:t>Prohibition of activities that pollute waters</w:t>
      </w:r>
    </w:p>
    <w:p>
      <w:pPr>
        <w:pStyle w:val="TOC8"/>
        <w:rPr>
          <w:rFonts w:asciiTheme="minorHAnsi" w:eastAsiaTheme="minorEastAsia" w:hAnsiTheme="minorHAnsi" w:cstheme="minorBidi"/>
          <w:szCs w:val="22"/>
          <w:lang w:eastAsia="en-AU"/>
        </w:rPr>
      </w:pPr>
      <w:r>
        <w:t>173</w:t>
      </w:r>
      <w:r>
        <w:rPr>
          <w:snapToGrid w:val="0"/>
        </w:rPr>
        <w:t>.</w:t>
      </w:r>
      <w:r>
        <w:rPr>
          <w:snapToGrid w:val="0"/>
        </w:rPr>
        <w:tab/>
        <w:t>Notice prohibiting activities, form of (Act s. 255(1))</w:t>
      </w:r>
      <w:r>
        <w:tab/>
      </w:r>
      <w:r>
        <w:fldChar w:fldCharType="begin"/>
      </w:r>
      <w:r>
        <w:instrText xml:space="preserve"> PAGEREF _Toc359316932 \h </w:instrText>
      </w:r>
      <w:r>
        <w:fldChar w:fldCharType="separate"/>
      </w:r>
      <w:r>
        <w:t>177</w:t>
      </w:r>
      <w:r>
        <w:fldChar w:fldCharType="end"/>
      </w:r>
    </w:p>
    <w:p>
      <w:pPr>
        <w:pStyle w:val="TOC8"/>
        <w:rPr>
          <w:rFonts w:asciiTheme="minorHAnsi" w:eastAsiaTheme="minorEastAsia" w:hAnsiTheme="minorHAnsi" w:cstheme="minorBidi"/>
          <w:szCs w:val="22"/>
          <w:lang w:eastAsia="en-AU"/>
        </w:rPr>
      </w:pPr>
      <w:r>
        <w:t>174</w:t>
      </w:r>
      <w:r>
        <w:rPr>
          <w:snapToGrid w:val="0"/>
        </w:rPr>
        <w:t>.</w:t>
      </w:r>
      <w:r>
        <w:rPr>
          <w:snapToGrid w:val="0"/>
        </w:rPr>
        <w:tab/>
        <w:t>Notice of variation or revocation, form of (Act s. 255(2)(c))</w:t>
      </w:r>
      <w:r>
        <w:tab/>
      </w:r>
      <w:r>
        <w:fldChar w:fldCharType="begin"/>
      </w:r>
      <w:r>
        <w:instrText xml:space="preserve"> PAGEREF _Toc359316933 \h </w:instrText>
      </w:r>
      <w:r>
        <w:fldChar w:fldCharType="separate"/>
      </w:r>
      <w:r>
        <w:t>177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w:t>
      </w:r>
      <w:r>
        <w:rPr>
          <w:snapToGrid w:val="0"/>
        </w:rPr>
        <w:t> — </w:t>
      </w:r>
      <w:r>
        <w:t>General</w:t>
      </w:r>
    </w:p>
    <w:p>
      <w:pPr>
        <w:pStyle w:val="TOC8"/>
        <w:rPr>
          <w:rFonts w:asciiTheme="minorHAnsi" w:eastAsiaTheme="minorEastAsia" w:hAnsiTheme="minorHAnsi" w:cstheme="minorBidi"/>
          <w:szCs w:val="22"/>
          <w:lang w:eastAsia="en-AU"/>
        </w:rPr>
      </w:pPr>
      <w:r>
        <w:t>176</w:t>
      </w:r>
      <w:r>
        <w:rPr>
          <w:snapToGrid w:val="0"/>
        </w:rPr>
        <w:t>.</w:t>
      </w:r>
      <w:r>
        <w:rPr>
          <w:snapToGrid w:val="0"/>
        </w:rPr>
        <w:tab/>
        <w:t>Non</w:t>
      </w:r>
      <w:r>
        <w:rPr>
          <w:snapToGrid w:val="0"/>
        </w:rPr>
        <w:noBreakHyphen/>
        <w:t>endemic fish, approval to import into WA etc.</w:t>
      </w:r>
      <w:r>
        <w:tab/>
      </w:r>
      <w:r>
        <w:fldChar w:fldCharType="begin"/>
      </w:r>
      <w:r>
        <w:instrText xml:space="preserve"> PAGEREF _Toc359316935 \h </w:instrText>
      </w:r>
      <w:r>
        <w:fldChar w:fldCharType="separate"/>
      </w:r>
      <w:r>
        <w:t>177</w:t>
      </w:r>
      <w:r>
        <w:fldChar w:fldCharType="end"/>
      </w:r>
    </w:p>
    <w:p>
      <w:pPr>
        <w:pStyle w:val="TOC8"/>
        <w:rPr>
          <w:rFonts w:asciiTheme="minorHAnsi" w:eastAsiaTheme="minorEastAsia" w:hAnsiTheme="minorHAnsi" w:cstheme="minorBidi"/>
          <w:szCs w:val="22"/>
          <w:lang w:eastAsia="en-AU"/>
        </w:rPr>
      </w:pPr>
      <w:r>
        <w:t>177</w:t>
      </w:r>
      <w:r>
        <w:rPr>
          <w:snapToGrid w:val="0"/>
        </w:rPr>
        <w:t>.</w:t>
      </w:r>
      <w:r>
        <w:rPr>
          <w:snapToGrid w:val="0"/>
        </w:rPr>
        <w:tab/>
        <w:t>Disease control at fish processing or aquaculture places</w:t>
      </w:r>
      <w:r>
        <w:tab/>
      </w:r>
      <w:r>
        <w:fldChar w:fldCharType="begin"/>
      </w:r>
      <w:r>
        <w:instrText xml:space="preserve"> PAGEREF _Toc359316936 \h </w:instrText>
      </w:r>
      <w:r>
        <w:fldChar w:fldCharType="separate"/>
      </w:r>
      <w:r>
        <w:t>178</w:t>
      </w:r>
      <w:r>
        <w:fldChar w:fldCharType="end"/>
      </w:r>
    </w:p>
    <w:p>
      <w:pPr>
        <w:pStyle w:val="TOC8"/>
        <w:rPr>
          <w:rFonts w:asciiTheme="minorHAnsi" w:eastAsiaTheme="minorEastAsia" w:hAnsiTheme="minorHAnsi" w:cstheme="minorBidi"/>
          <w:szCs w:val="22"/>
          <w:lang w:eastAsia="en-AU"/>
        </w:rPr>
      </w:pPr>
      <w:r>
        <w:t>178</w:t>
      </w:r>
      <w:r>
        <w:rPr>
          <w:snapToGrid w:val="0"/>
        </w:rPr>
        <w:t>.</w:t>
      </w:r>
      <w:r>
        <w:rPr>
          <w:snapToGrid w:val="0"/>
        </w:rPr>
        <w:tab/>
        <w:t>Fish for scientific purposes, authority to fish for</w:t>
      </w:r>
      <w:r>
        <w:tab/>
      </w:r>
      <w:r>
        <w:fldChar w:fldCharType="begin"/>
      </w:r>
      <w:r>
        <w:instrText xml:space="preserve"> PAGEREF _Toc359316937 \h </w:instrText>
      </w:r>
      <w:r>
        <w:fldChar w:fldCharType="separate"/>
      </w:r>
      <w:r>
        <w:t>179</w:t>
      </w:r>
      <w:r>
        <w:fldChar w:fldCharType="end"/>
      </w:r>
    </w:p>
    <w:p>
      <w:pPr>
        <w:pStyle w:val="TOC8"/>
        <w:rPr>
          <w:rFonts w:asciiTheme="minorHAnsi" w:eastAsiaTheme="minorEastAsia" w:hAnsiTheme="minorHAnsi" w:cstheme="minorBidi"/>
          <w:szCs w:val="22"/>
          <w:lang w:eastAsia="en-AU"/>
        </w:rPr>
      </w:pPr>
      <w:r>
        <w:t>179</w:t>
      </w:r>
      <w:r>
        <w:rPr>
          <w:snapToGrid w:val="0"/>
        </w:rPr>
        <w:t>.</w:t>
      </w:r>
      <w:r>
        <w:rPr>
          <w:snapToGrid w:val="0"/>
        </w:rPr>
        <w:tab/>
        <w:t>Fish for genetic etc. analysis, approval to take etc.</w:t>
      </w:r>
      <w:r>
        <w:tab/>
      </w:r>
      <w:r>
        <w:fldChar w:fldCharType="begin"/>
      </w:r>
      <w:r>
        <w:instrText xml:space="preserve"> PAGEREF _Toc359316938 \h </w:instrText>
      </w:r>
      <w:r>
        <w:fldChar w:fldCharType="separate"/>
      </w:r>
      <w:r>
        <w:t>180</w:t>
      </w:r>
      <w:r>
        <w:fldChar w:fldCharType="end"/>
      </w:r>
    </w:p>
    <w:p>
      <w:pPr>
        <w:pStyle w:val="TOC8"/>
        <w:rPr>
          <w:rFonts w:asciiTheme="minorHAnsi" w:eastAsiaTheme="minorEastAsia" w:hAnsiTheme="minorHAnsi" w:cstheme="minorBidi"/>
          <w:szCs w:val="22"/>
          <w:lang w:eastAsia="en-AU"/>
        </w:rPr>
      </w:pPr>
      <w:r>
        <w:t>180</w:t>
      </w:r>
      <w:r>
        <w:rPr>
          <w:snapToGrid w:val="0"/>
        </w:rPr>
        <w:t>.</w:t>
      </w:r>
      <w:r>
        <w:rPr>
          <w:snapToGrid w:val="0"/>
        </w:rPr>
        <w:tab/>
        <w:t>Categories of fish (Sch. 4)</w:t>
      </w:r>
      <w:r>
        <w:tab/>
      </w:r>
      <w:r>
        <w:fldChar w:fldCharType="begin"/>
      </w:r>
      <w:r>
        <w:instrText xml:space="preserve"> PAGEREF _Toc359316939 \h </w:instrText>
      </w:r>
      <w:r>
        <w:fldChar w:fldCharType="separate"/>
      </w:r>
      <w:r>
        <w:t>181</w:t>
      </w:r>
      <w:r>
        <w:fldChar w:fldCharType="end"/>
      </w:r>
    </w:p>
    <w:p>
      <w:pPr>
        <w:pStyle w:val="TOC8"/>
        <w:rPr>
          <w:rFonts w:asciiTheme="minorHAnsi" w:eastAsiaTheme="minorEastAsia" w:hAnsiTheme="minorHAnsi" w:cstheme="minorBidi"/>
          <w:szCs w:val="22"/>
          <w:lang w:eastAsia="en-AU"/>
        </w:rPr>
      </w:pPr>
      <w:r>
        <w:t>181A.</w:t>
      </w:r>
      <w:r>
        <w:tab/>
        <w:t xml:space="preserve">Certain things are not personal property for purposes of </w:t>
      </w:r>
      <w:r>
        <w:rPr>
          <w:i/>
        </w:rPr>
        <w:t xml:space="preserve">Personal Property Securities Act 2009 </w:t>
      </w:r>
      <w:r>
        <w:t>(Cwlth)</w:t>
      </w:r>
      <w:r>
        <w:tab/>
      </w:r>
      <w:r>
        <w:fldChar w:fldCharType="begin"/>
      </w:r>
      <w:r>
        <w:instrText xml:space="preserve"> PAGEREF _Toc359316940 \h </w:instrText>
      </w:r>
      <w:r>
        <w:fldChar w:fldCharType="separate"/>
      </w:r>
      <w:r>
        <w:t>181</w:t>
      </w:r>
      <w:r>
        <w:fldChar w:fldCharType="end"/>
      </w:r>
    </w:p>
    <w:p>
      <w:pPr>
        <w:pStyle w:val="TOC8"/>
        <w:rPr>
          <w:rFonts w:asciiTheme="minorHAnsi" w:eastAsiaTheme="minorEastAsia" w:hAnsiTheme="minorHAnsi" w:cstheme="minorBidi"/>
          <w:szCs w:val="22"/>
          <w:lang w:eastAsia="en-AU"/>
        </w:rPr>
      </w:pPr>
      <w:r>
        <w:t>181</w:t>
      </w:r>
      <w:r>
        <w:rPr>
          <w:snapToGrid w:val="0"/>
        </w:rPr>
        <w:t>.</w:t>
      </w:r>
      <w:r>
        <w:rPr>
          <w:snapToGrid w:val="0"/>
        </w:rPr>
        <w:tab/>
        <w:t>Fees and charges, reduction and waiver of</w:t>
      </w:r>
      <w:r>
        <w:tab/>
      </w:r>
      <w:r>
        <w:fldChar w:fldCharType="begin"/>
      </w:r>
      <w:r>
        <w:instrText xml:space="preserve"> PAGEREF _Toc359316941 \h </w:instrText>
      </w:r>
      <w:r>
        <w:fldChar w:fldCharType="separate"/>
      </w:r>
      <w:r>
        <w:t>182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18 — Savings and transitional provisions</w:t>
      </w:r>
    </w:p>
    <w:p>
      <w:pPr>
        <w:pStyle w:val="TOC8"/>
        <w:rPr>
          <w:rFonts w:asciiTheme="minorHAnsi" w:eastAsiaTheme="minorEastAsia" w:hAnsiTheme="minorHAnsi" w:cstheme="minorBidi"/>
          <w:szCs w:val="22"/>
          <w:lang w:eastAsia="en-AU"/>
        </w:rPr>
      </w:pPr>
      <w:r>
        <w:t>182</w:t>
      </w:r>
      <w:r>
        <w:rPr>
          <w:snapToGrid w:val="0"/>
        </w:rPr>
        <w:t>.</w:t>
      </w:r>
      <w:r>
        <w:rPr>
          <w:snapToGrid w:val="0"/>
        </w:rPr>
        <w:tab/>
        <w:t>Limited entry fisheries under repealed Act (Act s. 74)</w:t>
      </w:r>
      <w:r>
        <w:tab/>
      </w:r>
      <w:r>
        <w:fldChar w:fldCharType="begin"/>
      </w:r>
      <w:r>
        <w:instrText xml:space="preserve"> PAGEREF _Toc359316943 \h </w:instrText>
      </w:r>
      <w:r>
        <w:fldChar w:fldCharType="separate"/>
      </w:r>
      <w:r>
        <w:t>183</w:t>
      </w:r>
      <w:r>
        <w:fldChar w:fldCharType="end"/>
      </w:r>
    </w:p>
    <w:p>
      <w:pPr>
        <w:pStyle w:val="TOC8"/>
        <w:rPr>
          <w:rFonts w:asciiTheme="minorHAnsi" w:eastAsiaTheme="minorEastAsia" w:hAnsiTheme="minorHAnsi" w:cstheme="minorBidi"/>
          <w:szCs w:val="22"/>
          <w:lang w:eastAsia="en-AU"/>
        </w:rPr>
      </w:pPr>
      <w:r>
        <w:t>183</w:t>
      </w:r>
      <w:r>
        <w:rPr>
          <w:snapToGrid w:val="0"/>
        </w:rPr>
        <w:t>.</w:t>
      </w:r>
      <w:r>
        <w:rPr>
          <w:snapToGrid w:val="0"/>
        </w:rPr>
        <w:tab/>
        <w:t>Citation of notices</w:t>
      </w:r>
      <w:r>
        <w:tab/>
      </w:r>
      <w:r>
        <w:fldChar w:fldCharType="begin"/>
      </w:r>
      <w:r>
        <w:instrText xml:space="preserve"> PAGEREF _Toc359316944 \h </w:instrText>
      </w:r>
      <w:r>
        <w:fldChar w:fldCharType="separate"/>
      </w:r>
      <w:r>
        <w:t>183</w:t>
      </w:r>
      <w:r>
        <w:fldChar w:fldCharType="end"/>
      </w:r>
    </w:p>
    <w:p>
      <w:pPr>
        <w:pStyle w:val="TOC8"/>
        <w:rPr>
          <w:rFonts w:asciiTheme="minorHAnsi" w:eastAsiaTheme="minorEastAsia" w:hAnsiTheme="minorHAnsi" w:cstheme="minorBidi"/>
          <w:szCs w:val="22"/>
          <w:lang w:eastAsia="en-AU"/>
        </w:rPr>
      </w:pPr>
      <w:r>
        <w:t>186</w:t>
      </w:r>
      <w:r>
        <w:rPr>
          <w:snapToGrid w:val="0"/>
        </w:rPr>
        <w:t>.</w:t>
      </w:r>
      <w:r>
        <w:rPr>
          <w:snapToGrid w:val="0"/>
        </w:rPr>
        <w:tab/>
        <w:t>Certain notices under repealed Act continued as orders (Act s. 43)</w:t>
      </w:r>
      <w:r>
        <w:tab/>
      </w:r>
      <w:r>
        <w:fldChar w:fldCharType="begin"/>
      </w:r>
      <w:r>
        <w:instrText xml:space="preserve"> PAGEREF _Toc359316945 \h </w:instrText>
      </w:r>
      <w:r>
        <w:fldChar w:fldCharType="separate"/>
      </w:r>
      <w:r>
        <w:t>184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 — Fees</w:t>
      </w:r>
    </w:p>
    <w:p>
      <w:pPr>
        <w:pStyle w:val="TOC2"/>
        <w:tabs>
          <w:tab w:val="right" w:leader="dot" w:pos="7086"/>
        </w:tabs>
        <w:rPr>
          <w:rFonts w:asciiTheme="minorHAnsi" w:eastAsiaTheme="minorEastAsia" w:hAnsiTheme="minorHAnsi" w:cstheme="minorBidi"/>
          <w:b w:val="0"/>
          <w:sz w:val="22"/>
          <w:szCs w:val="22"/>
          <w:lang w:eastAsia="en-AU"/>
        </w:rPr>
      </w:pPr>
      <w:r>
        <w:t>Part 1 — General fees</w:t>
      </w:r>
    </w:p>
    <w:p>
      <w:pPr>
        <w:pStyle w:val="TOC2"/>
        <w:tabs>
          <w:tab w:val="right" w:leader="dot" w:pos="7086"/>
        </w:tabs>
        <w:rPr>
          <w:rFonts w:asciiTheme="minorHAnsi" w:eastAsiaTheme="minorEastAsia" w:hAnsiTheme="minorHAnsi" w:cstheme="minorBidi"/>
          <w:b w:val="0"/>
          <w:sz w:val="22"/>
          <w:szCs w:val="22"/>
          <w:lang w:eastAsia="en-AU"/>
        </w:rPr>
      </w:pPr>
      <w:r>
        <w:t>Part 2 — Application fees</w:t>
      </w:r>
    </w:p>
    <w:p>
      <w:pPr>
        <w:pStyle w:val="TOC2"/>
        <w:tabs>
          <w:tab w:val="right" w:leader="dot" w:pos="7086"/>
        </w:tabs>
        <w:rPr>
          <w:rFonts w:asciiTheme="minorHAnsi" w:eastAsiaTheme="minorEastAsia" w:hAnsiTheme="minorHAnsi" w:cstheme="minorBidi"/>
          <w:b w:val="0"/>
          <w:sz w:val="22"/>
          <w:szCs w:val="22"/>
          <w:lang w:eastAsia="en-AU"/>
        </w:rPr>
      </w:pPr>
      <w:r>
        <w:t>Part 3 — Fees for the grant or renewal of authorisations</w:t>
      </w:r>
    </w:p>
    <w:p>
      <w:pPr>
        <w:pStyle w:val="TOC2"/>
        <w:tabs>
          <w:tab w:val="right" w:leader="dot" w:pos="7086"/>
        </w:tabs>
        <w:rPr>
          <w:rFonts w:asciiTheme="minorHAnsi" w:eastAsiaTheme="minorEastAsia" w:hAnsiTheme="minorHAnsi" w:cstheme="minorBidi"/>
          <w:b w:val="0"/>
          <w:sz w:val="22"/>
          <w:szCs w:val="22"/>
          <w:lang w:eastAsia="en-AU"/>
        </w:rPr>
      </w:pPr>
      <w:r>
        <w:t>Schedule 2 — Protected fish</w:t>
      </w:r>
    </w:p>
    <w:p>
      <w:pPr>
        <w:pStyle w:val="TOC2"/>
        <w:tabs>
          <w:tab w:val="right" w:leader="dot" w:pos="7086"/>
        </w:tabs>
        <w:rPr>
          <w:rFonts w:asciiTheme="minorHAnsi" w:eastAsiaTheme="minorEastAsia" w:hAnsiTheme="minorHAnsi" w:cstheme="minorBidi"/>
          <w:b w:val="0"/>
          <w:sz w:val="22"/>
          <w:szCs w:val="22"/>
          <w:lang w:eastAsia="en-AU"/>
        </w:rPr>
      </w:pPr>
      <w:r>
        <w:t>Part 1 — Commercially protected fish</w:t>
      </w:r>
    </w:p>
    <w:p>
      <w:pPr>
        <w:pStyle w:val="TOC2"/>
        <w:tabs>
          <w:tab w:val="right" w:leader="dot" w:pos="7086"/>
        </w:tabs>
        <w:rPr>
          <w:rFonts w:asciiTheme="minorHAnsi" w:eastAsiaTheme="minorEastAsia" w:hAnsiTheme="minorHAnsi" w:cstheme="minorBidi"/>
          <w:b w:val="0"/>
          <w:sz w:val="22"/>
          <w:szCs w:val="22"/>
          <w:lang w:eastAsia="en-AU"/>
        </w:rPr>
      </w:pPr>
      <w:r>
        <w:t>Part 2 — Totally protected fish</w:t>
      </w:r>
    </w:p>
    <w:p>
      <w:pPr>
        <w:pStyle w:val="TOC4"/>
        <w:tabs>
          <w:tab w:val="right" w:leader="dot" w:pos="7086"/>
        </w:tabs>
        <w:rPr>
          <w:rFonts w:asciiTheme="minorHAnsi" w:eastAsiaTheme="minorEastAsia" w:hAnsiTheme="minorHAnsi" w:cstheme="minorBidi"/>
          <w:b w:val="0"/>
          <w:szCs w:val="22"/>
          <w:lang w:eastAsia="en-AU"/>
        </w:rPr>
      </w:pPr>
      <w:r>
        <w:t>Division 1 — Certain reproducing crustaceans</w:t>
      </w:r>
    </w:p>
    <w:p>
      <w:pPr>
        <w:pStyle w:val="TOC4"/>
        <w:tabs>
          <w:tab w:val="right" w:leader="dot" w:pos="7086"/>
        </w:tabs>
        <w:rPr>
          <w:rFonts w:asciiTheme="minorHAnsi" w:eastAsiaTheme="minorEastAsia" w:hAnsiTheme="minorHAnsi" w:cstheme="minorBidi"/>
          <w:b w:val="0"/>
          <w:szCs w:val="22"/>
          <w:lang w:eastAsia="en-AU"/>
        </w:rPr>
      </w:pPr>
      <w:r>
        <w:t>Division 2 — Miscellaneous</w:t>
      </w:r>
    </w:p>
    <w:p>
      <w:pPr>
        <w:pStyle w:val="TOC4"/>
        <w:tabs>
          <w:tab w:val="right" w:leader="dot" w:pos="7086"/>
        </w:tabs>
        <w:rPr>
          <w:rFonts w:asciiTheme="minorHAnsi" w:eastAsiaTheme="minorEastAsia" w:hAnsiTheme="minorHAnsi" w:cstheme="minorBidi"/>
          <w:b w:val="0"/>
          <w:szCs w:val="22"/>
          <w:lang w:eastAsia="en-AU"/>
        </w:rPr>
      </w:pPr>
      <w:r>
        <w:t>Division 3 — Marine or fluvio</w:t>
      </w:r>
      <w:r>
        <w:noBreakHyphen/>
        <w:t>marine fish</w:t>
      </w:r>
    </w:p>
    <w:p>
      <w:pPr>
        <w:pStyle w:val="TOC6"/>
        <w:tabs>
          <w:tab w:val="right" w:leader="dot" w:pos="7086"/>
        </w:tabs>
        <w:rPr>
          <w:rFonts w:asciiTheme="minorHAnsi" w:eastAsiaTheme="minorEastAsia" w:hAnsiTheme="minorHAnsi" w:cstheme="minorBidi"/>
          <w:b w:val="0"/>
          <w:sz w:val="22"/>
          <w:szCs w:val="22"/>
          <w:lang w:eastAsia="en-AU"/>
        </w:rPr>
      </w:pPr>
      <w:r>
        <w:t>Subdivision 1 — Protected by reference to species, area and period</w:t>
      </w:r>
    </w:p>
    <w:p>
      <w:pPr>
        <w:pStyle w:val="TOC8"/>
        <w:rPr>
          <w:rFonts w:asciiTheme="minorHAnsi" w:eastAsiaTheme="minorEastAsia" w:hAnsiTheme="minorHAnsi" w:cstheme="minorBidi"/>
          <w:szCs w:val="22"/>
          <w:lang w:eastAsia="en-AU"/>
        </w:rPr>
      </w:pPr>
      <w:r>
        <w:t>1.</w:t>
      </w:r>
      <w:r>
        <w:tab/>
        <w:t>Pink Snapper</w:t>
      </w:r>
      <w:r>
        <w:tab/>
      </w:r>
      <w:r>
        <w:fldChar w:fldCharType="begin"/>
      </w:r>
      <w:r>
        <w:instrText xml:space="preserve"> PAGEREF _Toc359316957 \h </w:instrText>
      </w:r>
      <w:r>
        <w:fldChar w:fldCharType="separate"/>
      </w:r>
      <w:r>
        <w:t>201</w:t>
      </w:r>
      <w:r>
        <w:fldChar w:fldCharType="end"/>
      </w:r>
    </w:p>
    <w:p>
      <w:pPr>
        <w:pStyle w:val="TOC8"/>
        <w:rPr>
          <w:rFonts w:asciiTheme="minorHAnsi" w:eastAsiaTheme="minorEastAsia" w:hAnsiTheme="minorHAnsi" w:cstheme="minorBidi"/>
          <w:szCs w:val="22"/>
          <w:lang w:eastAsia="en-AU"/>
        </w:rPr>
      </w:pPr>
      <w:r>
        <w:t>2.</w:t>
      </w:r>
      <w:r>
        <w:tab/>
        <w:t>Baldchin Groper</w:t>
      </w:r>
      <w:r>
        <w:tab/>
      </w:r>
      <w:r>
        <w:fldChar w:fldCharType="begin"/>
      </w:r>
      <w:r>
        <w:instrText xml:space="preserve"> PAGEREF _Toc359316958 \h </w:instrText>
      </w:r>
      <w:r>
        <w:fldChar w:fldCharType="separate"/>
      </w:r>
      <w:r>
        <w:t>202</w:t>
      </w:r>
      <w:r>
        <w:fldChar w:fldCharType="end"/>
      </w:r>
    </w:p>
    <w:p>
      <w:pPr>
        <w:pStyle w:val="TOC8"/>
        <w:rPr>
          <w:rFonts w:asciiTheme="minorHAnsi" w:eastAsiaTheme="minorEastAsia" w:hAnsiTheme="minorHAnsi" w:cstheme="minorBidi"/>
          <w:szCs w:val="22"/>
          <w:lang w:eastAsia="en-AU"/>
        </w:rPr>
      </w:pPr>
      <w:r>
        <w:t>3.</w:t>
      </w:r>
      <w:r>
        <w:tab/>
        <w:t>Cobbler</w:t>
      </w:r>
      <w:r>
        <w:tab/>
      </w:r>
      <w:r>
        <w:fldChar w:fldCharType="begin"/>
      </w:r>
      <w:r>
        <w:instrText xml:space="preserve"> PAGEREF _Toc359316959 \h </w:instrText>
      </w:r>
      <w:r>
        <w:fldChar w:fldCharType="separate"/>
      </w:r>
      <w:r>
        <w:t>202</w:t>
      </w:r>
      <w:r>
        <w:fldChar w:fldCharType="end"/>
      </w:r>
    </w:p>
    <w:p>
      <w:pPr>
        <w:pStyle w:val="TOC8"/>
        <w:rPr>
          <w:rFonts w:asciiTheme="minorHAnsi" w:eastAsiaTheme="minorEastAsia" w:hAnsiTheme="minorHAnsi" w:cstheme="minorBidi"/>
          <w:szCs w:val="22"/>
          <w:lang w:eastAsia="en-AU"/>
        </w:rPr>
      </w:pPr>
      <w:r>
        <w:t>4.</w:t>
      </w:r>
      <w:r>
        <w:tab/>
        <w:t>Blue Groper</w:t>
      </w:r>
      <w:r>
        <w:tab/>
      </w:r>
      <w:r>
        <w:fldChar w:fldCharType="begin"/>
      </w:r>
      <w:r>
        <w:instrText xml:space="preserve"> PAGEREF _Toc359316960 \h </w:instrText>
      </w:r>
      <w:r>
        <w:fldChar w:fldCharType="separate"/>
      </w:r>
      <w:r>
        <w:t>202</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Protected by reference to species length or other factors</w:t>
      </w:r>
    </w:p>
    <w:p>
      <w:pPr>
        <w:pStyle w:val="TOC4"/>
        <w:tabs>
          <w:tab w:val="right" w:leader="dot" w:pos="7086"/>
        </w:tabs>
        <w:rPr>
          <w:rFonts w:asciiTheme="minorHAnsi" w:eastAsiaTheme="minorEastAsia" w:hAnsiTheme="minorHAnsi" w:cstheme="minorBidi"/>
          <w:b w:val="0"/>
          <w:szCs w:val="22"/>
          <w:lang w:eastAsia="en-AU"/>
        </w:rPr>
      </w:pPr>
      <w:r>
        <w:t>Division 4 — Freshwater fish</w:t>
      </w:r>
    </w:p>
    <w:p>
      <w:pPr>
        <w:pStyle w:val="TOC4"/>
        <w:tabs>
          <w:tab w:val="right" w:leader="dot" w:pos="7086"/>
        </w:tabs>
        <w:rPr>
          <w:rFonts w:asciiTheme="minorHAnsi" w:eastAsiaTheme="minorEastAsia" w:hAnsiTheme="minorHAnsi" w:cstheme="minorBidi"/>
          <w:b w:val="0"/>
          <w:szCs w:val="22"/>
          <w:lang w:eastAsia="en-AU"/>
        </w:rPr>
      </w:pPr>
      <w:r>
        <w:t>Division 5 — Crustaceans, other than those listed in Division 1</w:t>
      </w:r>
    </w:p>
    <w:p>
      <w:pPr>
        <w:pStyle w:val="TOC4"/>
        <w:tabs>
          <w:tab w:val="right" w:leader="dot" w:pos="7086"/>
        </w:tabs>
        <w:rPr>
          <w:rFonts w:asciiTheme="minorHAnsi" w:eastAsiaTheme="minorEastAsia" w:hAnsiTheme="minorHAnsi" w:cstheme="minorBidi"/>
          <w:b w:val="0"/>
          <w:szCs w:val="22"/>
          <w:lang w:eastAsia="en-AU"/>
        </w:rPr>
      </w:pPr>
      <w:r>
        <w:t>Division 6 — Molluscs</w:t>
      </w:r>
    </w:p>
    <w:p>
      <w:pPr>
        <w:pStyle w:val="TOC2"/>
        <w:tabs>
          <w:tab w:val="right" w:leader="dot" w:pos="7086"/>
        </w:tabs>
        <w:rPr>
          <w:rFonts w:asciiTheme="minorHAnsi" w:eastAsiaTheme="minorEastAsia" w:hAnsiTheme="minorHAnsi" w:cstheme="minorBidi"/>
          <w:b w:val="0"/>
          <w:sz w:val="22"/>
          <w:szCs w:val="22"/>
          <w:lang w:eastAsia="en-AU"/>
        </w:rPr>
      </w:pPr>
      <w:r>
        <w:t>Part 3 — Recreationally protected fish</w:t>
      </w:r>
    </w:p>
    <w:p>
      <w:pPr>
        <w:pStyle w:val="TOC2"/>
        <w:tabs>
          <w:tab w:val="right" w:leader="dot" w:pos="7086"/>
        </w:tabs>
        <w:rPr>
          <w:rFonts w:asciiTheme="minorHAnsi" w:eastAsiaTheme="minorEastAsia" w:hAnsiTheme="minorHAnsi" w:cstheme="minorBidi"/>
          <w:b w:val="0"/>
          <w:sz w:val="22"/>
          <w:szCs w:val="22"/>
          <w:lang w:eastAsia="en-AU"/>
        </w:rPr>
      </w:pPr>
      <w:r>
        <w:t>Schedule 3</w:t>
      </w:r>
    </w:p>
    <w:p>
      <w:pPr>
        <w:pStyle w:val="TOC2"/>
        <w:tabs>
          <w:tab w:val="right" w:leader="dot" w:pos="7086"/>
        </w:tabs>
        <w:rPr>
          <w:rFonts w:asciiTheme="minorHAnsi" w:eastAsiaTheme="minorEastAsia" w:hAnsiTheme="minorHAnsi" w:cstheme="minorBidi"/>
          <w:b w:val="0"/>
          <w:sz w:val="22"/>
          <w:szCs w:val="22"/>
          <w:lang w:eastAsia="en-AU"/>
        </w:rPr>
      </w:pPr>
      <w:r>
        <w:t>Bag limits</w:t>
      </w:r>
    </w:p>
    <w:p>
      <w:pPr>
        <w:pStyle w:val="TOC2"/>
        <w:tabs>
          <w:tab w:val="right" w:leader="dot" w:pos="7086"/>
        </w:tabs>
        <w:rPr>
          <w:rFonts w:asciiTheme="minorHAnsi" w:eastAsiaTheme="minorEastAsia" w:hAnsiTheme="minorHAnsi" w:cstheme="minorBidi"/>
          <w:b w:val="0"/>
          <w:sz w:val="22"/>
          <w:szCs w:val="22"/>
          <w:lang w:eastAsia="en-AU"/>
        </w:rPr>
      </w:pPr>
      <w:r>
        <w:rPr>
          <w:bCs/>
        </w:rPr>
        <w:t>Part 1</w:t>
      </w:r>
      <w:r>
        <w:t> — </w:t>
      </w:r>
      <w:r>
        <w:rPr>
          <w:bCs/>
        </w:rPr>
        <w:t>Bag limits — demersal finfish</w:t>
      </w:r>
    </w:p>
    <w:p>
      <w:pPr>
        <w:pStyle w:val="TOC4"/>
        <w:tabs>
          <w:tab w:val="right" w:leader="dot" w:pos="7086"/>
        </w:tabs>
        <w:rPr>
          <w:rFonts w:asciiTheme="minorHAnsi" w:eastAsiaTheme="minorEastAsia" w:hAnsiTheme="minorHAnsi" w:cstheme="minorBidi"/>
          <w:b w:val="0"/>
          <w:szCs w:val="22"/>
          <w:lang w:eastAsia="en-AU"/>
        </w:rPr>
      </w:pPr>
      <w:r>
        <w:t>Division 1 — Regions other than West Coast region</w:t>
      </w:r>
    </w:p>
    <w:p>
      <w:pPr>
        <w:pStyle w:val="TOC5"/>
        <w:tabs>
          <w:tab w:val="right" w:leader="dot" w:pos="7086"/>
        </w:tabs>
        <w:rPr>
          <w:rFonts w:asciiTheme="minorHAnsi" w:eastAsiaTheme="minorEastAsia" w:hAnsiTheme="minorHAnsi" w:cstheme="minorBidi"/>
          <w:b w:val="0"/>
          <w:sz w:val="22"/>
          <w:szCs w:val="22"/>
          <w:lang w:eastAsia="en-AU"/>
        </w:rPr>
      </w:pPr>
      <w:r>
        <w:t>Division 2 — West Coast region</w:t>
      </w:r>
    </w:p>
    <w:p>
      <w:pPr>
        <w:pStyle w:val="TOC2"/>
        <w:tabs>
          <w:tab w:val="right" w:leader="dot" w:pos="7086"/>
        </w:tabs>
        <w:rPr>
          <w:rFonts w:asciiTheme="minorHAnsi" w:eastAsiaTheme="minorEastAsia" w:hAnsiTheme="minorHAnsi" w:cstheme="minorBidi"/>
          <w:b w:val="0"/>
          <w:sz w:val="22"/>
          <w:szCs w:val="22"/>
          <w:lang w:eastAsia="en-AU"/>
        </w:rPr>
      </w:pPr>
      <w:r>
        <w:rPr>
          <w:bCs/>
        </w:rPr>
        <w:t>Part 2</w:t>
      </w:r>
      <w:r>
        <w:t> — </w:t>
      </w:r>
      <w:r>
        <w:rPr>
          <w:bCs/>
        </w:rPr>
        <w:t>Bag limits — Large pelagic fish</w:t>
      </w:r>
    </w:p>
    <w:p>
      <w:pPr>
        <w:pStyle w:val="TOC2"/>
        <w:tabs>
          <w:tab w:val="right" w:leader="dot" w:pos="7086"/>
        </w:tabs>
        <w:rPr>
          <w:rFonts w:asciiTheme="minorHAnsi" w:eastAsiaTheme="minorEastAsia" w:hAnsiTheme="minorHAnsi" w:cstheme="minorBidi"/>
          <w:b w:val="0"/>
          <w:sz w:val="22"/>
          <w:szCs w:val="22"/>
          <w:lang w:eastAsia="en-AU"/>
        </w:rPr>
      </w:pPr>
      <w:r>
        <w:rPr>
          <w:bCs/>
        </w:rPr>
        <w:t>Part 3</w:t>
      </w:r>
      <w:r>
        <w:t> — </w:t>
      </w:r>
      <w:r>
        <w:rPr>
          <w:bCs/>
        </w:rPr>
        <w:t>Bag limits — Nearshore or estuarine finfish</w:t>
      </w:r>
    </w:p>
    <w:p>
      <w:pPr>
        <w:pStyle w:val="TOC2"/>
        <w:tabs>
          <w:tab w:val="right" w:leader="dot" w:pos="7086"/>
        </w:tabs>
        <w:rPr>
          <w:rFonts w:asciiTheme="minorHAnsi" w:eastAsiaTheme="minorEastAsia" w:hAnsiTheme="minorHAnsi" w:cstheme="minorBidi"/>
          <w:b w:val="0"/>
          <w:sz w:val="22"/>
          <w:szCs w:val="22"/>
          <w:lang w:eastAsia="en-AU"/>
        </w:rPr>
      </w:pPr>
      <w:r>
        <w:rPr>
          <w:bCs/>
        </w:rPr>
        <w:t>Part 4</w:t>
      </w:r>
      <w:r>
        <w:t> — </w:t>
      </w:r>
      <w:r>
        <w:rPr>
          <w:bCs/>
        </w:rPr>
        <w:t>Bag limits — Freshwater finfish</w:t>
      </w:r>
    </w:p>
    <w:p>
      <w:pPr>
        <w:pStyle w:val="TOC2"/>
        <w:tabs>
          <w:tab w:val="right" w:leader="dot" w:pos="7086"/>
        </w:tabs>
        <w:rPr>
          <w:rFonts w:asciiTheme="minorHAnsi" w:eastAsiaTheme="minorEastAsia" w:hAnsiTheme="minorHAnsi" w:cstheme="minorBidi"/>
          <w:b w:val="0"/>
          <w:sz w:val="22"/>
          <w:szCs w:val="22"/>
          <w:lang w:eastAsia="en-AU"/>
        </w:rPr>
      </w:pPr>
      <w:r>
        <w:rPr>
          <w:bCs/>
        </w:rPr>
        <w:t>Part 5</w:t>
      </w:r>
      <w:r>
        <w:t> — </w:t>
      </w:r>
      <w:r>
        <w:rPr>
          <w:bCs/>
        </w:rPr>
        <w:t>Bag limits — Crustaceans</w:t>
      </w:r>
    </w:p>
    <w:p>
      <w:pPr>
        <w:pStyle w:val="TOC2"/>
        <w:tabs>
          <w:tab w:val="right" w:leader="dot" w:pos="7086"/>
        </w:tabs>
        <w:rPr>
          <w:rFonts w:asciiTheme="minorHAnsi" w:eastAsiaTheme="minorEastAsia" w:hAnsiTheme="minorHAnsi" w:cstheme="minorBidi"/>
          <w:b w:val="0"/>
          <w:sz w:val="22"/>
          <w:szCs w:val="22"/>
          <w:lang w:eastAsia="en-AU"/>
        </w:rPr>
      </w:pPr>
      <w:r>
        <w:rPr>
          <w:bCs/>
        </w:rPr>
        <w:t>Part 6</w:t>
      </w:r>
      <w:r>
        <w:t> — </w:t>
      </w:r>
      <w:r>
        <w:rPr>
          <w:bCs/>
        </w:rPr>
        <w:t>Bag limits — Molluscs and other invertebrates</w:t>
      </w:r>
    </w:p>
    <w:p>
      <w:pPr>
        <w:pStyle w:val="TOC2"/>
        <w:tabs>
          <w:tab w:val="right" w:leader="dot" w:pos="7086"/>
        </w:tabs>
        <w:rPr>
          <w:rFonts w:asciiTheme="minorHAnsi" w:eastAsiaTheme="minorEastAsia" w:hAnsiTheme="minorHAnsi" w:cstheme="minorBidi"/>
          <w:b w:val="0"/>
          <w:sz w:val="22"/>
          <w:szCs w:val="22"/>
          <w:lang w:eastAsia="en-AU"/>
        </w:rPr>
      </w:pPr>
      <w:r>
        <w:t>Schedule 4 — Categories of fish</w:t>
      </w:r>
    </w:p>
    <w:p>
      <w:pPr>
        <w:pStyle w:val="TOC2"/>
        <w:tabs>
          <w:tab w:val="right" w:leader="dot" w:pos="7086"/>
        </w:tabs>
        <w:rPr>
          <w:rFonts w:asciiTheme="minorHAnsi" w:eastAsiaTheme="minorEastAsia" w:hAnsiTheme="minorHAnsi" w:cstheme="minorBidi"/>
          <w:b w:val="0"/>
          <w:sz w:val="22"/>
          <w:szCs w:val="22"/>
          <w:lang w:eastAsia="en-AU"/>
        </w:rPr>
      </w:pPr>
      <w:r>
        <w:t>Schedule 5 — Noxious fish</w:t>
      </w:r>
    </w:p>
    <w:p>
      <w:pPr>
        <w:pStyle w:val="TOC2"/>
        <w:tabs>
          <w:tab w:val="right" w:leader="dot" w:pos="7086"/>
        </w:tabs>
        <w:rPr>
          <w:rFonts w:asciiTheme="minorHAnsi" w:eastAsiaTheme="minorEastAsia" w:hAnsiTheme="minorHAnsi" w:cstheme="minorBidi"/>
          <w:b w:val="0"/>
          <w:sz w:val="22"/>
          <w:szCs w:val="22"/>
          <w:lang w:eastAsia="en-AU"/>
        </w:rPr>
      </w:pPr>
      <w:r>
        <w:t>Schedule 6</w:t>
      </w:r>
    </w:p>
    <w:p>
      <w:pPr>
        <w:pStyle w:val="TOC2"/>
        <w:tabs>
          <w:tab w:val="right" w:leader="dot" w:pos="7086"/>
        </w:tabs>
        <w:rPr>
          <w:rFonts w:asciiTheme="minorHAnsi" w:eastAsiaTheme="minorEastAsia" w:hAnsiTheme="minorHAnsi" w:cstheme="minorBidi"/>
          <w:b w:val="0"/>
          <w:sz w:val="22"/>
          <w:szCs w:val="22"/>
          <w:lang w:eastAsia="en-AU"/>
        </w:rPr>
      </w:pPr>
      <w:r>
        <w:t>Area of land prescribed under section 91(d) of the Act</w:t>
      </w:r>
    </w:p>
    <w:p>
      <w:pPr>
        <w:pStyle w:val="TOC2"/>
        <w:tabs>
          <w:tab w:val="right" w:leader="dot" w:pos="7086"/>
        </w:tabs>
        <w:rPr>
          <w:rFonts w:asciiTheme="minorHAnsi" w:eastAsiaTheme="minorEastAsia" w:hAnsiTheme="minorHAnsi" w:cstheme="minorBidi"/>
          <w:b w:val="0"/>
          <w:sz w:val="22"/>
          <w:szCs w:val="22"/>
          <w:lang w:eastAsia="en-AU"/>
        </w:rPr>
      </w:pPr>
      <w:r>
        <w:t>Schedule 7</w:t>
      </w:r>
    </w:p>
    <w:p>
      <w:pPr>
        <w:pStyle w:val="TOC2"/>
        <w:tabs>
          <w:tab w:val="right" w:leader="dot" w:pos="7086"/>
        </w:tabs>
        <w:rPr>
          <w:rFonts w:asciiTheme="minorHAnsi" w:eastAsiaTheme="minorEastAsia" w:hAnsiTheme="minorHAnsi" w:cstheme="minorBidi"/>
          <w:b w:val="0"/>
          <w:sz w:val="22"/>
          <w:szCs w:val="22"/>
          <w:lang w:eastAsia="en-AU"/>
        </w:rPr>
      </w:pPr>
      <w:r>
        <w:t>List of common and scientific names</w:t>
      </w:r>
    </w:p>
    <w:p>
      <w:pPr>
        <w:pStyle w:val="TOC4"/>
        <w:tabs>
          <w:tab w:val="right" w:leader="dot" w:pos="7086"/>
        </w:tabs>
        <w:rPr>
          <w:rFonts w:asciiTheme="minorHAnsi" w:eastAsiaTheme="minorEastAsia" w:hAnsiTheme="minorHAnsi" w:cstheme="minorBidi"/>
          <w:b w:val="0"/>
          <w:szCs w:val="22"/>
          <w:lang w:eastAsia="en-AU"/>
        </w:rPr>
      </w:pPr>
      <w:r>
        <w:t>Division 1 — Marine or fluvio</w:t>
      </w:r>
      <w:r>
        <w:noBreakHyphen/>
        <w:t>marine fish</w:t>
      </w:r>
    </w:p>
    <w:p>
      <w:pPr>
        <w:pStyle w:val="TOC4"/>
        <w:tabs>
          <w:tab w:val="right" w:leader="dot" w:pos="7086"/>
        </w:tabs>
        <w:rPr>
          <w:rFonts w:asciiTheme="minorHAnsi" w:eastAsiaTheme="minorEastAsia" w:hAnsiTheme="minorHAnsi" w:cstheme="minorBidi"/>
          <w:b w:val="0"/>
          <w:szCs w:val="22"/>
          <w:lang w:eastAsia="en-AU"/>
        </w:rPr>
      </w:pPr>
      <w:r>
        <w:t>Division 2 — Freshwater fish</w:t>
      </w:r>
    </w:p>
    <w:p>
      <w:pPr>
        <w:pStyle w:val="TOC4"/>
        <w:tabs>
          <w:tab w:val="right" w:leader="dot" w:pos="7086"/>
        </w:tabs>
        <w:rPr>
          <w:rFonts w:asciiTheme="minorHAnsi" w:eastAsiaTheme="minorEastAsia" w:hAnsiTheme="minorHAnsi" w:cstheme="minorBidi"/>
          <w:b w:val="0"/>
          <w:szCs w:val="22"/>
          <w:lang w:eastAsia="en-AU"/>
        </w:rPr>
      </w:pPr>
      <w:r>
        <w:t>Division 3 — Crustaceans</w:t>
      </w:r>
    </w:p>
    <w:p>
      <w:pPr>
        <w:pStyle w:val="TOC4"/>
        <w:tabs>
          <w:tab w:val="right" w:leader="dot" w:pos="7086"/>
        </w:tabs>
        <w:rPr>
          <w:rFonts w:asciiTheme="minorHAnsi" w:eastAsiaTheme="minorEastAsia" w:hAnsiTheme="minorHAnsi" w:cstheme="minorBidi"/>
          <w:b w:val="0"/>
          <w:szCs w:val="22"/>
          <w:lang w:eastAsia="en-AU"/>
        </w:rPr>
      </w:pPr>
      <w:r>
        <w:t>Division 4 — Molluscs</w:t>
      </w:r>
    </w:p>
    <w:p>
      <w:pPr>
        <w:pStyle w:val="TOC4"/>
        <w:tabs>
          <w:tab w:val="right" w:leader="dot" w:pos="7086"/>
        </w:tabs>
        <w:rPr>
          <w:rFonts w:asciiTheme="minorHAnsi" w:eastAsiaTheme="minorEastAsia" w:hAnsiTheme="minorHAnsi" w:cstheme="minorBidi"/>
          <w:b w:val="0"/>
          <w:szCs w:val="22"/>
          <w:lang w:eastAsia="en-AU"/>
        </w:rPr>
      </w:pPr>
      <w:r>
        <w:t>Division 5 — Other</w:t>
      </w:r>
    </w:p>
    <w:p>
      <w:pPr>
        <w:pStyle w:val="TOC2"/>
        <w:tabs>
          <w:tab w:val="right" w:leader="dot" w:pos="7086"/>
        </w:tabs>
        <w:rPr>
          <w:rFonts w:asciiTheme="minorHAnsi" w:eastAsiaTheme="minorEastAsia" w:hAnsiTheme="minorHAnsi" w:cstheme="minorBidi"/>
          <w:b w:val="0"/>
          <w:sz w:val="22"/>
          <w:szCs w:val="22"/>
          <w:lang w:eastAsia="en-AU"/>
        </w:rPr>
      </w:pPr>
      <w:r>
        <w:t>Schedule 8</w:t>
      </w:r>
    </w:p>
    <w:p>
      <w:pPr>
        <w:pStyle w:val="TOC2"/>
        <w:tabs>
          <w:tab w:val="right" w:leader="dot" w:pos="7086"/>
        </w:tabs>
        <w:rPr>
          <w:rFonts w:asciiTheme="minorHAnsi" w:eastAsiaTheme="minorEastAsia" w:hAnsiTheme="minorHAnsi" w:cstheme="minorBidi"/>
          <w:b w:val="0"/>
          <w:sz w:val="22"/>
          <w:szCs w:val="22"/>
          <w:lang w:eastAsia="en-AU"/>
        </w:rPr>
      </w:pPr>
      <w:r>
        <w:t>Determination of characteristics of fish</w:t>
      </w:r>
    </w:p>
    <w:p>
      <w:pPr>
        <w:pStyle w:val="TOC2"/>
        <w:tabs>
          <w:tab w:val="right" w:leader="dot" w:pos="7086"/>
        </w:tabs>
        <w:rPr>
          <w:rFonts w:asciiTheme="minorHAnsi" w:eastAsiaTheme="minorEastAsia" w:hAnsiTheme="minorHAnsi" w:cstheme="minorBidi"/>
          <w:b w:val="0"/>
          <w:sz w:val="22"/>
          <w:szCs w:val="22"/>
          <w:lang w:eastAsia="en-AU"/>
        </w:rPr>
      </w:pPr>
      <w:r>
        <w:t>Part 1 — Length</w:t>
      </w:r>
    </w:p>
    <w:p>
      <w:pPr>
        <w:pStyle w:val="TOC2"/>
        <w:tabs>
          <w:tab w:val="right" w:leader="dot" w:pos="7086"/>
        </w:tabs>
        <w:rPr>
          <w:rFonts w:asciiTheme="minorHAnsi" w:eastAsiaTheme="minorEastAsia" w:hAnsiTheme="minorHAnsi" w:cstheme="minorBidi"/>
          <w:b w:val="0"/>
          <w:sz w:val="22"/>
          <w:szCs w:val="22"/>
          <w:lang w:eastAsia="en-AU"/>
        </w:rPr>
      </w:pPr>
      <w:r>
        <w:t>Part 2 — Method of determining the volume of fish</w:t>
      </w:r>
    </w:p>
    <w:p>
      <w:pPr>
        <w:pStyle w:val="TOC2"/>
        <w:tabs>
          <w:tab w:val="right" w:leader="dot" w:pos="7086"/>
        </w:tabs>
        <w:rPr>
          <w:rFonts w:asciiTheme="minorHAnsi" w:eastAsiaTheme="minorEastAsia" w:hAnsiTheme="minorHAnsi" w:cstheme="minorBidi"/>
          <w:b w:val="0"/>
          <w:sz w:val="22"/>
          <w:szCs w:val="22"/>
          <w:lang w:eastAsia="en-AU"/>
        </w:rPr>
      </w:pPr>
      <w:r>
        <w:t>Part 3 — Method of determining the length of fish trunks and fillets</w:t>
      </w:r>
    </w:p>
    <w:p>
      <w:pPr>
        <w:pStyle w:val="TOC2"/>
        <w:tabs>
          <w:tab w:val="right" w:leader="dot" w:pos="7086"/>
        </w:tabs>
        <w:rPr>
          <w:rFonts w:asciiTheme="minorHAnsi" w:eastAsiaTheme="minorEastAsia" w:hAnsiTheme="minorHAnsi" w:cstheme="minorBidi"/>
          <w:b w:val="0"/>
          <w:sz w:val="22"/>
          <w:szCs w:val="22"/>
          <w:lang w:eastAsia="en-AU"/>
        </w:rPr>
      </w:pPr>
      <w:r>
        <w:t>Schedule 9 — Determining the value of fish</w:t>
      </w:r>
    </w:p>
    <w:p>
      <w:pPr>
        <w:pStyle w:val="TOC2"/>
        <w:tabs>
          <w:tab w:val="right" w:leader="dot" w:pos="7086"/>
        </w:tabs>
        <w:rPr>
          <w:rFonts w:asciiTheme="minorHAnsi" w:eastAsiaTheme="minorEastAsia" w:hAnsiTheme="minorHAnsi" w:cstheme="minorBidi"/>
          <w:b w:val="0"/>
          <w:sz w:val="22"/>
          <w:szCs w:val="22"/>
          <w:lang w:eastAsia="en-AU"/>
        </w:rPr>
      </w:pPr>
      <w:r>
        <w:t>Schedule 10</w:t>
      </w:r>
    </w:p>
    <w:p>
      <w:pPr>
        <w:pStyle w:val="TOC2"/>
        <w:tabs>
          <w:tab w:val="right" w:leader="dot" w:pos="7086"/>
        </w:tabs>
        <w:rPr>
          <w:rFonts w:asciiTheme="minorHAnsi" w:eastAsiaTheme="minorEastAsia" w:hAnsiTheme="minorHAnsi" w:cstheme="minorBidi"/>
          <w:b w:val="0"/>
          <w:sz w:val="22"/>
          <w:szCs w:val="22"/>
          <w:lang w:eastAsia="en-AU"/>
        </w:rPr>
      </w:pPr>
      <w:r>
        <w:t>Non</w:t>
      </w:r>
      <w:r>
        <w:noBreakHyphen/>
        <w:t>endemic species of fish permitted to be brought into the State</w:t>
      </w:r>
    </w:p>
    <w:p>
      <w:pPr>
        <w:pStyle w:val="TOC2"/>
        <w:tabs>
          <w:tab w:val="right" w:leader="dot" w:pos="7086"/>
        </w:tabs>
        <w:rPr>
          <w:rFonts w:asciiTheme="minorHAnsi" w:eastAsiaTheme="minorEastAsia" w:hAnsiTheme="minorHAnsi" w:cstheme="minorBidi"/>
          <w:b w:val="0"/>
          <w:sz w:val="22"/>
          <w:szCs w:val="22"/>
          <w:lang w:eastAsia="en-AU"/>
        </w:rPr>
      </w:pPr>
      <w:r>
        <w:t>Part 1 — Species of fish endemic to areas of Australia outside the State</w:t>
      </w:r>
    </w:p>
    <w:p>
      <w:pPr>
        <w:pStyle w:val="TOC2"/>
        <w:tabs>
          <w:tab w:val="right" w:leader="dot" w:pos="7086"/>
        </w:tabs>
        <w:rPr>
          <w:rFonts w:asciiTheme="minorHAnsi" w:eastAsiaTheme="minorEastAsia" w:hAnsiTheme="minorHAnsi" w:cstheme="minorBidi"/>
          <w:b w:val="0"/>
          <w:sz w:val="22"/>
          <w:szCs w:val="22"/>
          <w:lang w:eastAsia="en-AU"/>
        </w:rPr>
      </w:pPr>
      <w:r>
        <w:t>Part 2 — Species of fish not endemic to Australia</w:t>
      </w:r>
    </w:p>
    <w:p>
      <w:pPr>
        <w:pStyle w:val="TOC2"/>
        <w:tabs>
          <w:tab w:val="right" w:leader="dot" w:pos="7086"/>
        </w:tabs>
        <w:rPr>
          <w:rFonts w:asciiTheme="minorHAnsi" w:eastAsiaTheme="minorEastAsia" w:hAnsiTheme="minorHAnsi" w:cstheme="minorBidi"/>
          <w:b w:val="0"/>
          <w:sz w:val="22"/>
          <w:szCs w:val="22"/>
          <w:lang w:eastAsia="en-AU"/>
        </w:rPr>
      </w:pPr>
      <w:r>
        <w:t>Schedule 11</w:t>
      </w:r>
    </w:p>
    <w:p>
      <w:pPr>
        <w:pStyle w:val="TOC2"/>
        <w:tabs>
          <w:tab w:val="right" w:leader="dot" w:pos="7086"/>
        </w:tabs>
        <w:rPr>
          <w:rFonts w:asciiTheme="minorHAnsi" w:eastAsiaTheme="minorEastAsia" w:hAnsiTheme="minorHAnsi" w:cstheme="minorBidi"/>
          <w:b w:val="0"/>
          <w:sz w:val="22"/>
          <w:szCs w:val="22"/>
          <w:lang w:eastAsia="en-AU"/>
        </w:rPr>
      </w:pPr>
      <w:r>
        <w:t>Authorised trade names of fish</w:t>
      </w:r>
    </w:p>
    <w:p>
      <w:pPr>
        <w:pStyle w:val="TOC2"/>
        <w:tabs>
          <w:tab w:val="right" w:leader="dot" w:pos="7086"/>
        </w:tabs>
        <w:rPr>
          <w:rFonts w:asciiTheme="minorHAnsi" w:eastAsiaTheme="minorEastAsia" w:hAnsiTheme="minorHAnsi" w:cstheme="minorBidi"/>
          <w:b w:val="0"/>
          <w:sz w:val="22"/>
          <w:szCs w:val="22"/>
          <w:lang w:eastAsia="en-AU"/>
        </w:rPr>
      </w:pPr>
      <w:r>
        <w:t>Schedule 12</w:t>
      </w:r>
    </w:p>
    <w:p>
      <w:pPr>
        <w:pStyle w:val="TOC2"/>
        <w:tabs>
          <w:tab w:val="right" w:leader="dot" w:pos="7086"/>
        </w:tabs>
        <w:rPr>
          <w:rFonts w:asciiTheme="minorHAnsi" w:eastAsiaTheme="minorEastAsia" w:hAnsiTheme="minorHAnsi" w:cstheme="minorBidi"/>
          <w:b w:val="0"/>
          <w:sz w:val="22"/>
          <w:szCs w:val="22"/>
          <w:lang w:eastAsia="en-AU"/>
        </w:rPr>
      </w:pPr>
      <w:r>
        <w:t>Modified penalties</w:t>
      </w:r>
    </w:p>
    <w:p>
      <w:pPr>
        <w:pStyle w:val="TOC2"/>
        <w:tabs>
          <w:tab w:val="right" w:leader="dot" w:pos="7086"/>
        </w:tabs>
        <w:rPr>
          <w:rFonts w:asciiTheme="minorHAnsi" w:eastAsiaTheme="minorEastAsia" w:hAnsiTheme="minorHAnsi" w:cstheme="minorBidi"/>
          <w:b w:val="0"/>
          <w:sz w:val="22"/>
          <w:szCs w:val="22"/>
          <w:lang w:eastAsia="en-AU"/>
        </w:rPr>
      </w:pPr>
      <w:r>
        <w:t>Schedule 13</w:t>
      </w:r>
    </w:p>
    <w:p>
      <w:pPr>
        <w:pStyle w:val="TOC2"/>
        <w:tabs>
          <w:tab w:val="right" w:leader="dot" w:pos="7086"/>
        </w:tabs>
        <w:rPr>
          <w:rFonts w:asciiTheme="minorHAnsi" w:eastAsiaTheme="minorEastAsia" w:hAnsiTheme="minorHAnsi" w:cstheme="minorBidi"/>
          <w:b w:val="0"/>
          <w:sz w:val="22"/>
          <w:szCs w:val="22"/>
          <w:lang w:eastAsia="en-AU"/>
        </w:rPr>
      </w:pPr>
      <w:r>
        <w:t>Specifications for rock lobster pots</w:t>
      </w:r>
    </w:p>
    <w:p>
      <w:pPr>
        <w:pStyle w:val="TOC2"/>
        <w:tabs>
          <w:tab w:val="right" w:leader="dot" w:pos="7086"/>
        </w:tabs>
        <w:rPr>
          <w:rFonts w:asciiTheme="minorHAnsi" w:eastAsiaTheme="minorEastAsia" w:hAnsiTheme="minorHAnsi" w:cstheme="minorBidi"/>
          <w:b w:val="0"/>
          <w:sz w:val="22"/>
          <w:szCs w:val="22"/>
          <w:lang w:eastAsia="en-AU"/>
        </w:rPr>
      </w:pPr>
      <w:r>
        <w:t>Part 1 — Waters north of 21˚ 44′ south latitude</w:t>
      </w:r>
    </w:p>
    <w:p>
      <w:pPr>
        <w:pStyle w:val="TOC8"/>
        <w:rPr>
          <w:rFonts w:asciiTheme="minorHAnsi" w:eastAsiaTheme="minorEastAsia" w:hAnsiTheme="minorHAnsi" w:cstheme="minorBidi"/>
          <w:szCs w:val="22"/>
          <w:lang w:eastAsia="en-AU"/>
        </w:rPr>
      </w:pPr>
      <w:r>
        <w:t>1.</w:t>
      </w:r>
      <w:r>
        <w:tab/>
        <w:t>Entrance or neck of pot</w:t>
      </w:r>
      <w:r>
        <w:tab/>
      </w:r>
      <w:r>
        <w:fldChar w:fldCharType="begin"/>
      </w:r>
      <w:r>
        <w:instrText xml:space="preserve"> PAGEREF _Toc359317004 \h </w:instrText>
      </w:r>
      <w:r>
        <w:fldChar w:fldCharType="separate"/>
      </w:r>
      <w:r>
        <w:t>247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Waters between 21˚ 44′ south latitude and 34˚ 24′ south latitude (excluding some waters off the South Coast)</w:t>
      </w:r>
    </w:p>
    <w:p>
      <w:pPr>
        <w:pStyle w:val="TOC8"/>
        <w:rPr>
          <w:rFonts w:asciiTheme="minorHAnsi" w:eastAsiaTheme="minorEastAsia" w:hAnsiTheme="minorHAnsi" w:cstheme="minorBidi"/>
          <w:szCs w:val="22"/>
          <w:lang w:eastAsia="en-AU"/>
        </w:rPr>
      </w:pPr>
      <w:r>
        <w:t>2.</w:t>
      </w:r>
      <w:r>
        <w:tab/>
        <w:t>Entrance or neck of pot</w:t>
      </w:r>
      <w:r>
        <w:tab/>
      </w:r>
      <w:r>
        <w:fldChar w:fldCharType="begin"/>
      </w:r>
      <w:r>
        <w:instrText xml:space="preserve"> PAGEREF _Toc359317006 \h </w:instrText>
      </w:r>
      <w:r>
        <w:fldChar w:fldCharType="separate"/>
      </w:r>
      <w:r>
        <w:t>247</w:t>
      </w:r>
      <w:r>
        <w:fldChar w:fldCharType="end"/>
      </w:r>
    </w:p>
    <w:p>
      <w:pPr>
        <w:pStyle w:val="TOC8"/>
        <w:rPr>
          <w:rFonts w:asciiTheme="minorHAnsi" w:eastAsiaTheme="minorEastAsia" w:hAnsiTheme="minorHAnsi" w:cstheme="minorBidi"/>
          <w:szCs w:val="22"/>
          <w:lang w:eastAsia="en-AU"/>
        </w:rPr>
      </w:pPr>
      <w:r>
        <w:t>3.</w:t>
      </w:r>
      <w:r>
        <w:tab/>
        <w:t>Beehive pots</w:t>
      </w:r>
      <w:r>
        <w:tab/>
      </w:r>
      <w:r>
        <w:fldChar w:fldCharType="begin"/>
      </w:r>
      <w:r>
        <w:instrText xml:space="preserve"> PAGEREF _Toc359317007 \h </w:instrText>
      </w:r>
      <w:r>
        <w:fldChar w:fldCharType="separate"/>
      </w:r>
      <w:r>
        <w:t>247</w:t>
      </w:r>
      <w:r>
        <w:fldChar w:fldCharType="end"/>
      </w:r>
    </w:p>
    <w:p>
      <w:pPr>
        <w:pStyle w:val="TOC8"/>
        <w:rPr>
          <w:rFonts w:asciiTheme="minorHAnsi" w:eastAsiaTheme="minorEastAsia" w:hAnsiTheme="minorHAnsi" w:cstheme="minorBidi"/>
          <w:szCs w:val="22"/>
          <w:lang w:eastAsia="en-AU"/>
        </w:rPr>
      </w:pPr>
      <w:r>
        <w:t>4.</w:t>
      </w:r>
      <w:r>
        <w:tab/>
        <w:t>Batten pots</w:t>
      </w:r>
      <w:r>
        <w:tab/>
      </w:r>
      <w:r>
        <w:fldChar w:fldCharType="begin"/>
      </w:r>
      <w:r>
        <w:instrText xml:space="preserve"> PAGEREF _Toc359317008 \h </w:instrText>
      </w:r>
      <w:r>
        <w:fldChar w:fldCharType="separate"/>
      </w:r>
      <w:r>
        <w:t>249</w:t>
      </w:r>
      <w:r>
        <w:fldChar w:fldCharType="end"/>
      </w:r>
    </w:p>
    <w:p>
      <w:pPr>
        <w:pStyle w:val="TOC8"/>
        <w:rPr>
          <w:rFonts w:asciiTheme="minorHAnsi" w:eastAsiaTheme="minorEastAsia" w:hAnsiTheme="minorHAnsi" w:cstheme="minorBidi"/>
          <w:szCs w:val="22"/>
          <w:lang w:eastAsia="en-AU"/>
        </w:rPr>
      </w:pPr>
      <w:r>
        <w:t>5.</w:t>
      </w:r>
      <w:r>
        <w:tab/>
        <w:t>Other pots</w:t>
      </w:r>
      <w:r>
        <w:tab/>
      </w:r>
      <w:r>
        <w:fldChar w:fldCharType="begin"/>
      </w:r>
      <w:r>
        <w:instrText xml:space="preserve"> PAGEREF _Toc359317009 \h </w:instrText>
      </w:r>
      <w:r>
        <w:fldChar w:fldCharType="separate"/>
      </w:r>
      <w:r>
        <w:t>252</w:t>
      </w:r>
      <w:r>
        <w:fldChar w:fldCharType="end"/>
      </w:r>
    </w:p>
    <w:p>
      <w:pPr>
        <w:pStyle w:val="TOC8"/>
        <w:rPr>
          <w:rFonts w:asciiTheme="minorHAnsi" w:eastAsiaTheme="minorEastAsia" w:hAnsiTheme="minorHAnsi" w:cstheme="minorBidi"/>
          <w:szCs w:val="22"/>
          <w:lang w:eastAsia="en-AU"/>
        </w:rPr>
      </w:pPr>
      <w:r>
        <w:t>7.</w:t>
      </w:r>
      <w:r>
        <w:tab/>
        <w:t>All pots</w:t>
      </w:r>
      <w:r>
        <w:tab/>
      </w:r>
      <w:r>
        <w:fldChar w:fldCharType="begin"/>
      </w:r>
      <w:r>
        <w:instrText xml:space="preserve"> PAGEREF _Toc359317010 \h </w:instrText>
      </w:r>
      <w:r>
        <w:fldChar w:fldCharType="separate"/>
      </w:r>
      <w:r>
        <w:t>253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All other waters</w:t>
      </w:r>
    </w:p>
    <w:p>
      <w:pPr>
        <w:pStyle w:val="TOC8"/>
        <w:rPr>
          <w:rFonts w:asciiTheme="minorHAnsi" w:eastAsiaTheme="minorEastAsia" w:hAnsiTheme="minorHAnsi" w:cstheme="minorBidi"/>
          <w:szCs w:val="22"/>
          <w:lang w:eastAsia="en-AU"/>
        </w:rPr>
      </w:pPr>
      <w:r>
        <w:t>8.</w:t>
      </w:r>
      <w:r>
        <w:tab/>
        <w:t>Entrance or neck of pot</w:t>
      </w:r>
      <w:r>
        <w:tab/>
      </w:r>
      <w:r>
        <w:fldChar w:fldCharType="begin"/>
      </w:r>
      <w:r>
        <w:instrText xml:space="preserve"> PAGEREF _Toc359317012 \h </w:instrText>
      </w:r>
      <w:r>
        <w:fldChar w:fldCharType="separate"/>
      </w:r>
      <w:r>
        <w:t>253</w:t>
      </w:r>
      <w:r>
        <w:fldChar w:fldCharType="end"/>
      </w:r>
    </w:p>
    <w:p>
      <w:pPr>
        <w:pStyle w:val="TOC8"/>
        <w:rPr>
          <w:rFonts w:asciiTheme="minorHAnsi" w:eastAsiaTheme="minorEastAsia" w:hAnsiTheme="minorHAnsi" w:cstheme="minorBidi"/>
          <w:szCs w:val="22"/>
          <w:lang w:eastAsia="en-AU"/>
        </w:rPr>
      </w:pPr>
      <w:r>
        <w:t>9.</w:t>
      </w:r>
      <w:r>
        <w:tab/>
        <w:t>Beehive pots</w:t>
      </w:r>
      <w:r>
        <w:tab/>
      </w:r>
      <w:r>
        <w:fldChar w:fldCharType="begin"/>
      </w:r>
      <w:r>
        <w:instrText xml:space="preserve"> PAGEREF _Toc359317013 \h </w:instrText>
      </w:r>
      <w:r>
        <w:fldChar w:fldCharType="separate"/>
      </w:r>
      <w:r>
        <w:t>253</w:t>
      </w:r>
      <w:r>
        <w:fldChar w:fldCharType="end"/>
      </w:r>
    </w:p>
    <w:p>
      <w:pPr>
        <w:pStyle w:val="TOC8"/>
        <w:rPr>
          <w:rFonts w:asciiTheme="minorHAnsi" w:eastAsiaTheme="minorEastAsia" w:hAnsiTheme="minorHAnsi" w:cstheme="minorBidi"/>
          <w:szCs w:val="22"/>
          <w:lang w:eastAsia="en-AU"/>
        </w:rPr>
      </w:pPr>
      <w:r>
        <w:t>10.</w:t>
      </w:r>
      <w:r>
        <w:tab/>
        <w:t>Batten pots</w:t>
      </w:r>
      <w:r>
        <w:tab/>
      </w:r>
      <w:r>
        <w:fldChar w:fldCharType="begin"/>
      </w:r>
      <w:r>
        <w:instrText xml:space="preserve"> PAGEREF _Toc359317014 \h </w:instrText>
      </w:r>
      <w:r>
        <w:fldChar w:fldCharType="separate"/>
      </w:r>
      <w:r>
        <w:t>254</w:t>
      </w:r>
      <w:r>
        <w:fldChar w:fldCharType="end"/>
      </w:r>
    </w:p>
    <w:p>
      <w:pPr>
        <w:pStyle w:val="TOC8"/>
        <w:rPr>
          <w:rFonts w:asciiTheme="minorHAnsi" w:eastAsiaTheme="minorEastAsia" w:hAnsiTheme="minorHAnsi" w:cstheme="minorBidi"/>
          <w:szCs w:val="22"/>
          <w:lang w:eastAsia="en-AU"/>
        </w:rPr>
      </w:pPr>
      <w:r>
        <w:t>11.</w:t>
      </w:r>
      <w:r>
        <w:tab/>
        <w:t>Other pots</w:t>
      </w:r>
      <w:r>
        <w:tab/>
      </w:r>
      <w:r>
        <w:fldChar w:fldCharType="begin"/>
      </w:r>
      <w:r>
        <w:instrText xml:space="preserve"> PAGEREF _Toc359317015 \h </w:instrText>
      </w:r>
      <w:r>
        <w:fldChar w:fldCharType="separate"/>
      </w:r>
      <w:r>
        <w:t>255</w:t>
      </w:r>
      <w:r>
        <w:fldChar w:fldCharType="end"/>
      </w:r>
    </w:p>
    <w:p>
      <w:pPr>
        <w:pStyle w:val="TOC8"/>
        <w:rPr>
          <w:rFonts w:asciiTheme="minorHAnsi" w:eastAsiaTheme="minorEastAsia" w:hAnsiTheme="minorHAnsi" w:cstheme="minorBidi"/>
          <w:szCs w:val="22"/>
          <w:lang w:eastAsia="en-AU"/>
        </w:rPr>
      </w:pPr>
      <w:r>
        <w:t>13.</w:t>
      </w:r>
      <w:r>
        <w:tab/>
        <w:t>All pots</w:t>
      </w:r>
      <w:r>
        <w:tab/>
      </w:r>
      <w:r>
        <w:fldChar w:fldCharType="begin"/>
      </w:r>
      <w:r>
        <w:instrText xml:space="preserve"> PAGEREF _Toc359317016 \h </w:instrText>
      </w:r>
      <w:r>
        <w:fldChar w:fldCharType="separate"/>
      </w:r>
      <w:r>
        <w:t>256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14</w:t>
      </w:r>
    </w:p>
    <w:p>
      <w:pPr>
        <w:pStyle w:val="TOC2"/>
        <w:tabs>
          <w:tab w:val="right" w:leader="dot" w:pos="7086"/>
        </w:tabs>
        <w:rPr>
          <w:rFonts w:asciiTheme="minorHAnsi" w:eastAsiaTheme="minorEastAsia" w:hAnsiTheme="minorHAnsi" w:cstheme="minorBidi"/>
          <w:b w:val="0"/>
          <w:sz w:val="22"/>
          <w:szCs w:val="22"/>
          <w:lang w:eastAsia="en-AU"/>
        </w:rPr>
      </w:pPr>
      <w:r>
        <w:t>Forms</w:t>
      </w:r>
    </w:p>
    <w:p>
      <w:pPr>
        <w:pStyle w:val="TOC2"/>
        <w:tabs>
          <w:tab w:val="right" w:leader="dot" w:pos="7086"/>
        </w:tabs>
        <w:rPr>
          <w:rFonts w:asciiTheme="minorHAnsi" w:eastAsiaTheme="minorEastAsia" w:hAnsiTheme="minorHAnsi" w:cstheme="minorBidi"/>
          <w:b w:val="0"/>
          <w:sz w:val="22"/>
          <w:szCs w:val="22"/>
          <w:lang w:eastAsia="en-AU"/>
        </w:rPr>
      </w:pPr>
      <w:r>
        <w:t>Schedule 15 — Tour management zones</w:t>
      </w:r>
    </w:p>
    <w:p>
      <w:pPr>
        <w:pStyle w:val="TOC8"/>
        <w:rPr>
          <w:rFonts w:asciiTheme="minorHAnsi" w:eastAsiaTheme="minorEastAsia" w:hAnsiTheme="minorHAnsi" w:cstheme="minorBidi"/>
          <w:szCs w:val="22"/>
          <w:lang w:eastAsia="en-AU"/>
        </w:rPr>
      </w:pPr>
      <w:r>
        <w:t>1.</w:t>
      </w:r>
      <w:r>
        <w:tab/>
        <w:t>Zone 1: Pilbara/Kimberley</w:t>
      </w:r>
      <w:r>
        <w:tab/>
      </w:r>
      <w:r>
        <w:fldChar w:fldCharType="begin"/>
      </w:r>
      <w:r>
        <w:instrText xml:space="preserve"> PAGEREF _Toc359317020 \h </w:instrText>
      </w:r>
      <w:r>
        <w:fldChar w:fldCharType="separate"/>
      </w:r>
      <w:r>
        <w:t>273</w:t>
      </w:r>
      <w:r>
        <w:fldChar w:fldCharType="end"/>
      </w:r>
    </w:p>
    <w:p>
      <w:pPr>
        <w:pStyle w:val="TOC8"/>
        <w:rPr>
          <w:rFonts w:asciiTheme="minorHAnsi" w:eastAsiaTheme="minorEastAsia" w:hAnsiTheme="minorHAnsi" w:cstheme="minorBidi"/>
          <w:szCs w:val="22"/>
          <w:lang w:eastAsia="en-AU"/>
        </w:rPr>
      </w:pPr>
      <w:r>
        <w:t>2.</w:t>
      </w:r>
      <w:r>
        <w:tab/>
        <w:t>Zone 2: Gascoyne</w:t>
      </w:r>
      <w:r>
        <w:tab/>
      </w:r>
      <w:r>
        <w:fldChar w:fldCharType="begin"/>
      </w:r>
      <w:r>
        <w:instrText xml:space="preserve"> PAGEREF _Toc359317021 \h </w:instrText>
      </w:r>
      <w:r>
        <w:fldChar w:fldCharType="separate"/>
      </w:r>
      <w:r>
        <w:t>273</w:t>
      </w:r>
      <w:r>
        <w:fldChar w:fldCharType="end"/>
      </w:r>
    </w:p>
    <w:p>
      <w:pPr>
        <w:pStyle w:val="TOC8"/>
        <w:rPr>
          <w:rFonts w:asciiTheme="minorHAnsi" w:eastAsiaTheme="minorEastAsia" w:hAnsiTheme="minorHAnsi" w:cstheme="minorBidi"/>
          <w:szCs w:val="22"/>
          <w:lang w:eastAsia="en-AU"/>
        </w:rPr>
      </w:pPr>
      <w:r>
        <w:t>3.</w:t>
      </w:r>
      <w:r>
        <w:tab/>
        <w:t>Zone 3: West Coast</w:t>
      </w:r>
      <w:r>
        <w:tab/>
      </w:r>
      <w:r>
        <w:fldChar w:fldCharType="begin"/>
      </w:r>
      <w:r>
        <w:instrText xml:space="preserve"> PAGEREF _Toc359317022 \h </w:instrText>
      </w:r>
      <w:r>
        <w:fldChar w:fldCharType="separate"/>
      </w:r>
      <w:r>
        <w:t>273</w:t>
      </w:r>
      <w:r>
        <w:fldChar w:fldCharType="end"/>
      </w:r>
    </w:p>
    <w:p>
      <w:pPr>
        <w:pStyle w:val="TOC8"/>
        <w:rPr>
          <w:rFonts w:asciiTheme="minorHAnsi" w:eastAsiaTheme="minorEastAsia" w:hAnsiTheme="minorHAnsi" w:cstheme="minorBidi"/>
          <w:szCs w:val="22"/>
          <w:lang w:eastAsia="en-AU"/>
        </w:rPr>
      </w:pPr>
      <w:r>
        <w:t>4.</w:t>
      </w:r>
      <w:r>
        <w:tab/>
        <w:t>Zone 4: South Coast</w:t>
      </w:r>
      <w:r>
        <w:tab/>
      </w:r>
      <w:r>
        <w:fldChar w:fldCharType="begin"/>
      </w:r>
      <w:r>
        <w:instrText xml:space="preserve"> PAGEREF _Toc359317023 \h </w:instrText>
      </w:r>
      <w:r>
        <w:fldChar w:fldCharType="separate"/>
      </w:r>
      <w:r>
        <w:t>273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16 — Abalone zones</w:t>
      </w:r>
    </w:p>
    <w:p>
      <w:pPr>
        <w:pStyle w:val="TOC8"/>
        <w:rPr>
          <w:rFonts w:asciiTheme="minorHAnsi" w:eastAsiaTheme="minorEastAsia" w:hAnsiTheme="minorHAnsi" w:cstheme="minorBidi"/>
          <w:szCs w:val="22"/>
          <w:lang w:eastAsia="en-AU"/>
        </w:rPr>
      </w:pPr>
      <w:r>
        <w:t>1.</w:t>
      </w:r>
      <w:r>
        <w:tab/>
        <w:t>Abalone Zone 1: Busselton Jetty to Greenough River mouth</w:t>
      </w:r>
      <w:r>
        <w:tab/>
      </w:r>
      <w:r>
        <w:fldChar w:fldCharType="begin"/>
      </w:r>
      <w:r>
        <w:instrText xml:space="preserve"> PAGEREF _Toc359317025 \h </w:instrText>
      </w:r>
      <w:r>
        <w:fldChar w:fldCharType="separate"/>
      </w:r>
      <w:r>
        <w:t>274</w:t>
      </w:r>
      <w:r>
        <w:fldChar w:fldCharType="end"/>
      </w:r>
    </w:p>
    <w:p>
      <w:pPr>
        <w:pStyle w:val="TOC8"/>
        <w:rPr>
          <w:rFonts w:asciiTheme="minorHAnsi" w:eastAsiaTheme="minorEastAsia" w:hAnsiTheme="minorHAnsi" w:cstheme="minorBidi"/>
          <w:szCs w:val="22"/>
          <w:lang w:eastAsia="en-AU"/>
        </w:rPr>
      </w:pPr>
      <w:r>
        <w:t>2.</w:t>
      </w:r>
      <w:r>
        <w:tab/>
        <w:t>Abalone Zone 2: Greenough River mouth to Northern Territory border</w:t>
      </w:r>
      <w:r>
        <w:tab/>
      </w:r>
      <w:r>
        <w:fldChar w:fldCharType="begin"/>
      </w:r>
      <w:r>
        <w:instrText xml:space="preserve"> PAGEREF _Toc359317026 \h </w:instrText>
      </w:r>
      <w:r>
        <w:fldChar w:fldCharType="separate"/>
      </w:r>
      <w:r>
        <w:t>274</w:t>
      </w:r>
      <w:r>
        <w:fldChar w:fldCharType="end"/>
      </w:r>
    </w:p>
    <w:p>
      <w:pPr>
        <w:pStyle w:val="TOC8"/>
        <w:rPr>
          <w:rFonts w:asciiTheme="minorHAnsi" w:eastAsiaTheme="minorEastAsia" w:hAnsiTheme="minorHAnsi" w:cstheme="minorBidi"/>
          <w:szCs w:val="22"/>
          <w:lang w:eastAsia="en-AU"/>
        </w:rPr>
      </w:pPr>
      <w:r>
        <w:t>3.</w:t>
      </w:r>
      <w:r>
        <w:tab/>
        <w:t>Abalone Zone 3: Busselton Jetty to South Australian border</w:t>
      </w:r>
      <w:r>
        <w:tab/>
      </w:r>
      <w:r>
        <w:fldChar w:fldCharType="begin"/>
      </w:r>
      <w:r>
        <w:instrText xml:space="preserve"> PAGEREF _Toc359317027 \h </w:instrText>
      </w:r>
      <w:r>
        <w:fldChar w:fldCharType="separate"/>
      </w:r>
      <w:r>
        <w:t>275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_Toc359317029 \h </w:instrText>
      </w:r>
      <w:r>
        <w:fldChar w:fldCharType="separate"/>
      </w:r>
      <w:r>
        <w:t>276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1" w:name="_Toc339625718"/>
      <w:bookmarkStart w:id="2" w:name="_Toc342397468"/>
      <w:bookmarkStart w:id="3" w:name="_Toc343519725"/>
      <w:bookmarkStart w:id="4" w:name="_Toc343520182"/>
      <w:bookmarkStart w:id="5" w:name="_Toc344711747"/>
      <w:bookmarkStart w:id="6" w:name="_Toc344712263"/>
      <w:bookmarkStart w:id="7" w:name="_Toc347307543"/>
      <w:bookmarkStart w:id="8" w:name="_Toc349822460"/>
      <w:bookmarkStart w:id="9" w:name="_Toc349822880"/>
      <w:bookmarkStart w:id="10" w:name="_Toc349830862"/>
      <w:bookmarkStart w:id="11" w:name="_Toc359248650"/>
      <w:bookmarkStart w:id="12" w:name="_Toc35931660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p>
    <w:p>
      <w:pPr>
        <w:pStyle w:val="Heading5"/>
        <w:rPr>
          <w:snapToGrid w:val="0"/>
        </w:rPr>
      </w:pPr>
      <w:bookmarkStart w:id="13" w:name="_Toc359316608"/>
      <w:r>
        <w:rPr>
          <w:rStyle w:val="CharSectno"/>
        </w:rPr>
        <w:t>1</w:t>
      </w:r>
      <w:r>
        <w:rPr>
          <w:snapToGrid w:val="0"/>
        </w:rPr>
        <w:t>.</w:t>
      </w:r>
      <w:r>
        <w:rPr>
          <w:snapToGrid w:val="0"/>
        </w:rPr>
        <w:tab/>
        <w:t>Citation</w:t>
      </w:r>
      <w:bookmarkEnd w:id="13"/>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14" w:name="_Toc359316609"/>
      <w:r>
        <w:rPr>
          <w:rStyle w:val="CharSectno"/>
        </w:rPr>
        <w:t>2</w:t>
      </w:r>
      <w:r>
        <w:rPr>
          <w:snapToGrid w:val="0"/>
        </w:rPr>
        <w:t>.</w:t>
      </w:r>
      <w:r>
        <w:rPr>
          <w:snapToGrid w:val="0"/>
        </w:rPr>
        <w:tab/>
        <w:t>Commencement</w:t>
      </w:r>
      <w:bookmarkEnd w:id="14"/>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15" w:name="_Toc359316610"/>
      <w:r>
        <w:rPr>
          <w:rStyle w:val="CharSectno"/>
        </w:rPr>
        <w:t>3</w:t>
      </w:r>
      <w:r>
        <w:rPr>
          <w:snapToGrid w:val="0"/>
        </w:rPr>
        <w:t>.</w:t>
      </w:r>
      <w:r>
        <w:rPr>
          <w:snapToGrid w:val="0"/>
        </w:rPr>
        <w:tab/>
        <w:t>Terms used</w:t>
      </w:r>
      <w:bookmarkEnd w:id="15"/>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w:t>
      </w:r>
    </w:p>
    <w:p>
      <w:pPr>
        <w:pStyle w:val="Defpara"/>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low risk finfish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pPr>
      <w:r>
        <w:tab/>
        <w:t>(a)</w:t>
      </w:r>
      <w:r>
        <w:tab/>
        <w:t>a hand scoop or hand dip net; or</w:t>
      </w:r>
    </w:p>
    <w:p>
      <w:pPr>
        <w:pStyle w:val="Defpara"/>
      </w:pPr>
      <w:r>
        <w:tab/>
        <w:t>(b)</w:t>
      </w:r>
      <w:r>
        <w:tab/>
        <w:t>a prawn hand trawl net; or</w:t>
      </w:r>
    </w:p>
    <w:p>
      <w:pPr>
        <w:pStyle w:val="Defpara"/>
      </w:pPr>
      <w:r>
        <w:tab/>
        <w:t>(c)</w:t>
      </w:r>
      <w:r>
        <w:tab/>
        <w:t>a complying drop net;</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north of 27° 00′ south latitude, excluding the Pilbara and Kimberley Region;</w:t>
      </w:r>
    </w:p>
    <w:p>
      <w:pPr>
        <w:pStyle w:val="Defstart"/>
      </w:pPr>
      <w:r>
        <w:rPr>
          <w:b/>
        </w:rPr>
        <w:tab/>
      </w:r>
      <w:r>
        <w:rPr>
          <w:rStyle w:val="CharDefText"/>
        </w:rPr>
        <w:t>gear identification number</w:t>
      </w:r>
      <w:r>
        <w:t xml:space="preserve"> of a person means —</w:t>
      </w:r>
    </w:p>
    <w:p>
      <w:pPr>
        <w:pStyle w:val="Defpara"/>
      </w:pPr>
      <w:r>
        <w:tab/>
        <w:t>(a)</w:t>
      </w:r>
      <w:r>
        <w:tab/>
        <w:t>any letters and numbers specified in accordance with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or</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smartTag w:uri="urn:schemas-microsoft-com:office:smarttags" w:element="place">
        <w:smartTag w:uri="urn:schemas-microsoft-com:office:smarttags" w:element="PlaceName">
          <w:r>
            <w:rPr>
              <w:i/>
              <w:spacing w:val="-4"/>
            </w:rPr>
            <w:t>Lancelin</w:t>
          </w:r>
        </w:smartTag>
        <w:r>
          <w:rPr>
            <w:i/>
            <w:spacing w:val="-4"/>
          </w:rPr>
          <w:t xml:space="preserve"> </w:t>
        </w:r>
        <w:smartTag w:uri="urn:schemas-microsoft-com:office:smarttags" w:element="PlaceType">
          <w:r>
            <w:rPr>
              <w:i/>
              <w:spacing w:val="-4"/>
            </w:rPr>
            <w:t>Island</w:t>
          </w:r>
        </w:smartTag>
      </w:smartTag>
      <w:r>
        <w:rPr>
          <w:i/>
          <w:spacing w:val="-4"/>
        </w:rPr>
        <w:t xml:space="preserve"> Lagoon Fish Habitat Protection Area Order 2001</w:t>
      </w:r>
      <w:r>
        <w:rPr>
          <w:spacing w:val="-4"/>
        </w:rPr>
        <w:t>;</w:t>
      </w:r>
    </w:p>
    <w:p>
      <w:pPr>
        <w:pStyle w:val="Defstart"/>
      </w:pPr>
      <w:r>
        <w:rPr>
          <w:b/>
        </w:rPr>
        <w:tab/>
      </w:r>
      <w:r>
        <w:rPr>
          <w:rStyle w:val="CharDefText"/>
        </w:rPr>
        <w:t>lawful overnight stay on an island</w:t>
      </w:r>
      <w:r>
        <w:t xml:space="preserve"> means staying on an island —</w:t>
      </w:r>
    </w:p>
    <w:p>
      <w:pPr>
        <w:pStyle w:val="Defpara"/>
      </w:pPr>
      <w:r>
        <w:tab/>
        <w:t>(a)</w:t>
      </w:r>
      <w:r>
        <w:tab/>
        <w:t>for a period of at least 5 hours which includes midnight; and</w:t>
      </w:r>
    </w:p>
    <w:p>
      <w:pPr>
        <w:pStyle w:val="Defpara"/>
      </w:pPr>
      <w:r>
        <w:tab/>
        <w:t>(b)</w:t>
      </w:r>
      <w:r>
        <w:tab/>
        <w:t>without contravening any relevant written law about —</w:t>
      </w:r>
    </w:p>
    <w:p>
      <w:pPr>
        <w:pStyle w:val="Defsubpara"/>
      </w:pPr>
      <w:r>
        <w:tab/>
        <w:t>(i)</w:t>
      </w:r>
      <w:r>
        <w:tab/>
        <w:t>accommodation on the island; or</w:t>
      </w:r>
    </w:p>
    <w:p>
      <w:pPr>
        <w:pStyle w:val="Defsubpara"/>
      </w:pPr>
      <w:r>
        <w:tab/>
        <w:t>(ii)</w:t>
      </w:r>
      <w:r>
        <w:tab/>
        <w:t>staying overnight on the island;</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pPr>
      <w:r>
        <w:rPr>
          <w:b/>
        </w:rPr>
        <w:tab/>
      </w:r>
      <w:r>
        <w:rPr>
          <w:rStyle w:val="CharDefText"/>
        </w:rPr>
        <w:t>low risk finfish</w:t>
      </w:r>
      <w:r>
        <w:t xml:space="preserve"> has the same meaning as in regulation 16(1);</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pPr>
      <w:r>
        <w:tab/>
        <w:t>(a)</w:t>
      </w:r>
      <w:r>
        <w:tab/>
        <w:t>Harvey Weir; and</w:t>
      </w:r>
    </w:p>
    <w:p>
      <w:pPr>
        <w:pStyle w:val="Defpara"/>
      </w:pPr>
      <w:r>
        <w:tab/>
        <w:t>(b)</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its tributaries; and</w:t>
      </w:r>
    </w:p>
    <w:p>
      <w:pPr>
        <w:pStyle w:val="Defpara"/>
      </w:pPr>
      <w:r>
        <w:tab/>
        <w:t>(c)</w:t>
      </w:r>
      <w:r>
        <w:tab/>
      </w:r>
      <w:smartTag w:uri="urn:schemas-microsoft-com:office:smarttags" w:element="place">
        <w:smartTag w:uri="urn:schemas-microsoft-com:office:smarttags" w:element="PlaceName">
          <w:r>
            <w:t>Hutt</w:t>
          </w:r>
        </w:smartTag>
        <w:r>
          <w:t xml:space="preserve"> </w:t>
        </w:r>
        <w:smartTag w:uri="urn:schemas-microsoft-com:office:smarttags" w:element="PlaceType">
          <w:r>
            <w:t>River</w:t>
          </w:r>
        </w:smartTag>
      </w:smartTag>
      <w:r>
        <w:t>;</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w:t>
      </w:r>
      <w:smartTag w:uri="urn:schemas-microsoft-com:office:smarttags" w:element="place">
        <w:smartTag w:uri="urn:schemas-microsoft-com:office:smarttags" w:element="PlaceType">
          <w:r>
            <w:t>Cape</w:t>
          </w:r>
        </w:smartTag>
        <w:r>
          <w:t xml:space="preserve"> </w:t>
        </w:r>
        <w:smartTag w:uri="urn:schemas-microsoft-com:office:smarttags" w:element="PlaceName">
          <w:r>
            <w:t>Bouvard</w:t>
          </w:r>
        </w:smartTag>
      </w:smartTag>
      <w:r>
        <w:t>);</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w:t>
      </w:r>
      <w:smartTag w:uri="urn:schemas-microsoft-com:office:smarttags" w:element="PlaceName">
        <w:r>
          <w:t>Class</w:t>
        </w:r>
      </w:smartTag>
      <w:r>
        <w:t xml:space="preserve"> </w:t>
      </w:r>
      <w:smartTag w:uri="urn:schemas-microsoft-com:office:smarttags" w:element="PlaceName">
        <w:r>
          <w:t>“A”</w:t>
        </w:r>
      </w:smartTag>
      <w:r>
        <w:t xml:space="preserve"> </w:t>
      </w:r>
      <w:smartTag w:uri="urn:schemas-microsoft-com:office:smarttags" w:element="PlaceName">
        <w:r>
          <w:t>Marine</w:t>
        </w:r>
      </w:smartTag>
      <w:r>
        <w:t xml:space="preserve"> </w:t>
      </w:r>
      <w:smartTag w:uri="urn:schemas-microsoft-com:office:smarttags" w:element="PlaceType">
        <w:r>
          <w:t>Park</w:t>
        </w:r>
      </w:smartTag>
      <w:r>
        <w:t xml:space="preserve"> Reserve No. 2,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pPr>
      <w:r>
        <w:tab/>
        <w:t>(b)</w:t>
      </w:r>
      <w:r>
        <w:tab/>
        <w:t xml:space="preserve">the Pilbara and </w:t>
      </w:r>
      <w:smartTag w:uri="urn:schemas-microsoft-com:office:smarttags" w:element="place">
        <w:smartTag w:uri="urn:schemas-microsoft-com:office:smarttags" w:element="City">
          <w:r>
            <w:t>Kimberley</w:t>
          </w:r>
        </w:smartTag>
      </w:smartTag>
      <w:r>
        <w:t xml:space="preserve"> Region;</w:t>
      </w:r>
    </w:p>
    <w:p>
      <w:pPr>
        <w:pStyle w:val="Defpara"/>
      </w:pPr>
      <w:r>
        <w:tab/>
        <w:t>(c)</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 xml:space="preserve">the Cities of </w:t>
      </w:r>
      <w:smartTag w:uri="urn:schemas-microsoft-com:office:smarttags" w:element="place">
        <w:smartTag w:uri="urn:schemas-microsoft-com:office:smarttags" w:element="City">
          <w:r>
            <w:t>Albany</w:t>
          </w:r>
        </w:smartTag>
      </w:smartTag>
      <w:r>
        <w:t xml:space="preserve">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 xml:space="preserve">waters of </w:t>
      </w:r>
      <w:smartTag w:uri="urn:schemas-microsoft-com:office:smarttags" w:element="PlaceName">
        <w:r>
          <w:rPr>
            <w:rStyle w:val="CharDefText"/>
          </w:rPr>
          <w:t>Shark</w:t>
        </w:r>
      </w:smartTag>
      <w:r>
        <w:rPr>
          <w:rStyle w:val="CharDefText"/>
        </w:rPr>
        <w:t xml:space="preserve"> </w:t>
      </w:r>
      <w:smartTag w:uri="urn:schemas-microsoft-com:office:smarttags" w:element="PlaceType">
        <w:r>
          <w:rPr>
            <w:rStyle w:val="CharDefText"/>
          </w:rPr>
          <w:t>Bay</w:t>
        </w:r>
      </w:smartTag>
      <w:r>
        <w:t xml:space="preserve"> means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rStyle w:val="CharDefText"/>
        </w:rPr>
        <w:t>West Coast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p>
    <w:p>
      <w:pPr>
        <w:pStyle w:val="Defstart"/>
      </w:pPr>
      <w:r>
        <w:rPr>
          <w:b/>
        </w:rPr>
        <w:tab/>
      </w:r>
      <w:r>
        <w:rPr>
          <w:rStyle w:val="CharDefText"/>
        </w:rPr>
        <w:t>whole fish</w:t>
      </w:r>
      <w:r>
        <w:t xml:space="preserve"> means a finfish that is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 29 Jan 2013 p. 301.]</w:t>
      </w:r>
    </w:p>
    <w:p>
      <w:pPr>
        <w:pStyle w:val="Ednotesection"/>
      </w:pPr>
      <w:r>
        <w:t>[</w:t>
      </w:r>
      <w:r>
        <w:rPr>
          <w:b/>
        </w:rPr>
        <w:t>3A.</w:t>
      </w:r>
      <w:r>
        <w:tab/>
        <w:t>Deleted in Gazette 4 Nov 2005 p. 5301.]</w:t>
      </w:r>
    </w:p>
    <w:p>
      <w:pPr>
        <w:pStyle w:val="Heading5"/>
        <w:rPr>
          <w:snapToGrid w:val="0"/>
        </w:rPr>
      </w:pPr>
      <w:bookmarkStart w:id="16" w:name="_Toc359316611"/>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16"/>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17" w:name="_Toc359316612"/>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17"/>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18" w:name="_Toc359316613"/>
      <w:r>
        <w:rPr>
          <w:rStyle w:val="CharSectno"/>
        </w:rPr>
        <w:t>6</w:t>
      </w:r>
      <w:r>
        <w:rPr>
          <w:snapToGrid w:val="0"/>
        </w:rPr>
        <w:t>.</w:t>
      </w:r>
      <w:r>
        <w:rPr>
          <w:snapToGrid w:val="0"/>
        </w:rPr>
        <w:tab/>
        <w:t>Fee prescribed for exemption application (Act s. 7(4))</w:t>
      </w:r>
      <w:bookmarkEnd w:id="18"/>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19" w:name="_Toc359316614"/>
      <w:r>
        <w:rPr>
          <w:rStyle w:val="CharSectno"/>
        </w:rPr>
        <w:t>7</w:t>
      </w:r>
      <w:r>
        <w:rPr>
          <w:snapToGrid w:val="0"/>
        </w:rPr>
        <w:t>.</w:t>
      </w:r>
      <w:r>
        <w:rPr>
          <w:snapToGrid w:val="0"/>
        </w:rPr>
        <w:tab/>
        <w:t>Exemption, power to require return of</w:t>
      </w:r>
      <w:bookmarkEnd w:id="19"/>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 7 amended in Gazette 6 Jul 2007 p. 3389.]</w:t>
      </w:r>
    </w:p>
    <w:p>
      <w:pPr>
        <w:pStyle w:val="Heading2"/>
      </w:pPr>
      <w:bookmarkStart w:id="20" w:name="_Toc339625726"/>
      <w:bookmarkStart w:id="21" w:name="_Toc342397476"/>
      <w:bookmarkStart w:id="22" w:name="_Toc343519733"/>
      <w:bookmarkStart w:id="23" w:name="_Toc343520190"/>
      <w:bookmarkStart w:id="24" w:name="_Toc344711755"/>
      <w:bookmarkStart w:id="25" w:name="_Toc344712271"/>
      <w:bookmarkStart w:id="26" w:name="_Toc347307551"/>
      <w:bookmarkStart w:id="27" w:name="_Toc349822468"/>
      <w:bookmarkStart w:id="28" w:name="_Toc349822888"/>
      <w:bookmarkStart w:id="29" w:name="_Toc349830870"/>
      <w:bookmarkStart w:id="30" w:name="_Toc359248658"/>
      <w:bookmarkStart w:id="31" w:name="_Toc359316615"/>
      <w:r>
        <w:rPr>
          <w:rStyle w:val="CharPartNo"/>
        </w:rPr>
        <w:t>Part 2</w:t>
      </w:r>
      <w:r>
        <w:rPr>
          <w:rStyle w:val="CharDivNo"/>
        </w:rPr>
        <w:t> </w:t>
      </w:r>
      <w:r>
        <w:t>—</w:t>
      </w:r>
      <w:r>
        <w:rPr>
          <w:rStyle w:val="CharDivText"/>
        </w:rPr>
        <w:t> </w:t>
      </w:r>
      <w:r>
        <w:rPr>
          <w:rStyle w:val="CharPartText"/>
        </w:rPr>
        <w:t>Administration</w:t>
      </w:r>
      <w:bookmarkEnd w:id="20"/>
      <w:bookmarkEnd w:id="21"/>
      <w:bookmarkEnd w:id="22"/>
      <w:bookmarkEnd w:id="23"/>
      <w:bookmarkEnd w:id="24"/>
      <w:bookmarkEnd w:id="25"/>
      <w:bookmarkEnd w:id="26"/>
      <w:bookmarkEnd w:id="27"/>
      <w:bookmarkEnd w:id="28"/>
      <w:bookmarkEnd w:id="29"/>
      <w:bookmarkEnd w:id="30"/>
      <w:bookmarkEnd w:id="31"/>
    </w:p>
    <w:p>
      <w:pPr>
        <w:pStyle w:val="Heading5"/>
        <w:rPr>
          <w:snapToGrid w:val="0"/>
        </w:rPr>
      </w:pPr>
      <w:bookmarkStart w:id="32" w:name="_Toc359316616"/>
      <w:r>
        <w:rPr>
          <w:rStyle w:val="CharSectno"/>
        </w:rPr>
        <w:t>8</w:t>
      </w:r>
      <w:r>
        <w:rPr>
          <w:snapToGrid w:val="0"/>
        </w:rPr>
        <w:t>.</w:t>
      </w:r>
      <w:r>
        <w:rPr>
          <w:snapToGrid w:val="0"/>
        </w:rPr>
        <w:tab/>
        <w:t>Common seal of Minister for Fisheries, use of etc.</w:t>
      </w:r>
      <w:bookmarkEnd w:id="32"/>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in Gazette 6 Jul 2007 p. 3389.]</w:t>
      </w:r>
    </w:p>
    <w:p>
      <w:pPr>
        <w:pStyle w:val="Heading2"/>
      </w:pPr>
      <w:bookmarkStart w:id="33" w:name="_Toc339625728"/>
      <w:bookmarkStart w:id="34" w:name="_Toc342397478"/>
      <w:bookmarkStart w:id="35" w:name="_Toc343519735"/>
      <w:bookmarkStart w:id="36" w:name="_Toc343520192"/>
      <w:bookmarkStart w:id="37" w:name="_Toc344711757"/>
      <w:bookmarkStart w:id="38" w:name="_Toc344712273"/>
      <w:bookmarkStart w:id="39" w:name="_Toc347307553"/>
      <w:bookmarkStart w:id="40" w:name="_Toc349822470"/>
      <w:bookmarkStart w:id="41" w:name="_Toc349822890"/>
      <w:bookmarkStart w:id="42" w:name="_Toc349830872"/>
      <w:bookmarkStart w:id="43" w:name="_Toc359248660"/>
      <w:bookmarkStart w:id="44" w:name="_Toc359316617"/>
      <w:r>
        <w:rPr>
          <w:rStyle w:val="CharPartNo"/>
        </w:rPr>
        <w:t>Part 3</w:t>
      </w:r>
      <w:r>
        <w:rPr>
          <w:rStyle w:val="CharDivNo"/>
        </w:rPr>
        <w:t> </w:t>
      </w:r>
      <w:r>
        <w:t>—</w:t>
      </w:r>
      <w:r>
        <w:rPr>
          <w:rStyle w:val="CharDivText"/>
        </w:rPr>
        <w:t> </w:t>
      </w:r>
      <w:r>
        <w:rPr>
          <w:rStyle w:val="CharPartText"/>
        </w:rPr>
        <w:t>Advisory committees</w:t>
      </w:r>
      <w:bookmarkEnd w:id="33"/>
      <w:bookmarkEnd w:id="34"/>
      <w:bookmarkEnd w:id="35"/>
      <w:bookmarkEnd w:id="36"/>
      <w:bookmarkEnd w:id="37"/>
      <w:bookmarkEnd w:id="38"/>
      <w:bookmarkEnd w:id="39"/>
      <w:bookmarkEnd w:id="40"/>
      <w:bookmarkEnd w:id="41"/>
      <w:bookmarkEnd w:id="42"/>
      <w:bookmarkEnd w:id="43"/>
      <w:bookmarkEnd w:id="44"/>
    </w:p>
    <w:p>
      <w:pPr>
        <w:pStyle w:val="Heading5"/>
        <w:rPr>
          <w:snapToGrid w:val="0"/>
        </w:rPr>
      </w:pPr>
      <w:bookmarkStart w:id="45" w:name="_Toc359316618"/>
      <w:r>
        <w:rPr>
          <w:rStyle w:val="CharSectno"/>
        </w:rPr>
        <w:t>9</w:t>
      </w:r>
      <w:r>
        <w:rPr>
          <w:snapToGrid w:val="0"/>
        </w:rPr>
        <w:t>.</w:t>
      </w:r>
      <w:r>
        <w:rPr>
          <w:snapToGrid w:val="0"/>
        </w:rPr>
        <w:tab/>
        <w:t>Procedure for appointments prescribed (Act s. 29(2), 33(2) and 37(2))</w:t>
      </w:r>
      <w:bookmarkEnd w:id="45"/>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 and</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46" w:name="_Toc339625730"/>
      <w:bookmarkStart w:id="47" w:name="_Toc342397480"/>
      <w:bookmarkStart w:id="48" w:name="_Toc343519737"/>
      <w:bookmarkStart w:id="49" w:name="_Toc343520194"/>
      <w:bookmarkStart w:id="50" w:name="_Toc344711759"/>
      <w:bookmarkStart w:id="51" w:name="_Toc344712275"/>
      <w:bookmarkStart w:id="52" w:name="_Toc347307555"/>
      <w:bookmarkStart w:id="53" w:name="_Toc349822472"/>
      <w:bookmarkStart w:id="54" w:name="_Toc349822892"/>
      <w:bookmarkStart w:id="55" w:name="_Toc349830874"/>
      <w:bookmarkStart w:id="56" w:name="_Toc359248662"/>
      <w:bookmarkStart w:id="57" w:name="_Toc359316619"/>
      <w:r>
        <w:rPr>
          <w:rStyle w:val="CharPartNo"/>
        </w:rPr>
        <w:t>Part 4</w:t>
      </w:r>
      <w:r>
        <w:t> — </w:t>
      </w:r>
      <w:r>
        <w:rPr>
          <w:rStyle w:val="CharPartText"/>
        </w:rPr>
        <w:t>General regulation of fishing</w:t>
      </w:r>
      <w:bookmarkEnd w:id="46"/>
      <w:bookmarkEnd w:id="47"/>
      <w:bookmarkEnd w:id="48"/>
      <w:bookmarkEnd w:id="49"/>
      <w:bookmarkEnd w:id="50"/>
      <w:bookmarkEnd w:id="51"/>
      <w:bookmarkEnd w:id="52"/>
      <w:bookmarkEnd w:id="53"/>
      <w:bookmarkEnd w:id="54"/>
      <w:bookmarkEnd w:id="55"/>
      <w:bookmarkEnd w:id="56"/>
      <w:bookmarkEnd w:id="57"/>
    </w:p>
    <w:p>
      <w:pPr>
        <w:pStyle w:val="Heading3"/>
      </w:pPr>
      <w:bookmarkStart w:id="58" w:name="_Toc339625731"/>
      <w:bookmarkStart w:id="59" w:name="_Toc342397481"/>
      <w:bookmarkStart w:id="60" w:name="_Toc343519738"/>
      <w:bookmarkStart w:id="61" w:name="_Toc343520195"/>
      <w:bookmarkStart w:id="62" w:name="_Toc344711760"/>
      <w:bookmarkStart w:id="63" w:name="_Toc344712276"/>
      <w:bookmarkStart w:id="64" w:name="_Toc347307556"/>
      <w:bookmarkStart w:id="65" w:name="_Toc349822473"/>
      <w:bookmarkStart w:id="66" w:name="_Toc349822893"/>
      <w:bookmarkStart w:id="67" w:name="_Toc349830875"/>
      <w:bookmarkStart w:id="68" w:name="_Toc359248663"/>
      <w:bookmarkStart w:id="69" w:name="_Toc359316620"/>
      <w:r>
        <w:rPr>
          <w:rStyle w:val="CharDivNo"/>
        </w:rPr>
        <w:t>Division 1</w:t>
      </w:r>
      <w:r>
        <w:rPr>
          <w:snapToGrid w:val="0"/>
        </w:rPr>
        <w:t> — </w:t>
      </w:r>
      <w:r>
        <w:rPr>
          <w:rStyle w:val="CharDivText"/>
        </w:rPr>
        <w:t>Protected fish</w:t>
      </w:r>
      <w:bookmarkEnd w:id="58"/>
      <w:bookmarkEnd w:id="59"/>
      <w:bookmarkEnd w:id="60"/>
      <w:bookmarkEnd w:id="61"/>
      <w:bookmarkEnd w:id="62"/>
      <w:bookmarkEnd w:id="63"/>
      <w:bookmarkEnd w:id="64"/>
      <w:bookmarkEnd w:id="65"/>
      <w:bookmarkEnd w:id="66"/>
      <w:bookmarkEnd w:id="67"/>
      <w:bookmarkEnd w:id="68"/>
      <w:bookmarkEnd w:id="69"/>
    </w:p>
    <w:p>
      <w:pPr>
        <w:pStyle w:val="Heading5"/>
      </w:pPr>
      <w:bookmarkStart w:id="70" w:name="_Toc359316621"/>
      <w:r>
        <w:rPr>
          <w:rStyle w:val="CharSectno"/>
        </w:rPr>
        <w:t>10</w:t>
      </w:r>
      <w:r>
        <w:t>.</w:t>
      </w:r>
      <w:r>
        <w:tab/>
        <w:t>Classes of fish prescribed (Act s. 45)</w:t>
      </w:r>
      <w:bookmarkEnd w:id="70"/>
    </w:p>
    <w:p>
      <w:pPr>
        <w:pStyle w:val="Subsection"/>
      </w:pPr>
      <w:r>
        <w:tab/>
      </w:r>
      <w:r>
        <w:tab/>
        <w:t xml:space="preserve">For the purposes of the Act — </w:t>
      </w:r>
    </w:p>
    <w:p>
      <w:pPr>
        <w:pStyle w:val="Indenta"/>
      </w:pPr>
      <w:r>
        <w:tab/>
        <w:t>(a)</w:t>
      </w:r>
      <w:r>
        <w:tab/>
        <w:t>the classes of fish listed in Schedule 2 Part 1 are commercially protected fish; and</w:t>
      </w:r>
    </w:p>
    <w:p>
      <w:pPr>
        <w:pStyle w:val="Indenta"/>
      </w:pPr>
      <w:r>
        <w:tab/>
        <w:t>(b)</w:t>
      </w:r>
      <w:r>
        <w:tab/>
        <w:t>the classes of fish listed in Schedule 2 Part 2 are totally protected fish; and</w:t>
      </w:r>
    </w:p>
    <w:p>
      <w:pPr>
        <w:pStyle w:val="Indenta"/>
      </w:pPr>
      <w:r>
        <w:tab/>
        <w:t>(c)</w:t>
      </w:r>
      <w:r>
        <w:tab/>
        <w:t>the classes of fish listed in Schedule 2 Part 3 are recreationally protected fish.</w:t>
      </w:r>
    </w:p>
    <w:p>
      <w:pPr>
        <w:pStyle w:val="Footnotesection"/>
      </w:pPr>
      <w:r>
        <w:tab/>
        <w:t>[Regulation 10 inserted in Gazette 14 Sep 2012 p. 4372</w:t>
      </w:r>
      <w:r>
        <w:noBreakHyphen/>
        <w:t>3.]</w:t>
      </w:r>
    </w:p>
    <w:p>
      <w:pPr>
        <w:pStyle w:val="Heading5"/>
      </w:pPr>
      <w:bookmarkStart w:id="71" w:name="_Toc359316622"/>
      <w:r>
        <w:rPr>
          <w:rStyle w:val="CharSectno"/>
        </w:rPr>
        <w:t>11</w:t>
      </w:r>
      <w:r>
        <w:t>.</w:t>
      </w:r>
      <w:r>
        <w:tab/>
        <w:t>Defences etc. prescribed (Act s. 48)</w:t>
      </w:r>
      <w:bookmarkEnd w:id="71"/>
    </w:p>
    <w:p>
      <w:pPr>
        <w:pStyle w:val="Subsection"/>
        <w:rPr>
          <w:snapToGrid w:val="0"/>
        </w:rPr>
      </w:pPr>
      <w:r>
        <w:rPr>
          <w:snapToGrid w:val="0"/>
        </w:rPr>
        <w:tab/>
        <w:t>(1)</w:t>
      </w:r>
      <w:r>
        <w:rPr>
          <w:snapToGrid w:val="0"/>
        </w:rPr>
        <w:tab/>
        <w:t>For the purposes of section 48(1)(b) of the Act all fish the subject of an aquaculture licence are fish of a prescribed class.</w:t>
      </w:r>
    </w:p>
    <w:p>
      <w:pPr>
        <w:pStyle w:val="Subsection"/>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pPr>
        <w:pStyle w:val="Subsection"/>
      </w:pPr>
      <w:r>
        <w:tab/>
        <w:t>(4)</w:t>
      </w:r>
      <w:r>
        <w:tab/>
        <w:t>For the purposes of section 48(1)(c) of the Act, where the fish the subject of an offence —</w:t>
      </w:r>
    </w:p>
    <w:p>
      <w:pPr>
        <w:pStyle w:val="Indenta"/>
      </w:pPr>
      <w:r>
        <w:tab/>
        <w:t>(a)</w:t>
      </w:r>
      <w:r>
        <w:tab/>
        <w:t>is a shark or ray that is commercially protected; and</w:t>
      </w:r>
    </w:p>
    <w:p>
      <w:pPr>
        <w:pStyle w:val="Indenta"/>
      </w:pPr>
      <w:r>
        <w:tab/>
        <w:t>(b)</w:t>
      </w:r>
      <w:r>
        <w:tab/>
        <w:t>in the case of a dusky shark, has an interdorsal fin length, within the meaning in Schedule 2 Part 2 Division 2, of less than 70 cm,</w:t>
      </w:r>
    </w:p>
    <w:p>
      <w:pPr>
        <w:pStyle w:val="Subsection"/>
      </w:pPr>
      <w:r>
        <w:tab/>
      </w:r>
      <w:r>
        <w:tab/>
        <w:t>it is a defence that the fish was taken by a person acting under a managed fishery licence granted in respect of —</w:t>
      </w:r>
    </w:p>
    <w:p>
      <w:pPr>
        <w:pStyle w:val="Indenta"/>
      </w:pPr>
      <w:r>
        <w:tab/>
        <w:t>(c)</w:t>
      </w:r>
      <w:r>
        <w:tab/>
        <w:t>the Marine Aquarium Fish Managed Fishery; or</w:t>
      </w:r>
    </w:p>
    <w:p>
      <w:pPr>
        <w:pStyle w:val="Indenta"/>
      </w:pPr>
      <w:r>
        <w:tab/>
        <w:t>(d)</w:t>
      </w:r>
      <w:r>
        <w:tab/>
        <w:t xml:space="preserve">the </w:t>
      </w:r>
      <w:smartTag w:uri="urn:schemas-microsoft-com:office:smarttags" w:element="place">
        <w:smartTag w:uri="urn:schemas-microsoft-com:office:smarttags" w:element="City">
          <w:r>
            <w:t>Kimberley</w:t>
          </w:r>
        </w:smartTag>
      </w:smartTag>
      <w:r>
        <w:t xml:space="preserve">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80"/>
      </w:pPr>
      <w:r>
        <w:tab/>
        <w:t>(5)</w:t>
      </w:r>
      <w:r>
        <w:tab/>
        <w:t>For the purposes of section 48(1)(c)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Subsection"/>
        <w:spacing w:before="180"/>
      </w:pPr>
      <w:r>
        <w:tab/>
        <w:t>(6)</w:t>
      </w:r>
      <w:r>
        <w:tab/>
        <w:t>For the purposes of section 48(1)(c) of the Act, where the fish the subject of an offence is a weedy seadragon, it is a defence that the fish was taken by a person acting under a managed fishery licence granted in respect of the Marine Aquarium Fish Managed Fishery.</w:t>
      </w:r>
    </w:p>
    <w:p>
      <w:pPr>
        <w:pStyle w:val="Footnotesection"/>
        <w:ind w:left="890" w:hanging="890"/>
      </w:pPr>
      <w:r>
        <w:tab/>
        <w:t>[Regulation 11 inserted in Gazette 10 Nov 2006 p. 4704</w:t>
      </w:r>
      <w:r>
        <w:noBreakHyphen/>
        <w:t>5; amended in Gazette 13 Feb 2009 p. 298; 2 Nov 2011 p. 4620.]</w:t>
      </w:r>
    </w:p>
    <w:p>
      <w:pPr>
        <w:pStyle w:val="Heading5"/>
        <w:spacing w:before="240"/>
        <w:rPr>
          <w:snapToGrid w:val="0"/>
        </w:rPr>
      </w:pPr>
      <w:bookmarkStart w:id="72" w:name="_Toc359316623"/>
      <w:r>
        <w:rPr>
          <w:rStyle w:val="CharSectno"/>
        </w:rPr>
        <w:t>12</w:t>
      </w:r>
      <w:r>
        <w:rPr>
          <w:snapToGrid w:val="0"/>
        </w:rPr>
        <w:t>.</w:t>
      </w:r>
      <w:r>
        <w:rPr>
          <w:snapToGrid w:val="0"/>
        </w:rPr>
        <w:tab/>
        <w:t>Totally protected rock lobsters and crabs to be released</w:t>
      </w:r>
      <w:bookmarkEnd w:id="72"/>
    </w:p>
    <w:p>
      <w:pPr>
        <w:pStyle w:val="Subsection"/>
        <w:spacing w:before="180"/>
        <w:rPr>
          <w:snapToGrid w:val="0"/>
        </w:rPr>
      </w:pPr>
      <w:r>
        <w:rPr>
          <w:snapToGrid w:val="0"/>
        </w:rPr>
        <w:tab/>
        <w:t>(1)</w:t>
      </w:r>
      <w:r>
        <w:rPr>
          <w:snapToGrid w:val="0"/>
        </w:rPr>
        <w:tab/>
        <w:t>Any person who takes from the sea any totally protected fish that is a rock lobster must ensure that the rock lobster is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80"/>
        <w:rPr>
          <w:snapToGrid w:val="0"/>
        </w:rPr>
      </w:pPr>
      <w:r>
        <w:rPr>
          <w:snapToGrid w:val="0"/>
        </w:rPr>
        <w:tab/>
        <w:t>(2)</w:t>
      </w:r>
      <w:r>
        <w:rPr>
          <w:snapToGrid w:val="0"/>
        </w:rPr>
        <w:tab/>
        <w:t>The master of a boat must ensure that any totally protected fish that is a rock lobster taken from the sea and brought on board the boat —</w:t>
      </w:r>
    </w:p>
    <w:p>
      <w:pPr>
        <w:pStyle w:val="Indenta"/>
        <w:rPr>
          <w:snapToGrid w:val="0"/>
        </w:rPr>
      </w:pPr>
      <w:r>
        <w:rPr>
          <w:snapToGrid w:val="0"/>
        </w:rPr>
        <w:tab/>
        <w:t>(a)</w:t>
      </w:r>
      <w:r>
        <w:rPr>
          <w:snapToGrid w:val="0"/>
        </w:rPr>
        <w:tab/>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80"/>
        <w:rPr>
          <w:snapToGrid w:val="0"/>
        </w:rPr>
      </w:pPr>
      <w:r>
        <w:rPr>
          <w:snapToGrid w:val="0"/>
        </w:rPr>
        <w:tab/>
        <w:t>(3)</w:t>
      </w:r>
      <w:r>
        <w:rPr>
          <w:snapToGrid w:val="0"/>
        </w:rPr>
        <w:tab/>
        <w:t>Any person, other than the holder of a commercial fishing licence, who takes any totally protected fish that is a crab must —</w:t>
      </w:r>
    </w:p>
    <w:p>
      <w:pPr>
        <w:pStyle w:val="Indenta"/>
        <w:rPr>
          <w:snapToGrid w:val="0"/>
        </w:rPr>
      </w:pPr>
      <w:r>
        <w:rPr>
          <w:snapToGrid w:val="0"/>
        </w:rPr>
        <w:tab/>
        <w:t>(a)</w:t>
      </w:r>
      <w:r>
        <w:rPr>
          <w:snapToGrid w:val="0"/>
        </w:rPr>
        <w:tab/>
        <w:t>ensure that the crab is released to the waters from which it was taken within 5 minutes of being taken; and</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spacing w:before="240"/>
        <w:rPr>
          <w:snapToGrid w:val="0"/>
        </w:rPr>
      </w:pPr>
      <w:bookmarkStart w:id="73" w:name="_Toc359316624"/>
      <w:r>
        <w:rPr>
          <w:rStyle w:val="CharSectno"/>
        </w:rPr>
        <w:t>13</w:t>
      </w:r>
      <w:r>
        <w:rPr>
          <w:snapToGrid w:val="0"/>
        </w:rPr>
        <w:t>.</w:t>
      </w:r>
      <w:r>
        <w:rPr>
          <w:snapToGrid w:val="0"/>
        </w:rPr>
        <w:tab/>
        <w:t>Mutilated etc. protected fish, possession of</w:t>
      </w:r>
      <w:bookmarkEnd w:id="73"/>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pPr>
      <w:bookmarkStart w:id="74" w:name="_Toc339625736"/>
      <w:bookmarkStart w:id="75" w:name="_Toc342397486"/>
      <w:bookmarkStart w:id="76" w:name="_Toc343519743"/>
      <w:bookmarkStart w:id="77" w:name="_Toc343520200"/>
      <w:bookmarkStart w:id="78" w:name="_Toc344711765"/>
      <w:bookmarkStart w:id="79" w:name="_Toc344712281"/>
      <w:bookmarkStart w:id="80" w:name="_Toc347307561"/>
      <w:bookmarkStart w:id="81" w:name="_Toc349822478"/>
      <w:bookmarkStart w:id="82" w:name="_Toc349822898"/>
      <w:bookmarkStart w:id="83" w:name="_Toc349830880"/>
      <w:bookmarkStart w:id="84" w:name="_Toc359248668"/>
      <w:bookmarkStart w:id="85" w:name="_Toc359316625"/>
      <w:r>
        <w:rPr>
          <w:rStyle w:val="CharDivNo"/>
        </w:rPr>
        <w:t>Division 2</w:t>
      </w:r>
      <w:r>
        <w:rPr>
          <w:snapToGrid w:val="0"/>
        </w:rPr>
        <w:t> — </w:t>
      </w:r>
      <w:r>
        <w:rPr>
          <w:rStyle w:val="CharDivText"/>
        </w:rPr>
        <w:t>Requirements regarding fish trunks and fillets</w:t>
      </w:r>
      <w:bookmarkEnd w:id="74"/>
      <w:bookmarkEnd w:id="75"/>
      <w:bookmarkEnd w:id="76"/>
      <w:bookmarkEnd w:id="77"/>
      <w:bookmarkEnd w:id="78"/>
      <w:bookmarkEnd w:id="79"/>
      <w:bookmarkEnd w:id="80"/>
      <w:bookmarkEnd w:id="81"/>
      <w:bookmarkEnd w:id="82"/>
      <w:bookmarkEnd w:id="83"/>
      <w:bookmarkEnd w:id="84"/>
      <w:bookmarkEnd w:id="85"/>
    </w:p>
    <w:p>
      <w:pPr>
        <w:pStyle w:val="Footnoteheading"/>
        <w:tabs>
          <w:tab w:val="left" w:pos="851"/>
        </w:tabs>
      </w:pPr>
      <w:r>
        <w:tab/>
        <w:t>[Heading inserted in Gazette 4 Nov 2005 p. 5301.]</w:t>
      </w:r>
    </w:p>
    <w:p>
      <w:pPr>
        <w:pStyle w:val="Heading5"/>
      </w:pPr>
      <w:bookmarkStart w:id="86" w:name="_Toc359316626"/>
      <w:r>
        <w:rPr>
          <w:rStyle w:val="CharSectno"/>
        </w:rPr>
        <w:t>14A</w:t>
      </w:r>
      <w:r>
        <w:t>.</w:t>
      </w:r>
      <w:r>
        <w:tab/>
        <w:t>Term used: specified size</w:t>
      </w:r>
      <w:bookmarkEnd w:id="86"/>
    </w:p>
    <w:p>
      <w:pPr>
        <w:pStyle w:val="Subsection"/>
      </w:pPr>
      <w:r>
        <w:tab/>
      </w:r>
      <w:r>
        <w:tab/>
        <w:t xml:space="preserve">In this Division — </w:t>
      </w:r>
    </w:p>
    <w:p>
      <w:pPr>
        <w:pStyle w:val="Defstart"/>
      </w:pPr>
      <w:r>
        <w:tab/>
      </w:r>
      <w:r>
        <w:rPr>
          <w:rStyle w:val="CharDefText"/>
        </w:rPr>
        <w:t>specified size</w:t>
      </w:r>
      <w:r>
        <w:t>, in relation to a class of finfish, means the size specified in the first Table in Schedule 2 Part 2 Division 3 Subdivision 2 for that class of finfish.</w:t>
      </w:r>
    </w:p>
    <w:p>
      <w:pPr>
        <w:pStyle w:val="Footnotesection"/>
      </w:pPr>
      <w:r>
        <w:tab/>
        <w:t>[Regulation 14A inserted in Gazette 29 Jan 2013 p. 302.]</w:t>
      </w:r>
    </w:p>
    <w:p>
      <w:pPr>
        <w:pStyle w:val="Heading5"/>
      </w:pPr>
      <w:bookmarkStart w:id="87" w:name="_Toc359316627"/>
      <w:r>
        <w:rPr>
          <w:rStyle w:val="CharSectno"/>
        </w:rPr>
        <w:t>14</w:t>
      </w:r>
      <w:r>
        <w:t>.</w:t>
      </w:r>
      <w:r>
        <w:tab/>
        <w:t>Certain types of finfish, how to be landed</w:t>
      </w:r>
      <w:bookmarkEnd w:id="87"/>
    </w:p>
    <w:p>
      <w:pPr>
        <w:pStyle w:val="Subsection"/>
      </w:pPr>
      <w:r>
        <w:tab/>
        <w:t>(1)</w:t>
      </w:r>
      <w:r>
        <w:tab/>
        <w:t xml:space="preserve">A person must not — </w:t>
      </w:r>
    </w:p>
    <w:p>
      <w:pPr>
        <w:pStyle w:val="Indenta"/>
      </w:pPr>
      <w:r>
        <w:tab/>
        <w:t>(a)</w:t>
      </w:r>
      <w:r>
        <w:tab/>
        <w:t>bring a finfish referred to in an item in the Table onto land from waters specified for that item; or</w:t>
      </w:r>
    </w:p>
    <w:p>
      <w:pPr>
        <w:pStyle w:val="Indenta"/>
      </w:pPr>
      <w:r>
        <w:tab/>
        <w:t>(b)</w:t>
      </w:r>
      <w:r>
        <w:tab/>
        <w:t>carry a finfish referred to in an item in the Table through waters specified for that item,</w:t>
      </w:r>
    </w:p>
    <w:p>
      <w:pPr>
        <w:pStyle w:val="Subsection"/>
      </w:pPr>
      <w:r>
        <w:tab/>
      </w:r>
      <w:r>
        <w:tab/>
        <w:t>unless it is a whole fish.</w:t>
      </w:r>
    </w:p>
    <w:p>
      <w:pPr>
        <w:pStyle w:val="THeadingNAm"/>
      </w:pPr>
      <w:r>
        <w:t>Table</w:t>
      </w:r>
    </w:p>
    <w:tbl>
      <w:tblPr>
        <w:tblW w:w="6204" w:type="dxa"/>
        <w:tblInd w:w="708" w:type="dxa"/>
        <w:tblLayout w:type="fixed"/>
        <w:tblLook w:val="0000" w:firstRow="0" w:lastRow="0" w:firstColumn="0" w:lastColumn="0" w:noHBand="0" w:noVBand="0"/>
      </w:tblPr>
      <w:tblGrid>
        <w:gridCol w:w="818"/>
        <w:gridCol w:w="2268"/>
        <w:gridCol w:w="3118"/>
      </w:tblGrid>
      <w:tr>
        <w:trPr>
          <w:tblHeader/>
        </w:trPr>
        <w:tc>
          <w:tcPr>
            <w:tcW w:w="818" w:type="dxa"/>
            <w:tcBorders>
              <w:top w:val="single" w:sz="4" w:space="0" w:color="auto"/>
              <w:bottom w:val="single" w:sz="4" w:space="0" w:color="auto"/>
            </w:tcBorders>
          </w:tcPr>
          <w:p>
            <w:pPr>
              <w:pStyle w:val="TableNAm"/>
            </w:pPr>
            <w:r>
              <w:rPr>
                <w:b/>
              </w:rPr>
              <w:t>Item</w:t>
            </w:r>
          </w:p>
        </w:tc>
        <w:tc>
          <w:tcPr>
            <w:tcW w:w="2268" w:type="dxa"/>
            <w:tcBorders>
              <w:top w:val="single" w:sz="4" w:space="0" w:color="auto"/>
              <w:bottom w:val="single" w:sz="4" w:space="0" w:color="auto"/>
            </w:tcBorders>
          </w:tcPr>
          <w:p>
            <w:pPr>
              <w:pStyle w:val="TableNAm"/>
            </w:pPr>
            <w:r>
              <w:rPr>
                <w:b/>
              </w:rPr>
              <w:t>Type of finfish</w:t>
            </w:r>
          </w:p>
        </w:tc>
        <w:tc>
          <w:tcPr>
            <w:tcW w:w="3118" w:type="dxa"/>
            <w:tcBorders>
              <w:top w:val="single" w:sz="4" w:space="0" w:color="auto"/>
              <w:bottom w:val="single" w:sz="4" w:space="0" w:color="auto"/>
            </w:tcBorders>
          </w:tcPr>
          <w:p>
            <w:pPr>
              <w:pStyle w:val="TableNAm"/>
            </w:pPr>
            <w:r>
              <w:rPr>
                <w:b/>
              </w:rPr>
              <w:t xml:space="preserve">Waters </w:t>
            </w:r>
          </w:p>
        </w:tc>
      </w:tr>
      <w:tr>
        <w:tc>
          <w:tcPr>
            <w:tcW w:w="818" w:type="dxa"/>
            <w:tcBorders>
              <w:top w:val="single" w:sz="4" w:space="0" w:color="auto"/>
            </w:tcBorders>
          </w:tcPr>
          <w:p>
            <w:pPr>
              <w:pStyle w:val="TableNAm"/>
            </w:pPr>
            <w:r>
              <w:t>1.</w:t>
            </w:r>
          </w:p>
        </w:tc>
        <w:tc>
          <w:tcPr>
            <w:tcW w:w="2268" w:type="dxa"/>
            <w:tcBorders>
              <w:top w:val="single" w:sz="4" w:space="0" w:color="auto"/>
            </w:tcBorders>
          </w:tcPr>
          <w:p>
            <w:pPr>
              <w:pStyle w:val="TableNAm"/>
            </w:pPr>
            <w:r>
              <w:t>barramundi</w:t>
            </w:r>
          </w:p>
        </w:tc>
        <w:tc>
          <w:tcPr>
            <w:tcW w:w="3118" w:type="dxa"/>
            <w:tcBorders>
              <w:top w:val="single" w:sz="4" w:space="0" w:color="auto"/>
            </w:tcBorders>
          </w:tcPr>
          <w:p>
            <w:pPr>
              <w:pStyle w:val="TableNAm"/>
            </w:pPr>
            <w:r>
              <w:t>WA waters</w:t>
            </w:r>
          </w:p>
        </w:tc>
      </w:tr>
      <w:tr>
        <w:trPr>
          <w:cantSplit/>
        </w:trPr>
        <w:tc>
          <w:tcPr>
            <w:tcW w:w="818" w:type="dxa"/>
          </w:tcPr>
          <w:p>
            <w:pPr>
              <w:pStyle w:val="TableNAm"/>
            </w:pPr>
            <w:r>
              <w:t>2.</w:t>
            </w:r>
          </w:p>
        </w:tc>
        <w:tc>
          <w:tcPr>
            <w:tcW w:w="2268" w:type="dxa"/>
          </w:tcPr>
          <w:p>
            <w:pPr>
              <w:pStyle w:val="TableNAm"/>
            </w:pPr>
            <w:r>
              <w:t>estuary cod</w:t>
            </w:r>
          </w:p>
        </w:tc>
        <w:tc>
          <w:tcPr>
            <w:tcW w:w="3118" w:type="dxa"/>
          </w:tcPr>
          <w:p>
            <w:pPr>
              <w:pStyle w:val="TableNAm"/>
            </w:pPr>
            <w:r>
              <w:t>WA waters</w:t>
            </w:r>
          </w:p>
        </w:tc>
      </w:tr>
      <w:tr>
        <w:trPr>
          <w:cantSplit/>
        </w:trPr>
        <w:tc>
          <w:tcPr>
            <w:tcW w:w="818" w:type="dxa"/>
          </w:tcPr>
          <w:p>
            <w:pPr>
              <w:pStyle w:val="TableNAm"/>
            </w:pPr>
            <w:r>
              <w:t>3.</w:t>
            </w:r>
          </w:p>
        </w:tc>
        <w:tc>
          <w:tcPr>
            <w:tcW w:w="2268" w:type="dxa"/>
          </w:tcPr>
          <w:p>
            <w:pPr>
              <w:pStyle w:val="TableNAm"/>
            </w:pPr>
            <w:r>
              <w:t>malabar cod</w:t>
            </w:r>
          </w:p>
        </w:tc>
        <w:tc>
          <w:tcPr>
            <w:tcW w:w="3118" w:type="dxa"/>
          </w:tcPr>
          <w:p>
            <w:pPr>
              <w:pStyle w:val="TableNAm"/>
            </w:pPr>
            <w:r>
              <w:t>WA waters</w:t>
            </w:r>
          </w:p>
        </w:tc>
      </w:tr>
      <w:tr>
        <w:trPr>
          <w:cantSplit/>
        </w:trPr>
        <w:tc>
          <w:tcPr>
            <w:tcW w:w="818" w:type="dxa"/>
          </w:tcPr>
          <w:p>
            <w:pPr>
              <w:pStyle w:val="TableNAm"/>
            </w:pPr>
            <w:r>
              <w:t>4.</w:t>
            </w:r>
          </w:p>
        </w:tc>
        <w:tc>
          <w:tcPr>
            <w:tcW w:w="2268" w:type="dxa"/>
          </w:tcPr>
          <w:p>
            <w:pPr>
              <w:pStyle w:val="TableNAm"/>
            </w:pPr>
            <w:r>
              <w:t>pink snapper</w:t>
            </w:r>
          </w:p>
        </w:tc>
        <w:tc>
          <w:tcPr>
            <w:tcW w:w="3118" w:type="dxa"/>
          </w:tcPr>
          <w:p>
            <w:pPr>
              <w:pStyle w:val="TableNAm"/>
            </w:pPr>
            <w:r>
              <w:t xml:space="preserve">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p>
        </w:tc>
      </w:tr>
    </w:tbl>
    <w:p>
      <w:pPr>
        <w:pStyle w:val="Penstart"/>
      </w:pPr>
      <w:r>
        <w:tab/>
        <w:t>Penalty: a fine of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whaler shark that is a fish trunk.</w:t>
      </w:r>
    </w:p>
    <w:p>
      <w:pPr>
        <w:pStyle w:val="Footnotesection"/>
      </w:pPr>
      <w:r>
        <w:tab/>
        <w:t>[Regulation 14 inserted in Gazette 29 Jan 2013 p. 302</w:t>
      </w:r>
      <w:r>
        <w:noBreakHyphen/>
        <w:t>3.]</w:t>
      </w:r>
    </w:p>
    <w:p>
      <w:pPr>
        <w:pStyle w:val="Heading5"/>
      </w:pPr>
      <w:bookmarkStart w:id="88" w:name="_Toc359316628"/>
      <w:r>
        <w:rPr>
          <w:rStyle w:val="CharSectno"/>
        </w:rPr>
        <w:t>15</w:t>
      </w:r>
      <w:r>
        <w:t>.</w:t>
      </w:r>
      <w:r>
        <w:tab/>
        <w:t>Certain large finfish, how to be landed</w:t>
      </w:r>
      <w:bookmarkEnd w:id="88"/>
      <w:r>
        <w:t xml:space="preserve"> </w:t>
      </w:r>
    </w:p>
    <w:p>
      <w:pPr>
        <w:pStyle w:val="Subsection"/>
      </w:pPr>
      <w:r>
        <w:tab/>
        <w:t>(1)</w:t>
      </w:r>
      <w:r>
        <w:tab/>
        <w:t>A person must not bring onto land or carry through WA waters a finfish of a class referred to in the first Table in Schedule 2 Part 2 Division 3 Subdivision 2 that is equal to or greater than the specified size for the class of fish unless it is —</w:t>
      </w:r>
    </w:p>
    <w:p>
      <w:pPr>
        <w:pStyle w:val="Indenta"/>
      </w:pPr>
      <w:r>
        <w:tab/>
        <w:t>(a)</w:t>
      </w:r>
      <w:r>
        <w:tab/>
        <w:t>a whole fish; or</w:t>
      </w:r>
    </w:p>
    <w:p>
      <w:pPr>
        <w:pStyle w:val="Indenta"/>
      </w:pPr>
      <w:r>
        <w:tab/>
        <w:t>(b)</w:t>
      </w:r>
      <w:r>
        <w:tab/>
        <w:t>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a fine of $3 000 and the penalty provided in section 222 of the Act.</w:t>
      </w:r>
    </w:p>
    <w:p>
      <w:pPr>
        <w:pStyle w:val="Subsection"/>
      </w:pPr>
      <w:r>
        <w:tab/>
        <w:t>(2)</w:t>
      </w:r>
      <w:r>
        <w:tab/>
        <w:t>Subregulation (1) does not apply to, or in respect of finfish taken for a commercial purpose in accordance with an authorisation.</w:t>
      </w:r>
    </w:p>
    <w:p>
      <w:pPr>
        <w:pStyle w:val="Footnotesection"/>
      </w:pPr>
      <w:r>
        <w:tab/>
        <w:t>[Regulation 15 inserted in Gazette 29 Jan 2013 p. 303.]</w:t>
      </w:r>
    </w:p>
    <w:p>
      <w:pPr>
        <w:pStyle w:val="Heading5"/>
      </w:pPr>
      <w:bookmarkStart w:id="89" w:name="_Toc359316629"/>
      <w:r>
        <w:rPr>
          <w:rStyle w:val="CharSectno"/>
        </w:rPr>
        <w:t>16</w:t>
      </w:r>
      <w:r>
        <w:t>.</w:t>
      </w:r>
      <w:r>
        <w:tab/>
        <w:t>Certain small protected finfish, how to be landed</w:t>
      </w:r>
      <w:bookmarkEnd w:id="89"/>
      <w:r>
        <w:t xml:space="preserve"> </w:t>
      </w:r>
    </w:p>
    <w:p>
      <w:pPr>
        <w:pStyle w:val="Subsection"/>
      </w:pPr>
      <w:r>
        <w:tab/>
        <w:t>(1)</w:t>
      </w:r>
      <w:r>
        <w:tab/>
        <w:t>A person must not bring onto land or carry through WA waters a finfish of a class referred to in the first Table in Schedule 2 Part 2 Division 3 Subdivision 2 that is less than the specified size for the class of fish unless it is —</w:t>
      </w:r>
    </w:p>
    <w:p>
      <w:pPr>
        <w:pStyle w:val="Indenta"/>
      </w:pPr>
      <w:r>
        <w:tab/>
        <w:t>(a)</w:t>
      </w:r>
      <w:r>
        <w:tab/>
        <w:t>a whole fish; or</w:t>
      </w:r>
    </w:p>
    <w:p>
      <w:pPr>
        <w:pStyle w:val="Indenta"/>
      </w:pPr>
      <w:r>
        <w:tab/>
        <w:t>(b)</w:t>
      </w:r>
      <w:r>
        <w:tab/>
        <w:t>a fish trunk or fillet that has the skin attached.</w:t>
      </w:r>
    </w:p>
    <w:p>
      <w:pPr>
        <w:pStyle w:val="Penstart"/>
      </w:pPr>
      <w:r>
        <w:tab/>
        <w:t>Penalty: a fine of $1 000 and the penalty provided in section 222 of the Act.</w:t>
      </w:r>
    </w:p>
    <w:p>
      <w:pPr>
        <w:pStyle w:val="Subsection"/>
      </w:pPr>
      <w:r>
        <w:tab/>
        <w:t>(2)</w:t>
      </w:r>
      <w:r>
        <w:tab/>
        <w:t>Subregulation (1) does not apply to, or in respect of, finfish taken for a commercial purpose in accordance with an authorisation.</w:t>
      </w:r>
    </w:p>
    <w:p>
      <w:pPr>
        <w:pStyle w:val="Footnotesection"/>
      </w:pPr>
      <w:r>
        <w:tab/>
        <w:t>[Regulation 16 inserted in Gazette 29 Jan 2013 p. 303</w:t>
      </w:r>
      <w:r>
        <w:noBreakHyphen/>
        <w:t>4.]</w:t>
      </w:r>
    </w:p>
    <w:p>
      <w:pPr>
        <w:pStyle w:val="Ednotesection"/>
      </w:pPr>
      <w:r>
        <w:t>[</w:t>
      </w:r>
      <w:r>
        <w:rPr>
          <w:b/>
        </w:rPr>
        <w:t>16A.</w:t>
      </w:r>
      <w:r>
        <w:rPr>
          <w:b/>
        </w:rPr>
        <w:tab/>
      </w:r>
      <w:r>
        <w:t>Deleted in Gazette 29 Jan 2013 p. 302.]</w:t>
      </w:r>
    </w:p>
    <w:p>
      <w:pPr>
        <w:pStyle w:val="Heading5"/>
      </w:pPr>
      <w:bookmarkStart w:id="90" w:name="_Toc359316630"/>
      <w:r>
        <w:rPr>
          <w:rStyle w:val="CharSectno"/>
        </w:rPr>
        <w:t>16B</w:t>
      </w:r>
      <w:r>
        <w:t>.</w:t>
      </w:r>
      <w:r>
        <w:tab/>
        <w:t>Sharks and rays, possession of by commercial fishers</w:t>
      </w:r>
      <w:bookmarkEnd w:id="90"/>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Subregulation (1) does not prevent the master of a fishing boat from having on the boat a shark or ray that is not a whole shark or ray if —</w:t>
      </w:r>
    </w:p>
    <w:p>
      <w:pPr>
        <w:pStyle w:val="Indenta"/>
      </w:pPr>
      <w:r>
        <w:tab/>
        <w:t>(a)</w:t>
      </w:r>
      <w:r>
        <w:tab/>
        <w:t>all of the parts of the shark or ray (other than disposable parts) are on the boat together; and</w:t>
      </w:r>
    </w:p>
    <w:p>
      <w:pPr>
        <w:pStyle w:val="Indenta"/>
      </w:pPr>
      <w:r>
        <w:tab/>
        <w:t>(b)</w:t>
      </w:r>
      <w:r>
        <w:tab/>
        <w:t>either —</w:t>
      </w:r>
    </w:p>
    <w:p>
      <w:pPr>
        <w:pStyle w:val="Indenti"/>
      </w:pPr>
      <w:r>
        <w:tab/>
        <w:t>(i)</w:t>
      </w:r>
      <w:r>
        <w:tab/>
        <w:t>the only parts (other than disposable parts) that have been removed from the shark or ray are one or more of the fins; or</w:t>
      </w:r>
    </w:p>
    <w:p>
      <w:pPr>
        <w:pStyle w:val="Indenti"/>
        <w:keepNext/>
      </w:pPr>
      <w:r>
        <w:tab/>
        <w:t>(ii)</w:t>
      </w:r>
      <w:r>
        <w:tab/>
        <w:t>both —</w:t>
      </w:r>
    </w:p>
    <w:p>
      <w:pPr>
        <w:pStyle w:val="IndentI0"/>
      </w:pPr>
      <w:r>
        <w:tab/>
        <w:t>(I)</w:t>
      </w:r>
      <w:r>
        <w:tab/>
        <w:t>the boat is north of 26° south latitude; and</w:t>
      </w:r>
    </w:p>
    <w:p>
      <w:pPr>
        <w:pStyle w:val="IndentI0"/>
      </w:pPr>
      <w:r>
        <w:tab/>
        <w:t>(II)</w:t>
      </w:r>
      <w:r>
        <w:tab/>
        <w:t>the fish is not a dusky shark.</w:t>
      </w:r>
    </w:p>
    <w:p>
      <w:pPr>
        <w:pStyle w:val="Subsection"/>
        <w:spacing w:before="120"/>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spacing w:before="120"/>
      </w:pPr>
      <w:r>
        <w:tab/>
        <w:t>(4)</w:t>
      </w:r>
      <w:r>
        <w:tab/>
        <w:t>Subregulation (3) does not prevent a person bringing onto land a shark or ray that is not a whole shark or ray if —</w:t>
      </w:r>
    </w:p>
    <w:p>
      <w:pPr>
        <w:pStyle w:val="Indenta"/>
      </w:pPr>
      <w:r>
        <w:tab/>
        <w:t>(a)</w:t>
      </w:r>
      <w:r>
        <w:tab/>
        <w:t>all of the parts of the shark or ray (other than the disposable parts) are brought onto land together; and</w:t>
      </w:r>
    </w:p>
    <w:p>
      <w:pPr>
        <w:pStyle w:val="Indenta"/>
        <w:keepNext/>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place where the fish is brought onto land is north of 26° south latitude; and</w:t>
      </w:r>
    </w:p>
    <w:p>
      <w:pPr>
        <w:pStyle w:val="IndentI0"/>
      </w:pPr>
      <w:r>
        <w:tab/>
        <w:t>(II)</w:t>
      </w:r>
      <w:r>
        <w:tab/>
        <w:t>the fish is not a dusky shark.</w:t>
      </w:r>
    </w:p>
    <w:p>
      <w:pPr>
        <w:pStyle w:val="Subsection"/>
        <w:spacing w:before="120"/>
      </w:pPr>
      <w:r>
        <w:tab/>
        <w:t>(5)</w:t>
      </w:r>
      <w:r>
        <w:tab/>
        <w:t>In this regulation —</w:t>
      </w:r>
    </w:p>
    <w:p>
      <w:pPr>
        <w:pStyle w:val="Defstart"/>
      </w:pPr>
      <w:r>
        <w:rPr>
          <w:b/>
        </w:rPr>
        <w:tab/>
      </w:r>
      <w:r>
        <w:rPr>
          <w:rStyle w:val="CharDefText"/>
        </w:rPr>
        <w:t>disposable part</w:t>
      </w:r>
      <w:r>
        <w:t xml:space="preserve"> means any of the following —</w:t>
      </w:r>
    </w:p>
    <w:p>
      <w:pPr>
        <w:pStyle w:val="Defpara"/>
      </w:pPr>
      <w:r>
        <w:tab/>
        <w:t>(a)</w:t>
      </w:r>
      <w:r>
        <w:tab/>
        <w:t>the head;</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w:t>
      </w:r>
    </w:p>
    <w:p>
      <w:pPr>
        <w:pStyle w:val="Defpara"/>
      </w:pPr>
      <w:r>
        <w:tab/>
        <w:t>(a)</w:t>
      </w:r>
      <w:r>
        <w:tab/>
        <w:t>entire; or</w:t>
      </w:r>
    </w:p>
    <w:p>
      <w:pPr>
        <w:pStyle w:val="Defpara"/>
      </w:pPr>
      <w:r>
        <w:tab/>
        <w:t>(b)</w:t>
      </w:r>
      <w:r>
        <w:tab/>
        <w:t>entire except that any or all of the disposable parts have been removed.</w:t>
      </w:r>
    </w:p>
    <w:p>
      <w:pPr>
        <w:pStyle w:val="Footnotesection"/>
        <w:spacing w:before="80"/>
        <w:ind w:left="890" w:hanging="890"/>
      </w:pPr>
      <w:r>
        <w:tab/>
        <w:t>[Regulation 16B inserted in Gazette 10 Nov 2006 p. 4705</w:t>
      </w:r>
      <w:r>
        <w:noBreakHyphen/>
        <w:t>6.]</w:t>
      </w:r>
    </w:p>
    <w:p>
      <w:pPr>
        <w:pStyle w:val="Heading3"/>
        <w:keepLines/>
      </w:pPr>
      <w:bookmarkStart w:id="91" w:name="_Toc339625742"/>
      <w:bookmarkStart w:id="92" w:name="_Toc342397492"/>
      <w:bookmarkStart w:id="93" w:name="_Toc343519749"/>
      <w:bookmarkStart w:id="94" w:name="_Toc343520206"/>
      <w:bookmarkStart w:id="95" w:name="_Toc344711771"/>
      <w:bookmarkStart w:id="96" w:name="_Toc344712287"/>
      <w:bookmarkStart w:id="97" w:name="_Toc347307567"/>
      <w:bookmarkStart w:id="98" w:name="_Toc349822484"/>
      <w:bookmarkStart w:id="99" w:name="_Toc349822904"/>
      <w:bookmarkStart w:id="100" w:name="_Toc349830886"/>
      <w:bookmarkStart w:id="101" w:name="_Toc359248674"/>
      <w:bookmarkStart w:id="102" w:name="_Toc359316631"/>
      <w:r>
        <w:rPr>
          <w:rStyle w:val="CharDivNo"/>
        </w:rPr>
        <w:t>Division 3</w:t>
      </w:r>
      <w:r>
        <w:t> — </w:t>
      </w:r>
      <w:r>
        <w:rPr>
          <w:rStyle w:val="CharDivText"/>
        </w:rPr>
        <w:t>Possession limits</w:t>
      </w:r>
      <w:bookmarkEnd w:id="91"/>
      <w:bookmarkEnd w:id="92"/>
      <w:bookmarkEnd w:id="93"/>
      <w:bookmarkEnd w:id="94"/>
      <w:bookmarkEnd w:id="95"/>
      <w:bookmarkEnd w:id="96"/>
      <w:bookmarkEnd w:id="97"/>
      <w:bookmarkEnd w:id="98"/>
      <w:bookmarkEnd w:id="99"/>
      <w:bookmarkEnd w:id="100"/>
      <w:bookmarkEnd w:id="101"/>
      <w:bookmarkEnd w:id="102"/>
    </w:p>
    <w:p>
      <w:pPr>
        <w:pStyle w:val="Footnoteheading"/>
        <w:keepNext/>
        <w:keepLines/>
        <w:tabs>
          <w:tab w:val="left" w:pos="851"/>
        </w:tabs>
      </w:pPr>
      <w:r>
        <w:tab/>
        <w:t>[Heading inserted in Gazette 1 Oct 2003 p. 4289.]</w:t>
      </w:r>
    </w:p>
    <w:p>
      <w:pPr>
        <w:pStyle w:val="Heading4"/>
        <w:keepNext w:val="0"/>
      </w:pPr>
      <w:bookmarkStart w:id="103" w:name="_Toc339625743"/>
      <w:bookmarkStart w:id="104" w:name="_Toc342397493"/>
      <w:bookmarkStart w:id="105" w:name="_Toc343519750"/>
      <w:bookmarkStart w:id="106" w:name="_Toc343520207"/>
      <w:bookmarkStart w:id="107" w:name="_Toc344711772"/>
      <w:bookmarkStart w:id="108" w:name="_Toc344712288"/>
      <w:bookmarkStart w:id="109" w:name="_Toc347307568"/>
      <w:bookmarkStart w:id="110" w:name="_Toc349822485"/>
      <w:bookmarkStart w:id="111" w:name="_Toc349822905"/>
      <w:bookmarkStart w:id="112" w:name="_Toc349830887"/>
      <w:bookmarkStart w:id="113" w:name="_Toc359248675"/>
      <w:bookmarkStart w:id="114" w:name="_Toc359316632"/>
      <w:r>
        <w:t>Subdivision 1A — Preliminary</w:t>
      </w:r>
      <w:bookmarkEnd w:id="103"/>
      <w:bookmarkEnd w:id="104"/>
      <w:bookmarkEnd w:id="105"/>
      <w:bookmarkEnd w:id="106"/>
      <w:bookmarkEnd w:id="107"/>
      <w:bookmarkEnd w:id="108"/>
      <w:bookmarkEnd w:id="109"/>
      <w:bookmarkEnd w:id="110"/>
      <w:bookmarkEnd w:id="111"/>
      <w:bookmarkEnd w:id="112"/>
      <w:bookmarkEnd w:id="113"/>
      <w:bookmarkEnd w:id="114"/>
    </w:p>
    <w:p>
      <w:pPr>
        <w:pStyle w:val="Footnoteheading"/>
      </w:pPr>
      <w:r>
        <w:tab/>
        <w:t>[Heading inserted in Gazette 4 Nov 2005 p. 5306.]</w:t>
      </w:r>
    </w:p>
    <w:p>
      <w:pPr>
        <w:pStyle w:val="Heading5"/>
        <w:keepNext w:val="0"/>
        <w:keepLines w:val="0"/>
        <w:spacing w:before="240"/>
      </w:pPr>
      <w:bookmarkStart w:id="115" w:name="_Toc359316633"/>
      <w:r>
        <w:rPr>
          <w:rStyle w:val="CharSectno"/>
        </w:rPr>
        <w:t>16C</w:t>
      </w:r>
      <w:r>
        <w:t>.</w:t>
      </w:r>
      <w:r>
        <w:tab/>
        <w:t>Term used: finfish</w:t>
      </w:r>
      <w:bookmarkEnd w:id="115"/>
    </w:p>
    <w:p>
      <w:pPr>
        <w:pStyle w:val="Subsection"/>
        <w:spacing w:before="180"/>
      </w:pPr>
      <w:r>
        <w:tab/>
      </w:r>
      <w:r>
        <w:tab/>
        <w:t>In this Division —</w:t>
      </w:r>
    </w:p>
    <w:p>
      <w:pPr>
        <w:pStyle w:val="Defstart"/>
        <w:spacing w:before="120"/>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ind w:left="890" w:hanging="890"/>
      </w:pPr>
      <w:r>
        <w:tab/>
        <w:t>[Regulation 16C inserted in Gazette 4 Nov 2005 p. 5306; amended in Gazette 22 Dec 2005 p. 6218.]</w:t>
      </w:r>
    </w:p>
    <w:p>
      <w:pPr>
        <w:pStyle w:val="Heading5"/>
        <w:spacing w:before="240"/>
      </w:pPr>
      <w:bookmarkStart w:id="116" w:name="_Toc359316634"/>
      <w:r>
        <w:rPr>
          <w:rStyle w:val="CharSectno"/>
        </w:rPr>
        <w:t>16CA</w:t>
      </w:r>
      <w:r>
        <w:t>.</w:t>
      </w:r>
      <w:r>
        <w:tab/>
        <w:t>Bag limits, application and effect of</w:t>
      </w:r>
      <w:bookmarkEnd w:id="116"/>
    </w:p>
    <w:p>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spacing w:before="180"/>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spacing w:before="260"/>
      </w:pPr>
      <w:bookmarkStart w:id="117" w:name="_Toc339625746"/>
      <w:bookmarkStart w:id="118" w:name="_Toc342397496"/>
      <w:bookmarkStart w:id="119" w:name="_Toc343519753"/>
      <w:bookmarkStart w:id="120" w:name="_Toc343520210"/>
      <w:bookmarkStart w:id="121" w:name="_Toc344711775"/>
      <w:bookmarkStart w:id="122" w:name="_Toc344712291"/>
      <w:bookmarkStart w:id="123" w:name="_Toc347307571"/>
      <w:bookmarkStart w:id="124" w:name="_Toc349822488"/>
      <w:bookmarkStart w:id="125" w:name="_Toc349822908"/>
      <w:bookmarkStart w:id="126" w:name="_Toc349830890"/>
      <w:bookmarkStart w:id="127" w:name="_Toc359248678"/>
      <w:bookmarkStart w:id="128" w:name="_Toc359316635"/>
      <w:r>
        <w:t>Subdivision 1 — Possession limits Statewide</w:t>
      </w:r>
      <w:bookmarkEnd w:id="117"/>
      <w:bookmarkEnd w:id="118"/>
      <w:bookmarkEnd w:id="119"/>
      <w:bookmarkEnd w:id="120"/>
      <w:bookmarkEnd w:id="121"/>
      <w:bookmarkEnd w:id="122"/>
      <w:bookmarkEnd w:id="123"/>
      <w:bookmarkEnd w:id="124"/>
      <w:bookmarkEnd w:id="125"/>
      <w:bookmarkEnd w:id="126"/>
      <w:bookmarkEnd w:id="127"/>
      <w:bookmarkEnd w:id="128"/>
    </w:p>
    <w:p>
      <w:pPr>
        <w:pStyle w:val="Footnoteheading"/>
        <w:tabs>
          <w:tab w:val="left" w:pos="851"/>
        </w:tabs>
      </w:pPr>
      <w:r>
        <w:tab/>
        <w:t>[Heading inserted in Gazette 1 Oct 2003 p. 4289.]</w:t>
      </w:r>
    </w:p>
    <w:p>
      <w:pPr>
        <w:pStyle w:val="Heading5"/>
        <w:spacing w:before="240"/>
        <w:rPr>
          <w:snapToGrid w:val="0"/>
        </w:rPr>
      </w:pPr>
      <w:bookmarkStart w:id="129" w:name="_Toc359316636"/>
      <w:r>
        <w:rPr>
          <w:rStyle w:val="CharSectno"/>
        </w:rPr>
        <w:t>16D</w:t>
      </w:r>
      <w:r>
        <w:rPr>
          <w:snapToGrid w:val="0"/>
        </w:rPr>
        <w:t>.</w:t>
      </w:r>
      <w:r>
        <w:rPr>
          <w:snapToGrid w:val="0"/>
        </w:rPr>
        <w:tab/>
        <w:t>Finfish, general possession limit of (Act s. 51(1))</w:t>
      </w:r>
      <w:bookmarkEnd w:id="129"/>
    </w:p>
    <w:p>
      <w:pPr>
        <w:pStyle w:val="Subsection"/>
        <w:spacing w:before="180"/>
      </w:pPr>
      <w:r>
        <w:tab/>
        <w:t>(1)</w:t>
      </w:r>
      <w:r>
        <w:tab/>
        <w:t>For the purposes of section 51(1) of the Act, the maximum quantity of finfish that a person may be in possession of in circumstances other than those to which regulation 16E(2) or (3) applies is —</w:t>
      </w:r>
    </w:p>
    <w:p>
      <w:pPr>
        <w:pStyle w:val="Indenta"/>
        <w:rPr>
          <w:snapToGrid w:val="0"/>
        </w:rPr>
      </w:pPr>
      <w:r>
        <w:rPr>
          <w:snapToGrid w:val="0"/>
        </w:rPr>
        <w:tab/>
        <w:t>(a)</w:t>
      </w:r>
      <w:r>
        <w:rPr>
          <w:snapToGrid w:val="0"/>
        </w:rPr>
        <w:tab/>
        <w:t>20 kg of fillets of fish; or</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ind w:left="890" w:hanging="890"/>
      </w:pPr>
      <w:r>
        <w:tab/>
        <w:t>[Regulation 16D inserted in Gazette 1 Oct 2003 p. 4289</w:t>
      </w:r>
      <w:r>
        <w:noBreakHyphen/>
        <w:t>90; amended in Gazette 4 Nov 2005 p. 5306; 29 May 2008 p. 2055</w:t>
      </w:r>
      <w:r>
        <w:noBreakHyphen/>
        <w:t>6.]</w:t>
      </w:r>
    </w:p>
    <w:p>
      <w:pPr>
        <w:pStyle w:val="Heading5"/>
        <w:spacing w:before="180"/>
        <w:rPr>
          <w:snapToGrid w:val="0"/>
        </w:rPr>
      </w:pPr>
      <w:bookmarkStart w:id="130" w:name="_Toc359316637"/>
      <w:r>
        <w:rPr>
          <w:rStyle w:val="CharSectno"/>
        </w:rPr>
        <w:t>16E</w:t>
      </w:r>
      <w:r>
        <w:t>.</w:t>
      </w:r>
      <w:r>
        <w:tab/>
        <w:t>Fish on boats (Act s. 51(1))</w:t>
      </w:r>
      <w:bookmarkEnd w:id="130"/>
    </w:p>
    <w:p>
      <w:pPr>
        <w:pStyle w:val="Subsection"/>
        <w:keepNext/>
        <w:keepLines/>
        <w:spacing w:before="120"/>
      </w:pPr>
      <w:r>
        <w:tab/>
        <w:t>(1)</w:t>
      </w:r>
      <w:r>
        <w:tab/>
        <w:t>In this regulation —</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rPr>
          <w:b/>
        </w:rPr>
        <w:tab/>
      </w:r>
      <w:r>
        <w:rPr>
          <w:rStyle w:val="CharDefText"/>
        </w:rPr>
        <w:t>day trip</w:t>
      </w:r>
      <w:r>
        <w:t xml:space="preserve"> means a voyage undertaken by a person on a boat, except a voyage which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Subsection"/>
      </w:pPr>
      <w:r>
        <w:tab/>
        <w:t>(2)</w:t>
      </w:r>
      <w:r>
        <w:tab/>
        <w:t>For the purposes of section 51(1) of the Act, the maximum quantity of finfish that a person on a boat may be in possession of where the person is on, or has just completed, a day trip is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For the purposes of section 51(1) of the Act, the maximum quantity of finfish that the master of a boat may be in possession of on the boat where the master is on, or has just completed, a day trip is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Subsection"/>
        <w:spacing w:before="120"/>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Subsection"/>
        <w:spacing w:before="120"/>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pPr>
      <w:r>
        <w:tab/>
        <w:t>(a)</w:t>
      </w:r>
      <w:r>
        <w:tab/>
        <w:t>if there is only one person on the boat —</w:t>
      </w:r>
    </w:p>
    <w:p>
      <w:pPr>
        <w:pStyle w:val="Indenti"/>
        <w:spacing w:before="60"/>
        <w:rPr>
          <w:snapToGrid w:val="0"/>
        </w:rPr>
      </w:pPr>
      <w:r>
        <w:tab/>
        <w:t>(i)</w:t>
      </w:r>
      <w:r>
        <w:tab/>
      </w:r>
      <w:r>
        <w:rPr>
          <w:snapToGrid w:val="0"/>
        </w:rPr>
        <w:t>one day’s bag limit of blue manna crabs; and</w:t>
      </w:r>
    </w:p>
    <w:p>
      <w:pPr>
        <w:pStyle w:val="Indenti"/>
        <w:spacing w:before="60"/>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Penstart"/>
      </w:pPr>
      <w:r>
        <w:tab/>
        <w:t>Penalty: a fine of $10 000 and the penalty provided in section 222 of the Act.</w:t>
      </w:r>
    </w:p>
    <w:p>
      <w:pPr>
        <w:pStyle w:val="Subsection"/>
      </w:pPr>
      <w:r>
        <w:tab/>
        <w:t>(3D)</w:t>
      </w:r>
      <w:r>
        <w:tab/>
        <w:t>Subregulations (3A)(a)(ii) and (b)(ii), (3B)(a)(ii) and (b)(ii) and (3C)(a)(ii) and (b)(ii) are subject to regulation 17A.</w:t>
      </w:r>
    </w:p>
    <w:p>
      <w:pPr>
        <w:pStyle w:val="Subsection"/>
      </w:pPr>
      <w:r>
        <w:tab/>
        <w:t>(3E)</w:t>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p>
    <w:p>
      <w:pPr>
        <w:pStyle w:val="Indenta"/>
      </w:pPr>
      <w:r>
        <w:tab/>
        <w:t>(a)</w:t>
      </w:r>
      <w:r>
        <w:tab/>
        <w:t>if the boat is a charter boat — is not more than 6; or</w:t>
      </w:r>
    </w:p>
    <w:p>
      <w:pPr>
        <w:pStyle w:val="Indenta"/>
      </w:pPr>
      <w:r>
        <w:tab/>
        <w:t>(b)</w:t>
      </w:r>
      <w:r>
        <w:tab/>
        <w:t>if the boat is other than a charter boat — is not more than 2.</w:t>
      </w:r>
    </w:p>
    <w:p>
      <w:pPr>
        <w:pStyle w:val="Penstart"/>
      </w:pPr>
      <w:r>
        <w:tab/>
        <w:t>Penalty: a fine of $10 000 and the penalty provided in section 222 of the Act.</w:t>
      </w:r>
    </w:p>
    <w:p>
      <w:pPr>
        <w:pStyle w:val="Subsection"/>
        <w:spacing w:before="180"/>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For the purpose of —</w:t>
      </w:r>
    </w:p>
    <w:p>
      <w:pPr>
        <w:pStyle w:val="Indenta"/>
      </w:pPr>
      <w:r>
        <w:tab/>
        <w:t>(a)</w:t>
      </w:r>
      <w:r>
        <w:tab/>
        <w:t>subregulations (3) and (3b), fish on a boat that are not in the possession of any other person on the boat are to be taken to be in the possession of the master of the boat; and</w:t>
      </w:r>
    </w:p>
    <w:p>
      <w:pPr>
        <w:pStyle w:val="Indenta"/>
        <w:keepLines/>
      </w:pPr>
      <w:r>
        <w:tab/>
        <w:t>(b)</w:t>
      </w:r>
      <w:r>
        <w:tab/>
        <w:t>determining the number of fish in a person’s possession under subregulation (2)(b) or (3)(b) 2 single</w:t>
      </w:r>
      <w:r>
        <w:noBreakHyphen/>
        <w:t>sided fillets of finfish are to be taken to be equivalent to one whole fish.</w:t>
      </w:r>
    </w:p>
    <w:p>
      <w:pPr>
        <w:pStyle w:val="Footnotesection"/>
        <w:keepLines w:val="0"/>
        <w:spacing w:before="80"/>
        <w:ind w:left="890" w:hanging="89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 1 Mar 2011 p. 668</w:t>
      </w:r>
      <w:r>
        <w:noBreakHyphen/>
        <w:t>70; 24 Feb 2012 p. 801-2; 25 Sep 2012 p. 4517-19.]</w:t>
      </w:r>
    </w:p>
    <w:p>
      <w:pPr>
        <w:pStyle w:val="Heading5"/>
      </w:pPr>
      <w:bookmarkStart w:id="131" w:name="_Toc359316638"/>
      <w:bookmarkStart w:id="132" w:name="_Toc339625749"/>
      <w:bookmarkStart w:id="133" w:name="_Toc342397499"/>
      <w:bookmarkStart w:id="134" w:name="_Toc343519756"/>
      <w:bookmarkStart w:id="135" w:name="_Toc343520213"/>
      <w:bookmarkStart w:id="136" w:name="_Toc344711778"/>
      <w:bookmarkStart w:id="137" w:name="_Toc344712294"/>
      <w:r>
        <w:rPr>
          <w:rStyle w:val="CharSectno"/>
        </w:rPr>
        <w:t>16GA</w:t>
      </w:r>
      <w:r>
        <w:t>.</w:t>
      </w:r>
      <w:r>
        <w:tab/>
        <w:t>Rock lobster (Act s. 51(1))</w:t>
      </w:r>
      <w:bookmarkEnd w:id="131"/>
    </w:p>
    <w:p>
      <w:pPr>
        <w:pStyle w:val="Subsection"/>
      </w:pPr>
      <w:r>
        <w:tab/>
      </w:r>
      <w:r>
        <w:tab/>
        <w:t>Subject to regulation 16E(3A)(a)(iv) and (b)(iv), (3B)(a)(iv) and (b)(iv) and (3C)(a)(iv) and (b)(iv), for the purposes of section 51(1) of the Act, the maximum quantity of rock lobster that a person may be in possession of is 24 rock lobsters.</w:t>
      </w:r>
    </w:p>
    <w:p>
      <w:pPr>
        <w:pStyle w:val="Footnotesection"/>
      </w:pPr>
      <w:r>
        <w:tab/>
        <w:t>[Regulation 16GA inserted in Gazette 29 Jan 2013 p. 304.]</w:t>
      </w:r>
    </w:p>
    <w:p>
      <w:pPr>
        <w:pStyle w:val="Heading5"/>
      </w:pPr>
      <w:bookmarkStart w:id="138" w:name="_Toc359316639"/>
      <w:r>
        <w:rPr>
          <w:rStyle w:val="CharSectno"/>
        </w:rPr>
        <w:t>16GB</w:t>
      </w:r>
      <w:r>
        <w:t>.</w:t>
      </w:r>
      <w:r>
        <w:tab/>
        <w:t>Barramundi (Act s. 51(1))</w:t>
      </w:r>
      <w:bookmarkEnd w:id="138"/>
    </w:p>
    <w:p>
      <w:pPr>
        <w:pStyle w:val="Subsection"/>
      </w:pPr>
      <w:r>
        <w:tab/>
        <w:t>(1)</w:t>
      </w:r>
      <w:r>
        <w:tab/>
        <w:t>For the purposes of section 51(1) of the Act, the maximum quantity of barramundi that a person may be in possession of, other than at the person’s principal place of residence,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Footnotesection"/>
      </w:pPr>
      <w:r>
        <w:tab/>
        <w:t>[Regulation 16GB inserted in Gazette 29 Jan 2013 p. 304.]</w:t>
      </w:r>
    </w:p>
    <w:p>
      <w:pPr>
        <w:pStyle w:val="Heading5"/>
      </w:pPr>
      <w:bookmarkStart w:id="139" w:name="_Toc359316640"/>
      <w:r>
        <w:rPr>
          <w:rStyle w:val="CharSectno"/>
        </w:rPr>
        <w:t>16GC</w:t>
      </w:r>
      <w:r>
        <w:t>.</w:t>
      </w:r>
      <w:r>
        <w:tab/>
        <w:t>Marron (Act s. 51(1), (2))</w:t>
      </w:r>
      <w:bookmarkEnd w:id="139"/>
    </w:p>
    <w:p>
      <w:pPr>
        <w:pStyle w:val="Subsection"/>
      </w:pPr>
      <w:r>
        <w:tab/>
        <w:t>(1)</w:t>
      </w:r>
      <w:r>
        <w:tab/>
        <w:t>For the purposes of section 51(1) of the Act, the maximum quantity of marron that a person may be in possession of —</w:t>
      </w:r>
    </w:p>
    <w:p>
      <w:pPr>
        <w:pStyle w:val="Indenta"/>
      </w:pPr>
      <w:r>
        <w:tab/>
        <w:t>(a)</w:t>
      </w:r>
      <w:r>
        <w:tab/>
        <w:t>on marron trophy waters or within 500 m of the high water mark of marron trophy waters, is 5 marron; and</w:t>
      </w:r>
    </w:p>
    <w:p>
      <w:pPr>
        <w:pStyle w:val="Indenta"/>
      </w:pPr>
      <w:r>
        <w:tab/>
        <w:t>(b)</w:t>
      </w:r>
      <w:r>
        <w:tab/>
        <w:t>at any other place, is 16 marron.</w:t>
      </w:r>
    </w:p>
    <w:p>
      <w:pPr>
        <w:pStyle w:val="Subsection"/>
      </w:pPr>
      <w:r>
        <w:tab/>
        <w:t>(2)</w:t>
      </w:r>
      <w:r>
        <w:tab/>
        <w:t>The possession limits prescribed by subregulation (1) do not apply during the non</w:t>
      </w:r>
      <w:r>
        <w:noBreakHyphen/>
        <w:t>possession period as defined in regulation 38O.</w:t>
      </w:r>
    </w:p>
    <w:p>
      <w:pPr>
        <w:pStyle w:val="Subsection"/>
      </w:pPr>
      <w:r>
        <w:tab/>
        <w:t>(3)</w:t>
      </w:r>
      <w:r>
        <w:tab/>
        <w:t>The possession limit prescribed by subregulation (1)(b) does not apply to a person who is on private land owned or occupied by the person.</w:t>
      </w:r>
    </w:p>
    <w:p>
      <w:pPr>
        <w:pStyle w:val="Subsection"/>
      </w:pPr>
      <w:r>
        <w:tab/>
        <w:t>(4)</w:t>
      </w:r>
      <w:r>
        <w:tab/>
        <w:t>It is a defence in proceedings against a person under section 51(2) of the Act in respect of the possession of marron —</w:t>
      </w:r>
    </w:p>
    <w:p>
      <w:pPr>
        <w:pStyle w:val="Indenta"/>
      </w:pPr>
      <w:r>
        <w:tab/>
        <w:t>(a)</w:t>
      </w:r>
      <w:r>
        <w:tab/>
        <w:t>that the marron had been sold by retail to the public; or</w:t>
      </w:r>
    </w:p>
    <w:p>
      <w:pPr>
        <w:pStyle w:val="Indenta"/>
      </w:pPr>
      <w:r>
        <w:tab/>
        <w:t>(b)</w:t>
      </w:r>
      <w:r>
        <w:tab/>
        <w:t>that the marron were in the person’s possession at a place for the purpose of being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pPr>
      <w:r>
        <w:tab/>
        <w:t>(c)</w:t>
      </w:r>
      <w:r>
        <w:tab/>
        <w:t>that the marron were in the person’s possession —</w:t>
      </w:r>
    </w:p>
    <w:p>
      <w:pPr>
        <w:pStyle w:val="Indenti"/>
      </w:pPr>
      <w:r>
        <w:tab/>
        <w:t>(i)</w:t>
      </w:r>
      <w:r>
        <w:tab/>
        <w:t>at a place specified in a fish processor’s licence under section 83(2) of the Act; and</w:t>
      </w:r>
    </w:p>
    <w:p>
      <w:pPr>
        <w:pStyle w:val="Indenti"/>
      </w:pPr>
      <w:r>
        <w:tab/>
        <w:t>(ii)</w:t>
      </w:r>
      <w:r>
        <w:tab/>
        <w:t>for the purpose of being processed in accordance with that licence.</w:t>
      </w:r>
    </w:p>
    <w:p>
      <w:pPr>
        <w:pStyle w:val="Footnotesection"/>
      </w:pPr>
      <w:r>
        <w:tab/>
        <w:t>[Regulation 16GC inserted in Gazette 29 Jan 2013 p. 305.]</w:t>
      </w:r>
    </w:p>
    <w:p>
      <w:pPr>
        <w:pStyle w:val="Heading5"/>
      </w:pPr>
      <w:bookmarkStart w:id="140" w:name="_Toc359316641"/>
      <w:r>
        <w:rPr>
          <w:rStyle w:val="CharSectno"/>
        </w:rPr>
        <w:t>16GD</w:t>
      </w:r>
      <w:r>
        <w:t>.</w:t>
      </w:r>
      <w:r>
        <w:tab/>
        <w:t>Abalone (Act s. 51(1))</w:t>
      </w:r>
      <w:bookmarkEnd w:id="140"/>
    </w:p>
    <w:p>
      <w:pPr>
        <w:pStyle w:val="Subsection"/>
      </w:pPr>
      <w:r>
        <w:tab/>
        <w:t>(1)</w:t>
      </w:r>
      <w: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Subsection"/>
      </w:pPr>
      <w:r>
        <w:tab/>
        <w:t>(2)</w:t>
      </w:r>
      <w:r>
        <w:tab/>
        <w:t>For the purposes of section 51(1) of the Act, the maximum quantity of abalone that a person may be in possession of, other than at the person’s principal place of residence, is —</w:t>
      </w:r>
    </w:p>
    <w:p>
      <w:pPr>
        <w:pStyle w:val="Indenta"/>
      </w:pPr>
      <w:r>
        <w:tab/>
        <w:t>(a)</w:t>
      </w:r>
      <w:r>
        <w:tab/>
        <w:t>20 abalone that are other than prescribed abalone; and</w:t>
      </w:r>
    </w:p>
    <w:p>
      <w:pPr>
        <w:pStyle w:val="Indenta"/>
      </w:pPr>
      <w:r>
        <w:tab/>
        <w:t>(b)</w:t>
      </w:r>
      <w:r>
        <w:tab/>
        <w:t>10 prescribed abalone.</w:t>
      </w:r>
    </w:p>
    <w:p>
      <w:pPr>
        <w:pStyle w:val="Subsection"/>
      </w:pPr>
      <w:r>
        <w:tab/>
        <w:t>(3)</w:t>
      </w:r>
      <w:r>
        <w:tab/>
        <w:t>For the purposes of section 51(1) of the Act, the maximum quantity of abalone that a person may have at the person’s principal place of residence is —</w:t>
      </w:r>
    </w:p>
    <w:p>
      <w:pPr>
        <w:pStyle w:val="Indenta"/>
      </w:pPr>
      <w:r>
        <w:tab/>
        <w:t>(a)</w:t>
      </w:r>
      <w:r>
        <w:tab/>
        <w:t>80 abalone that are other than prescribed abalone; and</w:t>
      </w:r>
    </w:p>
    <w:p>
      <w:pPr>
        <w:pStyle w:val="Indenta"/>
      </w:pPr>
      <w:r>
        <w:tab/>
        <w:t>(b)</w:t>
      </w:r>
      <w:r>
        <w:tab/>
        <w:t>20 prescribed abalone.</w:t>
      </w:r>
    </w:p>
    <w:p>
      <w:pPr>
        <w:pStyle w:val="Footnotesection"/>
      </w:pPr>
      <w:r>
        <w:tab/>
        <w:t>[Regulation 16GD inserted in Gazette 29 Jan 2013 p. 306.]</w:t>
      </w:r>
    </w:p>
    <w:p>
      <w:pPr>
        <w:pStyle w:val="Heading5"/>
      </w:pPr>
      <w:bookmarkStart w:id="141" w:name="_Toc359316642"/>
      <w:r>
        <w:rPr>
          <w:rStyle w:val="CharSectno"/>
        </w:rPr>
        <w:t>16GE</w:t>
      </w:r>
      <w:r>
        <w:t>.</w:t>
      </w:r>
      <w:r>
        <w:tab/>
        <w:t>Fish on fishing boats (commercial)</w:t>
      </w:r>
      <w:bookmarkEnd w:id="141"/>
    </w:p>
    <w:p>
      <w:pPr>
        <w:pStyle w:val="Subsection"/>
      </w:pPr>
      <w:r>
        <w:tab/>
        <w:t>(1)</w:t>
      </w:r>
      <w:r>
        <w:tab/>
        <w:t>The maximum quantity of fish of a type specified in an item of the Table that a master of a fishing boat may be in possession of on that boat is as set out in that item.</w:t>
      </w:r>
    </w:p>
    <w:p>
      <w:pPr>
        <w:pStyle w:val="THeadingNAm"/>
      </w:pPr>
      <w:r>
        <w:t>Table</w:t>
      </w:r>
    </w:p>
    <w:tbl>
      <w:tblPr>
        <w:tblW w:w="6209" w:type="dxa"/>
        <w:tblInd w:w="987" w:type="dxa"/>
        <w:tblBorders>
          <w:top w:val="single" w:sz="4" w:space="0" w:color="auto"/>
          <w:bottom w:val="single" w:sz="4" w:space="0" w:color="auto"/>
        </w:tblBorders>
        <w:tblLayout w:type="fixed"/>
        <w:tblCellMar>
          <w:bottom w:w="113" w:type="dxa"/>
        </w:tblCellMar>
        <w:tblLook w:val="0000" w:firstRow="0" w:lastRow="0" w:firstColumn="0" w:lastColumn="0" w:noHBand="0" w:noVBand="0"/>
      </w:tblPr>
      <w:tblGrid>
        <w:gridCol w:w="778"/>
        <w:gridCol w:w="4155"/>
        <w:gridCol w:w="1276"/>
      </w:tblGrid>
      <w:tr>
        <w:trPr>
          <w:tblHeader/>
        </w:trPr>
        <w:tc>
          <w:tcPr>
            <w:tcW w:w="778" w:type="dxa"/>
            <w:tcBorders>
              <w:top w:val="single" w:sz="4" w:space="0" w:color="auto"/>
              <w:bottom w:val="single" w:sz="4" w:space="0" w:color="auto"/>
            </w:tcBorders>
          </w:tcPr>
          <w:p>
            <w:pPr>
              <w:pStyle w:val="TableNAm"/>
            </w:pPr>
            <w:r>
              <w:rPr>
                <w:b/>
              </w:rPr>
              <w:t>Item</w:t>
            </w:r>
          </w:p>
        </w:tc>
        <w:tc>
          <w:tcPr>
            <w:tcW w:w="4155" w:type="dxa"/>
            <w:tcBorders>
              <w:top w:val="single" w:sz="4" w:space="0" w:color="auto"/>
              <w:bottom w:val="single" w:sz="4" w:space="0" w:color="auto"/>
            </w:tcBorders>
          </w:tcPr>
          <w:p>
            <w:pPr>
              <w:pStyle w:val="TableNAm"/>
            </w:pPr>
            <w:r>
              <w:rPr>
                <w:b/>
              </w:rPr>
              <w:t>Type of fish</w:t>
            </w:r>
          </w:p>
        </w:tc>
        <w:tc>
          <w:tcPr>
            <w:tcW w:w="1276" w:type="dxa"/>
            <w:tcBorders>
              <w:top w:val="single" w:sz="4" w:space="0" w:color="auto"/>
              <w:bottom w:val="single" w:sz="4" w:space="0" w:color="auto"/>
            </w:tcBorders>
          </w:tcPr>
          <w:p>
            <w:pPr>
              <w:pStyle w:val="TableNAm"/>
              <w:jc w:val="center"/>
            </w:pPr>
            <w:r>
              <w:rPr>
                <w:b/>
              </w:rPr>
              <w:t>Number of fish</w:t>
            </w:r>
          </w:p>
        </w:tc>
      </w:tr>
      <w:tr>
        <w:tc>
          <w:tcPr>
            <w:tcW w:w="778" w:type="dxa"/>
            <w:tcBorders>
              <w:top w:val="single" w:sz="4" w:space="0" w:color="auto"/>
              <w:bottom w:val="nil"/>
            </w:tcBorders>
          </w:tcPr>
          <w:p>
            <w:pPr>
              <w:pStyle w:val="TableNAm"/>
            </w:pPr>
            <w:r>
              <w:t>1.</w:t>
            </w:r>
          </w:p>
        </w:tc>
        <w:tc>
          <w:tcPr>
            <w:tcW w:w="4155" w:type="dxa"/>
            <w:tcBorders>
              <w:top w:val="single" w:sz="4" w:space="0" w:color="auto"/>
              <w:bottom w:val="nil"/>
            </w:tcBorders>
          </w:tcPr>
          <w:p>
            <w:pPr>
              <w:pStyle w:val="TableNAm"/>
            </w:pPr>
            <w:r>
              <w:t>Billfish (marlins, sailfish and spearfish) and swordfish</w:t>
            </w:r>
            <w:r>
              <w:br/>
              <w:t>Tuna, southern bluefin and northern bluefin</w:t>
            </w:r>
          </w:p>
        </w:tc>
        <w:tc>
          <w:tcPr>
            <w:tcW w:w="1276" w:type="dxa"/>
            <w:tcBorders>
              <w:top w:val="single" w:sz="4" w:space="0" w:color="auto"/>
              <w:bottom w:val="nil"/>
            </w:tcBorders>
          </w:tcPr>
          <w:p>
            <w:pPr>
              <w:pStyle w:val="TableNAm"/>
              <w:jc w:val="center"/>
            </w:pPr>
            <w:r>
              <w:t>0</w:t>
            </w:r>
          </w:p>
        </w:tc>
      </w:tr>
      <w:tr>
        <w:tc>
          <w:tcPr>
            <w:tcW w:w="778" w:type="dxa"/>
            <w:tcBorders>
              <w:top w:val="nil"/>
              <w:bottom w:val="nil"/>
            </w:tcBorders>
          </w:tcPr>
          <w:p>
            <w:pPr>
              <w:pStyle w:val="TableNAm"/>
            </w:pPr>
            <w:r>
              <w:t>2.</w:t>
            </w:r>
          </w:p>
        </w:tc>
        <w:tc>
          <w:tcPr>
            <w:tcW w:w="4155" w:type="dxa"/>
            <w:tcBorders>
              <w:top w:val="nil"/>
              <w:bottom w:val="nil"/>
            </w:tcBorders>
          </w:tcPr>
          <w:p>
            <w:pPr>
              <w:pStyle w:val="TableNAm"/>
            </w:pPr>
            <w:r>
              <w:t>Tuna, yellowfin and bigeye</w:t>
            </w:r>
          </w:p>
        </w:tc>
        <w:tc>
          <w:tcPr>
            <w:tcW w:w="1276" w:type="dxa"/>
            <w:tcBorders>
              <w:top w:val="nil"/>
              <w:bottom w:val="nil"/>
            </w:tcBorders>
          </w:tcPr>
          <w:p>
            <w:pPr>
              <w:pStyle w:val="TableNAm"/>
              <w:jc w:val="center"/>
            </w:pPr>
            <w:r>
              <w:t>2</w:t>
            </w:r>
          </w:p>
        </w:tc>
      </w:tr>
      <w:tr>
        <w:tc>
          <w:tcPr>
            <w:tcW w:w="778" w:type="dxa"/>
            <w:tcBorders>
              <w:top w:val="nil"/>
            </w:tcBorders>
          </w:tcPr>
          <w:p>
            <w:pPr>
              <w:pStyle w:val="TableNAm"/>
            </w:pPr>
            <w:r>
              <w:t>3.</w:t>
            </w:r>
          </w:p>
        </w:tc>
        <w:tc>
          <w:tcPr>
            <w:tcW w:w="4155" w:type="dxa"/>
            <w:tcBorders>
              <w:top w:val="nil"/>
            </w:tcBorders>
          </w:tcPr>
          <w:p>
            <w:pPr>
              <w:pStyle w:val="TableNAm"/>
            </w:pPr>
            <w:r>
              <w:t>Mackerel, jack, Peruvian jack, yellowtail jack and blue</w:t>
            </w:r>
            <w:r>
              <w:br/>
              <w:t>Tuna, albacore, longtail and skipjack</w:t>
            </w:r>
            <w:r>
              <w:br/>
              <w:t>Redbait</w:t>
            </w:r>
            <w:r>
              <w:br/>
              <w:t xml:space="preserve">Fish of the </w:t>
            </w:r>
            <w:r>
              <w:rPr>
                <w:u w:val="single"/>
              </w:rPr>
              <w:t>Family</w:t>
            </w:r>
            <w:r>
              <w:t xml:space="preserve"> Bramidae when taken in WA waters outside the 200 m isobath</w:t>
            </w:r>
          </w:p>
        </w:tc>
        <w:tc>
          <w:tcPr>
            <w:tcW w:w="1276" w:type="dxa"/>
            <w:tcBorders>
              <w:top w:val="nil"/>
            </w:tcBorders>
          </w:tcPr>
          <w:p>
            <w:pPr>
              <w:pStyle w:val="TableNAm"/>
              <w:jc w:val="center"/>
            </w:pPr>
            <w:r>
              <w:t>10</w:t>
            </w:r>
          </w:p>
        </w:tc>
      </w:tr>
    </w:tbl>
    <w:p>
      <w:pPr>
        <w:pStyle w:val="Subsection"/>
      </w:pPr>
      <w:r>
        <w:tab/>
        <w:t>(2)</w:t>
      </w:r>
      <w:r>
        <w:tab/>
        <w:t>For the purposes of this regulation, the master of a fishing boat on which any fish are held or transported is to be taken to be in possession of the fish.</w:t>
      </w:r>
    </w:p>
    <w:p>
      <w:pPr>
        <w:pStyle w:val="Subsection"/>
      </w:pPr>
      <w:r>
        <w:tab/>
        <w:t>(3)</w:t>
      </w:r>
      <w:r>
        <w:tab/>
        <w:t>This regulation does not apply —</w:t>
      </w:r>
    </w:p>
    <w:p>
      <w:pPr>
        <w:pStyle w:val="Indenta"/>
      </w:pPr>
      <w:r>
        <w:tab/>
        <w:t>(a)</w:t>
      </w:r>
      <w:r>
        <w:tab/>
        <w:t>to fish taken in accordance with a Fishing Permit or Statutory Fishing Right granted under the Commonwealth Act; or</w:t>
      </w:r>
    </w:p>
    <w:p>
      <w:pPr>
        <w:pStyle w:val="Indenta"/>
      </w:pPr>
      <w:r>
        <w:tab/>
        <w:t>(b)</w:t>
      </w:r>
      <w:r>
        <w:tab/>
        <w:t>where all the fish held or transported on the fishing boat were taken solely for a non</w:t>
      </w:r>
      <w:r>
        <w:noBreakHyphen/>
        <w:t>commercial purpose.</w:t>
      </w:r>
    </w:p>
    <w:p>
      <w:pPr>
        <w:pStyle w:val="Subsection"/>
      </w:pPr>
      <w:r>
        <w:tab/>
        <w:t>(4)</w:t>
      </w:r>
      <w:r>
        <w:tab/>
        <w:t>The master of a fishing boat must not be in possession of more fish on that boat than is specified in the Table to subregulation (1).</w:t>
      </w:r>
    </w:p>
    <w:p>
      <w:pPr>
        <w:pStyle w:val="Penstart"/>
      </w:pPr>
      <w:r>
        <w:tab/>
        <w:t>Penalty: In the case of an individual, a fine of $5 000 or, in the case of a body corporate, a fine of $10 000.</w:t>
      </w:r>
    </w:p>
    <w:p>
      <w:pPr>
        <w:pStyle w:val="Footnotesection"/>
      </w:pPr>
      <w:r>
        <w:tab/>
        <w:t>[Regulation 16GE inserted in Gazette 29 Jan 2013 p. 306</w:t>
      </w:r>
      <w:r>
        <w:noBreakHyphen/>
        <w:t>7.]</w:t>
      </w:r>
    </w:p>
    <w:p>
      <w:pPr>
        <w:pStyle w:val="Ednotesubdivision"/>
      </w:pPr>
      <w:r>
        <w:t>[Subdivision 2 (s. 16FA and 16F deleted in Gazette 29 Jan 2013 p. 307.]</w:t>
      </w:r>
    </w:p>
    <w:p>
      <w:pPr>
        <w:pStyle w:val="Heading4"/>
        <w:spacing w:before="200"/>
      </w:pPr>
      <w:bookmarkStart w:id="142" w:name="_Toc339625752"/>
      <w:bookmarkStart w:id="143" w:name="_Toc342397502"/>
      <w:bookmarkStart w:id="144" w:name="_Toc343519759"/>
      <w:bookmarkStart w:id="145" w:name="_Toc343520216"/>
      <w:bookmarkStart w:id="146" w:name="_Toc344711781"/>
      <w:bookmarkStart w:id="147" w:name="_Toc344712297"/>
      <w:bookmarkStart w:id="148" w:name="_Toc347307579"/>
      <w:bookmarkStart w:id="149" w:name="_Toc349822496"/>
      <w:bookmarkStart w:id="150" w:name="_Toc349822916"/>
      <w:bookmarkStart w:id="151" w:name="_Toc349830898"/>
      <w:bookmarkStart w:id="152" w:name="_Toc359248686"/>
      <w:bookmarkStart w:id="153" w:name="_Toc359316643"/>
      <w:bookmarkEnd w:id="132"/>
      <w:bookmarkEnd w:id="133"/>
      <w:bookmarkEnd w:id="134"/>
      <w:bookmarkEnd w:id="135"/>
      <w:bookmarkEnd w:id="136"/>
      <w:bookmarkEnd w:id="137"/>
      <w:r>
        <w:t>Subdivision 3 — Possession limits — pink snapper at Shark Bay</w:t>
      </w:r>
      <w:bookmarkEnd w:id="142"/>
      <w:bookmarkEnd w:id="143"/>
      <w:bookmarkEnd w:id="144"/>
      <w:bookmarkEnd w:id="145"/>
      <w:bookmarkEnd w:id="146"/>
      <w:bookmarkEnd w:id="147"/>
      <w:bookmarkEnd w:id="148"/>
      <w:bookmarkEnd w:id="149"/>
      <w:bookmarkEnd w:id="150"/>
      <w:bookmarkEnd w:id="151"/>
      <w:bookmarkEnd w:id="152"/>
      <w:bookmarkEnd w:id="153"/>
    </w:p>
    <w:p>
      <w:pPr>
        <w:pStyle w:val="Footnoteheading"/>
        <w:keepNext/>
        <w:tabs>
          <w:tab w:val="left" w:pos="851"/>
        </w:tabs>
        <w:spacing w:before="100"/>
      </w:pPr>
      <w:r>
        <w:tab/>
        <w:t>[Heading inserted in Gazette 1 Oct 2003 p. 4291.]</w:t>
      </w:r>
    </w:p>
    <w:p>
      <w:pPr>
        <w:pStyle w:val="Heading5"/>
        <w:spacing w:before="180"/>
        <w:rPr>
          <w:snapToGrid w:val="0"/>
        </w:rPr>
      </w:pPr>
      <w:bookmarkStart w:id="154" w:name="_Toc359316644"/>
      <w:r>
        <w:rPr>
          <w:rStyle w:val="CharSectno"/>
        </w:rPr>
        <w:t>16G</w:t>
      </w:r>
      <w:r>
        <w:t>.</w:t>
      </w:r>
      <w:r>
        <w:tab/>
      </w:r>
      <w:r>
        <w:rPr>
          <w:snapToGrid w:val="0"/>
        </w:rPr>
        <w:t>Terms used</w:t>
      </w:r>
      <w:bookmarkEnd w:id="154"/>
    </w:p>
    <w:p>
      <w:pPr>
        <w:pStyle w:val="Subsection"/>
        <w:spacing w:before="120"/>
        <w:rPr>
          <w:snapToGrid w:val="0"/>
        </w:rPr>
      </w:pPr>
      <w:r>
        <w:rPr>
          <w:snapToGrid w:val="0"/>
        </w:rPr>
        <w:tab/>
      </w:r>
      <w:r>
        <w:rPr>
          <w:snapToGrid w:val="0"/>
        </w:rPr>
        <w:tab/>
        <w:t>In this Subdivision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w:t>
      </w:r>
    </w:p>
    <w:p>
      <w:pPr>
        <w:pStyle w:val="Defpara"/>
      </w:pPr>
      <w:r>
        <w:tab/>
        <w:t>(a)</w:t>
      </w:r>
      <w:r>
        <w:tab/>
        <w:t>the waters of the Freycinet Estuary; and</w:t>
      </w:r>
    </w:p>
    <w:p>
      <w:pPr>
        <w:pStyle w:val="Defpara"/>
      </w:pPr>
      <w:r>
        <w:tab/>
        <w:t>(b)</w:t>
      </w:r>
      <w:r>
        <w:tab/>
        <w:t>land that is within 50 m of the high water mark of the Freycinet Estuary.</w:t>
      </w:r>
    </w:p>
    <w:p>
      <w:pPr>
        <w:pStyle w:val="Footnotesection"/>
        <w:spacing w:before="60"/>
        <w:ind w:left="890" w:hanging="890"/>
      </w:pPr>
      <w:r>
        <w:tab/>
        <w:t>[Regulation 16G inserted in Gazette 1 Oct 2003 p. 4291</w:t>
      </w:r>
      <w:r>
        <w:noBreakHyphen/>
        <w:t>2; amended in Gazette 6 Apr 2004 p. 1133.]</w:t>
      </w:r>
    </w:p>
    <w:p>
      <w:pPr>
        <w:pStyle w:val="Heading5"/>
        <w:spacing w:before="180"/>
        <w:rPr>
          <w:snapToGrid w:val="0"/>
        </w:rPr>
      </w:pPr>
      <w:bookmarkStart w:id="155" w:name="_Toc359316645"/>
      <w:r>
        <w:rPr>
          <w:rStyle w:val="CharSectno"/>
        </w:rPr>
        <w:t>16H</w:t>
      </w:r>
      <w:r>
        <w:rPr>
          <w:snapToGrid w:val="0"/>
        </w:rPr>
        <w:t>.</w:t>
      </w:r>
      <w:r>
        <w:rPr>
          <w:snapToGrid w:val="0"/>
        </w:rPr>
        <w:tab/>
        <w:t>Pink snapper in Freycinet Estuary area</w:t>
      </w:r>
      <w:bookmarkEnd w:id="155"/>
    </w:p>
    <w:p>
      <w:pPr>
        <w:pStyle w:val="Subsection"/>
        <w:spacing w:before="120"/>
        <w:rPr>
          <w:snapToGrid w:val="0"/>
        </w:rPr>
      </w:pPr>
      <w:r>
        <w:rPr>
          <w:snapToGrid w:val="0"/>
        </w:rPr>
        <w:tab/>
        <w:t>(1)</w:t>
      </w:r>
      <w:r>
        <w:rPr>
          <w:snapToGrid w:val="0"/>
        </w:rPr>
        <w:tab/>
        <w:t>A person in or on the Freycinet Estuary must not have any pink snapper in his or her possession.</w:t>
      </w:r>
    </w:p>
    <w:p>
      <w:pPr>
        <w:pStyle w:val="Subsection"/>
        <w:spacing w:before="120"/>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156" w:name="_Toc359316646"/>
      <w:r>
        <w:rPr>
          <w:rStyle w:val="CharSectno"/>
        </w:rPr>
        <w:t>16I</w:t>
      </w:r>
      <w:r>
        <w:rPr>
          <w:snapToGrid w:val="0"/>
        </w:rPr>
        <w:t>.</w:t>
      </w:r>
      <w:r>
        <w:rPr>
          <w:snapToGrid w:val="0"/>
        </w:rPr>
        <w:tab/>
        <w:t>Tags authorising possession of pink snapper in Freycinet Estuary area, application for and issue of</w:t>
      </w:r>
      <w:bookmarkEnd w:id="156"/>
    </w:p>
    <w:p>
      <w:pPr>
        <w:pStyle w:val="Subsection"/>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CEO.</w:t>
      </w:r>
    </w:p>
    <w:p>
      <w:pPr>
        <w:pStyle w:val="Subsection"/>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deleted]</w:t>
      </w:r>
    </w:p>
    <w:p>
      <w:pPr>
        <w:pStyle w:val="Subsection"/>
        <w:keepNext/>
        <w:rPr>
          <w:snapToGrid w:val="0"/>
        </w:rPr>
      </w:pPr>
      <w:r>
        <w:rPr>
          <w:snapToGrid w:val="0"/>
        </w:rPr>
        <w:tab/>
        <w:t>(6)</w:t>
      </w:r>
      <w:r>
        <w:rPr>
          <w:snapToGrid w:val="0"/>
        </w:rPr>
        <w:tab/>
        <w:t>If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 and</w:t>
      </w:r>
    </w:p>
    <w:p>
      <w:pPr>
        <w:pStyle w:val="Indenta"/>
        <w:rPr>
          <w:snapToGrid w:val="0"/>
        </w:rPr>
      </w:pPr>
      <w:r>
        <w:rPr>
          <w:snapToGrid w:val="0"/>
        </w:rPr>
        <w:tab/>
        <w:t>(b)</w:t>
      </w:r>
      <w:r>
        <w:rPr>
          <w:snapToGrid w:val="0"/>
        </w:rPr>
        <w:tab/>
        <w:t>that person has not made any other written or electronic application under subregulation (1) during that period; and</w:t>
      </w:r>
    </w:p>
    <w:p>
      <w:pPr>
        <w:pStyle w:val="Indenta"/>
        <w:rPr>
          <w:snapToGrid w:val="0"/>
        </w:rPr>
      </w:pPr>
      <w:r>
        <w:rPr>
          <w:snapToGrid w:val="0"/>
        </w:rPr>
        <w:tab/>
        <w:t>(c)</w:t>
      </w:r>
      <w:r>
        <w:rPr>
          <w:snapToGrid w:val="0"/>
        </w:rPr>
        <w:tab/>
        <w:t>the CEO has not issued more than 1 050 tags pursuant to written or electronic application during that period; and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keepNext/>
        <w:rPr>
          <w:snapToGrid w:val="0"/>
        </w:rPr>
      </w:pPr>
      <w:r>
        <w:rPr>
          <w:snapToGrid w:val="0"/>
        </w:rPr>
        <w:tab/>
        <w:t>(e)</w:t>
      </w:r>
      <w:r>
        <w:rPr>
          <w:snapToGrid w:val="0"/>
        </w:rPr>
        <w:tab/>
        <w:t>the fee set out in Schedule 1 Part 3 item 7 is paid,</w:t>
      </w:r>
    </w:p>
    <w:p>
      <w:pPr>
        <w:pStyle w:val="Subsection"/>
        <w:rPr>
          <w:snapToGrid w:val="0"/>
        </w:rPr>
      </w:pPr>
      <w:r>
        <w:rPr>
          <w:snapToGrid w:val="0"/>
        </w:rPr>
        <w:tab/>
      </w:r>
      <w:r>
        <w:rPr>
          <w:snapToGrid w:val="0"/>
        </w:rPr>
        <w:tab/>
        <w:t xml:space="preserve">the </w:t>
      </w:r>
      <w:r>
        <w:t>CEO</w:t>
      </w:r>
      <w:r>
        <w:rPr>
          <w:snapToGrid w:val="0"/>
        </w:rPr>
        <w:t xml:space="preserve"> may issue a tag to the person.</w:t>
      </w:r>
    </w:p>
    <w:p>
      <w:pPr>
        <w:pStyle w:val="Subsection"/>
        <w:rPr>
          <w:snapToGrid w:val="0"/>
        </w:rPr>
      </w:pPr>
      <w:r>
        <w:rPr>
          <w:snapToGrid w:val="0"/>
        </w:rPr>
        <w:tab/>
        <w:t>(7)</w:t>
      </w:r>
      <w:r>
        <w:rPr>
          <w:snapToGrid w:val="0"/>
        </w:rPr>
        <w:tab/>
        <w:t>When a tag is issued to a person the CEO is to record the name of the person on the tag.</w:t>
      </w:r>
    </w:p>
    <w:p>
      <w:pPr>
        <w:pStyle w:val="Subsection"/>
        <w:rPr>
          <w:snapToGrid w:val="0"/>
        </w:rPr>
      </w:pPr>
      <w:r>
        <w:rPr>
          <w:snapToGrid w:val="0"/>
        </w:rPr>
        <w:tab/>
        <w:t>(8)</w:t>
      </w:r>
      <w:r>
        <w:rPr>
          <w:snapToGrid w:val="0"/>
        </w:rPr>
        <w:tab/>
        <w:t>A tag is current for the fishing year in which it is issued.</w:t>
      </w:r>
    </w:p>
    <w:p>
      <w:pPr>
        <w:pStyle w:val="Footnotesection"/>
        <w:ind w:left="890" w:hanging="890"/>
      </w:pPr>
      <w:r>
        <w:tab/>
        <w:t>[Regulation 16I inserted in Gazette 1 Oct 2003 p. 4293</w:t>
      </w:r>
      <w:r>
        <w:noBreakHyphen/>
        <w:t>4; amended in Gazette 6 Apr 2004 p. 1133; 7 Mar 2006 p. 975; 6 Jul 2007 p. 3389.]</w:t>
      </w:r>
    </w:p>
    <w:p>
      <w:pPr>
        <w:pStyle w:val="Heading5"/>
        <w:rPr>
          <w:snapToGrid w:val="0"/>
        </w:rPr>
      </w:pPr>
      <w:bookmarkStart w:id="157" w:name="_Toc359316647"/>
      <w:r>
        <w:rPr>
          <w:rStyle w:val="CharSectno"/>
        </w:rPr>
        <w:t>16J</w:t>
      </w:r>
      <w:r>
        <w:t>.</w:t>
      </w:r>
      <w:r>
        <w:tab/>
      </w:r>
      <w:r>
        <w:rPr>
          <w:snapToGrid w:val="0"/>
        </w:rPr>
        <w:t>Form of tag issued under r. 16I</w:t>
      </w:r>
      <w:bookmarkEnd w:id="157"/>
    </w:p>
    <w:p>
      <w:pPr>
        <w:pStyle w:val="Subsection"/>
        <w:rPr>
          <w:snapToGrid w:val="0"/>
        </w:rPr>
      </w:pPr>
      <w:r>
        <w:rPr>
          <w:snapToGrid w:val="0"/>
        </w:rPr>
        <w:tab/>
      </w:r>
      <w:r>
        <w:rPr>
          <w:snapToGrid w:val="0"/>
        </w:rPr>
        <w:tab/>
        <w:t>A tag issued under regulation 16I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158" w:name="_Toc339625757"/>
      <w:bookmarkStart w:id="159" w:name="_Toc342397507"/>
      <w:bookmarkStart w:id="160" w:name="_Toc343519764"/>
      <w:bookmarkStart w:id="161" w:name="_Toc343520221"/>
      <w:bookmarkStart w:id="162" w:name="_Toc344711786"/>
      <w:bookmarkStart w:id="163" w:name="_Toc344712302"/>
      <w:bookmarkStart w:id="164" w:name="_Toc347307584"/>
      <w:bookmarkStart w:id="165" w:name="_Toc349822501"/>
      <w:bookmarkStart w:id="166" w:name="_Toc349822921"/>
      <w:bookmarkStart w:id="167" w:name="_Toc349830903"/>
      <w:bookmarkStart w:id="168" w:name="_Toc359248691"/>
      <w:bookmarkStart w:id="169" w:name="_Toc359316648"/>
      <w:r>
        <w:t>Subdivision 4 — Possession limits in Abrolhos Islands</w:t>
      </w:r>
      <w:bookmarkEnd w:id="158"/>
      <w:bookmarkEnd w:id="159"/>
      <w:bookmarkEnd w:id="160"/>
      <w:bookmarkEnd w:id="161"/>
      <w:bookmarkEnd w:id="162"/>
      <w:bookmarkEnd w:id="163"/>
      <w:bookmarkEnd w:id="164"/>
      <w:bookmarkEnd w:id="165"/>
      <w:bookmarkEnd w:id="166"/>
      <w:bookmarkEnd w:id="167"/>
      <w:bookmarkEnd w:id="168"/>
      <w:bookmarkEnd w:id="169"/>
    </w:p>
    <w:p>
      <w:pPr>
        <w:pStyle w:val="Footnoteheading"/>
        <w:keepNext/>
        <w:keepLines/>
        <w:tabs>
          <w:tab w:val="left" w:pos="851"/>
        </w:tabs>
      </w:pPr>
      <w:r>
        <w:tab/>
        <w:t>[Heading inserted in Gazette 1 Oct 2003 p. 4295; amended in Gazette 29 Jan 2013 p. 308.]</w:t>
      </w:r>
    </w:p>
    <w:p>
      <w:pPr>
        <w:pStyle w:val="Heading5"/>
      </w:pPr>
      <w:bookmarkStart w:id="170" w:name="_Toc359316649"/>
      <w:r>
        <w:rPr>
          <w:rStyle w:val="CharSectno"/>
        </w:rPr>
        <w:t>16K</w:t>
      </w:r>
      <w:r>
        <w:t>.</w:t>
      </w:r>
      <w:r>
        <w:tab/>
        <w:t xml:space="preserve">Finfish in </w:t>
      </w:r>
      <w:smartTag w:uri="urn:schemas-microsoft-com:office:smarttags" w:element="PlaceName">
        <w:r>
          <w:t>Abrolhos</w:t>
        </w:r>
      </w:smartTag>
      <w:r>
        <w:t xml:space="preserve"> </w:t>
      </w:r>
      <w:smartTag w:uri="urn:schemas-microsoft-com:office:smarttags" w:element="PlaceType">
        <w:r>
          <w:t>Islands</w:t>
        </w:r>
      </w:smartTag>
      <w:r>
        <w:t xml:space="preserve"> reserve or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 (Act s. 51(1))</w:t>
      </w:r>
      <w:bookmarkEnd w:id="170"/>
    </w:p>
    <w:p>
      <w:pPr>
        <w:pStyle w:val="Subsection"/>
      </w:pPr>
      <w:r>
        <w:tab/>
      </w:r>
      <w:r>
        <w:tab/>
        <w:t>For the purposes of section 51(1) of the Act, the maximum quantity of finfish that a person may be in possession of —</w:t>
      </w:r>
    </w:p>
    <w:p>
      <w:pPr>
        <w:pStyle w:val="Indenta"/>
      </w:pPr>
      <w:r>
        <w:tab/>
        <w:t>(a)</w:t>
      </w:r>
      <w:r>
        <w:tab/>
        <w:t xml:space="preserve">in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 or</w:t>
      </w:r>
    </w:p>
    <w:p>
      <w:pPr>
        <w:pStyle w:val="Indenta"/>
      </w:pPr>
      <w:r>
        <w:tab/>
        <w:t>(b)</w:t>
      </w:r>
      <w:r>
        <w:tab/>
        <w:t>in the Abrolhos Islands Fish Habitat Protection Area within the meaning given in Schedule 2 Part 2 Division 3 Subdivision 1 clause 2(2),</w:t>
      </w:r>
    </w:p>
    <w:p>
      <w:pPr>
        <w:pStyle w:val="Subsection"/>
        <w:spacing w:before="80"/>
      </w:pPr>
      <w:r>
        <w:tab/>
      </w:r>
      <w:r>
        <w:tab/>
        <w:t>is —</w:t>
      </w:r>
    </w:p>
    <w:p>
      <w:pPr>
        <w:pStyle w:val="Indenta"/>
      </w:pPr>
      <w:r>
        <w:tab/>
        <w:t>(c)</w:t>
      </w:r>
      <w:r>
        <w:tab/>
        <w:t>10 kg of fillets of finfish; or</w:t>
      </w:r>
    </w:p>
    <w:p>
      <w:pPr>
        <w:pStyle w:val="Indenta"/>
      </w:pPr>
      <w:r>
        <w:tab/>
        <w:t>(d)</w:t>
      </w:r>
      <w:r>
        <w:tab/>
        <w:t>one day’s bag limit of whole fish or fish trunks.</w:t>
      </w:r>
    </w:p>
    <w:p>
      <w:pPr>
        <w:pStyle w:val="Footnotesection"/>
        <w:spacing w:before="80"/>
        <w:ind w:left="890" w:hanging="890"/>
      </w:pPr>
      <w:r>
        <w:tab/>
        <w:t>[Regulation 16K inserted in Gazette 19 Dec 2008 p. 5362.]</w:t>
      </w:r>
    </w:p>
    <w:p>
      <w:pPr>
        <w:pStyle w:val="Ednotesection"/>
      </w:pPr>
      <w:r>
        <w:t>[</w:t>
      </w:r>
      <w:r>
        <w:rPr>
          <w:b/>
        </w:rPr>
        <w:t>16L</w:t>
      </w:r>
      <w:r>
        <w:rPr>
          <w:b/>
        </w:rPr>
        <w:noBreakHyphen/>
        <w:t>18.</w:t>
      </w:r>
      <w:r>
        <w:rPr>
          <w:b/>
        </w:rPr>
        <w:tab/>
      </w:r>
      <w:r>
        <w:t>Deleted in Gazette 29 Jan 2013 p. 308.]</w:t>
      </w:r>
    </w:p>
    <w:p>
      <w:pPr>
        <w:pStyle w:val="Ednotesection"/>
      </w:pPr>
      <w:r>
        <w:t>[</w:t>
      </w:r>
      <w:r>
        <w:rPr>
          <w:b/>
        </w:rPr>
        <w:t>19.</w:t>
      </w:r>
      <w:r>
        <w:tab/>
        <w:t>Deleted in Gazette 1 Oct 2003 p. 4297.]</w:t>
      </w:r>
    </w:p>
    <w:p>
      <w:pPr>
        <w:pStyle w:val="Heading4"/>
      </w:pPr>
      <w:bookmarkStart w:id="171" w:name="_Toc347307586"/>
      <w:bookmarkStart w:id="172" w:name="_Toc349822503"/>
      <w:bookmarkStart w:id="173" w:name="_Toc349822923"/>
      <w:bookmarkStart w:id="174" w:name="_Toc349830905"/>
      <w:bookmarkStart w:id="175" w:name="_Toc359248693"/>
      <w:bookmarkStart w:id="176" w:name="_Toc359316650"/>
      <w:r>
        <w:t>Subdivision 5 — Miscellaneous</w:t>
      </w:r>
      <w:bookmarkEnd w:id="171"/>
      <w:bookmarkEnd w:id="172"/>
      <w:bookmarkEnd w:id="173"/>
      <w:bookmarkEnd w:id="174"/>
      <w:bookmarkEnd w:id="175"/>
      <w:bookmarkEnd w:id="176"/>
    </w:p>
    <w:p>
      <w:pPr>
        <w:pStyle w:val="Footnoteheading"/>
      </w:pPr>
      <w:r>
        <w:tab/>
        <w:t>[Heading inserted in Gazette 29 Jan 2013 p. 308.]</w:t>
      </w:r>
    </w:p>
    <w:p>
      <w:pPr>
        <w:pStyle w:val="Heading5"/>
        <w:rPr>
          <w:snapToGrid w:val="0"/>
        </w:rPr>
      </w:pPr>
      <w:bookmarkStart w:id="177" w:name="_Toc359316651"/>
      <w:r>
        <w:rPr>
          <w:rStyle w:val="CharSectno"/>
        </w:rPr>
        <w:t>20</w:t>
      </w:r>
      <w:r>
        <w:rPr>
          <w:snapToGrid w:val="0"/>
        </w:rPr>
        <w:t>.</w:t>
      </w:r>
      <w:r>
        <w:rPr>
          <w:snapToGrid w:val="0"/>
        </w:rPr>
        <w:tab/>
        <w:t>Defence prescribed (Act s. 51(2))</w:t>
      </w:r>
      <w:bookmarkEnd w:id="177"/>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178" w:name="_Toc359316652"/>
      <w:r>
        <w:rPr>
          <w:rStyle w:val="CharSectno"/>
        </w:rPr>
        <w:t>21</w:t>
      </w:r>
      <w:r>
        <w:t>.</w:t>
      </w:r>
      <w:r>
        <w:tab/>
        <w:t>People presumed to be in possession of fish (Act s. 51)</w:t>
      </w:r>
      <w:bookmarkEnd w:id="178"/>
    </w:p>
    <w:p>
      <w:pPr>
        <w:pStyle w:val="Subsection"/>
      </w:pPr>
      <w:r>
        <w:tab/>
        <w:t>(1)</w:t>
      </w:r>
      <w:r>
        <w:tab/>
        <w:t>In any proceedings for an offence against section 51 of the Act, in the absence of proof to the contrary —</w:t>
      </w:r>
    </w:p>
    <w:p>
      <w:pPr>
        <w:pStyle w:val="Indenta"/>
      </w:pPr>
      <w:r>
        <w:tab/>
        <w:t>(a)</w:t>
      </w:r>
      <w:r>
        <w:tab/>
        <w:t>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Ednotesubsection"/>
      </w:pPr>
      <w:r>
        <w:tab/>
        <w:t>[(2), (3)</w:t>
      </w:r>
      <w:r>
        <w:tab/>
        <w:t>deleted]</w:t>
      </w:r>
    </w:p>
    <w:p>
      <w:pPr>
        <w:pStyle w:val="Footnotesection"/>
      </w:pPr>
      <w:r>
        <w:tab/>
        <w:t>[Regulation 21 inserted in Gazette 1 Oct 2003 p. 4298</w:t>
      </w:r>
      <w:r>
        <w:noBreakHyphen/>
        <w:t>9; amended in Gazette 29 Jan 2013 p. 308.]</w:t>
      </w:r>
    </w:p>
    <w:p>
      <w:pPr>
        <w:pStyle w:val="Heading3"/>
        <w:keepLines/>
      </w:pPr>
      <w:bookmarkStart w:id="179" w:name="_Toc339625767"/>
      <w:bookmarkStart w:id="180" w:name="_Toc342397517"/>
      <w:bookmarkStart w:id="181" w:name="_Toc343519774"/>
      <w:bookmarkStart w:id="182" w:name="_Toc343520231"/>
      <w:bookmarkStart w:id="183" w:name="_Toc344711796"/>
      <w:bookmarkStart w:id="184" w:name="_Toc344712312"/>
      <w:bookmarkStart w:id="185" w:name="_Toc347307589"/>
      <w:bookmarkStart w:id="186" w:name="_Toc349822506"/>
      <w:bookmarkStart w:id="187" w:name="_Toc349822926"/>
      <w:bookmarkStart w:id="188" w:name="_Toc349830908"/>
      <w:bookmarkStart w:id="189" w:name="_Toc359248696"/>
      <w:bookmarkStart w:id="190" w:name="_Toc359316653"/>
      <w:r>
        <w:rPr>
          <w:rStyle w:val="CharDivNo"/>
        </w:rPr>
        <w:t>Division 4</w:t>
      </w:r>
      <w:r>
        <w:t> — </w:t>
      </w:r>
      <w:r>
        <w:rPr>
          <w:rStyle w:val="CharDivText"/>
        </w:rPr>
        <w:t>Labelling of fish</w:t>
      </w:r>
      <w:bookmarkEnd w:id="179"/>
      <w:bookmarkEnd w:id="180"/>
      <w:bookmarkEnd w:id="181"/>
      <w:bookmarkEnd w:id="182"/>
      <w:bookmarkEnd w:id="183"/>
      <w:bookmarkEnd w:id="184"/>
      <w:bookmarkEnd w:id="185"/>
      <w:bookmarkEnd w:id="186"/>
      <w:bookmarkEnd w:id="187"/>
      <w:bookmarkEnd w:id="188"/>
      <w:bookmarkEnd w:id="189"/>
      <w:bookmarkEnd w:id="190"/>
    </w:p>
    <w:p>
      <w:pPr>
        <w:pStyle w:val="Footnoteheading"/>
        <w:keepNext/>
        <w:keepLines/>
      </w:pPr>
      <w:r>
        <w:tab/>
        <w:t>[Heading inserted in Gazette 1 Oct 2003 p. 4299.]</w:t>
      </w:r>
    </w:p>
    <w:p>
      <w:pPr>
        <w:pStyle w:val="Heading5"/>
        <w:keepNext w:val="0"/>
        <w:keepLines w:val="0"/>
      </w:pPr>
      <w:bookmarkStart w:id="191" w:name="_Toc359316654"/>
      <w:r>
        <w:rPr>
          <w:rStyle w:val="CharSectno"/>
        </w:rPr>
        <w:t>22</w:t>
      </w:r>
      <w:r>
        <w:t>.</w:t>
      </w:r>
      <w:r>
        <w:tab/>
        <w:t>Labelling requirements for packed or stored fish</w:t>
      </w:r>
      <w:bookmarkEnd w:id="191"/>
    </w:p>
    <w:p>
      <w:pPr>
        <w:pStyle w:val="Subsection"/>
      </w:pPr>
      <w:r>
        <w:tab/>
        <w:t>(1)</w:t>
      </w:r>
      <w:r>
        <w:tab/>
        <w:t>A person who packages or stores fish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in —</w:t>
      </w:r>
    </w:p>
    <w:p>
      <w:pPr>
        <w:pStyle w:val="Indenti"/>
        <w:rPr>
          <w:snapToGrid w:val="0"/>
        </w:rPr>
      </w:pPr>
      <w:r>
        <w:rPr>
          <w:snapToGrid w:val="0"/>
        </w:rPr>
        <w:tab/>
        <w:t>(i)</w:t>
      </w:r>
      <w:r>
        <w:rPr>
          <w:snapToGrid w:val="0"/>
        </w:rPr>
        <w:tab/>
        <w:t>the Exmouth townsite,</w:t>
      </w:r>
      <w:r>
        <w:t xml:space="preserve"> as referred to in regulation 16L(1)</w:t>
      </w:r>
      <w:r>
        <w:rPr>
          <w:snapToGrid w:val="0"/>
        </w:rPr>
        <w:t>; or</w:t>
      </w:r>
    </w:p>
    <w:p>
      <w:pPr>
        <w:pStyle w:val="Indenti"/>
        <w:keepNext/>
        <w:rPr>
          <w:snapToGrid w:val="0"/>
        </w:rPr>
      </w:pPr>
      <w:r>
        <w:rPr>
          <w:snapToGrid w:val="0"/>
        </w:rPr>
        <w:tab/>
        <w:t>(ii)</w:t>
      </w:r>
      <w:r>
        <w:rPr>
          <w:snapToGrid w:val="0"/>
        </w:rPr>
        <w:tab/>
        <w:t>Ningaloo Marine Park Land Zone, as referred to in</w:t>
      </w:r>
      <w:r>
        <w:t xml:space="preserve"> regulation 16L(1)</w:t>
      </w:r>
      <w:r>
        <w:rPr>
          <w:snapToGrid w:val="0"/>
        </w:rPr>
        <w:t>,</w:t>
      </w:r>
    </w:p>
    <w:p>
      <w:pPr>
        <w:pStyle w:val="Subsection"/>
      </w:pPr>
      <w:r>
        <w:tab/>
      </w:r>
      <w:r>
        <w:tab/>
        <w:t>must ensure that a label, as described in subregulation (2), is securely attached to each package containing fish and to each fish that is stored other than in a package.</w:t>
      </w:r>
    </w:p>
    <w:p>
      <w:pPr>
        <w:pStyle w:val="Penstart"/>
      </w:pPr>
      <w:r>
        <w:tab/>
        <w:t>Penalty: $5 000 and the penalty provided in section 222 of the Act.</w:t>
      </w:r>
    </w:p>
    <w:p>
      <w:pPr>
        <w:pStyle w:val="Subsection"/>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Subregulation (1) does not apply to, and in respect of —</w:t>
      </w:r>
    </w:p>
    <w:p>
      <w:pPr>
        <w:pStyle w:val="Indenta"/>
      </w:pPr>
      <w:r>
        <w:tab/>
        <w:t>(a)</w:t>
      </w:r>
      <w:r>
        <w:tab/>
        <w:t>fish taken for a commercial purpose by a person in accordance with an authorisation; or</w:t>
      </w:r>
    </w:p>
    <w:p>
      <w:pPr>
        <w:pStyle w:val="Indenta"/>
      </w:pPr>
      <w:r>
        <w:tab/>
        <w:t>(b)</w:t>
      </w:r>
      <w:r>
        <w:tab/>
        <w:t>fish kept, bred, hatched or cultured by the person in accordance with an aquaculture licence; or</w:t>
      </w:r>
    </w:p>
    <w:p>
      <w:pPr>
        <w:pStyle w:val="Indenta"/>
      </w:pPr>
      <w:r>
        <w:tab/>
        <w:t>(c)</w:t>
      </w:r>
      <w:r>
        <w:tab/>
        <w:t xml:space="preserve">fish of the </w:t>
      </w:r>
      <w:r>
        <w:rPr>
          <w:u w:val="single"/>
        </w:rPr>
        <w:t>Family</w:t>
      </w:r>
      <w:r>
        <w:t> Atherinidae, Clupeidae, Engraulidae, Hemirhamphidae or Mugilidae; or</w:t>
      </w:r>
    </w:p>
    <w:p>
      <w:pPr>
        <w:pStyle w:val="Indenta"/>
      </w:pPr>
      <w:r>
        <w:tab/>
        <w:t>(d)</w:t>
      </w:r>
      <w:r>
        <w:tab/>
        <w:t>fish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r>
      <w:r>
        <w:tab/>
        <w:t>or</w:t>
      </w:r>
    </w:p>
    <w:p>
      <w:pPr>
        <w:pStyle w:val="Indenta"/>
      </w:pPr>
      <w:r>
        <w:tab/>
        <w:t>(e)</w:t>
      </w:r>
      <w:r>
        <w:tab/>
        <w:t>fish taken by a person on, or who has just completed, a day trip; or</w:t>
      </w:r>
    </w:p>
    <w:p>
      <w:pPr>
        <w:pStyle w:val="Indenta"/>
      </w:pPr>
      <w:r>
        <w:tab/>
        <w:t>(f)</w:t>
      </w:r>
      <w:r>
        <w:tab/>
        <w:t>fish taken by a person and packaged or stored with fish not taken by the person, if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For the purposes of subregulation (1), a person using or having control of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spacing w:before="120"/>
      </w:pPr>
      <w:r>
        <w:tab/>
      </w:r>
      <w:r>
        <w:tab/>
        <w:t>is, in the absence of proof to the contrary, to be taken to have packaged or stored the fish.</w:t>
      </w:r>
    </w:p>
    <w:p>
      <w:pPr>
        <w:pStyle w:val="Subsection"/>
      </w:pPr>
      <w:r>
        <w:tab/>
        <w:t>(5)</w:t>
      </w:r>
      <w:r>
        <w:tab/>
        <w:t>In this regulation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keepLines w:val="0"/>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w:t>
      </w:r>
    </w:p>
    <w:p>
      <w:pPr>
        <w:pStyle w:val="Ednotedivision"/>
      </w:pPr>
      <w:r>
        <w:t>[Division 3: Former heading and r. 23</w:t>
      </w:r>
      <w:r>
        <w:noBreakHyphen/>
        <w:t>29 deleted in Gazette 1 Oct 2003 p. 4299.]</w:t>
      </w:r>
    </w:p>
    <w:p>
      <w:pPr>
        <w:pStyle w:val="Ednotedivision"/>
      </w:pPr>
      <w:r>
        <w:t>[Division 3A: Heading and r. 29A</w:t>
      </w:r>
      <w:r>
        <w:noBreakHyphen/>
        <w:t>29C deleted in Gazette 1 Oct 2003 p. 4299.]</w:t>
      </w:r>
    </w:p>
    <w:p>
      <w:pPr>
        <w:pStyle w:val="Ednotedivision"/>
      </w:pPr>
      <w:r>
        <w:t>[Division 4: Former heading and r. 30 deleted in Gazette 1 Oct 2003 p. 4299.]</w:t>
      </w:r>
    </w:p>
    <w:p>
      <w:pPr>
        <w:pStyle w:val="Ednotedivision"/>
      </w:pPr>
      <w:r>
        <w:t>[Division 4A: Heading and r. 30A, 30B deleted in Gazette 1 Oct 2003 p. 4299.]</w:t>
      </w:r>
    </w:p>
    <w:p>
      <w:pPr>
        <w:pStyle w:val="Ednotedivision"/>
      </w:pPr>
      <w:r>
        <w:t>[Division 4B: Heading and r. 30BA, 30C, 30E</w:t>
      </w:r>
      <w:r>
        <w:noBreakHyphen/>
        <w:t>30EC deleted in Gazette 1 Oct 2003 p. 4299; r. 30D deleted in Gazette 28 Feb 2003 p. 661.]</w:t>
      </w:r>
    </w:p>
    <w:p>
      <w:pPr>
        <w:pStyle w:val="Ednotedivision"/>
      </w:pPr>
      <w:r>
        <w:t>[Division 4C</w:t>
      </w:r>
      <w:r>
        <w:noBreakHyphen/>
        <w:t>4F: Headings and r. 30F</w:t>
      </w:r>
      <w:r>
        <w:noBreakHyphen/>
        <w:t>30M deleted in Gazette 1 Oct 2003 p. 4299.]</w:t>
      </w:r>
    </w:p>
    <w:p>
      <w:pPr>
        <w:pStyle w:val="Heading3"/>
      </w:pPr>
      <w:bookmarkStart w:id="192" w:name="_Toc339625769"/>
      <w:bookmarkStart w:id="193" w:name="_Toc342397519"/>
      <w:bookmarkStart w:id="194" w:name="_Toc343519776"/>
      <w:bookmarkStart w:id="195" w:name="_Toc343520233"/>
      <w:bookmarkStart w:id="196" w:name="_Toc344711798"/>
      <w:bookmarkStart w:id="197" w:name="_Toc344712314"/>
      <w:bookmarkStart w:id="198" w:name="_Toc347307591"/>
      <w:bookmarkStart w:id="199" w:name="_Toc349822508"/>
      <w:bookmarkStart w:id="200" w:name="_Toc349822928"/>
      <w:bookmarkStart w:id="201" w:name="_Toc349830910"/>
      <w:bookmarkStart w:id="202" w:name="_Toc359248698"/>
      <w:bookmarkStart w:id="203" w:name="_Toc359316655"/>
      <w:r>
        <w:rPr>
          <w:rStyle w:val="CharDivNo"/>
        </w:rPr>
        <w:t>Division 5</w:t>
      </w:r>
      <w:r>
        <w:rPr>
          <w:snapToGrid w:val="0"/>
        </w:rPr>
        <w:t> — </w:t>
      </w:r>
      <w:r>
        <w:rPr>
          <w:rStyle w:val="CharDivText"/>
        </w:rPr>
        <w:t>Requirements regarding rock lobsters</w:t>
      </w:r>
      <w:bookmarkEnd w:id="192"/>
      <w:bookmarkEnd w:id="193"/>
      <w:bookmarkEnd w:id="194"/>
      <w:bookmarkEnd w:id="195"/>
      <w:bookmarkEnd w:id="196"/>
      <w:bookmarkEnd w:id="197"/>
      <w:bookmarkEnd w:id="198"/>
      <w:bookmarkEnd w:id="199"/>
      <w:bookmarkEnd w:id="200"/>
      <w:bookmarkEnd w:id="201"/>
      <w:bookmarkEnd w:id="202"/>
      <w:bookmarkEnd w:id="203"/>
    </w:p>
    <w:p>
      <w:pPr>
        <w:pStyle w:val="Heading5"/>
        <w:rPr>
          <w:snapToGrid w:val="0"/>
        </w:rPr>
      </w:pPr>
      <w:bookmarkStart w:id="204" w:name="_Toc359316656"/>
      <w:r>
        <w:rPr>
          <w:rStyle w:val="CharSectno"/>
        </w:rPr>
        <w:t>31</w:t>
      </w:r>
      <w:r>
        <w:rPr>
          <w:snapToGrid w:val="0"/>
        </w:rPr>
        <w:t>.</w:t>
      </w:r>
      <w:r>
        <w:rPr>
          <w:snapToGrid w:val="0"/>
        </w:rPr>
        <w:tab/>
        <w:t>Rock lobster, permitted ways to fish for; tail marking</w:t>
      </w:r>
      <w:bookmarkEnd w:id="204"/>
    </w:p>
    <w:p>
      <w:pPr>
        <w:pStyle w:val="Subsection"/>
        <w:keepNext/>
        <w:keepLines/>
        <w:rPr>
          <w:snapToGrid w:val="0"/>
        </w:rPr>
      </w:pPr>
      <w:r>
        <w:rPr>
          <w:snapToGrid w:val="0"/>
        </w:rPr>
        <w:tab/>
        <w:t>(1)</w:t>
      </w:r>
      <w:r>
        <w:rPr>
          <w:snapToGrid w:val="0"/>
        </w:rPr>
        <w:tab/>
        <w:t>A person, other than the holder of a commercial fishing licence, must not fish for rock lobster other than —</w:t>
      </w:r>
    </w:p>
    <w:p>
      <w:pPr>
        <w:pStyle w:val="Indenta"/>
        <w:rPr>
          <w:snapToGrid w:val="0"/>
        </w:rPr>
      </w:pPr>
      <w:r>
        <w:rPr>
          <w:snapToGrid w:val="0"/>
        </w:rPr>
        <w:tab/>
        <w:t>(a)</w:t>
      </w:r>
      <w:r>
        <w:rPr>
          <w:snapToGrid w:val="0"/>
        </w:rPr>
        <w:tab/>
        <w:t>by hand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and without piercing or damaging the rock lobster; or</w:t>
      </w:r>
    </w:p>
    <w:p>
      <w:pPr>
        <w:pStyle w:val="Indenta"/>
        <w:keepNext/>
        <w:rPr>
          <w:snapToGrid w:val="0"/>
        </w:rPr>
      </w:pPr>
      <w:r>
        <w:rPr>
          <w:snapToGrid w:val="0"/>
        </w:rPr>
        <w:tab/>
        <w:t>(b)</w:t>
      </w:r>
      <w:r>
        <w:rPr>
          <w:snapToGrid w:val="0"/>
        </w:rPr>
        <w:tab/>
        <w:t>by means of using or submerging at any one time not more than 2 rock lobster pots which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w:t>
      </w:r>
    </w:p>
    <w:p>
      <w:pPr>
        <w:pStyle w:val="Indenta"/>
        <w:rPr>
          <w:snapToGrid w:val="0"/>
        </w:rPr>
      </w:pPr>
      <w:r>
        <w:rPr>
          <w:snapToGrid w:val="0"/>
        </w:rPr>
        <w:tab/>
        <w:t>(a)</w:t>
      </w:r>
      <w:r>
        <w:rPr>
          <w:snapToGrid w:val="0"/>
        </w:rPr>
        <w:tab/>
        <w:t>where a boat is used in connection with the taking of the rock lobster, within 5 minutes of bringing the rock lobster to the boat; or</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of the tail fan (telson) of a rock lobster by any means.</w:t>
      </w:r>
    </w:p>
    <w:p>
      <w:pPr>
        <w:pStyle w:val="Penstart"/>
        <w:rPr>
          <w:snapToGrid w:val="0"/>
        </w:rPr>
      </w:pPr>
      <w:r>
        <w:rPr>
          <w:snapToGrid w:val="0"/>
        </w:rPr>
        <w:tab/>
        <w:t>Penalty: $5 000 and the penalty provided in section 222 of the Act.</w:t>
      </w:r>
    </w:p>
    <w:p>
      <w:pPr>
        <w:pStyle w:val="Footnotesection"/>
      </w:pPr>
      <w:r>
        <w:tab/>
        <w:t>[Regulation 31 amended in Gazette 4 Nov 2005 p. 5310.]</w:t>
      </w:r>
    </w:p>
    <w:p>
      <w:pPr>
        <w:pStyle w:val="Heading5"/>
      </w:pPr>
      <w:bookmarkStart w:id="205" w:name="_Toc359316657"/>
      <w:r>
        <w:rPr>
          <w:rStyle w:val="CharSectno"/>
        </w:rPr>
        <w:t>31A</w:t>
      </w:r>
      <w:r>
        <w:t>.</w:t>
      </w:r>
      <w:r>
        <w:tab/>
        <w:t>Bait for rock lobster, limits on type of</w:t>
      </w:r>
      <w:bookmarkEnd w:id="205"/>
    </w:p>
    <w:p>
      <w:pPr>
        <w:pStyle w:val="Subsection"/>
      </w:pPr>
      <w:r>
        <w:tab/>
        <w:t>(1)</w:t>
      </w:r>
      <w:r>
        <w:tab/>
        <w:t>A person must not fish for rock lobster using as bait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The master of a boat used or intended to be used to fish for rock lobster must not cause or permit to be carried on the boat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206" w:name="_Toc359316658"/>
      <w:r>
        <w:rPr>
          <w:rStyle w:val="CharSectno"/>
        </w:rPr>
        <w:t>32</w:t>
      </w:r>
      <w:r>
        <w:rPr>
          <w:snapToGrid w:val="0"/>
        </w:rPr>
        <w:t>.</w:t>
      </w:r>
      <w:r>
        <w:rPr>
          <w:snapToGrid w:val="0"/>
        </w:rPr>
        <w:tab/>
        <w:t>Rock lobster pot floats, requirements for</w:t>
      </w:r>
      <w:bookmarkEnd w:id="206"/>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rPr>
          <w:snapToGrid w:val="0"/>
        </w:rPr>
      </w:pPr>
      <w:r>
        <w:rPr>
          <w:snapToGrid w:val="0"/>
        </w:rPr>
        <w:tab/>
        <w:t>(b)</w:t>
      </w:r>
      <w:r>
        <w:rPr>
          <w:snapToGrid w:val="0"/>
        </w:rPr>
        <w:tab/>
        <w:t>is marked by branding or stamping with legible characters not less than 60 mm high and not less than 10 mm wide showing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in the case of a pot used by a person who is not the holder of a commercial fishing licence, the gear identification number of that person setting or pulling the pot;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spacing w:before="120"/>
        <w:rPr>
          <w:snapToGrid w:val="0"/>
        </w:rPr>
      </w:pPr>
      <w:r>
        <w:rPr>
          <w:snapToGrid w:val="0"/>
        </w:rPr>
        <w:tab/>
        <w:t>Penalty: $5 000.</w:t>
      </w:r>
    </w:p>
    <w:p>
      <w:pPr>
        <w:pStyle w:val="Subsection"/>
        <w:spacing w:before="180"/>
        <w:rPr>
          <w:snapToGrid w:val="0"/>
        </w:rPr>
      </w:pPr>
      <w:r>
        <w:rPr>
          <w:snapToGrid w:val="0"/>
        </w:rPr>
        <w:tab/>
        <w:t>(2)</w:t>
      </w:r>
      <w:r>
        <w:rPr>
          <w:snapToGrid w:val="0"/>
        </w:rPr>
        <w:tab/>
        <w:t>A fisheries officer may seize a rock lobster pot and all floats and ropes if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Ednotesection"/>
        <w:spacing w:before="240"/>
        <w:ind w:left="890" w:hanging="890"/>
      </w:pPr>
      <w:r>
        <w:t>[</w:t>
      </w:r>
      <w:r>
        <w:rPr>
          <w:b/>
        </w:rPr>
        <w:t>33, 34.</w:t>
      </w:r>
      <w:r>
        <w:tab/>
        <w:t>Deleted in Gazette 27 Aug 2010 p. 4106.]</w:t>
      </w:r>
    </w:p>
    <w:p>
      <w:pPr>
        <w:pStyle w:val="Heading5"/>
        <w:spacing w:before="240"/>
        <w:rPr>
          <w:snapToGrid w:val="0"/>
        </w:rPr>
      </w:pPr>
      <w:bookmarkStart w:id="207" w:name="_Toc359316659"/>
      <w:r>
        <w:rPr>
          <w:rStyle w:val="CharSectno"/>
        </w:rPr>
        <w:t>35</w:t>
      </w:r>
      <w:r>
        <w:rPr>
          <w:snapToGrid w:val="0"/>
        </w:rPr>
        <w:t>.</w:t>
      </w:r>
      <w:r>
        <w:rPr>
          <w:snapToGrid w:val="0"/>
        </w:rPr>
        <w:tab/>
        <w:t>Rock lobster flesh, possession of</w:t>
      </w:r>
      <w:bookmarkEnd w:id="207"/>
    </w:p>
    <w:p>
      <w:pPr>
        <w:pStyle w:val="Subsection"/>
        <w:spacing w:before="180"/>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w:t>
      </w:r>
    </w:p>
    <w:p>
      <w:pPr>
        <w:pStyle w:val="Indenti"/>
      </w:pPr>
      <w:r>
        <w:tab/>
        <w:t>(i)</w:t>
      </w:r>
      <w:r>
        <w:tab/>
        <w:t>being consumed; or</w:t>
      </w:r>
    </w:p>
    <w:p>
      <w:pPr>
        <w:pStyle w:val="Indenti"/>
        <w:keepNext/>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keepLines w:val="0"/>
        <w:ind w:left="890" w:hanging="890"/>
      </w:pPr>
      <w:r>
        <w:tab/>
        <w:t>[Regulation 35 amended in Gazette 4 Nov 2005 p. 5310.]</w:t>
      </w:r>
    </w:p>
    <w:p>
      <w:pPr>
        <w:pStyle w:val="Heading5"/>
        <w:keepLines w:val="0"/>
        <w:spacing w:before="180"/>
        <w:rPr>
          <w:snapToGrid w:val="0"/>
        </w:rPr>
      </w:pPr>
      <w:bookmarkStart w:id="208" w:name="_Toc359316660"/>
      <w:r>
        <w:rPr>
          <w:rStyle w:val="CharSectno"/>
        </w:rPr>
        <w:t>36</w:t>
      </w:r>
      <w:r>
        <w:rPr>
          <w:snapToGrid w:val="0"/>
        </w:rPr>
        <w:t>.</w:t>
      </w:r>
      <w:r>
        <w:rPr>
          <w:snapToGrid w:val="0"/>
        </w:rPr>
        <w:tab/>
        <w:t>Boats (not fishing boats) used to fish for rock lobsters, rules for</w:t>
      </w:r>
      <w:bookmarkEnd w:id="208"/>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 xml:space="preserve">more than </w:t>
      </w:r>
      <w:r>
        <w:t>6</w:t>
      </w:r>
      <w:r>
        <w:rPr>
          <w:snapToGrid w:val="0"/>
        </w:rPr>
        <w:t xml:space="preserve">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pPr>
      <w:r>
        <w:tab/>
        <w:t>(c)</w:t>
      </w:r>
      <w:r>
        <w:tab/>
        <w:t>more than 6 rock lobster pots to be pulled by persons on board the boat —</w:t>
      </w:r>
    </w:p>
    <w:p>
      <w:pPr>
        <w:pStyle w:val="Indenti"/>
      </w:pPr>
      <w:r>
        <w:tab/>
        <w:t>(i)</w:t>
      </w:r>
      <w:r>
        <w:tab/>
        <w:t>if the boat makes more than one voyage in a day, during any one voyage; or</w:t>
      </w:r>
    </w:p>
    <w:p>
      <w:pPr>
        <w:pStyle w:val="Indenti"/>
      </w:pPr>
      <w:r>
        <w:tab/>
        <w:t>(ii)</w:t>
      </w:r>
      <w:r>
        <w:tab/>
        <w:t>if the boat —</w:t>
      </w:r>
    </w:p>
    <w:p>
      <w:pPr>
        <w:pStyle w:val="IndentI0"/>
      </w:pPr>
      <w:r>
        <w:tab/>
        <w:t>(I)</w:t>
      </w:r>
      <w:r>
        <w:tab/>
        <w:t>makes only one voyage in a day; or</w:t>
      </w:r>
    </w:p>
    <w:p>
      <w:pPr>
        <w:pStyle w:val="IndentI0"/>
        <w:keepNext/>
        <w:keepLines/>
      </w:pPr>
      <w:r>
        <w:tab/>
        <w:t>(II)</w:t>
      </w:r>
      <w:r>
        <w:tab/>
        <w:t>is on a voyage lasting more than one day,</w:t>
      </w:r>
    </w:p>
    <w:p>
      <w:pPr>
        <w:pStyle w:val="Indenti"/>
        <w:keepNext/>
        <w:keepLines/>
      </w:pPr>
      <w:r>
        <w:tab/>
      </w:r>
      <w:r>
        <w:tab/>
        <w:t>during any one day.</w:t>
      </w:r>
    </w:p>
    <w:p>
      <w:pPr>
        <w:pStyle w:val="Subsection"/>
      </w:pPr>
      <w:r>
        <w:tab/>
        <w:t>(2A)</w:t>
      </w:r>
      <w:r>
        <w:tab/>
        <w:t>Subregulation (1)(a) does not apply in respect of a licensed carrier boat carrying unbaited rock lobster pots under the terms of its licence.</w:t>
      </w:r>
    </w:p>
    <w:p>
      <w:pPr>
        <w:pStyle w:val="Subsection"/>
        <w:keepNext/>
        <w:rPr>
          <w:snapToGrid w:val="0"/>
        </w:rPr>
      </w:pPr>
      <w:r>
        <w:rPr>
          <w:snapToGrid w:val="0"/>
        </w:rPr>
        <w:tab/>
        <w:t>(2)</w:t>
      </w:r>
      <w:r>
        <w:rPr>
          <w:snapToGrid w:val="0"/>
        </w:rPr>
        <w:tab/>
        <w:t>The master of a fishing boat must not cause or permit any person on board the boat to pull a rock lobster pot unless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ind w:left="890" w:hanging="890"/>
      </w:pPr>
      <w:r>
        <w:tab/>
        <w:t>[Regulation 36 amended in Gazette 10 Nov 2006 p. 4707; 6 Jul 2007 p. 3387; 5 Nov 2009 p. 4412; 25 Sep 2012 p. 4520.]</w:t>
      </w:r>
    </w:p>
    <w:p>
      <w:pPr>
        <w:pStyle w:val="Heading5"/>
        <w:rPr>
          <w:snapToGrid w:val="0"/>
        </w:rPr>
      </w:pPr>
      <w:bookmarkStart w:id="209" w:name="_Toc359316661"/>
      <w:r>
        <w:rPr>
          <w:rStyle w:val="CharSectno"/>
        </w:rPr>
        <w:t>37</w:t>
      </w:r>
      <w:r>
        <w:rPr>
          <w:snapToGrid w:val="0"/>
        </w:rPr>
        <w:t>.</w:t>
      </w:r>
      <w:r>
        <w:rPr>
          <w:snapToGrid w:val="0"/>
        </w:rPr>
        <w:tab/>
        <w:t>Offences against r. 36, defences for</w:t>
      </w:r>
      <w:bookmarkEnd w:id="209"/>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 xml:space="preserve">in the case of an alleged offence against regulation 36(1)(c), </w:t>
      </w:r>
      <w:r>
        <w:t>6</w:t>
      </w:r>
      <w:r>
        <w:rPr>
          <w:snapToGrid w:val="0"/>
        </w:rPr>
        <w:t xml:space="preserve"> rock lobster pots had already been pulled by persons on board the boat in the relevant period.</w:t>
      </w:r>
    </w:p>
    <w:p>
      <w:pPr>
        <w:pStyle w:val="Footnotesection"/>
        <w:ind w:left="890" w:hanging="890"/>
      </w:pPr>
      <w:r>
        <w:tab/>
        <w:t>[Regulation 37 amended in Gazette 25 Sep 2012 p. 4520.]</w:t>
      </w:r>
    </w:p>
    <w:p>
      <w:pPr>
        <w:pStyle w:val="Heading5"/>
        <w:rPr>
          <w:snapToGrid w:val="0"/>
        </w:rPr>
      </w:pPr>
      <w:bookmarkStart w:id="210" w:name="_Toc359316662"/>
      <w:r>
        <w:rPr>
          <w:rStyle w:val="CharSectno"/>
        </w:rPr>
        <w:t>38</w:t>
      </w:r>
      <w:r>
        <w:rPr>
          <w:snapToGrid w:val="0"/>
        </w:rPr>
        <w:t>.</w:t>
      </w:r>
      <w:r>
        <w:rPr>
          <w:snapToGrid w:val="0"/>
        </w:rPr>
        <w:tab/>
        <w:t>Rock lobster pots, requirements for</w:t>
      </w:r>
      <w:bookmarkEnd w:id="210"/>
    </w:p>
    <w:p>
      <w:pPr>
        <w:pStyle w:val="Subsection"/>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longitude;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then generally southerly along the high water mark to the commencement point;</w:t>
      </w:r>
    </w:p>
    <w:p>
      <w:pPr>
        <w:pStyle w:val="Defstart"/>
        <w:spacing w:before="160"/>
      </w:pPr>
      <w:r>
        <w:tab/>
      </w:r>
      <w:r>
        <w:rPr>
          <w:rStyle w:val="CharDefText"/>
        </w:rPr>
        <w:t xml:space="preserve">Easter Group Zone </w:t>
      </w:r>
      <w:r>
        <w:t xml:space="preserve">means the waters of the Easter Group bounded by a line commencing at the point 28° 38.128′ south latitude and 113° 38.951′ east longitude and extending — </w:t>
      </w:r>
      <w:r>
        <w:br/>
        <w:t>generally easterly along the geodesic to the point 28° 36.66′ south latitude and 113° 54.402′ east longitude;</w:t>
      </w:r>
      <w:r>
        <w:br/>
        <w:t>then generally southerly along the geodesic to the point 28° 44.415′ south latitude and 113° 53.496′ east longitude;</w:t>
      </w:r>
      <w:r>
        <w:br/>
        <w:t>then south</w:t>
      </w:r>
      <w:r>
        <w:noBreakHyphen/>
        <w:t>westerly along the geodesic to the point 28° 48.924′ south latitude and 113° 45.5′ east longitude;</w:t>
      </w:r>
      <w:r>
        <w:br/>
        <w:t>then generally westerly along the geodesic to the point 28° 48.71′ south latitude and 113° 43.602′ east longitude;</w:t>
      </w:r>
      <w:r>
        <w:br/>
        <w:t>then generally north</w:t>
      </w:r>
      <w:r>
        <w:noBreakHyphen/>
        <w:t>westerly along the geodesic to the commencement point;</w:t>
      </w:r>
    </w:p>
    <w:p>
      <w:pPr>
        <w:pStyle w:val="Defstart"/>
        <w:spacing w:before="160"/>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keepLines/>
        <w:spacing w:before="160"/>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t>′</w:t>
      </w:r>
      <w:r>
        <w:rPr>
          <w:szCs w:val="24"/>
        </w:rPr>
        <w:t xml:space="preserve"> south latitude and 113° 47.171</w:t>
      </w:r>
      <w:r>
        <w:t>′</w:t>
      </w:r>
      <w:r>
        <w:rPr>
          <w:szCs w:val="24"/>
        </w:rPr>
        <w:t xml:space="preserve"> east longitude and extending — </w:t>
      </w:r>
      <w:r>
        <w:rPr>
          <w:szCs w:val="24"/>
        </w:rPr>
        <w:br/>
        <w:t>north</w:t>
      </w:r>
      <w:r>
        <w:rPr>
          <w:szCs w:val="24"/>
        </w:rPr>
        <w:noBreakHyphen/>
        <w:t>westerly along the geodesic to the point 28° 50.308</w:t>
      </w:r>
      <w:r>
        <w:t>′</w:t>
      </w:r>
      <w:r>
        <w:rPr>
          <w:szCs w:val="24"/>
        </w:rPr>
        <w:t xml:space="preserve"> south latitude and 113° 49.270</w:t>
      </w:r>
      <w:r>
        <w:t>′</w:t>
      </w:r>
      <w:r>
        <w:rPr>
          <w:szCs w:val="24"/>
        </w:rPr>
        <w:t xml:space="preserve"> east longitude;</w:t>
      </w:r>
      <w:r>
        <w:rPr>
          <w:szCs w:val="24"/>
        </w:rPr>
        <w:br/>
        <w:t>then westerly along the geodesic to the point 28° 50.158</w:t>
      </w:r>
      <w:r>
        <w:t>′</w:t>
      </w:r>
      <w:r>
        <w:rPr>
          <w:szCs w:val="24"/>
        </w:rPr>
        <w:t xml:space="preserve"> south latitude and 114° 2.323</w:t>
      </w:r>
      <w:r>
        <w:t>′</w:t>
      </w:r>
      <w:r>
        <w:rPr>
          <w:szCs w:val="24"/>
        </w:rPr>
        <w:t xml:space="preserve"> east longitude;</w:t>
      </w:r>
      <w:r>
        <w:rPr>
          <w:szCs w:val="24"/>
        </w:rPr>
        <w:br/>
        <w:t>then south along the geodesic to the point 28° 53.456</w:t>
      </w:r>
      <w:r>
        <w:t>′</w:t>
      </w:r>
      <w:r>
        <w:rPr>
          <w:szCs w:val="24"/>
        </w:rPr>
        <w:t xml:space="preserve"> south latitude and 114° 2.133</w:t>
      </w:r>
      <w:r>
        <w:t>′</w:t>
      </w:r>
      <w:r>
        <w:rPr>
          <w:szCs w:val="24"/>
        </w:rPr>
        <w:t xml:space="preserve"> east longitude;</w:t>
      </w:r>
      <w:r>
        <w:rPr>
          <w:szCs w:val="24"/>
        </w:rPr>
        <w:br/>
        <w:t>then south</w:t>
      </w:r>
      <w:r>
        <w:rPr>
          <w:szCs w:val="24"/>
        </w:rPr>
        <w:noBreakHyphen/>
        <w:t>westerly along the geodesic to the point 28° 59.577</w:t>
      </w:r>
      <w:r>
        <w:t>′</w:t>
      </w:r>
      <w:r>
        <w:rPr>
          <w:szCs w:val="24"/>
        </w:rPr>
        <w:t xml:space="preserve"> south latitude and 113° 58.218</w:t>
      </w:r>
      <w:r>
        <w:t>′</w:t>
      </w:r>
      <w:r>
        <w:rPr>
          <w:szCs w:val="24"/>
        </w:rPr>
        <w:t xml:space="preserve"> east longitude;</w:t>
      </w:r>
      <w:r>
        <w:rPr>
          <w:szCs w:val="24"/>
        </w:rPr>
        <w:br/>
        <w:t>then westerly along the geodesic to the point 28° 59.506</w:t>
      </w:r>
      <w:r>
        <w:t>′</w:t>
      </w:r>
      <w:r>
        <w:rPr>
          <w:szCs w:val="24"/>
        </w:rPr>
        <w:t xml:space="preserve"> south latitude and 113° 55.205</w:t>
      </w:r>
      <w:r>
        <w:t>′</w:t>
      </w:r>
      <w:r>
        <w:rPr>
          <w:szCs w:val="24"/>
        </w:rPr>
        <w:t xml:space="preserve"> east longitude;</w:t>
      </w:r>
      <w:r>
        <w:rPr>
          <w:szCs w:val="24"/>
        </w:rPr>
        <w:br/>
        <w:t>then north</w:t>
      </w:r>
      <w:r>
        <w:rPr>
          <w:szCs w:val="24"/>
        </w:rPr>
        <w:noBreakHyphen/>
        <w:t>westerly along the geodesic to the point 28° 56.93</w:t>
      </w:r>
      <w:r>
        <w:t>′</w:t>
      </w:r>
      <w:r>
        <w:rPr>
          <w:szCs w:val="24"/>
        </w:rPr>
        <w:t xml:space="preserve"> south latitude and 113° 51.251</w:t>
      </w:r>
      <w:r>
        <w:t>′</w:t>
      </w:r>
      <w:r>
        <w:rPr>
          <w:szCs w:val="24"/>
        </w:rPr>
        <w:t xml:space="preserve"> east longitude;</w:t>
      </w:r>
      <w:r>
        <w:rPr>
          <w:szCs w:val="24"/>
        </w:rPr>
        <w:br/>
        <w:t>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rPr>
          <w:snapToGrid w:val="0"/>
        </w:rPr>
      </w:pPr>
      <w:r>
        <w:rPr>
          <w:snapToGrid w:val="0"/>
        </w:rPr>
        <w:tab/>
        <w:t>(2)</w:t>
      </w:r>
      <w:r>
        <w:rPr>
          <w:snapToGrid w:val="0"/>
        </w:rPr>
        <w:tab/>
        <w:t>A person must not use a rock lobster pot to fish for rock lobster —</w:t>
      </w:r>
    </w:p>
    <w:p>
      <w:pPr>
        <w:pStyle w:val="Indenta"/>
        <w:rPr>
          <w:snapToGrid w:val="0"/>
        </w:rPr>
      </w:pPr>
      <w:r>
        <w:rPr>
          <w:snapToGrid w:val="0"/>
        </w:rPr>
        <w:tab/>
        <w:t>(a)</w:t>
      </w:r>
      <w:r>
        <w:rPr>
          <w:snapToGrid w:val="0"/>
        </w:rPr>
        <w:tab/>
        <w:t>in the waters north of 21° 44′ south latitude, unless the pot conforms to the specifications set out in Part 1 of Schedule 13; and</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Lines/>
      </w:pPr>
      <w:r>
        <w:tab/>
        <w:t>(b)</w:t>
      </w:r>
      <w:r>
        <w:tab/>
        <w:t>complies with subregulation (4).</w:t>
      </w:r>
    </w:p>
    <w:p>
      <w:pPr>
        <w:pStyle w:val="Penstart"/>
        <w:keepLines/>
      </w:pPr>
      <w:r>
        <w:tab/>
        <w:t>Penalty: $5 000.</w:t>
      </w:r>
    </w:p>
    <w:p>
      <w:pPr>
        <w:pStyle w:val="Subsection"/>
      </w:pPr>
      <w:r>
        <w:tab/>
        <w:t>(4)</w:t>
      </w:r>
      <w:r>
        <w:tab/>
        <w:t>A sea lion exclusion device complies with this subregulation if —</w:t>
      </w:r>
    </w:p>
    <w:p>
      <w:pPr>
        <w:pStyle w:val="Indenta"/>
      </w:pPr>
      <w:r>
        <w:tab/>
        <w:t>(a)</w:t>
      </w:r>
      <w:r>
        <w:tab/>
        <w:t>it is made of non</w:t>
      </w:r>
      <w:r>
        <w:noBreakHyphen/>
        <w:t>flexible material; and</w:t>
      </w:r>
    </w:p>
    <w:p>
      <w:pPr>
        <w:pStyle w:val="Indenta"/>
      </w:pPr>
      <w:r>
        <w:tab/>
        <w:t>(b)</w:t>
      </w:r>
      <w:r>
        <w:tab/>
        <w:t>it is —</w:t>
      </w:r>
    </w:p>
    <w:p>
      <w:pPr>
        <w:pStyle w:val="Indenti"/>
      </w:pPr>
      <w:r>
        <w:tab/>
        <w:t>(i)</w:t>
      </w:r>
      <w:r>
        <w:tab/>
        <w:t>constructed; and</w:t>
      </w:r>
    </w:p>
    <w:p>
      <w:pPr>
        <w:pStyle w:val="Indenti"/>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pPr>
      <w:r>
        <w:tab/>
        <w:t>(ii)</w:t>
      </w:r>
      <w:r>
        <w:tab/>
        <w:t>the longest cross</w:t>
      </w:r>
      <w:r>
        <w:noBreakHyphen/>
        <w:t>sectional measurement is not more than 30 mm.</w:t>
      </w:r>
    </w:p>
    <w:p>
      <w:pPr>
        <w:pStyle w:val="Footnotesection"/>
      </w:pPr>
      <w:r>
        <w:tab/>
        <w:t>[Regulation 38 amended in Gazette 31 Oct 2003 p. 4562; 10 Nov 2006 p. 4707</w:t>
      </w:r>
      <w:r>
        <w:noBreakHyphen/>
        <w:t>8; 4 Sep 2007 p. 4519; 1 Mar 2011 p. 673</w:t>
      </w:r>
      <w:r>
        <w:noBreakHyphen/>
        <w:t>5.]</w:t>
      </w:r>
    </w:p>
    <w:p>
      <w:pPr>
        <w:pStyle w:val="Heading3"/>
        <w:keepLines/>
      </w:pPr>
      <w:bookmarkStart w:id="211" w:name="_Toc339625777"/>
      <w:bookmarkStart w:id="212" w:name="_Toc342397527"/>
      <w:bookmarkStart w:id="213" w:name="_Toc343519784"/>
      <w:bookmarkStart w:id="214" w:name="_Toc343520241"/>
      <w:bookmarkStart w:id="215" w:name="_Toc344711806"/>
      <w:bookmarkStart w:id="216" w:name="_Toc344712322"/>
      <w:bookmarkStart w:id="217" w:name="_Toc347307599"/>
      <w:bookmarkStart w:id="218" w:name="_Toc349822516"/>
      <w:bookmarkStart w:id="219" w:name="_Toc349822936"/>
      <w:bookmarkStart w:id="220" w:name="_Toc349830918"/>
      <w:bookmarkStart w:id="221" w:name="_Toc359248706"/>
      <w:bookmarkStart w:id="222" w:name="_Toc359316663"/>
      <w:r>
        <w:rPr>
          <w:rStyle w:val="CharDivNo"/>
        </w:rPr>
        <w:t>Division 5A</w:t>
      </w:r>
      <w:r>
        <w:t xml:space="preserve"> — </w:t>
      </w:r>
      <w:r>
        <w:rPr>
          <w:rStyle w:val="CharDivText"/>
        </w:rPr>
        <w:t>Requirements regarding deep sea crabs</w:t>
      </w:r>
      <w:bookmarkEnd w:id="211"/>
      <w:bookmarkEnd w:id="212"/>
      <w:bookmarkEnd w:id="213"/>
      <w:bookmarkEnd w:id="214"/>
      <w:bookmarkEnd w:id="215"/>
      <w:bookmarkEnd w:id="216"/>
      <w:bookmarkEnd w:id="217"/>
      <w:bookmarkEnd w:id="218"/>
      <w:bookmarkEnd w:id="219"/>
      <w:bookmarkEnd w:id="220"/>
      <w:bookmarkEnd w:id="221"/>
      <w:bookmarkEnd w:id="222"/>
    </w:p>
    <w:p>
      <w:pPr>
        <w:pStyle w:val="Footnoteheading"/>
        <w:keepNext/>
        <w:keepLines/>
        <w:tabs>
          <w:tab w:val="left" w:pos="909"/>
        </w:tabs>
        <w:ind w:left="923" w:hanging="923"/>
      </w:pPr>
      <w:r>
        <w:tab/>
        <w:t>[Heading inserted in Gazette 21 Dec 1999 p. 6407.]</w:t>
      </w:r>
    </w:p>
    <w:p>
      <w:pPr>
        <w:pStyle w:val="Heading5"/>
      </w:pPr>
      <w:bookmarkStart w:id="223" w:name="_Toc359316664"/>
      <w:r>
        <w:rPr>
          <w:rStyle w:val="CharSectno"/>
        </w:rPr>
        <w:t>38A</w:t>
      </w:r>
      <w:r>
        <w:t>.</w:t>
      </w:r>
      <w:r>
        <w:tab/>
        <w:t>Term used: deep sea crab</w:t>
      </w:r>
      <w:bookmarkEnd w:id="223"/>
    </w:p>
    <w:p>
      <w:pPr>
        <w:pStyle w:val="Subsection"/>
        <w:spacing w:before="120"/>
      </w:pPr>
      <w:r>
        <w:tab/>
      </w:r>
      <w:r>
        <w:tab/>
        <w:t>In this Division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224" w:name="_Toc359316665"/>
      <w:r>
        <w:rPr>
          <w:rStyle w:val="CharSectno"/>
        </w:rPr>
        <w:t>38B</w:t>
      </w:r>
      <w:r>
        <w:t>.</w:t>
      </w:r>
      <w:r>
        <w:tab/>
        <w:t>Possession and sale of parts of deep sea crabs</w:t>
      </w:r>
      <w:bookmarkEnd w:id="224"/>
    </w:p>
    <w:p>
      <w:pPr>
        <w:pStyle w:val="Subsection"/>
        <w:spacing w:before="120"/>
      </w:pPr>
      <w:r>
        <w:tab/>
      </w:r>
      <w:r>
        <w:tab/>
        <w:t>A person must not possess or sell a part only of a deep sea crab unless —</w:t>
      </w:r>
    </w:p>
    <w:p>
      <w:pPr>
        <w:pStyle w:val="Indenta"/>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the part is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225" w:name="_Toc359316666"/>
      <w:r>
        <w:rPr>
          <w:rStyle w:val="CharSectno"/>
        </w:rPr>
        <w:t>38C</w:t>
      </w:r>
      <w:r>
        <w:t>.</w:t>
      </w:r>
      <w:r>
        <w:tab/>
        <w:t>Parts of deep sea crabs not to be landed</w:t>
      </w:r>
      <w:bookmarkEnd w:id="225"/>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keepLines/>
      </w:pPr>
      <w:bookmarkStart w:id="226" w:name="_Toc339625781"/>
      <w:bookmarkStart w:id="227" w:name="_Toc342397531"/>
      <w:bookmarkStart w:id="228" w:name="_Toc343519788"/>
      <w:bookmarkStart w:id="229" w:name="_Toc343520245"/>
      <w:bookmarkStart w:id="230" w:name="_Toc344711810"/>
      <w:bookmarkStart w:id="231" w:name="_Toc344712326"/>
      <w:bookmarkStart w:id="232" w:name="_Toc347307603"/>
      <w:bookmarkStart w:id="233" w:name="_Toc349822520"/>
      <w:bookmarkStart w:id="234" w:name="_Toc349822940"/>
      <w:bookmarkStart w:id="235" w:name="_Toc349830922"/>
      <w:bookmarkStart w:id="236" w:name="_Toc359248710"/>
      <w:bookmarkStart w:id="237" w:name="_Toc359316667"/>
      <w:r>
        <w:rPr>
          <w:rStyle w:val="CharDivNo"/>
        </w:rPr>
        <w:t>Division 5B</w:t>
      </w:r>
      <w:r>
        <w:t> — </w:t>
      </w:r>
      <w:r>
        <w:rPr>
          <w:rStyle w:val="CharDivText"/>
        </w:rPr>
        <w:t>Requirements regarding abalone</w:t>
      </w:r>
      <w:bookmarkEnd w:id="226"/>
      <w:bookmarkEnd w:id="227"/>
      <w:bookmarkEnd w:id="228"/>
      <w:bookmarkEnd w:id="229"/>
      <w:bookmarkEnd w:id="230"/>
      <w:bookmarkEnd w:id="231"/>
      <w:bookmarkEnd w:id="232"/>
      <w:bookmarkEnd w:id="233"/>
      <w:bookmarkEnd w:id="234"/>
      <w:bookmarkEnd w:id="235"/>
      <w:bookmarkEnd w:id="236"/>
      <w:bookmarkEnd w:id="237"/>
    </w:p>
    <w:p>
      <w:pPr>
        <w:pStyle w:val="Footnoteheading"/>
        <w:keepNext/>
        <w:keepLines/>
        <w:tabs>
          <w:tab w:val="left" w:pos="851"/>
        </w:tabs>
      </w:pPr>
      <w:r>
        <w:tab/>
        <w:t>[Heading inserted in Gazette 1 Oct 2003 p. 4301.]</w:t>
      </w:r>
    </w:p>
    <w:p>
      <w:pPr>
        <w:pStyle w:val="Heading5"/>
      </w:pPr>
      <w:bookmarkStart w:id="238" w:name="_Toc359316668"/>
      <w:r>
        <w:rPr>
          <w:rStyle w:val="CharSectno"/>
        </w:rPr>
        <w:t>38D</w:t>
      </w:r>
      <w:r>
        <w:t>.</w:t>
      </w:r>
      <w:r>
        <w:tab/>
        <w:t>When fishing for abalone allowed</w:t>
      </w:r>
      <w:bookmarkEnd w:id="238"/>
    </w:p>
    <w:p>
      <w:pPr>
        <w:pStyle w:val="Subsection"/>
      </w:pPr>
      <w:r>
        <w:tab/>
        <w:t>(1)</w:t>
      </w:r>
      <w:r>
        <w:tab/>
        <w:t>In this regulation and regulation 38E —</w:t>
      </w:r>
    </w:p>
    <w:p>
      <w:pPr>
        <w:pStyle w:val="Defstart"/>
      </w:pPr>
      <w:r>
        <w:rPr>
          <w:b/>
        </w:rPr>
        <w:tab/>
      </w:r>
      <w:r>
        <w:rPr>
          <w:rStyle w:val="CharDefText"/>
        </w:rPr>
        <w:t>Abalone Zone</w:t>
      </w:r>
      <w:r>
        <w:t xml:space="preserve"> followed by a number, means the zone of that number described in Schedule 16.</w:t>
      </w:r>
    </w:p>
    <w:p>
      <w:pPr>
        <w:pStyle w:val="Subsection"/>
      </w:pPr>
      <w:r>
        <w:tab/>
        <w:t>(2)</w:t>
      </w:r>
      <w:r>
        <w:tab/>
        <w:t>A person, other than a person authorised to take abalone under a managed fishery licence, must not fish for abalone —</w:t>
      </w:r>
    </w:p>
    <w:p>
      <w:pPr>
        <w:pStyle w:val="Indenta"/>
      </w:pPr>
      <w:r>
        <w:tab/>
        <w:t>(a)</w:t>
      </w:r>
      <w:r>
        <w:tab/>
        <w:t xml:space="preserve">in Abalone Zone 1 at any time other than between 7.00 a.m. and 8.00 a.m. on the first Sunday — </w:t>
      </w:r>
    </w:p>
    <w:p>
      <w:pPr>
        <w:pStyle w:val="Indenti"/>
      </w:pPr>
      <w:r>
        <w:tab/>
        <w:t>(i)</w:t>
      </w:r>
      <w:r>
        <w:tab/>
        <w:t>in November and December in any year; and</w:t>
      </w:r>
    </w:p>
    <w:p>
      <w:pPr>
        <w:pStyle w:val="Indenti"/>
      </w:pPr>
      <w:r>
        <w:tab/>
        <w:t>(ii)</w:t>
      </w:r>
      <w:r>
        <w:tab/>
        <w:t>in January, February and March in the next following year;</w:t>
      </w:r>
    </w:p>
    <w:p>
      <w:pPr>
        <w:pStyle w:val="Indenta"/>
      </w:pPr>
      <w:r>
        <w:tab/>
      </w:r>
      <w:r>
        <w:tab/>
        <w:t>or</w:t>
      </w:r>
    </w:p>
    <w:p>
      <w:pPr>
        <w:pStyle w:val="Indenta"/>
      </w:pPr>
      <w:r>
        <w:tab/>
        <w:t>(b)</w:t>
      </w:r>
      <w:r>
        <w:tab/>
        <w:t>in Abalone Zone 2 at any time other than during the period beginning on 1 October in any year and ending on 15 May in the next following year; or</w:t>
      </w:r>
    </w:p>
    <w:p>
      <w:pPr>
        <w:pStyle w:val="Indenta"/>
        <w:keepNext/>
        <w:keepLines/>
      </w:pPr>
      <w:r>
        <w:tab/>
        <w:t>(c)</w:t>
      </w:r>
      <w:r>
        <w:tab/>
        <w:t>in Abalone Zone 3 at any time other than during the period beginning on 1 October in any year and ending on 15 May in the next following year.</w:t>
      </w:r>
    </w:p>
    <w:p>
      <w:pPr>
        <w:pStyle w:val="Penstart"/>
        <w:keepNext/>
        <w:keepLines/>
      </w:pPr>
      <w:r>
        <w:tab/>
        <w:t>Penalty: $5 000 and the penalty provided in section 222 of the Act.</w:t>
      </w:r>
    </w:p>
    <w:p>
      <w:pPr>
        <w:pStyle w:val="Footnotesection"/>
      </w:pPr>
      <w:r>
        <w:tab/>
        <w:t>[Regulation 38D inserted in Gazette 1 Oct 2003 p. 4301; amended in Gazette 28 Nov 2003 p. 4775; 10 Nov 2006 p. 4703; 8 Oct 2010 p. 5135; 2 Aug 2011 p. 3169; 2 Nov 2011 p. 4620.]</w:t>
      </w:r>
    </w:p>
    <w:p>
      <w:pPr>
        <w:pStyle w:val="Heading5"/>
      </w:pPr>
      <w:bookmarkStart w:id="239" w:name="_Toc359316669"/>
      <w:r>
        <w:rPr>
          <w:rStyle w:val="CharSectno"/>
        </w:rPr>
        <w:t>38E</w:t>
      </w:r>
      <w:r>
        <w:t>.</w:t>
      </w:r>
      <w:r>
        <w:tab/>
        <w:t>Diving for abalone using breathing apparatus prohibited in Abalone Zone 1</w:t>
      </w:r>
      <w:bookmarkEnd w:id="239"/>
    </w:p>
    <w:p>
      <w:pPr>
        <w:pStyle w:val="Subsection"/>
      </w:pPr>
      <w:r>
        <w:tab/>
      </w:r>
      <w:r>
        <w:tab/>
        <w:t xml:space="preserve">A </w:t>
      </w:r>
      <w:r>
        <w:rPr>
          <w:snapToGrid w:val="0"/>
        </w:rPr>
        <w:t>person</w:t>
      </w:r>
      <w:r>
        <w:t xml:space="preserve"> must not fish for abalone in Abalone Zone 1 by diving while using compressed air breathing apparatus.</w:t>
      </w:r>
    </w:p>
    <w:p>
      <w:pPr>
        <w:pStyle w:val="Penstart"/>
      </w:pPr>
      <w:r>
        <w:tab/>
        <w:t>Penalty: $5 000 and the penalty provided in section 222 of the Act.</w:t>
      </w:r>
    </w:p>
    <w:p>
      <w:pPr>
        <w:pStyle w:val="Footnotesection"/>
        <w:ind w:left="890" w:hanging="890"/>
      </w:pPr>
      <w:r>
        <w:tab/>
        <w:t>[Regulation 38E inserted in Gazette 28 Nov 2003 p. 4775.]</w:t>
      </w:r>
    </w:p>
    <w:p>
      <w:pPr>
        <w:pStyle w:val="Heading5"/>
      </w:pPr>
      <w:bookmarkStart w:id="240" w:name="_Toc359316670"/>
      <w:r>
        <w:rPr>
          <w:rStyle w:val="CharSectno"/>
        </w:rPr>
        <w:t>38F</w:t>
      </w:r>
      <w:r>
        <w:t>.</w:t>
      </w:r>
      <w:r>
        <w:tab/>
        <w:t>Use of abalone material as bait</w:t>
      </w:r>
      <w:bookmarkEnd w:id="240"/>
    </w:p>
    <w:p>
      <w:pPr>
        <w:pStyle w:val="Subsection"/>
      </w:pPr>
      <w:r>
        <w:tab/>
      </w:r>
      <w:r>
        <w:tab/>
        <w:t>A person must not fish for any fish using as bait any abalone material.</w:t>
      </w:r>
    </w:p>
    <w:p>
      <w:pPr>
        <w:pStyle w:val="Penstart"/>
      </w:pPr>
      <w:r>
        <w:tab/>
        <w:t>Penalty: a fine of $10 000 and the penalty provided in section 222 of the Act.</w:t>
      </w:r>
    </w:p>
    <w:p>
      <w:pPr>
        <w:pStyle w:val="Footnotesection"/>
      </w:pPr>
      <w:r>
        <w:tab/>
        <w:t>[Regulation 38F inserted in Gazette 2 Aug 2011 p. 3166-7.]</w:t>
      </w:r>
    </w:p>
    <w:p>
      <w:pPr>
        <w:pStyle w:val="Heading5"/>
      </w:pPr>
      <w:bookmarkStart w:id="241" w:name="_Toc359316671"/>
      <w:r>
        <w:rPr>
          <w:rStyle w:val="CharSectno"/>
        </w:rPr>
        <w:t>38GA</w:t>
      </w:r>
      <w:r>
        <w:t>.</w:t>
      </w:r>
      <w:r>
        <w:tab/>
        <w:t>Possession of abalone material</w:t>
      </w:r>
      <w:bookmarkEnd w:id="241"/>
    </w:p>
    <w:p>
      <w:pPr>
        <w:pStyle w:val="Subsection"/>
      </w:pPr>
      <w:r>
        <w:tab/>
      </w:r>
      <w:r>
        <w:tab/>
        <w:t xml:space="preserve">A person, other than a person authorised to take abalone under a managed fishery licence, must not — </w:t>
      </w:r>
    </w:p>
    <w:p>
      <w:pPr>
        <w:pStyle w:val="Indenta"/>
      </w:pPr>
      <w:r>
        <w:tab/>
        <w:t>(a)</w:t>
      </w:r>
      <w:r>
        <w:tab/>
        <w:t>on the seaward side of the high water mark; or</w:t>
      </w:r>
    </w:p>
    <w:p>
      <w:pPr>
        <w:pStyle w:val="Indenta"/>
        <w:keepNext/>
        <w:keepLines/>
      </w:pPr>
      <w:r>
        <w:tab/>
        <w:t>(b)</w:t>
      </w:r>
      <w:r>
        <w:tab/>
        <w:t>in the waters of any estuary, river or inlet, or in the entrance to any of those waters,</w:t>
      </w:r>
    </w:p>
    <w:p>
      <w:pPr>
        <w:pStyle w:val="Subsection"/>
        <w:keepNext/>
        <w:keepLines/>
      </w:pPr>
      <w:r>
        <w:tab/>
      </w:r>
      <w:r>
        <w:tab/>
        <w:t>be in possession of any abalone material other than a whole abalone.</w:t>
      </w:r>
    </w:p>
    <w:p>
      <w:pPr>
        <w:pStyle w:val="Penstart"/>
      </w:pPr>
      <w:r>
        <w:tab/>
        <w:t>Penalty: a fine of $10 000.</w:t>
      </w:r>
    </w:p>
    <w:p>
      <w:pPr>
        <w:pStyle w:val="Footnotesection"/>
      </w:pPr>
      <w:r>
        <w:tab/>
        <w:t>[Regulation 38GA inserted in Gazette 2 Aug 2011 p. 3167; amended in Gazette 2 Nov 2011 p. 4620.]</w:t>
      </w:r>
    </w:p>
    <w:p>
      <w:pPr>
        <w:pStyle w:val="Heading3"/>
        <w:spacing w:before="200"/>
      </w:pPr>
      <w:bookmarkStart w:id="242" w:name="_Toc339625786"/>
      <w:bookmarkStart w:id="243" w:name="_Toc342397536"/>
      <w:bookmarkStart w:id="244" w:name="_Toc343519793"/>
      <w:bookmarkStart w:id="245" w:name="_Toc343520250"/>
      <w:bookmarkStart w:id="246" w:name="_Toc344711815"/>
      <w:bookmarkStart w:id="247" w:name="_Toc344712331"/>
      <w:bookmarkStart w:id="248" w:name="_Toc347307608"/>
      <w:bookmarkStart w:id="249" w:name="_Toc349822525"/>
      <w:bookmarkStart w:id="250" w:name="_Toc349822945"/>
      <w:bookmarkStart w:id="251" w:name="_Toc349830927"/>
      <w:bookmarkStart w:id="252" w:name="_Toc359248715"/>
      <w:bookmarkStart w:id="253" w:name="_Toc359316672"/>
      <w:r>
        <w:rPr>
          <w:rStyle w:val="CharDivNo"/>
        </w:rPr>
        <w:t>Division 5C</w:t>
      </w:r>
      <w:r>
        <w:t> — </w:t>
      </w:r>
      <w:r>
        <w:rPr>
          <w:rStyle w:val="CharDivText"/>
        </w:rPr>
        <w:t>Requirements regarding marron</w:t>
      </w:r>
      <w:bookmarkEnd w:id="242"/>
      <w:bookmarkEnd w:id="243"/>
      <w:bookmarkEnd w:id="244"/>
      <w:bookmarkEnd w:id="245"/>
      <w:bookmarkEnd w:id="246"/>
      <w:bookmarkEnd w:id="247"/>
      <w:bookmarkEnd w:id="248"/>
      <w:bookmarkEnd w:id="249"/>
      <w:bookmarkEnd w:id="250"/>
      <w:bookmarkEnd w:id="251"/>
      <w:bookmarkEnd w:id="252"/>
      <w:bookmarkEnd w:id="253"/>
    </w:p>
    <w:p>
      <w:pPr>
        <w:pStyle w:val="Footnoteheading"/>
        <w:tabs>
          <w:tab w:val="left" w:pos="909"/>
        </w:tabs>
        <w:ind w:left="923" w:hanging="923"/>
      </w:pPr>
      <w:r>
        <w:tab/>
        <w:t>[Heading inserted in Gazette 29 Dec 2000 p. 7968.]</w:t>
      </w:r>
    </w:p>
    <w:p>
      <w:pPr>
        <w:pStyle w:val="Heading4"/>
        <w:spacing w:before="200"/>
      </w:pPr>
      <w:bookmarkStart w:id="254" w:name="_Toc339625787"/>
      <w:bookmarkStart w:id="255" w:name="_Toc342397537"/>
      <w:bookmarkStart w:id="256" w:name="_Toc343519794"/>
      <w:bookmarkStart w:id="257" w:name="_Toc343520251"/>
      <w:bookmarkStart w:id="258" w:name="_Toc344711816"/>
      <w:bookmarkStart w:id="259" w:name="_Toc344712332"/>
      <w:bookmarkStart w:id="260" w:name="_Toc347307609"/>
      <w:bookmarkStart w:id="261" w:name="_Toc349822526"/>
      <w:bookmarkStart w:id="262" w:name="_Toc349822946"/>
      <w:bookmarkStart w:id="263" w:name="_Toc349830928"/>
      <w:bookmarkStart w:id="264" w:name="_Toc359248716"/>
      <w:bookmarkStart w:id="265" w:name="_Toc359316673"/>
      <w:r>
        <w:t>Subdivision 1 — Interpretation</w:t>
      </w:r>
      <w:bookmarkEnd w:id="254"/>
      <w:bookmarkEnd w:id="255"/>
      <w:bookmarkEnd w:id="256"/>
      <w:bookmarkEnd w:id="257"/>
      <w:bookmarkEnd w:id="258"/>
      <w:bookmarkEnd w:id="259"/>
      <w:bookmarkEnd w:id="260"/>
      <w:bookmarkEnd w:id="261"/>
      <w:bookmarkEnd w:id="262"/>
      <w:bookmarkEnd w:id="263"/>
      <w:bookmarkEnd w:id="264"/>
      <w:bookmarkEnd w:id="265"/>
    </w:p>
    <w:p>
      <w:pPr>
        <w:pStyle w:val="Footnoteheading"/>
        <w:tabs>
          <w:tab w:val="left" w:pos="909"/>
        </w:tabs>
        <w:ind w:left="923" w:hanging="923"/>
      </w:pPr>
      <w:r>
        <w:tab/>
        <w:t>[Heading inserted in Gazette 29 Dec 2000 p. 7968.]</w:t>
      </w:r>
    </w:p>
    <w:p>
      <w:pPr>
        <w:pStyle w:val="Heading5"/>
        <w:spacing w:before="180"/>
      </w:pPr>
      <w:bookmarkStart w:id="266" w:name="_Toc359316674"/>
      <w:r>
        <w:rPr>
          <w:rStyle w:val="CharSectno"/>
        </w:rPr>
        <w:t>38G</w:t>
      </w:r>
      <w:r>
        <w:t>.</w:t>
      </w:r>
      <w:r>
        <w:tab/>
        <w:t>Terms used</w:t>
      </w:r>
      <w:bookmarkEnd w:id="266"/>
    </w:p>
    <w:p>
      <w:pPr>
        <w:pStyle w:val="Subsection"/>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pPr>
      <w:r>
        <w:tab/>
        <w:t>(a)</w:t>
      </w:r>
      <w:r>
        <w:tab/>
        <w:t>has a base ring and top ring that have a diameter of not less than 400 mm and not more than 650 mm; and</w:t>
      </w:r>
    </w:p>
    <w:p>
      <w:pPr>
        <w:pStyle w:val="Defpara"/>
      </w:pPr>
      <w:r>
        <w:tab/>
        <w:t>(b)</w:t>
      </w:r>
      <w:r>
        <w:tab/>
        <w:t>has within the base ring an internal rigid rectangular mesh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does not have anything attached to it or placed in it that —</w:t>
      </w:r>
    </w:p>
    <w:p>
      <w:pPr>
        <w:pStyle w:val="Defsubpara"/>
        <w:keepLines w:val="0"/>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w:t>
      </w:r>
    </w:p>
    <w:p>
      <w:pPr>
        <w:pStyle w:val="Defpara"/>
      </w:pPr>
      <w:r>
        <w:tab/>
        <w:t>(a)</w:t>
      </w:r>
      <w:r>
        <w:tab/>
        <w:t>is constructed of a pole to one end of which is attached a noose that, when the pole is used to take a marron, operates by closing under the weight of the marron; and</w:t>
      </w:r>
    </w:p>
    <w:p>
      <w:pPr>
        <w:pStyle w:val="Defpara"/>
        <w:keepNext/>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w:t>
      </w:r>
    </w:p>
    <w:p>
      <w:pPr>
        <w:pStyle w:val="Defpara"/>
      </w:pPr>
      <w:r>
        <w:tab/>
        <w:t>(a)</w:t>
      </w:r>
      <w:r>
        <w:tab/>
        <w:t>is generally hemispherical and has a mesh —</w:t>
      </w:r>
    </w:p>
    <w:p>
      <w:pPr>
        <w:pStyle w:val="Defsubpara"/>
      </w:pPr>
      <w:r>
        <w:tab/>
        <w:t>(i)</w:t>
      </w:r>
      <w:r>
        <w:tab/>
        <w:t>constructed of wire with a diameter of not more than 5 mm; and</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r>
      <w:r>
        <w:tab/>
        <w:t>and</w:t>
      </w:r>
    </w:p>
    <w:p>
      <w:pPr>
        <w:pStyle w:val="Defpara"/>
        <w:keepNext/>
        <w:keepLines/>
      </w:pPr>
      <w:r>
        <w:tab/>
        <w:t>(b)</w:t>
      </w:r>
      <w:r>
        <w:tab/>
        <w:t>has a circular top ring with an internal diameter that does not exceed 375 mm; and</w:t>
      </w:r>
    </w:p>
    <w:p>
      <w:pPr>
        <w:pStyle w:val="Defpara"/>
      </w:pPr>
      <w:r>
        <w:tab/>
        <w:t>(c)</w:t>
      </w:r>
      <w:r>
        <w:tab/>
        <w:t>has an internal depth that, measured from the plane of the rim, is not more than 210 mm; and</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keepLines/>
      </w:pPr>
      <w:bookmarkStart w:id="267" w:name="_Toc339625789"/>
      <w:bookmarkStart w:id="268" w:name="_Toc342397539"/>
      <w:bookmarkStart w:id="269" w:name="_Toc343519796"/>
      <w:bookmarkStart w:id="270" w:name="_Toc343520253"/>
      <w:bookmarkStart w:id="271" w:name="_Toc344711818"/>
      <w:bookmarkStart w:id="272" w:name="_Toc344712334"/>
      <w:bookmarkStart w:id="273" w:name="_Toc347307611"/>
      <w:bookmarkStart w:id="274" w:name="_Toc349822528"/>
      <w:bookmarkStart w:id="275" w:name="_Toc349822948"/>
      <w:bookmarkStart w:id="276" w:name="_Toc349830930"/>
      <w:bookmarkStart w:id="277" w:name="_Toc359248718"/>
      <w:bookmarkStart w:id="278" w:name="_Toc359316675"/>
      <w:r>
        <w:t>Subdivision 2 — General restrictions on fishing for marron</w:t>
      </w:r>
      <w:bookmarkEnd w:id="267"/>
      <w:bookmarkEnd w:id="268"/>
      <w:bookmarkEnd w:id="269"/>
      <w:bookmarkEnd w:id="270"/>
      <w:bookmarkEnd w:id="271"/>
      <w:bookmarkEnd w:id="272"/>
      <w:bookmarkEnd w:id="273"/>
      <w:bookmarkEnd w:id="274"/>
      <w:bookmarkEnd w:id="275"/>
      <w:bookmarkEnd w:id="276"/>
      <w:bookmarkEnd w:id="277"/>
      <w:bookmarkEnd w:id="278"/>
    </w:p>
    <w:p>
      <w:pPr>
        <w:pStyle w:val="Footnoteheading"/>
        <w:keepNext/>
        <w:keepLines/>
        <w:tabs>
          <w:tab w:val="left" w:pos="909"/>
        </w:tabs>
        <w:spacing w:before="160"/>
        <w:ind w:left="924" w:hanging="924"/>
      </w:pPr>
      <w:r>
        <w:tab/>
        <w:t>[Heading inserted in Gazette 29 Dec 2000 p. 7969.]</w:t>
      </w:r>
    </w:p>
    <w:p>
      <w:pPr>
        <w:pStyle w:val="Heading5"/>
      </w:pPr>
      <w:bookmarkStart w:id="279" w:name="_Toc359316676"/>
      <w:r>
        <w:rPr>
          <w:rStyle w:val="CharSectno"/>
        </w:rPr>
        <w:t>38H</w:t>
      </w:r>
      <w:r>
        <w:t>.</w:t>
      </w:r>
      <w:r>
        <w:tab/>
        <w:t>Marron, permitted ways to fish for</w:t>
      </w:r>
      <w:bookmarkEnd w:id="279"/>
    </w:p>
    <w:p>
      <w:pPr>
        <w:pStyle w:val="Subsection"/>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280" w:name="_Toc359316677"/>
      <w:r>
        <w:rPr>
          <w:rStyle w:val="CharSectno"/>
        </w:rPr>
        <w:t>38I</w:t>
      </w:r>
      <w:r>
        <w:t>.</w:t>
      </w:r>
      <w:r>
        <w:tab/>
        <w:t>Single marron pole snare only to be used in some waters</w:t>
      </w:r>
      <w:bookmarkEnd w:id="280"/>
    </w:p>
    <w:p>
      <w:pPr>
        <w:pStyle w:val="Subsection"/>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w:t>
      </w:r>
      <w:r>
        <w:rPr>
          <w:snapToGrid w:val="0"/>
        </w:rPr>
        <w:t>subregulation</w:t>
      </w:r>
      <w:r>
        <w:t xml:space="preserve"> applies to the waters —</w:t>
      </w:r>
    </w:p>
    <w:p>
      <w:pPr>
        <w:pStyle w:val="Ednotepara"/>
        <w:spacing w:before="80"/>
        <w:ind w:left="1610" w:hanging="1610"/>
      </w:pPr>
      <w:r>
        <w:tab/>
        <w:t>[(a), (b)</w:t>
      </w:r>
      <w:r>
        <w:tab/>
        <w:t>deleted]</w:t>
      </w:r>
    </w:p>
    <w:p>
      <w:pPr>
        <w:pStyle w:val="Indenta"/>
      </w:pPr>
      <w:r>
        <w:tab/>
        <w:t>(c)</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and</w:t>
      </w:r>
    </w:p>
    <w:p>
      <w:pPr>
        <w:pStyle w:val="Ednotepara"/>
        <w:spacing w:before="80"/>
        <w:ind w:left="1610" w:hanging="161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80"/>
        <w:ind w:left="1610" w:hanging="1610"/>
      </w:pPr>
      <w:r>
        <w:tab/>
        <w:t>[(f)</w:t>
      </w:r>
      <w:r>
        <w:tab/>
        <w:t>deleted]</w:t>
      </w:r>
    </w:p>
    <w:p>
      <w:pPr>
        <w:pStyle w:val="Indenta"/>
      </w:pPr>
      <w:r>
        <w:tab/>
        <w:t>(g)</w:t>
      </w:r>
      <w:r>
        <w:tab/>
        <w:t xml:space="preserve">subject to regulation 38J,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and</w:t>
      </w:r>
    </w:p>
    <w:p>
      <w:pPr>
        <w:pStyle w:val="Indenta"/>
      </w:pPr>
      <w:r>
        <w:tab/>
        <w:t>(h)</w:t>
      </w:r>
      <w:r>
        <w:tab/>
        <w:t>of Big Brook Dam, Drakes Brook Dam, Glen Mervyn Dam, Logue Brook Dam and Lake Navarino (Waroona Dam).</w:t>
      </w:r>
    </w:p>
    <w:p>
      <w:pPr>
        <w:pStyle w:val="Footnotesection"/>
        <w:keepLines w:val="0"/>
        <w:ind w:left="890" w:hanging="890"/>
      </w:pPr>
      <w:r>
        <w:tab/>
        <w:t>[Regulation 38I inserted in Gazette 29 Dec 2000 p. 7970</w:t>
      </w:r>
      <w:r>
        <w:noBreakHyphen/>
        <w:t>1; amended in Gazette 22 Dec 2005 p. 6221; 29 Dec 2006 p. 5890; 13 Oct 2009 p. 4032.]</w:t>
      </w:r>
    </w:p>
    <w:p>
      <w:pPr>
        <w:pStyle w:val="Heading5"/>
      </w:pPr>
      <w:bookmarkStart w:id="281" w:name="_Toc359316678"/>
      <w:r>
        <w:rPr>
          <w:rStyle w:val="CharSectno"/>
        </w:rPr>
        <w:t>38J</w:t>
      </w:r>
      <w:r>
        <w:t>.</w:t>
      </w:r>
      <w:r>
        <w:tab/>
        <w:t xml:space="preserve">Marron fishing prohibited in certain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waters</w:t>
      </w:r>
      <w:bookmarkEnd w:id="281"/>
    </w:p>
    <w:p>
      <w:pPr>
        <w:pStyle w:val="Subsection"/>
        <w:keepNext/>
      </w:pPr>
      <w:r>
        <w:tab/>
      </w:r>
      <w:r>
        <w:tab/>
        <w:t>A person must not fish for marron in  —</w:t>
      </w:r>
    </w:p>
    <w:p>
      <w:pPr>
        <w:pStyle w:val="Indenta"/>
      </w:pPr>
      <w:r>
        <w:tab/>
        <w:t>(a)</w:t>
      </w:r>
      <w:r>
        <w:tab/>
        <w:t>the Margaret River within the area that begins 300 m upstream of the Bussell Highway Bridge and ends 50 m downstream of that bridge; or</w:t>
      </w:r>
    </w:p>
    <w:p>
      <w:pPr>
        <w:pStyle w:val="Indenta"/>
      </w:pPr>
      <w:r>
        <w:tab/>
        <w:t>(b)</w:t>
      </w:r>
      <w:r>
        <w:tab/>
        <w:t xml:space="preserve">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ind w:left="890" w:hanging="890"/>
      </w:pPr>
      <w:r>
        <w:tab/>
        <w:t>[Regulation 38J inserted in Gazette 29 Dec 2000 p. 7971; amended in Gazette 13 Dec 2002 p. 5797; 13 Oct 2009 p. 4032.]</w:t>
      </w:r>
    </w:p>
    <w:p>
      <w:pPr>
        <w:pStyle w:val="Ednotesection"/>
        <w:ind w:left="890" w:hanging="890"/>
      </w:pPr>
      <w:r>
        <w:t>[</w:t>
      </w:r>
      <w:r>
        <w:rPr>
          <w:b/>
        </w:rPr>
        <w:t>38JA.</w:t>
      </w:r>
      <w:r>
        <w:tab/>
        <w:t>Deleted in Gazette 22 Dec 2005 p. 6221.]</w:t>
      </w:r>
    </w:p>
    <w:p>
      <w:pPr>
        <w:pStyle w:val="Heading5"/>
      </w:pPr>
      <w:bookmarkStart w:id="282" w:name="_Toc359316679"/>
      <w:r>
        <w:rPr>
          <w:rStyle w:val="CharSectno"/>
        </w:rPr>
        <w:t>38K</w:t>
      </w:r>
      <w:r>
        <w:t>.</w:t>
      </w:r>
      <w:r>
        <w:tab/>
        <w:t>Marron fishing prohibited from boats or by swimming or diving</w:t>
      </w:r>
      <w:bookmarkEnd w:id="282"/>
    </w:p>
    <w:p>
      <w:pPr>
        <w:pStyle w:val="Subsection"/>
        <w:keepNext/>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ind w:left="890" w:hanging="890"/>
      </w:pPr>
      <w:r>
        <w:tab/>
        <w:t>[Regulation 38K inserted in Gazette 29 Dec 2000 p. 7971.]</w:t>
      </w:r>
    </w:p>
    <w:p>
      <w:pPr>
        <w:pStyle w:val="Heading5"/>
      </w:pPr>
      <w:bookmarkStart w:id="283" w:name="_Toc359316680"/>
      <w:r>
        <w:rPr>
          <w:rStyle w:val="CharSectno"/>
        </w:rPr>
        <w:t>38L</w:t>
      </w:r>
      <w:r>
        <w:t>.</w:t>
      </w:r>
      <w:r>
        <w:tab/>
        <w:t>Marron nets not to be transported in boats in most cases</w:t>
      </w:r>
      <w:bookmarkEnd w:id="283"/>
    </w:p>
    <w:p>
      <w:pPr>
        <w:pStyle w:val="Subsection"/>
        <w:keepLines/>
        <w:spacing w:before="120"/>
      </w:pPr>
      <w:r>
        <w:tab/>
        <w:t>(1)</w:t>
      </w:r>
      <w:r>
        <w:tab/>
        <w:t>A person must not use a boat in WA waters to transport a marron drop net or marron scoop net.</w:t>
      </w:r>
    </w:p>
    <w:p>
      <w:pPr>
        <w:pStyle w:val="Penstart"/>
        <w:keepLines/>
        <w:spacing w:before="60"/>
      </w:pPr>
      <w:r>
        <w:tab/>
        <w:t>Penalty: For a first offence $5 000 or, for a second or subsequent offence, $10 000.</w:t>
      </w:r>
    </w:p>
    <w:p>
      <w:pPr>
        <w:pStyle w:val="Subsection"/>
      </w:pPr>
      <w:r>
        <w:tab/>
        <w:t>(2)</w:t>
      </w:r>
      <w:r>
        <w:tab/>
        <w:t xml:space="preserve">Subregulation (1) does not apply to a person using a boat in the waters of 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 xml:space="preserve"> downstream of the boat ramp at the termination of </w:t>
      </w:r>
      <w:smartTag w:uri="urn:schemas-microsoft-com:office:smarttags" w:element="Street">
        <w:smartTag w:uri="urn:schemas-microsoft-com:office:smarttags" w:element="address">
          <w:r>
            <w:t>Boat Landing Road</w:t>
          </w:r>
        </w:smartTag>
      </w:smartTag>
      <w:r>
        <w:t xml:space="preserve"> at 34° 27′ south latitude (Boat Landing).</w:t>
      </w:r>
    </w:p>
    <w:p>
      <w:pPr>
        <w:pStyle w:val="Footnotesection"/>
      </w:pPr>
      <w:r>
        <w:tab/>
        <w:t>[Regulation 38L inserted in Gazette 29 Dec 2000 p. 7971; amended in Gazette 29 Dec 2006 p. 5890.]</w:t>
      </w:r>
    </w:p>
    <w:p>
      <w:pPr>
        <w:pStyle w:val="Heading4"/>
      </w:pPr>
      <w:bookmarkStart w:id="284" w:name="_Toc339625795"/>
      <w:bookmarkStart w:id="285" w:name="_Toc342397545"/>
      <w:bookmarkStart w:id="286" w:name="_Toc343519802"/>
      <w:bookmarkStart w:id="287" w:name="_Toc343520259"/>
      <w:bookmarkStart w:id="288" w:name="_Toc344711824"/>
      <w:bookmarkStart w:id="289" w:name="_Toc344712340"/>
      <w:bookmarkStart w:id="290" w:name="_Toc347307617"/>
      <w:bookmarkStart w:id="291" w:name="_Toc349822534"/>
      <w:bookmarkStart w:id="292" w:name="_Toc349822954"/>
      <w:bookmarkStart w:id="293" w:name="_Toc349830936"/>
      <w:bookmarkStart w:id="294" w:name="_Toc359248724"/>
      <w:bookmarkStart w:id="295" w:name="_Toc359316681"/>
      <w:r>
        <w:t>Subdivision 3 — Closed season restrictions relating to marron</w:t>
      </w:r>
      <w:bookmarkEnd w:id="284"/>
      <w:bookmarkEnd w:id="285"/>
      <w:bookmarkEnd w:id="286"/>
      <w:bookmarkEnd w:id="287"/>
      <w:bookmarkEnd w:id="288"/>
      <w:bookmarkEnd w:id="289"/>
      <w:bookmarkEnd w:id="290"/>
      <w:bookmarkEnd w:id="291"/>
      <w:bookmarkEnd w:id="292"/>
      <w:bookmarkEnd w:id="293"/>
      <w:bookmarkEnd w:id="294"/>
      <w:bookmarkEnd w:id="295"/>
    </w:p>
    <w:p>
      <w:pPr>
        <w:pStyle w:val="Footnoteheading"/>
        <w:tabs>
          <w:tab w:val="left" w:pos="909"/>
        </w:tabs>
        <w:ind w:left="924" w:hanging="924"/>
      </w:pPr>
      <w:r>
        <w:tab/>
        <w:t>[Heading inserted in Gazette 29 Dec 2000 p. 7972.]</w:t>
      </w:r>
    </w:p>
    <w:p>
      <w:pPr>
        <w:pStyle w:val="Heading5"/>
      </w:pPr>
      <w:bookmarkStart w:id="296" w:name="_Toc359316682"/>
      <w:r>
        <w:rPr>
          <w:rStyle w:val="CharSectno"/>
        </w:rPr>
        <w:t>38M</w:t>
      </w:r>
      <w:r>
        <w:t>.</w:t>
      </w:r>
      <w:r>
        <w:tab/>
        <w:t>Closed season for marron fishing</w:t>
      </w:r>
      <w:bookmarkEnd w:id="296"/>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297" w:name="_Toc359316683"/>
      <w:r>
        <w:rPr>
          <w:rStyle w:val="CharSectno"/>
        </w:rPr>
        <w:t>38N</w:t>
      </w:r>
      <w:r>
        <w:t>.</w:t>
      </w:r>
      <w:r>
        <w:tab/>
        <w:t>Removing marron from private land in closed season</w:t>
      </w:r>
      <w:bookmarkEnd w:id="297"/>
    </w:p>
    <w:p>
      <w:pPr>
        <w:pStyle w:val="Subsection"/>
      </w:pPr>
      <w:r>
        <w:tab/>
        <w:t>(1)</w:t>
      </w:r>
      <w:r>
        <w:tab/>
        <w:t>A person must not —</w:t>
      </w:r>
    </w:p>
    <w:p>
      <w:pPr>
        <w:pStyle w:val="Indenta"/>
      </w:pPr>
      <w:r>
        <w:tab/>
        <w:t>(a)</w:t>
      </w:r>
      <w:r>
        <w:tab/>
        <w:t>remove any marron; or</w:t>
      </w:r>
    </w:p>
    <w:p>
      <w:pPr>
        <w:pStyle w:val="Indenta"/>
        <w:keepNext/>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298" w:name="_Toc359316684"/>
      <w:r>
        <w:rPr>
          <w:rStyle w:val="CharSectno"/>
        </w:rPr>
        <w:t>38O</w:t>
      </w:r>
      <w:r>
        <w:t>.</w:t>
      </w:r>
      <w:r>
        <w:tab/>
        <w:t>Possession of marron during non</w:t>
      </w:r>
      <w:r>
        <w:noBreakHyphen/>
        <w:t>possession period</w:t>
      </w:r>
      <w:bookmarkEnd w:id="298"/>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spacing w:before="100"/>
      </w:pPr>
      <w:r>
        <w:tab/>
        <w:t>(3)</w:t>
      </w:r>
      <w:r>
        <w:tab/>
        <w:t xml:space="preserve">In </w:t>
      </w:r>
      <w:r>
        <w:rPr>
          <w:snapToGrid w:val="0"/>
        </w:rPr>
        <w:t>this</w:t>
      </w:r>
      <w:r>
        <w:t xml:space="preserve"> regulation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ind w:left="890" w:hanging="890"/>
      </w:pPr>
      <w:r>
        <w:tab/>
        <w:t>[Regulation 38O inserted in Gazette 29 Dec 2000 p. 7973; amended in Gazette 29 Dec 2006 p. 5890; 13 Oct 2009 p. 4032.]</w:t>
      </w:r>
    </w:p>
    <w:p>
      <w:pPr>
        <w:pStyle w:val="Heading3"/>
      </w:pPr>
      <w:bookmarkStart w:id="299" w:name="_Toc339625799"/>
      <w:bookmarkStart w:id="300" w:name="_Toc342397549"/>
      <w:bookmarkStart w:id="301" w:name="_Toc343519806"/>
      <w:bookmarkStart w:id="302" w:name="_Toc343520263"/>
      <w:bookmarkStart w:id="303" w:name="_Toc344711828"/>
      <w:bookmarkStart w:id="304" w:name="_Toc344712344"/>
      <w:bookmarkStart w:id="305" w:name="_Toc347307621"/>
      <w:bookmarkStart w:id="306" w:name="_Toc349822538"/>
      <w:bookmarkStart w:id="307" w:name="_Toc349822958"/>
      <w:bookmarkStart w:id="308" w:name="_Toc349830940"/>
      <w:bookmarkStart w:id="309" w:name="_Toc359248728"/>
      <w:bookmarkStart w:id="310" w:name="_Toc359316685"/>
      <w:r>
        <w:rPr>
          <w:rStyle w:val="CharDivNo"/>
        </w:rPr>
        <w:t>Division 6</w:t>
      </w:r>
      <w:r>
        <w:rPr>
          <w:snapToGrid w:val="0"/>
        </w:rPr>
        <w:t> — </w:t>
      </w:r>
      <w:r>
        <w:rPr>
          <w:rStyle w:val="CharDivText"/>
        </w:rPr>
        <w:t>Requirements relating to the taking of certain fish</w:t>
      </w:r>
      <w:bookmarkEnd w:id="299"/>
      <w:bookmarkEnd w:id="300"/>
      <w:bookmarkEnd w:id="301"/>
      <w:bookmarkEnd w:id="302"/>
      <w:bookmarkEnd w:id="303"/>
      <w:bookmarkEnd w:id="304"/>
      <w:bookmarkEnd w:id="305"/>
      <w:bookmarkEnd w:id="306"/>
      <w:bookmarkEnd w:id="307"/>
      <w:bookmarkEnd w:id="308"/>
      <w:bookmarkEnd w:id="309"/>
      <w:bookmarkEnd w:id="310"/>
    </w:p>
    <w:p>
      <w:pPr>
        <w:pStyle w:val="Heading5"/>
        <w:rPr>
          <w:snapToGrid w:val="0"/>
        </w:rPr>
      </w:pPr>
      <w:bookmarkStart w:id="311" w:name="_Toc359316686"/>
      <w:r>
        <w:rPr>
          <w:rStyle w:val="CharSectno"/>
        </w:rPr>
        <w:t>39</w:t>
      </w:r>
      <w:r>
        <w:rPr>
          <w:snapToGrid w:val="0"/>
        </w:rPr>
        <w:t>.</w:t>
      </w:r>
      <w:r>
        <w:rPr>
          <w:snapToGrid w:val="0"/>
        </w:rPr>
        <w:tab/>
        <w:t>Prawns, permitted ways to fish for by recreational fishers</w:t>
      </w:r>
      <w:bookmarkEnd w:id="311"/>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w:t>
      </w:r>
      <w:r>
        <w:t xml:space="preserve">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ind w:left="890" w:hanging="890"/>
      </w:pPr>
      <w:r>
        <w:tab/>
        <w:t>[Regulation 39 amended in Gazette 1 Oct 2003 p. 4301</w:t>
      </w:r>
      <w:r>
        <w:noBreakHyphen/>
        <w:t>2; 22 Jun 2012 p. 2779.]</w:t>
      </w:r>
    </w:p>
    <w:p>
      <w:pPr>
        <w:pStyle w:val="Heading5"/>
        <w:keepLines w:val="0"/>
        <w:rPr>
          <w:snapToGrid w:val="0"/>
        </w:rPr>
      </w:pPr>
      <w:bookmarkStart w:id="312" w:name="_Toc359316687"/>
      <w:r>
        <w:rPr>
          <w:rStyle w:val="CharSectno"/>
        </w:rPr>
        <w:t>40</w:t>
      </w:r>
      <w:r>
        <w:rPr>
          <w:snapToGrid w:val="0"/>
        </w:rPr>
        <w:t>.</w:t>
      </w:r>
      <w:r>
        <w:rPr>
          <w:snapToGrid w:val="0"/>
        </w:rPr>
        <w:tab/>
        <w:t>Cherabin, permitted ways to fish for</w:t>
      </w:r>
      <w:bookmarkEnd w:id="312"/>
    </w:p>
    <w:p>
      <w:pPr>
        <w:pStyle w:val="Subsection"/>
        <w:rPr>
          <w:snapToGrid w:val="0"/>
        </w:rPr>
      </w:pPr>
      <w:r>
        <w:rPr>
          <w:snapToGrid w:val="0"/>
        </w:rPr>
        <w:tab/>
      </w:r>
      <w:r>
        <w:rPr>
          <w:snapToGrid w:val="0"/>
        </w:rPr>
        <w:tab/>
        <w:t>A person must not fish for cherabin by means of using any fishing gear other than —</w:t>
      </w:r>
    </w:p>
    <w:p>
      <w:pPr>
        <w:pStyle w:val="Indenta"/>
        <w:rPr>
          <w:snapToGrid w:val="0"/>
        </w:rPr>
      </w:pPr>
      <w:r>
        <w:rPr>
          <w:snapToGrid w:val="0"/>
        </w:rPr>
        <w:tab/>
        <w:t>(a)</w:t>
      </w:r>
      <w:r>
        <w:rPr>
          <w:snapToGrid w:val="0"/>
        </w:rPr>
        <w:tab/>
        <w:t xml:space="preserve">not more than 6 </w:t>
      </w:r>
      <w:r>
        <w:t>complying</w:t>
      </w:r>
      <w:r>
        <w:rPr>
          <w:snapToGrid w:val="0"/>
        </w:rPr>
        <w:t xml:space="preserve"> drop nets; or</w:t>
      </w:r>
    </w:p>
    <w:p>
      <w:pPr>
        <w:pStyle w:val="Indenta"/>
        <w:rPr>
          <w:snapToGrid w:val="0"/>
        </w:rPr>
      </w:pPr>
      <w:r>
        <w:rPr>
          <w:snapToGrid w:val="0"/>
        </w:rPr>
        <w:tab/>
        <w:t>(b)</w:t>
      </w:r>
      <w:r>
        <w:rPr>
          <w:snapToGrid w:val="0"/>
        </w:rPr>
        <w:tab/>
        <w:t>a single pole snare; or</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 6 Nov 2009 p. 4471.]</w:t>
      </w:r>
    </w:p>
    <w:p>
      <w:pPr>
        <w:pStyle w:val="Heading5"/>
        <w:rPr>
          <w:snapToGrid w:val="0"/>
        </w:rPr>
      </w:pPr>
      <w:bookmarkStart w:id="313" w:name="_Toc359316688"/>
      <w:r>
        <w:rPr>
          <w:rStyle w:val="CharSectno"/>
        </w:rPr>
        <w:t>41</w:t>
      </w:r>
      <w:r>
        <w:rPr>
          <w:snapToGrid w:val="0"/>
        </w:rPr>
        <w:t>.</w:t>
      </w:r>
      <w:r>
        <w:rPr>
          <w:snapToGrid w:val="0"/>
        </w:rPr>
        <w:tab/>
        <w:t>Abalone, who may shuck or possess when shucked</w:t>
      </w:r>
      <w:bookmarkEnd w:id="313"/>
    </w:p>
    <w:p>
      <w:pPr>
        <w:pStyle w:val="Subsection"/>
      </w:pPr>
      <w:r>
        <w:tab/>
        <w:t>(1)</w:t>
      </w:r>
      <w:r>
        <w:tab/>
        <w:t xml:space="preserve">Subject to subregulation (2), a person, other than a person authorised to take abalone under a managed fishery licence, must not — </w:t>
      </w:r>
    </w:p>
    <w:p>
      <w:pPr>
        <w:pStyle w:val="Indenta"/>
      </w:pPr>
      <w:r>
        <w:tab/>
        <w:t>(a)</w:t>
      </w:r>
      <w:r>
        <w:tab/>
        <w:t>on the seaward side of the high water mark; or</w:t>
      </w:r>
    </w:p>
    <w:p>
      <w:pPr>
        <w:pStyle w:val="Indenta"/>
      </w:pPr>
      <w:r>
        <w:tab/>
        <w:t>(b)</w:t>
      </w:r>
      <w:r>
        <w:tab/>
        <w:t>in the waters of any estuary, river or inlet, or in the entrance to any of those waters; or</w:t>
      </w:r>
    </w:p>
    <w:p>
      <w:pPr>
        <w:pStyle w:val="Indenta"/>
      </w:pPr>
      <w:r>
        <w:tab/>
        <w:t>(c)</w:t>
      </w:r>
      <w:r>
        <w:tab/>
        <w:t>within 200 m of, and on the landward side of, the high water mark,</w:t>
      </w:r>
    </w:p>
    <w:p>
      <w:pPr>
        <w:pStyle w:val="Subsection"/>
      </w:pPr>
      <w:r>
        <w:tab/>
      </w:r>
      <w:r>
        <w:tab/>
        <w:t>remove the shell, or cause or permit the shell to be removed, from an abalone.</w:t>
      </w:r>
    </w:p>
    <w:p>
      <w:pPr>
        <w:pStyle w:val="Penstart"/>
      </w:pPr>
      <w:r>
        <w:tab/>
        <w:t>Penalty: a fine of $5 000 and the penalty provided in section 222 of the Act.</w:t>
      </w:r>
    </w:p>
    <w:p>
      <w:pPr>
        <w:pStyle w:val="Subsection"/>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 xml:space="preserve">The fish cleaning facility situated approximately 40 m in an easterly direction from the intersection of </w:t>
            </w:r>
            <w:smartTag w:uri="urn:schemas-microsoft-com:office:smarttags" w:element="Street">
              <w:smartTag w:uri="urn:schemas-microsoft-com:office:smarttags" w:element="address">
                <w:r>
                  <w:rPr>
                    <w:snapToGrid w:val="0"/>
                    <w:sz w:val="22"/>
                  </w:rPr>
                  <w:t>Wharton Road</w:t>
                </w:r>
              </w:smartTag>
            </w:smartTag>
            <w:r>
              <w:rPr>
                <w:snapToGrid w:val="0"/>
                <w:sz w:val="22"/>
              </w:rPr>
              <w:t xml:space="preserve"> and Road No. 17027 (access road to the Duke of Orleans Caravan Park) at the Duke of Orleans Bay.</w:t>
            </w:r>
          </w:p>
        </w:tc>
      </w:tr>
    </w:tbl>
    <w:p>
      <w:pPr>
        <w:pStyle w:val="Footnotesection"/>
      </w:pPr>
      <w:r>
        <w:tab/>
        <w:t>[Regulation 41 amended in Gazette 19 Jun 1998 p. 3263; 4 Nov 2005 p. 5311; 2 Aug 2011 p. 3167; 2 Nov 2011 p. 4621.]</w:t>
      </w:r>
    </w:p>
    <w:p>
      <w:pPr>
        <w:pStyle w:val="Heading5"/>
        <w:rPr>
          <w:snapToGrid w:val="0"/>
        </w:rPr>
      </w:pPr>
      <w:bookmarkStart w:id="314" w:name="_Toc359316689"/>
      <w:r>
        <w:rPr>
          <w:rStyle w:val="CharSectno"/>
        </w:rPr>
        <w:t>42</w:t>
      </w:r>
      <w:r>
        <w:rPr>
          <w:snapToGrid w:val="0"/>
        </w:rPr>
        <w:t>.</w:t>
      </w:r>
      <w:r>
        <w:rPr>
          <w:snapToGrid w:val="0"/>
        </w:rPr>
        <w:tab/>
        <w:t>Molluscs (not abalone or oyster), shucking of</w:t>
      </w:r>
      <w:bookmarkEnd w:id="314"/>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315" w:name="_Toc359316690"/>
      <w:r>
        <w:rPr>
          <w:rStyle w:val="CharSectno"/>
        </w:rPr>
        <w:t>43</w:t>
      </w:r>
      <w:r>
        <w:rPr>
          <w:snapToGrid w:val="0"/>
        </w:rPr>
        <w:t>.</w:t>
      </w:r>
      <w:r>
        <w:rPr>
          <w:snapToGrid w:val="0"/>
        </w:rPr>
        <w:tab/>
        <w:t>Trout, obstructing etc.</w:t>
      </w:r>
      <w:bookmarkEnd w:id="315"/>
    </w:p>
    <w:p>
      <w:pPr>
        <w:pStyle w:val="Subsection"/>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316" w:name="_Toc359316691"/>
      <w:r>
        <w:rPr>
          <w:rStyle w:val="CharSectno"/>
        </w:rPr>
        <w:t>44</w:t>
      </w:r>
      <w:r>
        <w:rPr>
          <w:snapToGrid w:val="0"/>
        </w:rPr>
        <w:t>.</w:t>
      </w:r>
      <w:r>
        <w:rPr>
          <w:snapToGrid w:val="0"/>
        </w:rPr>
        <w:tab/>
        <w:t>Barramundi, trout, freshwater cobbler and redfin perch, permitted ways to fish for</w:t>
      </w:r>
      <w:bookmarkEnd w:id="316"/>
    </w:p>
    <w:p>
      <w:pPr>
        <w:pStyle w:val="Subsection"/>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317" w:name="_Toc359316692"/>
      <w:r>
        <w:rPr>
          <w:rStyle w:val="CharSectno"/>
        </w:rPr>
        <w:t>44A</w:t>
      </w:r>
      <w:r>
        <w:t>.</w:t>
      </w:r>
      <w:r>
        <w:tab/>
        <w:t>Freshwater fish, closed season for</w:t>
      </w:r>
      <w:bookmarkEnd w:id="317"/>
      <w:r>
        <w:t xml:space="preserve"> </w:t>
      </w:r>
    </w:p>
    <w:p>
      <w:pPr>
        <w:pStyle w:val="Subsection"/>
      </w:pPr>
      <w:r>
        <w:tab/>
        <w:t>(1)</w:t>
      </w:r>
      <w:r>
        <w:tab/>
        <w:t xml:space="preserve">In this regulation — </w:t>
      </w:r>
    </w:p>
    <w:p>
      <w:pPr>
        <w:pStyle w:val="Defstart"/>
      </w:pPr>
      <w:r>
        <w:tab/>
      </w:r>
      <w:r>
        <w:rPr>
          <w:rStyle w:val="CharDefText"/>
        </w:rPr>
        <w:t>freshwater fish</w:t>
      </w:r>
      <w:r>
        <w:t xml:space="preserve"> means the fish listed in Schedule 7 Division 2.</w:t>
      </w:r>
    </w:p>
    <w:p>
      <w:pPr>
        <w:pStyle w:val="Subsection"/>
      </w:pPr>
      <w:r>
        <w:tab/>
        <w:t>(2)</w:t>
      </w:r>
      <w:r>
        <w:tab/>
        <w:t>Subject to subregulation (3), a person must not fish for freshwater fish during the period from 1 July to 31 August, both dates inclusive, in any year in waters south of 29° south latitude above the tidal influence, including all lakes, dams, rivers and their tributaries.</w:t>
      </w:r>
    </w:p>
    <w:p>
      <w:pPr>
        <w:pStyle w:val="Penstart"/>
      </w:pPr>
      <w:r>
        <w:tab/>
        <w:t>Penalty: a fine of $2 000.</w:t>
      </w:r>
    </w:p>
    <w:p>
      <w:pPr>
        <w:pStyle w:val="Subsection"/>
      </w:pPr>
      <w:r>
        <w:tab/>
        <w:t>(3)</w:t>
      </w:r>
      <w:r>
        <w:tab/>
        <w:t xml:space="preserve">Subregulation (2) does not apply to a person who fishes for freshwater fish — </w:t>
      </w:r>
    </w:p>
    <w:p>
      <w:pPr>
        <w:pStyle w:val="Indenta"/>
      </w:pPr>
      <w:r>
        <w:tab/>
        <w:t>(a)</w:t>
      </w:r>
      <w:r>
        <w:tab/>
        <w:t>in waters on private land, other than waters passing through that land; or</w:t>
      </w:r>
    </w:p>
    <w:p>
      <w:pPr>
        <w:pStyle w:val="Indenta"/>
      </w:pPr>
      <w:r>
        <w:tab/>
        <w:t>(b)</w:t>
      </w:r>
      <w:r>
        <w:tab/>
        <w:t xml:space="preserve">in the waters, including tributaries flowing into those waters, of — </w:t>
      </w:r>
    </w:p>
    <w:p>
      <w:pPr>
        <w:pStyle w:val="Indenti"/>
      </w:pPr>
      <w:r>
        <w:tab/>
        <w:t>(i)</w:t>
      </w:r>
      <w:r>
        <w:tab/>
        <w:t>Big Brook Dam;</w:t>
      </w:r>
    </w:p>
    <w:p>
      <w:pPr>
        <w:pStyle w:val="Indenti"/>
      </w:pPr>
      <w:r>
        <w:tab/>
        <w:t>(ii)</w:t>
      </w:r>
      <w:r>
        <w:tab/>
        <w:t xml:space="preserve">the </w:t>
      </w:r>
      <w:smartTag w:uri="urn:schemas-microsoft-com:office:smarttags" w:element="place">
        <w:smartTag w:uri="urn:schemas-microsoft-com:office:smarttags" w:element="PlaceName">
          <w:r>
            <w:t>Blackwood</w:t>
          </w:r>
        </w:smartTag>
        <w:r>
          <w:t xml:space="preserve"> </w:t>
        </w:r>
        <w:smartTag w:uri="urn:schemas-microsoft-com:office:smarttags" w:element="PlaceType">
          <w:r>
            <w:t>River</w:t>
          </w:r>
        </w:smartTag>
      </w:smartTag>
      <w:r>
        <w:t>;</w:t>
      </w:r>
    </w:p>
    <w:p>
      <w:pPr>
        <w:pStyle w:val="Indenti"/>
      </w:pPr>
      <w:r>
        <w:tab/>
        <w:t>(iii)</w:t>
      </w:r>
      <w:r>
        <w:tab/>
        <w:t xml:space="preserve">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w:t>
      </w:r>
    </w:p>
    <w:p>
      <w:pPr>
        <w:pStyle w:val="Indenti"/>
      </w:pPr>
      <w:r>
        <w:tab/>
        <w:t>(iv)</w:t>
      </w:r>
      <w:r>
        <w:tab/>
        <w:t>Glen Mervyn Dam;</w:t>
      </w:r>
    </w:p>
    <w:p>
      <w:pPr>
        <w:pStyle w:val="Indenti"/>
      </w:pPr>
      <w:r>
        <w:tab/>
        <w:t>(v)</w:t>
      </w:r>
      <w:r>
        <w:tab/>
        <w:t xml:space="preserve">the </w:t>
      </w:r>
      <w:smartTag w:uri="urn:schemas-microsoft-com:office:smarttags" w:element="place">
        <w:r>
          <w:t>Murray River</w:t>
        </w:r>
      </w:smartTag>
      <w:r>
        <w:t>;</w:t>
      </w:r>
    </w:p>
    <w:p>
      <w:pPr>
        <w:pStyle w:val="Indenti"/>
      </w:pPr>
      <w:r>
        <w:tab/>
        <w:t>(vi)</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Leschenaultia</w:t>
          </w:r>
        </w:smartTag>
      </w:smartTag>
      <w:r>
        <w:t>;</w:t>
      </w:r>
    </w:p>
    <w:p>
      <w:pPr>
        <w:pStyle w:val="Indenti"/>
      </w:pPr>
      <w:r>
        <w:tab/>
        <w:t>(vii)</w:t>
      </w:r>
      <w:r>
        <w:tab/>
        <w:t>Logue Brook Dam;</w:t>
      </w:r>
    </w:p>
    <w:p>
      <w:pPr>
        <w:pStyle w:val="Indenti"/>
      </w:pPr>
      <w:r>
        <w:tab/>
        <w:t>(viii)</w:t>
      </w:r>
      <w:r>
        <w:tab/>
        <w:t xml:space="preserve">the </w:t>
      </w:r>
      <w:smartTag w:uri="urn:schemas-microsoft-com:office:smarttags" w:element="PlaceName">
        <w:r>
          <w:t>Serpentine</w:t>
        </w:r>
      </w:smartTag>
      <w:r>
        <w:t xml:space="preserve"> </w:t>
      </w:r>
      <w:smartTag w:uri="urn:schemas-microsoft-com:office:smarttags" w:element="PlaceType">
        <w:r>
          <w:t>River</w:t>
        </w:r>
      </w:smartTag>
      <w:r>
        <w:t xml:space="preserve">, upstream of </w:t>
      </w:r>
      <w:smartTag w:uri="urn:schemas-microsoft-com:office:smarttags" w:element="place">
        <w:smartTag w:uri="urn:schemas-microsoft-com:office:smarttags" w:element="PlaceName">
          <w:r>
            <w:t>Serpentine</w:t>
          </w:r>
        </w:smartTag>
        <w:r>
          <w:t xml:space="preserve"> </w:t>
        </w:r>
        <w:smartTag w:uri="urn:schemas-microsoft-com:office:smarttags" w:element="PlaceType">
          <w:r>
            <w:t>Falls</w:t>
          </w:r>
        </w:smartTag>
      </w:smartTag>
      <w:r>
        <w:t xml:space="preserve"> and downstream of the Serpentine Pipe</w:t>
      </w:r>
      <w:r>
        <w:noBreakHyphen/>
        <w:t>Head Dam;</w:t>
      </w:r>
    </w:p>
    <w:p>
      <w:pPr>
        <w:pStyle w:val="Indenti"/>
      </w:pPr>
      <w:r>
        <w:tab/>
        <w:t>(ix)</w:t>
      </w:r>
      <w:r>
        <w:tab/>
        <w:t xml:space="preserve">the </w:t>
      </w:r>
      <w:smartTag w:uri="urn:schemas-microsoft-com:office:smarttags" w:element="place">
        <w:smartTag w:uri="urn:schemas-microsoft-com:office:smarttags" w:element="PlaceName">
          <w:r>
            <w:t>Warren</w:t>
          </w:r>
        </w:smartTag>
        <w:r>
          <w:t xml:space="preserve"> </w:t>
        </w:r>
        <w:smartTag w:uri="urn:schemas-microsoft-com:office:smarttags" w:element="PlaceName">
          <w:r>
            <w:t>River</w:t>
          </w:r>
        </w:smartTag>
      </w:smartTag>
      <w:r>
        <w:t>;</w:t>
      </w:r>
    </w:p>
    <w:p>
      <w:pPr>
        <w:pStyle w:val="Indenti"/>
      </w:pPr>
      <w:r>
        <w:tab/>
        <w:t>(x)</w:t>
      </w:r>
      <w:r>
        <w:tab/>
      </w:r>
      <w:smartTag w:uri="urn:schemas-microsoft-com:office:smarttags" w:element="place">
        <w:smartTag w:uri="urn:schemas-microsoft-com:office:smarttags" w:element="City">
          <w:r>
            <w:t>Wellington</w:t>
          </w:r>
        </w:smartTag>
      </w:smartTag>
      <w:r>
        <w:t xml:space="preserve"> Dam.</w:t>
      </w:r>
    </w:p>
    <w:p>
      <w:pPr>
        <w:pStyle w:val="Footnotesection"/>
      </w:pPr>
      <w:r>
        <w:tab/>
        <w:t>[Regulation 44A inserted in Gazette 2 Nov 2011 p. 4621-2.]</w:t>
      </w:r>
    </w:p>
    <w:p>
      <w:pPr>
        <w:pStyle w:val="Heading5"/>
      </w:pPr>
      <w:bookmarkStart w:id="318" w:name="_Toc359316693"/>
      <w:r>
        <w:rPr>
          <w:rStyle w:val="CharSectno"/>
        </w:rPr>
        <w:t>45</w:t>
      </w:r>
      <w:r>
        <w:t>.</w:t>
      </w:r>
      <w:r>
        <w:tab/>
        <w:t>Demersal scalefish in West Coast Region, closed season for recreational fishing for</w:t>
      </w:r>
      <w:bookmarkEnd w:id="318"/>
    </w:p>
    <w:p>
      <w:pPr>
        <w:pStyle w:val="Subsection"/>
      </w:pPr>
      <w:r>
        <w:tab/>
        <w:t>(1)</w:t>
      </w:r>
      <w:r>
        <w:tab/>
        <w:t>In this regulation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pPr>
            <w:r>
              <w:t>Cod</w:t>
            </w:r>
          </w:p>
        </w:tc>
        <w:tc>
          <w:tcPr>
            <w:tcW w:w="2764" w:type="dxa"/>
          </w:tcPr>
          <w:p>
            <w:pPr>
              <w:pStyle w:val="TableNAm"/>
            </w:pPr>
            <w:r>
              <w:t>Hapuku</w:t>
            </w:r>
          </w:p>
        </w:tc>
      </w:tr>
      <w:tr>
        <w:tc>
          <w:tcPr>
            <w:tcW w:w="2764" w:type="dxa"/>
          </w:tcPr>
          <w:p>
            <w:pPr>
              <w:pStyle w:val="TableNAm"/>
            </w:pPr>
            <w:r>
              <w:t>Cod, Grey Banded Rock</w:t>
            </w:r>
          </w:p>
        </w:tc>
        <w:tc>
          <w:tcPr>
            <w:tcW w:w="2764" w:type="dxa"/>
          </w:tcPr>
          <w:p>
            <w:pPr>
              <w:pStyle w:val="TableNAm"/>
            </w:pPr>
            <w:r>
              <w:t>Nannygai</w:t>
            </w:r>
          </w:p>
        </w:tc>
      </w:tr>
      <w:tr>
        <w:tc>
          <w:tcPr>
            <w:tcW w:w="2764" w:type="dxa"/>
          </w:tcPr>
          <w:p>
            <w:pPr>
              <w:pStyle w:val="TableNAm"/>
            </w:pPr>
            <w:r>
              <w:t>Coral Trout</w:t>
            </w:r>
          </w:p>
        </w:tc>
        <w:tc>
          <w:tcPr>
            <w:tcW w:w="2764" w:type="dxa"/>
          </w:tcPr>
          <w:p>
            <w:pPr>
              <w:pStyle w:val="TableNAm"/>
            </w:pPr>
            <w:r>
              <w:t>Parrot Fish</w:t>
            </w:r>
          </w:p>
        </w:tc>
      </w:tr>
      <w:tr>
        <w:tc>
          <w:tcPr>
            <w:tcW w:w="2764" w:type="dxa"/>
          </w:tcPr>
          <w:p>
            <w:pPr>
              <w:pStyle w:val="TableNAm"/>
            </w:pPr>
            <w:r>
              <w:t>Coronation Trout</w:t>
            </w:r>
          </w:p>
        </w:tc>
        <w:tc>
          <w:tcPr>
            <w:tcW w:w="2764" w:type="dxa"/>
          </w:tcPr>
          <w:p>
            <w:pPr>
              <w:pStyle w:val="TableNAm"/>
              <w:rPr>
                <w:strike/>
              </w:rPr>
            </w:pPr>
            <w:r>
              <w:t>Seaperch, Tropical</w:t>
            </w:r>
          </w:p>
        </w:tc>
      </w:tr>
      <w:tr>
        <w:tc>
          <w:tcPr>
            <w:tcW w:w="2764" w:type="dxa"/>
          </w:tcPr>
          <w:p>
            <w:pPr>
              <w:pStyle w:val="TableNAm"/>
            </w:pPr>
            <w:r>
              <w:t>Dhufish, West Australian</w:t>
            </w:r>
          </w:p>
        </w:tc>
        <w:tc>
          <w:tcPr>
            <w:tcW w:w="2764" w:type="dxa"/>
          </w:tcPr>
          <w:p>
            <w:pPr>
              <w:pStyle w:val="TableNAm"/>
            </w:pPr>
            <w:r>
              <w:t>Snapper, Pink</w:t>
            </w:r>
          </w:p>
        </w:tc>
      </w:tr>
      <w:tr>
        <w:tc>
          <w:tcPr>
            <w:tcW w:w="2764" w:type="dxa"/>
          </w:tcPr>
          <w:p>
            <w:pPr>
              <w:pStyle w:val="TableNAm"/>
              <w:rPr>
                <w:strike/>
              </w:rPr>
            </w:pPr>
            <w:r>
              <w:t>Emperor and Seabream</w:t>
            </w:r>
          </w:p>
        </w:tc>
        <w:tc>
          <w:tcPr>
            <w:tcW w:w="2764" w:type="dxa"/>
          </w:tcPr>
          <w:p>
            <w:pPr>
              <w:pStyle w:val="TableNAm"/>
            </w:pPr>
            <w:r>
              <w:t>Snapper, Queen (Blue Morwong)</w:t>
            </w:r>
          </w:p>
        </w:tc>
      </w:tr>
      <w:tr>
        <w:tc>
          <w:tcPr>
            <w:tcW w:w="2764" w:type="dxa"/>
          </w:tcPr>
          <w:p>
            <w:pPr>
              <w:pStyle w:val="TableNAm"/>
            </w:pPr>
            <w:r>
              <w:t>Emperor, Red (Government Bream)</w:t>
            </w:r>
          </w:p>
        </w:tc>
        <w:tc>
          <w:tcPr>
            <w:tcW w:w="2764" w:type="dxa"/>
          </w:tcPr>
          <w:p>
            <w:pPr>
              <w:pStyle w:val="TableNAm"/>
            </w:pPr>
            <w:r>
              <w:t>Snapper, Red (Redfish)</w:t>
            </w:r>
          </w:p>
        </w:tc>
      </w:tr>
      <w:tr>
        <w:tc>
          <w:tcPr>
            <w:tcW w:w="2764" w:type="dxa"/>
          </w:tcPr>
          <w:p>
            <w:pPr>
              <w:pStyle w:val="TableNAm"/>
            </w:pPr>
            <w:r>
              <w:t>Foxfish, Western and Pigfish</w:t>
            </w:r>
          </w:p>
        </w:tc>
        <w:tc>
          <w:tcPr>
            <w:tcW w:w="2764" w:type="dxa"/>
          </w:tcPr>
          <w:p>
            <w:pPr>
              <w:pStyle w:val="TableNAm"/>
            </w:pPr>
            <w:r>
              <w:t>Swallowtail</w:t>
            </w:r>
          </w:p>
        </w:tc>
      </w:tr>
      <w:tr>
        <w:tc>
          <w:tcPr>
            <w:tcW w:w="2764" w:type="dxa"/>
          </w:tcPr>
          <w:p>
            <w:pPr>
              <w:pStyle w:val="TableNAm"/>
            </w:pPr>
            <w:r>
              <w:t>Groper, Baldchin</w:t>
            </w:r>
          </w:p>
        </w:tc>
        <w:tc>
          <w:tcPr>
            <w:tcW w:w="2764" w:type="dxa"/>
          </w:tcPr>
          <w:p>
            <w:pPr>
              <w:pStyle w:val="TableNAm"/>
            </w:pPr>
            <w:r>
              <w:t>Trevalla</w:t>
            </w:r>
          </w:p>
        </w:tc>
      </w:tr>
      <w:tr>
        <w:tc>
          <w:tcPr>
            <w:tcW w:w="2764" w:type="dxa"/>
          </w:tcPr>
          <w:p>
            <w:pPr>
              <w:pStyle w:val="TableNAm"/>
            </w:pPr>
            <w:r>
              <w:t>Groper, Bass</w:t>
            </w:r>
          </w:p>
        </w:tc>
        <w:tc>
          <w:tcPr>
            <w:tcW w:w="2764" w:type="dxa"/>
          </w:tcPr>
          <w:p>
            <w:pPr>
              <w:pStyle w:val="TableNAm"/>
            </w:pPr>
            <w:r>
              <w:t>Tuskfish</w:t>
            </w:r>
          </w:p>
        </w:tc>
      </w:tr>
      <w:tr>
        <w:tc>
          <w:tcPr>
            <w:tcW w:w="2764" w:type="dxa"/>
          </w:tcPr>
          <w:p>
            <w:pPr>
              <w:pStyle w:val="TableNAm"/>
            </w:pPr>
            <w:r>
              <w:t>Groper, Western Blue</w:t>
            </w:r>
          </w:p>
        </w:tc>
        <w:tc>
          <w:tcPr>
            <w:tcW w:w="2764" w:type="dxa"/>
          </w:tcPr>
          <w:p>
            <w:pPr>
              <w:pStyle w:val="TableNAm"/>
            </w:pPr>
          </w:p>
        </w:tc>
      </w:tr>
    </w:tbl>
    <w:p>
      <w:pPr>
        <w:pStyle w:val="Subsection"/>
        <w:keepNext/>
        <w:keepLines/>
      </w:pPr>
      <w:r>
        <w:tab/>
        <w:t>(2)</w:t>
      </w:r>
      <w:r>
        <w:tab/>
        <w:t>During the closed season a person must not —</w:t>
      </w:r>
    </w:p>
    <w:p>
      <w:pPr>
        <w:pStyle w:val="Indenta"/>
        <w:keepNext/>
        <w:keepLines/>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pPr>
      <w:bookmarkStart w:id="319" w:name="_Toc339625808"/>
      <w:bookmarkStart w:id="320" w:name="_Toc342397558"/>
      <w:bookmarkStart w:id="321" w:name="_Toc343519815"/>
      <w:bookmarkStart w:id="322" w:name="_Toc343520272"/>
      <w:bookmarkStart w:id="323" w:name="_Toc344711837"/>
      <w:bookmarkStart w:id="324" w:name="_Toc344712353"/>
      <w:bookmarkStart w:id="325" w:name="_Toc347307630"/>
      <w:bookmarkStart w:id="326" w:name="_Toc349822547"/>
      <w:bookmarkStart w:id="327" w:name="_Toc349822967"/>
      <w:bookmarkStart w:id="328" w:name="_Toc349830949"/>
      <w:bookmarkStart w:id="329" w:name="_Toc359248737"/>
      <w:bookmarkStart w:id="330" w:name="_Toc359316694"/>
      <w:r>
        <w:rPr>
          <w:rStyle w:val="CharDivNo"/>
        </w:rPr>
        <w:t>Division 7A</w:t>
      </w:r>
      <w:r>
        <w:rPr>
          <w:snapToGrid w:val="0"/>
        </w:rPr>
        <w:t> — </w:t>
      </w:r>
      <w:r>
        <w:rPr>
          <w:rStyle w:val="CharDivText"/>
        </w:rPr>
        <w:t>Requirements relating to automatic location communicators</w:t>
      </w:r>
      <w:bookmarkEnd w:id="319"/>
      <w:bookmarkEnd w:id="320"/>
      <w:bookmarkEnd w:id="321"/>
      <w:bookmarkEnd w:id="322"/>
      <w:bookmarkEnd w:id="323"/>
      <w:bookmarkEnd w:id="324"/>
      <w:bookmarkEnd w:id="325"/>
      <w:bookmarkEnd w:id="326"/>
      <w:bookmarkEnd w:id="327"/>
      <w:bookmarkEnd w:id="328"/>
      <w:bookmarkEnd w:id="329"/>
      <w:bookmarkEnd w:id="330"/>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331" w:name="_Toc359316695"/>
      <w:r>
        <w:rPr>
          <w:rStyle w:val="CharSectno"/>
        </w:rPr>
        <w:t>55A</w:t>
      </w:r>
      <w:r>
        <w:t>.</w:t>
      </w:r>
      <w:r>
        <w:tab/>
        <w:t>Terms used</w:t>
      </w:r>
      <w:bookmarkEnd w:id="331"/>
    </w:p>
    <w:p>
      <w:pPr>
        <w:pStyle w:val="Subsection"/>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keepNex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332" w:name="_Toc359316696"/>
      <w:r>
        <w:rPr>
          <w:rStyle w:val="CharSectno"/>
        </w:rPr>
        <w:t>55AA</w:t>
      </w:r>
      <w:r>
        <w:t>.</w:t>
      </w:r>
      <w:r>
        <w:tab/>
        <w:t>ALCs, approval of; directions for use of etc.</w:t>
      </w:r>
      <w:bookmarkEnd w:id="332"/>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333" w:name="_Toc359316697"/>
      <w:r>
        <w:rPr>
          <w:rStyle w:val="CharSectno"/>
        </w:rPr>
        <w:t>55B</w:t>
      </w:r>
      <w:r>
        <w:rPr>
          <w:snapToGrid w:val="0"/>
        </w:rPr>
        <w:t>.</w:t>
      </w:r>
      <w:r>
        <w:rPr>
          <w:snapToGrid w:val="0"/>
        </w:rPr>
        <w:tab/>
        <w:t>ALC, CEO may direct installation of etc. in fishing boat</w:t>
      </w:r>
      <w:bookmarkEnd w:id="333"/>
    </w:p>
    <w:p>
      <w:pPr>
        <w:pStyle w:val="Subsection"/>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spacing w:before="180"/>
      </w:pPr>
      <w:r>
        <w:tab/>
        <w:t>(3)</w:t>
      </w:r>
      <w:r>
        <w:tab/>
        <w:t>The CEO may by notice in writing given to the licence holder amend or revoke a notice.</w:t>
      </w:r>
    </w:p>
    <w:p>
      <w:pPr>
        <w:pStyle w:val="Footnotesection"/>
        <w:keepLines w:val="0"/>
        <w:ind w:left="890" w:hanging="890"/>
      </w:pPr>
      <w:r>
        <w:tab/>
        <w:t>[Regulation 55B inserted in Gazette 2 Jan 1998 p. 26; amended in Gazette 23 May 2006 p. 1859; 6 Jul 2007 p. 3389; 18 Aug 2009 p. 3237</w:t>
      </w:r>
      <w:r>
        <w:noBreakHyphen/>
        <w:t>8.]</w:t>
      </w:r>
    </w:p>
    <w:p>
      <w:pPr>
        <w:pStyle w:val="Heading5"/>
        <w:spacing w:before="240"/>
        <w:rPr>
          <w:snapToGrid w:val="0"/>
        </w:rPr>
      </w:pPr>
      <w:bookmarkStart w:id="334" w:name="_Toc359316698"/>
      <w:r>
        <w:rPr>
          <w:rStyle w:val="CharSectno"/>
        </w:rPr>
        <w:t>55C</w:t>
      </w:r>
      <w:r>
        <w:rPr>
          <w:snapToGrid w:val="0"/>
        </w:rPr>
        <w:t>.</w:t>
      </w:r>
      <w:r>
        <w:rPr>
          <w:snapToGrid w:val="0"/>
        </w:rPr>
        <w:tab/>
        <w:t>Master of fishing boat, duties of as to ALC</w:t>
      </w:r>
      <w:bookmarkEnd w:id="334"/>
    </w:p>
    <w:p>
      <w:pPr>
        <w:pStyle w:val="Subsection"/>
        <w:spacing w:before="180"/>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8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keepNext/>
      </w:pPr>
      <w:r>
        <w:tab/>
        <w:t>(b)</w:t>
      </w:r>
      <w:r>
        <w:tab/>
        <w:t>any directions given by the CEO (such as a direction that the fishing boat go to a port specified by the CEO) are complied with.</w:t>
      </w:r>
    </w:p>
    <w:p>
      <w:pPr>
        <w:pStyle w:val="Penstart"/>
      </w:pPr>
      <w:r>
        <w:tab/>
        <w:t>Penalty: $10 000.</w:t>
      </w:r>
    </w:p>
    <w:p>
      <w:pPr>
        <w:pStyle w:val="Subsection"/>
        <w:keepNext/>
        <w:rPr>
          <w:snapToGrid w:val="0"/>
        </w:rPr>
      </w:pPr>
      <w:r>
        <w:rPr>
          <w:snapToGrid w:val="0"/>
        </w:rPr>
        <w:tab/>
        <w:t>(4)</w:t>
      </w:r>
      <w:r>
        <w:rPr>
          <w:snapToGrid w:val="0"/>
        </w:rPr>
        <w:tab/>
        <w:t>The master of an ALC fishing boat must ensure —</w:t>
      </w:r>
    </w:p>
    <w:p>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ind w:left="890" w:hanging="890"/>
      </w:pPr>
      <w:r>
        <w:tab/>
        <w:t>[Regulation 55C inserted in Gazette 2 Jan 1998 p. 26</w:t>
      </w:r>
      <w:r>
        <w:noBreakHyphen/>
        <w:t>7; amended in Gazette 23 May 2006 p. 1859</w:t>
      </w:r>
      <w:r>
        <w:noBreakHyphen/>
        <w:t>60; 6 Jul 2007 p. 3389.]</w:t>
      </w:r>
    </w:p>
    <w:p>
      <w:pPr>
        <w:pStyle w:val="Heading5"/>
        <w:rPr>
          <w:snapToGrid w:val="0"/>
        </w:rPr>
      </w:pPr>
      <w:bookmarkStart w:id="335" w:name="_Toc359316699"/>
      <w:r>
        <w:rPr>
          <w:rStyle w:val="CharSectno"/>
        </w:rPr>
        <w:t>55D</w:t>
      </w:r>
      <w:r>
        <w:rPr>
          <w:snapToGrid w:val="0"/>
        </w:rPr>
        <w:t>.</w:t>
      </w:r>
      <w:r>
        <w:rPr>
          <w:snapToGrid w:val="0"/>
        </w:rPr>
        <w:tab/>
        <w:t>Interfering etc. with ALC or approved seal</w:t>
      </w:r>
      <w:bookmarkEnd w:id="335"/>
    </w:p>
    <w:p>
      <w:pPr>
        <w:pStyle w:val="Subsection"/>
        <w:keepNext/>
        <w:rPr>
          <w:snapToGrid w:val="0"/>
        </w:rPr>
      </w:pPr>
      <w:r>
        <w:rPr>
          <w:snapToGrid w:val="0"/>
        </w:rPr>
        <w:tab/>
        <w:t>(1)</w:t>
      </w:r>
      <w:r>
        <w:rPr>
          <w:snapToGrid w:val="0"/>
        </w:rPr>
        <w:tab/>
        <w:t>Subject to subregulation (2), a person must not wilfully interfere with, damage, destroy or remove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pPr>
      <w:r>
        <w:tab/>
        <w:t>(2)</w:t>
      </w:r>
      <w:r>
        <w:tab/>
        <w:t>Subregulation (1) does not apply to or in respect of a person installing, using or testing an approved automatic location communicator in accordance with the approved directions.</w:t>
      </w:r>
    </w:p>
    <w:p>
      <w:pPr>
        <w:pStyle w:val="Footnotesection"/>
      </w:pPr>
      <w:r>
        <w:tab/>
        <w:t>[Regulation 55D inserted in Gazette 2 Jan 1998 p. 27; amended in Gazette 23 May 2006 p. 1860.]</w:t>
      </w:r>
    </w:p>
    <w:p>
      <w:pPr>
        <w:pStyle w:val="Heading3"/>
        <w:keepLines/>
      </w:pPr>
      <w:bookmarkStart w:id="336" w:name="_Toc339625814"/>
      <w:bookmarkStart w:id="337" w:name="_Toc342397564"/>
      <w:bookmarkStart w:id="338" w:name="_Toc343519821"/>
      <w:bookmarkStart w:id="339" w:name="_Toc343520278"/>
      <w:bookmarkStart w:id="340" w:name="_Toc344711843"/>
      <w:bookmarkStart w:id="341" w:name="_Toc344712359"/>
      <w:bookmarkStart w:id="342" w:name="_Toc347307636"/>
      <w:bookmarkStart w:id="343" w:name="_Toc349822553"/>
      <w:bookmarkStart w:id="344" w:name="_Toc349822973"/>
      <w:bookmarkStart w:id="345" w:name="_Toc349830955"/>
      <w:bookmarkStart w:id="346" w:name="_Toc359248743"/>
      <w:bookmarkStart w:id="347" w:name="_Toc359316700"/>
      <w:r>
        <w:rPr>
          <w:rStyle w:val="CharDivNo"/>
        </w:rPr>
        <w:t>Division 7B</w:t>
      </w:r>
      <w:r>
        <w:t> — </w:t>
      </w:r>
      <w:r>
        <w:rPr>
          <w:rStyle w:val="CharDivText"/>
        </w:rPr>
        <w:t>Requirements relating to bait bands</w:t>
      </w:r>
      <w:bookmarkEnd w:id="336"/>
      <w:bookmarkEnd w:id="337"/>
      <w:bookmarkEnd w:id="338"/>
      <w:bookmarkEnd w:id="339"/>
      <w:bookmarkEnd w:id="340"/>
      <w:bookmarkEnd w:id="341"/>
      <w:bookmarkEnd w:id="342"/>
      <w:bookmarkEnd w:id="343"/>
      <w:bookmarkEnd w:id="344"/>
      <w:bookmarkEnd w:id="345"/>
      <w:bookmarkEnd w:id="346"/>
      <w:bookmarkEnd w:id="347"/>
    </w:p>
    <w:p>
      <w:pPr>
        <w:pStyle w:val="Footnoteheading"/>
        <w:keepNext/>
        <w:keepLines/>
      </w:pPr>
      <w:r>
        <w:tab/>
        <w:t>[Heading inserted in Gazette 2 Nov 2011 p. 4622.]</w:t>
      </w:r>
    </w:p>
    <w:p>
      <w:pPr>
        <w:pStyle w:val="Heading5"/>
      </w:pPr>
      <w:bookmarkStart w:id="348" w:name="_Toc359316701"/>
      <w:r>
        <w:rPr>
          <w:rStyle w:val="CharSectno"/>
        </w:rPr>
        <w:t>55E</w:t>
      </w:r>
      <w:r>
        <w:t>.</w:t>
      </w:r>
      <w:r>
        <w:tab/>
        <w:t>Terms used</w:t>
      </w:r>
      <w:bookmarkEnd w:id="348"/>
    </w:p>
    <w:p>
      <w:pPr>
        <w:pStyle w:val="Subsection"/>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pPr>
      <w:r>
        <w:tab/>
      </w:r>
      <w:r>
        <w:rPr>
          <w:rStyle w:val="CharDefText"/>
        </w:rPr>
        <w:t>WCRL Managed Fishery</w:t>
      </w:r>
      <w:r>
        <w:t xml:space="preserve"> means the West Coast Rock Lobster Managed Fishery.</w:t>
      </w:r>
    </w:p>
    <w:p>
      <w:pPr>
        <w:pStyle w:val="Footnotesection"/>
      </w:pPr>
      <w:r>
        <w:tab/>
        <w:t>[Regulation 55E inserted in Gazette 2 Nov 2011 p. 4622; amended in Gazette 1 Mar 2013 p. 1092.]</w:t>
      </w:r>
    </w:p>
    <w:p>
      <w:pPr>
        <w:pStyle w:val="Heading5"/>
      </w:pPr>
      <w:bookmarkStart w:id="349" w:name="_Toc359316702"/>
      <w:r>
        <w:rPr>
          <w:rStyle w:val="CharSectno"/>
        </w:rPr>
        <w:t>55F</w:t>
      </w:r>
      <w:r>
        <w:t>.</w:t>
      </w:r>
      <w:r>
        <w:tab/>
        <w:t>Bait bands on boats prohibited</w:t>
      </w:r>
      <w:bookmarkEnd w:id="349"/>
    </w:p>
    <w:p>
      <w:pPr>
        <w:pStyle w:val="Subsection"/>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pPr>
      <w:r>
        <w:tab/>
        <w:t>(2)</w:t>
      </w:r>
      <w:r>
        <w:tab/>
        <w:t>Subregulation (1) does not apply in relation to a licensed carrier boat being used in the WCRL Managed Fishery to transport fish taken with the use of another boat.</w:t>
      </w:r>
    </w:p>
    <w:p>
      <w:pPr>
        <w:pStyle w:val="Subsection"/>
      </w:pPr>
      <w:r>
        <w:tab/>
        <w:t>(3)</w:t>
      </w:r>
      <w:r>
        <w:tab/>
        <w:t xml:space="preserve">Subregulation (1) does not apply in relation to a boat that is authorised to be used for or in connection with the taking of rock lobster in the WCRL Managed Fishery if that boat — </w:t>
      </w:r>
    </w:p>
    <w:p>
      <w:pPr>
        <w:pStyle w:val="Indenta"/>
      </w:pPr>
      <w:r>
        <w:tab/>
        <w:t>(a)</w:t>
      </w:r>
      <w:r>
        <w:tab/>
        <w:t xml:space="preserve">is being used in that fishery to transport bait from a licensed carrier boat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or</w:t>
      </w:r>
    </w:p>
    <w:p>
      <w:pPr>
        <w:pStyle w:val="Indenta"/>
      </w:pPr>
      <w:r>
        <w:tab/>
        <w:t>(b)</w:t>
      </w:r>
      <w:r>
        <w:tab/>
        <w:t xml:space="preserve">is a licensed fishing boat that is moored or anchored in that fishery not more than 800 m from the high water mark on the mainland or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w:t>
      </w:r>
    </w:p>
    <w:p>
      <w:pPr>
        <w:pStyle w:val="Subsection"/>
      </w:pPr>
      <w:r>
        <w:tab/>
        <w:t>(4)</w:t>
      </w:r>
      <w:r>
        <w:tab/>
        <w:t xml:space="preserve">Subregulation (1) does not apply in relation to a boat being used in the WCRL Managed Fishery to transport — </w:t>
      </w:r>
    </w:p>
    <w:p>
      <w:pPr>
        <w:pStyle w:val="Indenta"/>
      </w:pPr>
      <w:r>
        <w:tab/>
        <w:t>(a)</w:t>
      </w:r>
      <w:r>
        <w:tab/>
        <w:t>bait to or from a boat referred to in subregulation (3)(b); or</w:t>
      </w:r>
    </w:p>
    <w:p>
      <w:pPr>
        <w:pStyle w:val="Indenta"/>
      </w:pPr>
      <w:r>
        <w:tab/>
        <w:t>(b)</w:t>
      </w:r>
      <w:r>
        <w:tab/>
        <w:t>bait bands from a boat referred to in subregulation (3)(b).</w:t>
      </w:r>
    </w:p>
    <w:p>
      <w:pPr>
        <w:pStyle w:val="Footnotesection"/>
      </w:pPr>
      <w:r>
        <w:tab/>
        <w:t>[Regulation 55F inserted in Gazette 2 Nov 2011 p. 4623.]</w:t>
      </w:r>
    </w:p>
    <w:p>
      <w:pPr>
        <w:pStyle w:val="Ednotedivision"/>
      </w:pPr>
      <w:r>
        <w:t>[</w:t>
      </w:r>
      <w:r>
        <w:rPr>
          <w:b/>
        </w:rPr>
        <w:t>55G</w:t>
      </w:r>
      <w:r>
        <w:rPr>
          <w:b/>
        </w:rPr>
        <w:noBreakHyphen/>
        <w:t>55L.</w:t>
      </w:r>
      <w:r>
        <w:rPr>
          <w:b/>
        </w:rPr>
        <w:tab/>
      </w:r>
      <w:r>
        <w:t>Deleted in Gazette 1 Oct 2003 p. 4303.]</w:t>
      </w:r>
    </w:p>
    <w:p>
      <w:pPr>
        <w:pStyle w:val="Heading3"/>
        <w:spacing w:before="220"/>
      </w:pPr>
      <w:bookmarkStart w:id="350" w:name="_Toc339625817"/>
      <w:bookmarkStart w:id="351" w:name="_Toc342397567"/>
      <w:bookmarkStart w:id="352" w:name="_Toc343519824"/>
      <w:bookmarkStart w:id="353" w:name="_Toc343520281"/>
      <w:bookmarkStart w:id="354" w:name="_Toc344711846"/>
      <w:bookmarkStart w:id="355" w:name="_Toc344712362"/>
      <w:bookmarkStart w:id="356" w:name="_Toc347307639"/>
      <w:bookmarkStart w:id="357" w:name="_Toc349822556"/>
      <w:bookmarkStart w:id="358" w:name="_Toc349822976"/>
      <w:bookmarkStart w:id="359" w:name="_Toc349830958"/>
      <w:bookmarkStart w:id="360" w:name="_Toc359248746"/>
      <w:bookmarkStart w:id="361" w:name="_Toc359316703"/>
      <w:r>
        <w:rPr>
          <w:rStyle w:val="CharDivNo"/>
        </w:rPr>
        <w:t>Division 8</w:t>
      </w:r>
      <w:r>
        <w:rPr>
          <w:snapToGrid w:val="0"/>
        </w:rPr>
        <w:t> — </w:t>
      </w:r>
      <w:r>
        <w:rPr>
          <w:rStyle w:val="CharDivText"/>
        </w:rPr>
        <w:t>Miscellaneous requirements</w:t>
      </w:r>
      <w:bookmarkEnd w:id="350"/>
      <w:bookmarkEnd w:id="351"/>
      <w:bookmarkEnd w:id="352"/>
      <w:bookmarkEnd w:id="353"/>
      <w:bookmarkEnd w:id="354"/>
      <w:bookmarkEnd w:id="355"/>
      <w:bookmarkEnd w:id="356"/>
      <w:bookmarkEnd w:id="357"/>
      <w:bookmarkEnd w:id="358"/>
      <w:bookmarkEnd w:id="359"/>
      <w:bookmarkEnd w:id="360"/>
      <w:bookmarkEnd w:id="361"/>
    </w:p>
    <w:p>
      <w:pPr>
        <w:pStyle w:val="Heading5"/>
        <w:spacing w:before="180"/>
        <w:rPr>
          <w:snapToGrid w:val="0"/>
        </w:rPr>
      </w:pPr>
      <w:bookmarkStart w:id="362" w:name="_Toc359316704"/>
      <w:r>
        <w:rPr>
          <w:rStyle w:val="CharSectno"/>
        </w:rPr>
        <w:t>56</w:t>
      </w:r>
      <w:r>
        <w:rPr>
          <w:snapToGrid w:val="0"/>
        </w:rPr>
        <w:t>.</w:t>
      </w:r>
      <w:r>
        <w:rPr>
          <w:snapToGrid w:val="0"/>
        </w:rPr>
        <w:tab/>
        <w:t>Documents to be carried on licensed fishing boat</w:t>
      </w:r>
      <w:bookmarkEnd w:id="362"/>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363" w:name="_Toc359316705"/>
      <w:r>
        <w:rPr>
          <w:rStyle w:val="CharSectno"/>
        </w:rPr>
        <w:t>56A</w:t>
      </w:r>
      <w:r>
        <w:t>.</w:t>
      </w:r>
      <w:r>
        <w:tab/>
        <w:t>Fish hooks attached to rock lobster pots, float lines, moorings etc. not to be used to fish</w:t>
      </w:r>
      <w:bookmarkEnd w:id="363"/>
    </w:p>
    <w:p>
      <w:pPr>
        <w:pStyle w:val="Subsection"/>
        <w:keepNext/>
        <w:spacing w:before="120"/>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keepNext/>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ind w:left="890" w:hanging="890"/>
      </w:pPr>
      <w:r>
        <w:tab/>
        <w:t>[Regulation 56A inserted in Gazette 29 Nov 2002 p. 5655; amended in Gazette 11 Feb 2003 p. 412.]</w:t>
      </w:r>
    </w:p>
    <w:p>
      <w:pPr>
        <w:pStyle w:val="Heading5"/>
        <w:rPr>
          <w:snapToGrid w:val="0"/>
        </w:rPr>
      </w:pPr>
      <w:bookmarkStart w:id="364" w:name="_Toc359316706"/>
      <w:r>
        <w:rPr>
          <w:rStyle w:val="CharSectno"/>
        </w:rPr>
        <w:t>57</w:t>
      </w:r>
      <w:r>
        <w:rPr>
          <w:snapToGrid w:val="0"/>
        </w:rPr>
        <w:t>.</w:t>
      </w:r>
      <w:r>
        <w:rPr>
          <w:snapToGrid w:val="0"/>
        </w:rPr>
        <w:tab/>
        <w:t xml:space="preserve">Snapper in </w:t>
      </w:r>
      <w:smartTag w:uri="urn:schemas-microsoft-com:office:smarttags" w:element="place">
        <w:smartTag w:uri="urn:schemas-microsoft-com:office:smarttags" w:element="PlaceName">
          <w:r>
            <w:rPr>
              <w:snapToGrid w:val="0"/>
            </w:rPr>
            <w:t>Shark</w:t>
          </w:r>
        </w:smartTag>
        <w:r>
          <w:rPr>
            <w:snapToGrid w:val="0"/>
          </w:rPr>
          <w:t xml:space="preserve"> </w:t>
        </w:r>
        <w:smartTag w:uri="urn:schemas-microsoft-com:office:smarttags" w:element="PlaceType">
          <w:r>
            <w:rPr>
              <w:snapToGrid w:val="0"/>
            </w:rPr>
            <w:t>Bay</w:t>
          </w:r>
        </w:smartTag>
      </w:smartTag>
      <w:r>
        <w:rPr>
          <w:snapToGrid w:val="0"/>
        </w:rPr>
        <w:t xml:space="preserve"> region, restrictions on fishing for</w:t>
      </w:r>
      <w:bookmarkEnd w:id="364"/>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w:t>
      </w:r>
    </w:p>
    <w:p>
      <w:pPr>
        <w:pStyle w:val="Indenta"/>
        <w:rPr>
          <w:snapToGrid w:val="0"/>
        </w:rPr>
      </w:pPr>
      <w:r>
        <w:rPr>
          <w:snapToGrid w:val="0"/>
        </w:rPr>
        <w:tab/>
        <w:t>(a)</w:t>
      </w:r>
      <w:r>
        <w:rPr>
          <w:snapToGrid w:val="0"/>
        </w:rPr>
        <w:tab/>
        <w:t>one line to which not more than 3 hooks or gangs of hooks are attached; or</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spacing w:before="120"/>
      </w:pPr>
      <w:r>
        <w:tab/>
        <w:t>[(2)</w:t>
      </w:r>
      <w:r>
        <w:tab/>
        <w:t>deleted]</w:t>
      </w:r>
    </w:p>
    <w:p>
      <w:pPr>
        <w:pStyle w:val="Footnotesection"/>
      </w:pPr>
      <w:r>
        <w:tab/>
        <w:t>[Regulation 57 amended in Gazette 28 Feb 2003 p. 661; 1 Oct 2003 p. 4303.]</w:t>
      </w:r>
    </w:p>
    <w:p>
      <w:pPr>
        <w:pStyle w:val="Ednotesection"/>
      </w:pPr>
      <w:r>
        <w:t>[</w:t>
      </w:r>
      <w:r>
        <w:rPr>
          <w:b/>
        </w:rPr>
        <w:t>58.</w:t>
      </w:r>
      <w:r>
        <w:tab/>
        <w:t>Deleted in Gazette 1 Oct 2003 p. 4303.]</w:t>
      </w:r>
    </w:p>
    <w:p>
      <w:pPr>
        <w:pStyle w:val="Heading5"/>
        <w:keepLines w:val="0"/>
        <w:rPr>
          <w:snapToGrid w:val="0"/>
        </w:rPr>
      </w:pPr>
      <w:bookmarkStart w:id="365" w:name="_Toc359316707"/>
      <w:r>
        <w:rPr>
          <w:rStyle w:val="CharSectno"/>
        </w:rPr>
        <w:t>59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fish by authorised trade names</w:t>
      </w:r>
      <w:bookmarkEnd w:id="365"/>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366" w:name="_Toc359316708"/>
      <w:r>
        <w:rPr>
          <w:rStyle w:val="CharSectno"/>
        </w:rPr>
        <w:t>60</w:t>
      </w:r>
      <w:r>
        <w:rPr>
          <w:snapToGrid w:val="0"/>
        </w:rPr>
        <w:t>.</w:t>
      </w:r>
      <w:r>
        <w:rPr>
          <w:snapToGrid w:val="0"/>
        </w:rPr>
        <w:tab/>
        <w:t>Rock lobsters, maximum size of packages etc. of</w:t>
      </w:r>
      <w:bookmarkEnd w:id="366"/>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367" w:name="_Toc359316709"/>
      <w:r>
        <w:rPr>
          <w:rStyle w:val="CharSectno"/>
        </w:rPr>
        <w:t>61</w:t>
      </w:r>
      <w:r>
        <w:rPr>
          <w:snapToGrid w:val="0"/>
        </w:rPr>
        <w:t>.</w:t>
      </w:r>
      <w:r>
        <w:rPr>
          <w:snapToGrid w:val="0"/>
        </w:rPr>
        <w:tab/>
        <w:t>Fish for sale etc., labelling requirements for</w:t>
      </w:r>
      <w:bookmarkEnd w:id="367"/>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If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the label referred to in subregulation (1) must specify —</w:t>
      </w:r>
    </w:p>
    <w:p>
      <w:pPr>
        <w:pStyle w:val="Indenta"/>
      </w:pPr>
      <w:r>
        <w:tab/>
        <w:t>(c)</w:t>
      </w:r>
      <w:r>
        <w:tab/>
        <w:t>the name of the person and the town or suburb where the person’s principal place of residence is located; and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pPr>
      <w:r>
        <w:rPr>
          <w:snapToGrid w:val="0"/>
        </w:rPr>
        <w:tab/>
        <w:t>(5)</w:t>
      </w:r>
      <w:r>
        <w:rPr>
          <w:snapToGrid w:val="0"/>
        </w:rPr>
        <w:tab/>
      </w:r>
      <w:r>
        <w:rPr>
          <w:snapToGrid w:val="0"/>
          <w:spacing w:val="-4"/>
        </w:rPr>
        <w:t xml:space="preserve">The label referred to in subregulation (2) must </w:t>
      </w:r>
      <w:r>
        <w:rPr>
          <w:spacing w:val="-4"/>
        </w:rPr>
        <w:t>clearly identify —</w:t>
      </w:r>
    </w:p>
    <w:p>
      <w:pPr>
        <w:pStyle w:val="Indenta"/>
        <w:rPr>
          <w:snapToGrid w:val="0"/>
        </w:rPr>
      </w:pPr>
      <w:r>
        <w:rPr>
          <w:snapToGrid w:val="0"/>
        </w:rPr>
        <w:tab/>
        <w:t>(a)</w:t>
      </w:r>
      <w:r>
        <w:rPr>
          <w:snapToGrid w:val="0"/>
        </w:rPr>
        <w:tab/>
        <w:t>the name and principal place of residence of the master of any licensed fishing boat which was used to fish for the fish; and</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368" w:name="_Toc359316710"/>
      <w:r>
        <w:rPr>
          <w:rStyle w:val="CharSectno"/>
        </w:rPr>
        <w:t>62</w:t>
      </w:r>
      <w:r>
        <w:rPr>
          <w:snapToGrid w:val="0"/>
        </w:rPr>
        <w:t>.</w:t>
      </w:r>
      <w:r>
        <w:rPr>
          <w:snapToGrid w:val="0"/>
        </w:rPr>
        <w:tab/>
        <w:t>Refuse etc. not to be deposited in waters etc. where fish are</w:t>
      </w:r>
      <w:bookmarkEnd w:id="368"/>
    </w:p>
    <w:p>
      <w:pPr>
        <w:pStyle w:val="Subsection"/>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pPr>
      <w:bookmarkStart w:id="369" w:name="_Toc359316711"/>
      <w:r>
        <w:rPr>
          <w:rStyle w:val="CharSectno"/>
        </w:rPr>
        <w:t>63A</w:t>
      </w:r>
      <w:r>
        <w:t>.</w:t>
      </w:r>
      <w:r>
        <w:tab/>
        <w:t>Use of berley containing mammal or bird products</w:t>
      </w:r>
      <w:bookmarkEnd w:id="369"/>
    </w:p>
    <w:p>
      <w:pPr>
        <w:pStyle w:val="Subsection"/>
      </w:pPr>
      <w:r>
        <w:tab/>
        <w:t>(1)</w:t>
      </w:r>
      <w:r>
        <w:tab/>
        <w:t xml:space="preserve">In this regulation — </w:t>
      </w:r>
    </w:p>
    <w:p>
      <w:pPr>
        <w:pStyle w:val="Defstart"/>
      </w:pPr>
      <w:r>
        <w:tab/>
      </w:r>
      <w:r>
        <w:rPr>
          <w:rStyle w:val="CharDefText"/>
        </w:rPr>
        <w:t>mammal or bird products</w:t>
      </w:r>
      <w:r>
        <w:t xml:space="preserve"> means blood, flesh, offal or skin from a mammal or from a bird.</w:t>
      </w:r>
    </w:p>
    <w:p>
      <w:pPr>
        <w:pStyle w:val="Subsection"/>
      </w:pPr>
      <w:r>
        <w:tab/>
        <w:t>(2)</w:t>
      </w:r>
      <w:r>
        <w:tab/>
        <w:t>A person must not, in WA waters, use berley containing mammal or bird products.</w:t>
      </w:r>
    </w:p>
    <w:p>
      <w:pPr>
        <w:pStyle w:val="Penstart"/>
      </w:pPr>
      <w:r>
        <w:tab/>
        <w:t>Penalty: a fine of $10 000.</w:t>
      </w:r>
    </w:p>
    <w:p>
      <w:pPr>
        <w:pStyle w:val="Subsection"/>
      </w:pPr>
      <w:r>
        <w:tab/>
        <w:t>(3)</w:t>
      </w:r>
      <w:r>
        <w:tab/>
        <w:t>Subregulation (2) does not apply in respect of berley that is in the form of processed bait pellets.</w:t>
      </w:r>
    </w:p>
    <w:p>
      <w:pPr>
        <w:pStyle w:val="Subsection"/>
      </w:pPr>
      <w:r>
        <w:tab/>
        <w:t>(4)</w:t>
      </w:r>
      <w:r>
        <w:tab/>
        <w:t xml:space="preserve">It is a defence in proceedings for an offence against subregulation (2) for the person charged to prove that the mammal or bird product contained in the berley was used, in accordance with the Act, as bait — </w:t>
      </w:r>
    </w:p>
    <w:p>
      <w:pPr>
        <w:pStyle w:val="Indenta"/>
      </w:pPr>
      <w:r>
        <w:tab/>
        <w:t>(a)</w:t>
      </w:r>
      <w:r>
        <w:tab/>
        <w:t>in a crab drop net, rock lobster pot or other trap or device for trapping fish; or</w:t>
      </w:r>
    </w:p>
    <w:p>
      <w:pPr>
        <w:pStyle w:val="Indenta"/>
      </w:pPr>
      <w:r>
        <w:tab/>
        <w:t>(b)</w:t>
      </w:r>
      <w:r>
        <w:tab/>
        <w:t>attached to a fish hook.</w:t>
      </w:r>
    </w:p>
    <w:p>
      <w:pPr>
        <w:pStyle w:val="Footnotesection"/>
      </w:pPr>
      <w:r>
        <w:tab/>
        <w:t>[Regulation 63A inserted in Gazette 18 Jun 2013 p. 2296.]</w:t>
      </w:r>
    </w:p>
    <w:p>
      <w:pPr>
        <w:pStyle w:val="Heading5"/>
        <w:rPr>
          <w:snapToGrid w:val="0"/>
        </w:rPr>
      </w:pPr>
      <w:bookmarkStart w:id="370" w:name="_Toc359316712"/>
      <w:r>
        <w:rPr>
          <w:rStyle w:val="CharSectno"/>
        </w:rPr>
        <w:t>63</w:t>
      </w:r>
      <w:r>
        <w:rPr>
          <w:snapToGrid w:val="0"/>
        </w:rPr>
        <w:t>.</w:t>
      </w:r>
      <w:r>
        <w:rPr>
          <w:snapToGrid w:val="0"/>
        </w:rPr>
        <w:tab/>
        <w:t>Fishing gear prohibited from use in waters, possession of</w:t>
      </w:r>
      <w:bookmarkEnd w:id="370"/>
    </w:p>
    <w:p>
      <w:pPr>
        <w:pStyle w:val="Subsection"/>
        <w:rPr>
          <w:snapToGrid w:val="0"/>
        </w:rPr>
      </w:pPr>
      <w:r>
        <w:rPr>
          <w:snapToGrid w:val="0"/>
        </w:rPr>
        <w:tab/>
        <w:t>(1)</w:t>
      </w:r>
      <w:r>
        <w:rPr>
          <w:snapToGrid w:val="0"/>
        </w:rPr>
        <w:tab/>
        <w:t>Where, under the Act, it is prohibited for a person to use any fishing gear in any waters the person must not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371" w:name="_Toc359316713"/>
      <w:r>
        <w:rPr>
          <w:rStyle w:val="CharSectno"/>
        </w:rPr>
        <w:t>64</w:t>
      </w:r>
      <w:r>
        <w:rPr>
          <w:snapToGrid w:val="0"/>
        </w:rPr>
        <w:t>.</w:t>
      </w:r>
      <w:r>
        <w:rPr>
          <w:snapToGrid w:val="0"/>
        </w:rPr>
        <w:tab/>
        <w:t>Commercial fishers etc., duties of as to records and returns</w:t>
      </w:r>
      <w:bookmarkEnd w:id="371"/>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spacing w:before="60"/>
        <w:rPr>
          <w:snapToGrid w:val="0"/>
        </w:rPr>
      </w:pPr>
      <w:r>
        <w:rPr>
          <w:snapToGrid w:val="0"/>
        </w:rPr>
        <w:tab/>
        <w:t>(e)</w:t>
      </w:r>
      <w:r>
        <w:rPr>
          <w:snapToGrid w:val="0"/>
        </w:rPr>
        <w:tab/>
        <w:t>receipts of fish or fish products;</w:t>
      </w:r>
    </w:p>
    <w:p>
      <w:pPr>
        <w:pStyle w:val="Indenta"/>
        <w:spacing w:before="60"/>
        <w:rPr>
          <w:snapToGrid w:val="0"/>
        </w:rPr>
      </w:pPr>
      <w:r>
        <w:rPr>
          <w:snapToGrid w:val="0"/>
        </w:rPr>
        <w:tab/>
        <w:t>(f)</w:t>
      </w:r>
      <w:r>
        <w:rPr>
          <w:snapToGrid w:val="0"/>
        </w:rPr>
        <w:tab/>
        <w:t>fishing gear or equipment bought, sold or used;</w:t>
      </w:r>
    </w:p>
    <w:p>
      <w:pPr>
        <w:pStyle w:val="Indenta"/>
        <w:spacing w:before="60"/>
        <w:rPr>
          <w:snapToGrid w:val="0"/>
        </w:rPr>
      </w:pPr>
      <w:r>
        <w:rPr>
          <w:snapToGrid w:val="0"/>
        </w:rPr>
        <w:tab/>
        <w:t>(g)</w:t>
      </w:r>
      <w:r>
        <w:rPr>
          <w:snapToGrid w:val="0"/>
        </w:rPr>
        <w:tab/>
        <w:t>times and places of fishing, or carrying out the relevant business of the person;</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send the return relating to each month —</w:t>
      </w:r>
    </w:p>
    <w:p>
      <w:pPr>
        <w:pStyle w:val="Indenti"/>
      </w:pPr>
      <w:r>
        <w:tab/>
        <w:t>(i)</w:t>
      </w:r>
      <w:r>
        <w:tab/>
        <w:t xml:space="preserve">to the head office of the Department in </w:t>
      </w:r>
      <w:smartTag w:uri="urn:schemas-microsoft-com:office:smarttags" w:element="place">
        <w:smartTag w:uri="urn:schemas-microsoft-com:office:smarttags" w:element="City">
          <w:r>
            <w:t>Perth</w:t>
          </w:r>
        </w:smartTag>
      </w:smartTag>
      <w:r>
        <w:t>; or</w:t>
      </w:r>
    </w:p>
    <w:p>
      <w:pPr>
        <w:pStyle w:val="Indenti"/>
        <w:keepNext/>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keepLines w:val="0"/>
      </w:pPr>
      <w:r>
        <w:tab/>
        <w:t>[Regulation 64 amended in Gazette 15 Jan 1999 p. 113; 13 Aug 1999 p. 3826; 29 Jun 2001 p. 3164; 27 Jun 2003 p. 2389; 6 Jul 2007 p. 3389; 5 Nov 2009 p. 4412; 1 Mar 2011 p. 667.]</w:t>
      </w:r>
    </w:p>
    <w:p>
      <w:pPr>
        <w:pStyle w:val="Heading2"/>
      </w:pPr>
      <w:bookmarkStart w:id="372" w:name="_Toc339625827"/>
      <w:bookmarkStart w:id="373" w:name="_Toc342397577"/>
      <w:bookmarkStart w:id="374" w:name="_Toc343519834"/>
      <w:bookmarkStart w:id="375" w:name="_Toc343520291"/>
      <w:bookmarkStart w:id="376" w:name="_Toc344711856"/>
      <w:bookmarkStart w:id="377" w:name="_Toc344712372"/>
      <w:bookmarkStart w:id="378" w:name="_Toc347307649"/>
      <w:bookmarkStart w:id="379" w:name="_Toc349822566"/>
      <w:bookmarkStart w:id="380" w:name="_Toc349822986"/>
      <w:bookmarkStart w:id="381" w:name="_Toc349830968"/>
      <w:bookmarkStart w:id="382" w:name="_Toc359248757"/>
      <w:bookmarkStart w:id="383" w:name="_Toc359316714"/>
      <w:r>
        <w:rPr>
          <w:rStyle w:val="CharPartNo"/>
        </w:rPr>
        <w:t>Part 4A</w:t>
      </w:r>
      <w:r>
        <w:rPr>
          <w:b w:val="0"/>
        </w:rPr>
        <w:t> </w:t>
      </w:r>
      <w:r>
        <w:t>—</w:t>
      </w:r>
      <w:r>
        <w:rPr>
          <w:b w:val="0"/>
        </w:rPr>
        <w:t> </w:t>
      </w:r>
      <w:r>
        <w:rPr>
          <w:rStyle w:val="CharPartText"/>
        </w:rPr>
        <w:t>Requirements regarding fishing gear</w:t>
      </w:r>
      <w:bookmarkEnd w:id="372"/>
      <w:bookmarkEnd w:id="373"/>
      <w:bookmarkEnd w:id="374"/>
      <w:bookmarkEnd w:id="375"/>
      <w:bookmarkEnd w:id="376"/>
      <w:bookmarkEnd w:id="377"/>
      <w:bookmarkEnd w:id="378"/>
      <w:bookmarkEnd w:id="379"/>
      <w:bookmarkEnd w:id="380"/>
      <w:bookmarkEnd w:id="381"/>
      <w:bookmarkEnd w:id="382"/>
      <w:bookmarkEnd w:id="383"/>
    </w:p>
    <w:p>
      <w:pPr>
        <w:pStyle w:val="Footnoteheading"/>
        <w:tabs>
          <w:tab w:val="left" w:pos="851"/>
        </w:tabs>
      </w:pPr>
      <w:r>
        <w:tab/>
        <w:t>[Heading inserted in Gazette 1 Oct 2003 p. 4304.]</w:t>
      </w:r>
    </w:p>
    <w:p>
      <w:pPr>
        <w:pStyle w:val="Heading3"/>
      </w:pPr>
      <w:bookmarkStart w:id="384" w:name="_Toc339625828"/>
      <w:bookmarkStart w:id="385" w:name="_Toc342397578"/>
      <w:bookmarkStart w:id="386" w:name="_Toc343519835"/>
      <w:bookmarkStart w:id="387" w:name="_Toc343520292"/>
      <w:bookmarkStart w:id="388" w:name="_Toc344711857"/>
      <w:bookmarkStart w:id="389" w:name="_Toc344712373"/>
      <w:bookmarkStart w:id="390" w:name="_Toc347307650"/>
      <w:bookmarkStart w:id="391" w:name="_Toc349822567"/>
      <w:bookmarkStart w:id="392" w:name="_Toc349822987"/>
      <w:bookmarkStart w:id="393" w:name="_Toc349830969"/>
      <w:bookmarkStart w:id="394" w:name="_Toc359248758"/>
      <w:bookmarkStart w:id="395" w:name="_Toc359316715"/>
      <w:r>
        <w:rPr>
          <w:rStyle w:val="CharDivNo"/>
        </w:rPr>
        <w:t>Division 1</w:t>
      </w:r>
      <w:r>
        <w:t> — </w:t>
      </w:r>
      <w:r>
        <w:rPr>
          <w:rStyle w:val="CharDivText"/>
        </w:rPr>
        <w:t>Preliminary</w:t>
      </w:r>
      <w:bookmarkEnd w:id="384"/>
      <w:bookmarkEnd w:id="385"/>
      <w:bookmarkEnd w:id="386"/>
      <w:bookmarkEnd w:id="387"/>
      <w:bookmarkEnd w:id="388"/>
      <w:bookmarkEnd w:id="389"/>
      <w:bookmarkEnd w:id="390"/>
      <w:bookmarkEnd w:id="391"/>
      <w:bookmarkEnd w:id="392"/>
      <w:bookmarkEnd w:id="393"/>
      <w:bookmarkEnd w:id="394"/>
      <w:bookmarkEnd w:id="395"/>
    </w:p>
    <w:p>
      <w:pPr>
        <w:pStyle w:val="Footnoteheading"/>
        <w:tabs>
          <w:tab w:val="left" w:pos="851"/>
        </w:tabs>
      </w:pPr>
      <w:r>
        <w:tab/>
        <w:t>[Heading inserted in Gazette 1 Oct 2003 p. 4304.]</w:t>
      </w:r>
    </w:p>
    <w:p>
      <w:pPr>
        <w:pStyle w:val="Heading5"/>
      </w:pPr>
      <w:bookmarkStart w:id="396" w:name="_Toc359316716"/>
      <w:r>
        <w:rPr>
          <w:rStyle w:val="CharSectno"/>
        </w:rPr>
        <w:t>64A</w:t>
      </w:r>
      <w:r>
        <w:t>.</w:t>
      </w:r>
      <w:r>
        <w:tab/>
        <w:t>Order of precedence of Div. 2, 3 and 4</w:t>
      </w:r>
      <w:bookmarkEnd w:id="396"/>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397" w:name="_Toc359316717"/>
      <w:r>
        <w:rPr>
          <w:rStyle w:val="CharSectno"/>
        </w:rPr>
        <w:t>64B</w:t>
      </w:r>
      <w:r>
        <w:t>.</w:t>
      </w:r>
      <w:r>
        <w:tab/>
        <w:t>Term used: attend</w:t>
      </w:r>
      <w:bookmarkEnd w:id="397"/>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in Gazette 1 Oct 2003 p. 4304.]</w:t>
      </w:r>
    </w:p>
    <w:p>
      <w:pPr>
        <w:pStyle w:val="Heading3"/>
      </w:pPr>
      <w:bookmarkStart w:id="398" w:name="_Toc339625831"/>
      <w:bookmarkStart w:id="399" w:name="_Toc342397581"/>
      <w:bookmarkStart w:id="400" w:name="_Toc343519838"/>
      <w:bookmarkStart w:id="401" w:name="_Toc343520295"/>
      <w:bookmarkStart w:id="402" w:name="_Toc344711860"/>
      <w:bookmarkStart w:id="403" w:name="_Toc344712376"/>
      <w:bookmarkStart w:id="404" w:name="_Toc347307653"/>
      <w:bookmarkStart w:id="405" w:name="_Toc349822570"/>
      <w:bookmarkStart w:id="406" w:name="_Toc349822990"/>
      <w:bookmarkStart w:id="407" w:name="_Toc349830972"/>
      <w:bookmarkStart w:id="408" w:name="_Toc359248761"/>
      <w:bookmarkStart w:id="409" w:name="_Toc359316718"/>
      <w:r>
        <w:rPr>
          <w:rStyle w:val="CharDivNo"/>
        </w:rPr>
        <w:t>Division 2</w:t>
      </w:r>
      <w:r>
        <w:t> — </w:t>
      </w:r>
      <w:r>
        <w:rPr>
          <w:rStyle w:val="CharDivText"/>
        </w:rPr>
        <w:t>Statewide requirements regarding fishing gear</w:t>
      </w:r>
      <w:bookmarkEnd w:id="398"/>
      <w:bookmarkEnd w:id="399"/>
      <w:bookmarkEnd w:id="400"/>
      <w:bookmarkEnd w:id="401"/>
      <w:bookmarkEnd w:id="402"/>
      <w:bookmarkEnd w:id="403"/>
      <w:bookmarkEnd w:id="404"/>
      <w:bookmarkEnd w:id="405"/>
      <w:bookmarkEnd w:id="406"/>
      <w:bookmarkEnd w:id="407"/>
      <w:bookmarkEnd w:id="408"/>
      <w:bookmarkEnd w:id="409"/>
    </w:p>
    <w:p>
      <w:pPr>
        <w:pStyle w:val="Footnoteheading"/>
        <w:tabs>
          <w:tab w:val="left" w:pos="851"/>
        </w:tabs>
      </w:pPr>
      <w:r>
        <w:tab/>
        <w:t>[Heading inserted in Gazette 1 Oct 2003 p. 4304.]</w:t>
      </w:r>
    </w:p>
    <w:p>
      <w:pPr>
        <w:pStyle w:val="Heading5"/>
        <w:spacing w:before="180"/>
      </w:pPr>
      <w:bookmarkStart w:id="410" w:name="_Toc359316719"/>
      <w:r>
        <w:rPr>
          <w:rStyle w:val="CharSectno"/>
        </w:rPr>
        <w:t>64C</w:t>
      </w:r>
      <w:r>
        <w:t>.</w:t>
      </w:r>
      <w:r>
        <w:tab/>
        <w:t>Fishing lines in use for recreational fishing must be attended</w:t>
      </w:r>
      <w:bookmarkEnd w:id="410"/>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spacing w:before="100"/>
        <w:ind w:left="890" w:hanging="890"/>
      </w:pPr>
      <w:r>
        <w:tab/>
        <w:t>[Regulation 64C inserted in Gazette 1 Oct 2003 p. 4304.]</w:t>
      </w:r>
    </w:p>
    <w:p>
      <w:pPr>
        <w:pStyle w:val="Heading5"/>
      </w:pPr>
      <w:bookmarkStart w:id="411" w:name="_Toc359316720"/>
      <w:r>
        <w:rPr>
          <w:rStyle w:val="CharSectno"/>
        </w:rPr>
        <w:t>64D</w:t>
      </w:r>
      <w:r>
        <w:t>.</w:t>
      </w:r>
      <w:r>
        <w:tab/>
        <w:t>Nets, determining length, depth and mesh of</w:t>
      </w:r>
      <w:bookmarkEnd w:id="411"/>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412" w:name="_Toc359316721"/>
      <w:r>
        <w:rPr>
          <w:rStyle w:val="CharSectno"/>
        </w:rPr>
        <w:t>64DA</w:t>
      </w:r>
      <w:r>
        <w:t>.</w:t>
      </w:r>
      <w:r>
        <w:tab/>
        <w:t>Hauling nets for recreational fishing, use of</w:t>
      </w:r>
      <w:bookmarkEnd w:id="412"/>
      <w:r>
        <w:t xml:space="preserve"> </w:t>
      </w:r>
    </w:p>
    <w:p>
      <w:pPr>
        <w:pStyle w:val="Subsection"/>
      </w:pPr>
      <w:r>
        <w:tab/>
        <w:t>(1)</w:t>
      </w:r>
      <w:r>
        <w:tab/>
        <w:t>A person must not fish by using a fishing net that is a hauling net in any ocean waters outside 800 m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413" w:name="_Toc359316722"/>
      <w:r>
        <w:rPr>
          <w:rStyle w:val="CharSectno"/>
        </w:rPr>
        <w:t>64E</w:t>
      </w:r>
      <w:r>
        <w:t>.</w:t>
      </w:r>
      <w:r>
        <w:tab/>
        <w:t>Lines etc. used for recreational fishing, limit on number of</w:t>
      </w:r>
      <w:bookmarkEnd w:id="413"/>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Subregulation (1) does not apply to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pPr>
      <w:r>
        <w:tab/>
        <w:t>Penalty: $2 000.</w:t>
      </w:r>
    </w:p>
    <w:p>
      <w:pPr>
        <w:pStyle w:val="Footnotesection"/>
      </w:pPr>
      <w:r>
        <w:tab/>
        <w:t>[Regulation 64E inserted in Gazette 1 Oct 2003 p. 4305</w:t>
      </w:r>
      <w:r>
        <w:noBreakHyphen/>
        <w:t>6.]</w:t>
      </w:r>
    </w:p>
    <w:p>
      <w:pPr>
        <w:pStyle w:val="Heading5"/>
      </w:pPr>
      <w:bookmarkStart w:id="414" w:name="_Toc359316723"/>
      <w:r>
        <w:rPr>
          <w:rStyle w:val="CharSectno"/>
        </w:rPr>
        <w:t>64F</w:t>
      </w:r>
      <w:r>
        <w:t>.</w:t>
      </w:r>
      <w:r>
        <w:tab/>
        <w:t>Fishing nets, general requirements for</w:t>
      </w:r>
      <w:bookmarkEnd w:id="414"/>
    </w:p>
    <w:p>
      <w:pPr>
        <w:pStyle w:val="Subsection"/>
      </w:pPr>
      <w:r>
        <w:tab/>
        <w:t>(1)</w:t>
      </w:r>
      <w:r>
        <w:tab/>
        <w:t>A person must not fish by means of using a fishing net, unless the person uses only one net at any one time and —</w:t>
      </w:r>
    </w:p>
    <w:p>
      <w:pPr>
        <w:pStyle w:val="Indenta"/>
      </w:pPr>
      <w:r>
        <w:tab/>
        <w:t>(a)</w:t>
      </w:r>
      <w:r>
        <w:tab/>
        <w:t>where the net is a throw net, it —</w:t>
      </w:r>
    </w:p>
    <w:p>
      <w:pPr>
        <w:pStyle w:val="Indenti"/>
      </w:pPr>
      <w:r>
        <w:tab/>
        <w:t>(i)</w:t>
      </w:r>
      <w:r>
        <w:tab/>
        <w:t>has a length not exceeding 3 m measured from the centre retrieval line to the lead line; and</w:t>
      </w:r>
    </w:p>
    <w:p>
      <w:pPr>
        <w:pStyle w:val="Indenti"/>
      </w:pPr>
      <w:r>
        <w:tab/>
        <w:t>(ii)</w:t>
      </w:r>
      <w:r>
        <w:tab/>
        <w:t>has a mesh of not more than 25 mm;</w:t>
      </w:r>
    </w:p>
    <w:p>
      <w:pPr>
        <w:pStyle w:val="Indenta"/>
      </w:pPr>
      <w:r>
        <w:tab/>
      </w:r>
      <w:r>
        <w:tab/>
        <w:t>or</w:t>
      </w:r>
    </w:p>
    <w:p>
      <w:pPr>
        <w:pStyle w:val="Indenta"/>
      </w:pPr>
      <w:r>
        <w:tab/>
        <w:t>(b)</w:t>
      </w:r>
      <w:r>
        <w:tab/>
        <w:t>where the fishing net is not a throw net, it —</w:t>
      </w:r>
    </w:p>
    <w:p>
      <w:pPr>
        <w:pStyle w:val="Indenti"/>
      </w:pPr>
      <w:r>
        <w:tab/>
        <w:t>(i)</w:t>
      </w:r>
      <w:r>
        <w:tab/>
        <w:t>has a length not exceeding 60 m; and</w:t>
      </w:r>
    </w:p>
    <w:p>
      <w:pPr>
        <w:pStyle w:val="Indenti"/>
      </w:pPr>
      <w:r>
        <w:tab/>
        <w:t>(ii)</w:t>
      </w:r>
      <w:r>
        <w:tab/>
        <w:t>is not more than 25 meshes in depth; and</w:t>
      </w:r>
    </w:p>
    <w:p>
      <w:pPr>
        <w:pStyle w:val="Indenti"/>
      </w:pPr>
      <w:r>
        <w:tab/>
        <w:t>(iii)</w:t>
      </w:r>
      <w:r>
        <w:tab/>
        <w:t>does not have a bag or pocket; and</w:t>
      </w:r>
    </w:p>
    <w:p>
      <w:pPr>
        <w:pStyle w:val="Indenti"/>
      </w:pPr>
      <w:r>
        <w:tab/>
        <w:t>(iv)</w:t>
      </w:r>
      <w:r>
        <w:tab/>
        <w:t>has end floats with a diameter of not less than 150 mm on each of which is marked, in legible characters not less than 60 mm high and 10 mm wide, the gear identification number of that person; and</w:t>
      </w:r>
    </w:p>
    <w:p>
      <w:pPr>
        <w:pStyle w:val="Indenti"/>
      </w:pPr>
      <w:r>
        <w:tab/>
        <w:t>(v)</w:t>
      </w:r>
      <w:r>
        <w:tab/>
        <w:t>has a mesh in accordance with subregulation (2); and</w:t>
      </w:r>
    </w:p>
    <w:p>
      <w:pPr>
        <w:pStyle w:val="Indenti"/>
      </w:pPr>
      <w:r>
        <w:tab/>
        <w:t>(vi)</w:t>
      </w:r>
      <w:r>
        <w:tab/>
        <w:t>where the fishing net is a haul net —</w:t>
      </w:r>
    </w:p>
    <w:p>
      <w:pPr>
        <w:pStyle w:val="IndentI0"/>
      </w:pPr>
      <w:r>
        <w:tab/>
        <w:t>(I)</w:t>
      </w:r>
      <w:r>
        <w:tab/>
        <w:t>does not have attached to it a rope exceeding 25 m in length; and</w:t>
      </w:r>
    </w:p>
    <w:p>
      <w:pPr>
        <w:pStyle w:val="IndentI0"/>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pPr>
      <w:r>
        <w:tab/>
        <w:t>(2)</w:t>
      </w:r>
      <w:r>
        <w:tab/>
        <w:t>The mesh of a fishing net referred to in subregulation (1)(b)(v) is to be not less than —</w:t>
      </w:r>
    </w:p>
    <w:p>
      <w:pPr>
        <w:pStyle w:val="Indenta"/>
      </w:pPr>
      <w:r>
        <w:tab/>
        <w:t>(a)</w:t>
      </w:r>
      <w:r>
        <w:tab/>
        <w:t>63 mm or more than 87 mm, where the net is used in the waters of any estuary, river or inlet, or in the entrance of any of those waters; or</w:t>
      </w:r>
    </w:p>
    <w:p>
      <w:pPr>
        <w:pStyle w:val="Indenta"/>
      </w:pPr>
      <w:r>
        <w:tab/>
        <w:t>(b)</w:t>
      </w:r>
      <w:r>
        <w:tab/>
        <w:t>51 mm or more than 114 mm, where the net is not set in any waters other than those referred to in paragraph (a); or</w:t>
      </w:r>
    </w:p>
    <w:p>
      <w:pPr>
        <w:pStyle w:val="Indenta"/>
      </w:pPr>
      <w:r>
        <w:tab/>
        <w:t>(c)</w:t>
      </w:r>
      <w:r>
        <w:tab/>
        <w:t>75 mm or more than 114 mm, where the net is set in any waters other than those referred to in paragraph (a).</w:t>
      </w:r>
    </w:p>
    <w:p>
      <w:pPr>
        <w:pStyle w:val="Subsection"/>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spacing w:before="180"/>
      </w:pPr>
      <w:bookmarkStart w:id="415" w:name="_Toc359316724"/>
      <w:r>
        <w:rPr>
          <w:rStyle w:val="CharSectno"/>
        </w:rPr>
        <w:t>64G</w:t>
      </w:r>
      <w:r>
        <w:t>.</w:t>
      </w:r>
      <w:r>
        <w:tab/>
        <w:t>Fishing nets, minimum distance between when set</w:t>
      </w:r>
      <w:bookmarkEnd w:id="415"/>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in Gazette 1 Oct 2003 p. 4307.]</w:t>
      </w:r>
    </w:p>
    <w:p>
      <w:pPr>
        <w:pStyle w:val="Heading5"/>
        <w:spacing w:before="240"/>
      </w:pPr>
      <w:bookmarkStart w:id="416" w:name="_Toc359316725"/>
      <w:r>
        <w:rPr>
          <w:rStyle w:val="CharSectno"/>
        </w:rPr>
        <w:t>64H</w:t>
      </w:r>
      <w:r>
        <w:t>.</w:t>
      </w:r>
      <w:r>
        <w:tab/>
        <w:t>Fishing nets to be drawn so as to protect protected fish</w:t>
      </w:r>
      <w:bookmarkEnd w:id="416"/>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spacing w:before="240"/>
      </w:pPr>
      <w:bookmarkStart w:id="417" w:name="_Toc359316726"/>
      <w:r>
        <w:rPr>
          <w:rStyle w:val="CharSectno"/>
        </w:rPr>
        <w:t>64I</w:t>
      </w:r>
      <w:r>
        <w:t>.</w:t>
      </w:r>
      <w:r>
        <w:tab/>
        <w:t>Net fishing by commercial fishers in same area, priority rights between</w:t>
      </w:r>
      <w:bookmarkEnd w:id="417"/>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pPr>
      <w:r>
        <w:tab/>
        <w:t>(a)</w:t>
      </w:r>
      <w:r>
        <w:tab/>
        <w:t>the first turn belongs to the master of the first bona fide fishing boat to arrive on the ground with a net, which complies with the requirements of this Act, ready for shooting and hauling; and</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pPr>
      <w:r>
        <w:tab/>
        <w:t>(c)</w:t>
      </w:r>
      <w:r>
        <w:tab/>
        <w:t>during a particular master’s turn, the master has —</w:t>
      </w:r>
    </w:p>
    <w:p>
      <w:pPr>
        <w:pStyle w:val="Indenti"/>
        <w:spacing w:before="60"/>
      </w:pPr>
      <w:r>
        <w:tab/>
        <w:t>(i)</w:t>
      </w:r>
      <w:r>
        <w:tab/>
        <w:t>exclusive right to fish the ground as long as a fishing net is ready to be shot; and</w:t>
      </w:r>
    </w:p>
    <w:p>
      <w:pPr>
        <w:pStyle w:val="Indenti"/>
        <w:spacing w:before="60"/>
      </w:pPr>
      <w:r>
        <w:tab/>
        <w:t>(ii)</w:t>
      </w:r>
      <w:r>
        <w:tab/>
        <w:t>the right to use more than one fishing net where a school of fish is being shot;</w:t>
      </w:r>
    </w:p>
    <w:p>
      <w:pPr>
        <w:pStyle w:val="Indenta"/>
        <w:keepNext/>
        <w:spacing w:before="60"/>
      </w:pPr>
      <w:r>
        <w:tab/>
      </w:r>
      <w:r>
        <w:tab/>
        <w:t>and</w:t>
      </w:r>
    </w:p>
    <w:p>
      <w:pPr>
        <w:pStyle w:val="Indenta"/>
        <w:keepNext/>
        <w:spacing w:before="60"/>
      </w:pPr>
      <w:r>
        <w:tab/>
        <w:t>(d)</w:t>
      </w:r>
      <w:r>
        <w:tab/>
        <w:t>a turn ends when —</w:t>
      </w:r>
    </w:p>
    <w:p>
      <w:pPr>
        <w:pStyle w:val="Indenti"/>
        <w:spacing w:before="60"/>
      </w:pPr>
      <w:r>
        <w:tab/>
        <w:t>(i)</w:t>
      </w:r>
      <w:r>
        <w:tab/>
        <w:t>the net, or nets, have been shot and hauled or, in the case of a ground that includes a beach, hauled ashore; or</w:t>
      </w:r>
    </w:p>
    <w:p>
      <w:pPr>
        <w:pStyle w:val="Indenti"/>
        <w:spacing w:before="60"/>
      </w:pPr>
      <w:r>
        <w:tab/>
        <w:t>(ii)</w:t>
      </w:r>
      <w:r>
        <w:tab/>
        <w:t>the master whose turn it was leaves the ground; or</w:t>
      </w:r>
    </w:p>
    <w:p>
      <w:pPr>
        <w:pStyle w:val="Indenti"/>
        <w:spacing w:before="60"/>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 and</w:t>
      </w:r>
    </w:p>
    <w:p>
      <w:pPr>
        <w:pStyle w:val="Indenta"/>
      </w:pPr>
      <w:r>
        <w:tab/>
        <w:t>(b)</w:t>
      </w:r>
      <w:r>
        <w:tab/>
        <w:t>the next turns belong, in order of arrival on the ground, to the masters of the next bona fide fishing boats to arrive on the ground with nets which comply with the requirements of this Act, ready to set; and</w:t>
      </w:r>
    </w:p>
    <w:p>
      <w:pPr>
        <w:pStyle w:val="Indenta"/>
      </w:pPr>
      <w:r>
        <w:tab/>
        <w:t>(c)</w:t>
      </w:r>
      <w:r>
        <w:tab/>
        <w:t>during a particular master’s turn, the master has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r>
      <w:r>
        <w:tab/>
        <w:t>and</w:t>
      </w:r>
    </w:p>
    <w:p>
      <w:pPr>
        <w:pStyle w:val="Indenta"/>
      </w:pPr>
      <w:r>
        <w:tab/>
        <w:t>(d)</w:t>
      </w:r>
      <w:r>
        <w:tab/>
        <w:t>a turn ends when —</w:t>
      </w:r>
    </w:p>
    <w:p>
      <w:pPr>
        <w:pStyle w:val="Indenti"/>
      </w:pPr>
      <w:r>
        <w:tab/>
        <w:t>(i)</w:t>
      </w:r>
      <w:r>
        <w:tab/>
        <w:t>the net, or nets, have been set and hauled; or</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spacing w:before="180"/>
      </w:pPr>
      <w:r>
        <w:tab/>
        <w:t>(5)</w:t>
      </w:r>
      <w:r>
        <w:tab/>
        <w:t>While a person is having a turn under this regulation, another person must not —</w:t>
      </w:r>
    </w:p>
    <w:p>
      <w:pPr>
        <w:pStyle w:val="Indenta"/>
      </w:pPr>
      <w:r>
        <w:tab/>
        <w:t>(a)</w:t>
      </w:r>
      <w:r>
        <w:tab/>
        <w:t>wilfully disturb or frighten fish on, or in the vicinity of, the ground; or</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spacing w:before="120"/>
      </w:pPr>
      <w:r>
        <w:tab/>
        <w:t>Penalty: $2 000.</w:t>
      </w:r>
    </w:p>
    <w:p>
      <w:pPr>
        <w:pStyle w:val="Subsection"/>
        <w:spacing w:before="180"/>
      </w:pPr>
      <w:r>
        <w:tab/>
        <w:t>(6)</w:t>
      </w:r>
      <w:r>
        <w:tab/>
        <w:t>The holder of a commercial fishing licence who suffers loss due to a contravention of this regulation may, with the written approval of the Minister, take legal proceedings at that person’s own expense.</w:t>
      </w:r>
    </w:p>
    <w:p>
      <w:pPr>
        <w:pStyle w:val="Footnotesection"/>
        <w:ind w:left="890" w:hanging="890"/>
      </w:pPr>
      <w:r>
        <w:tab/>
        <w:t>[Regulation 64I inserted in Gazette 1 Oct 2003 p. 4308</w:t>
      </w:r>
      <w:r>
        <w:noBreakHyphen/>
        <w:t>11.]</w:t>
      </w:r>
    </w:p>
    <w:p>
      <w:pPr>
        <w:pStyle w:val="Heading5"/>
      </w:pPr>
      <w:bookmarkStart w:id="418" w:name="_Toc359316727"/>
      <w:r>
        <w:rPr>
          <w:rStyle w:val="CharSectno"/>
        </w:rPr>
        <w:t>64J</w:t>
      </w:r>
      <w:r>
        <w:t>.</w:t>
      </w:r>
      <w:r>
        <w:tab/>
        <w:t>Fishing nets for recreational fishing, use of</w:t>
      </w:r>
      <w:bookmarkEnd w:id="418"/>
    </w:p>
    <w:p>
      <w:pPr>
        <w:pStyle w:val="Subsection"/>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pPr>
      <w:r>
        <w:tab/>
        <w:t>(d)</w:t>
      </w:r>
      <w:r>
        <w:tab/>
        <w:t xml:space="preserve">in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ind w:left="890" w:hanging="890"/>
      </w:pPr>
      <w:r>
        <w:tab/>
        <w:t>[Regulation 64J inserted in Gazette 1 Oct 2003 p. 4311.]</w:t>
      </w:r>
    </w:p>
    <w:p>
      <w:pPr>
        <w:pStyle w:val="Heading5"/>
      </w:pPr>
      <w:bookmarkStart w:id="419" w:name="_Toc359316728"/>
      <w:r>
        <w:rPr>
          <w:rStyle w:val="CharSectno"/>
        </w:rPr>
        <w:t>64K</w:t>
      </w:r>
      <w:r>
        <w:t>.</w:t>
      </w:r>
      <w:r>
        <w:tab/>
        <w:t>Hauling nets not to be used for recreational fishing in estuaries etc.</w:t>
      </w:r>
      <w:bookmarkEnd w:id="419"/>
    </w:p>
    <w:p>
      <w:pPr>
        <w:pStyle w:val="Subsection"/>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spacing w:before="80"/>
        <w:ind w:left="890" w:hanging="890"/>
      </w:pPr>
      <w:r>
        <w:tab/>
        <w:t>[Regulation 64K inserted in Gazette 1 Oct 2003 p. 4311</w:t>
      </w:r>
      <w:r>
        <w:noBreakHyphen/>
        <w:t>12.]</w:t>
      </w:r>
    </w:p>
    <w:p>
      <w:pPr>
        <w:pStyle w:val="Heading5"/>
        <w:spacing w:before="180"/>
      </w:pPr>
      <w:bookmarkStart w:id="420" w:name="_Toc359316729"/>
      <w:r>
        <w:rPr>
          <w:rStyle w:val="CharSectno"/>
        </w:rPr>
        <w:t>64L</w:t>
      </w:r>
      <w:r>
        <w:t>.</w:t>
      </w:r>
      <w:r>
        <w:tab/>
        <w:t>Crabs, permitted ways to fish for by recreational fishers</w:t>
      </w:r>
      <w:bookmarkEnd w:id="420"/>
    </w:p>
    <w:p>
      <w:pPr>
        <w:pStyle w:val="Subsection"/>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w:t>
      </w:r>
    </w:p>
    <w:p>
      <w:pPr>
        <w:pStyle w:val="Heading3"/>
        <w:keepLines/>
      </w:pPr>
      <w:bookmarkStart w:id="421" w:name="_Toc339625843"/>
      <w:bookmarkStart w:id="422" w:name="_Toc342397593"/>
      <w:bookmarkStart w:id="423" w:name="_Toc343519850"/>
      <w:bookmarkStart w:id="424" w:name="_Toc343520307"/>
      <w:bookmarkStart w:id="425" w:name="_Toc344711872"/>
      <w:bookmarkStart w:id="426" w:name="_Toc344712388"/>
      <w:bookmarkStart w:id="427" w:name="_Toc347307665"/>
      <w:bookmarkStart w:id="428" w:name="_Toc349822582"/>
      <w:bookmarkStart w:id="429" w:name="_Toc349823002"/>
      <w:bookmarkStart w:id="430" w:name="_Toc349830984"/>
      <w:bookmarkStart w:id="431" w:name="_Toc359248773"/>
      <w:bookmarkStart w:id="432" w:name="_Toc359316730"/>
      <w:r>
        <w:rPr>
          <w:rStyle w:val="CharDivNo"/>
        </w:rPr>
        <w:t>Division 3</w:t>
      </w:r>
      <w:r>
        <w:t> — </w:t>
      </w:r>
      <w:r>
        <w:rPr>
          <w:rStyle w:val="CharDivText"/>
        </w:rPr>
        <w:t>Requirements regarding fishing gear in the West Coast Region</w:t>
      </w:r>
      <w:bookmarkEnd w:id="421"/>
      <w:bookmarkEnd w:id="422"/>
      <w:bookmarkEnd w:id="423"/>
      <w:bookmarkEnd w:id="424"/>
      <w:bookmarkEnd w:id="425"/>
      <w:bookmarkEnd w:id="426"/>
      <w:bookmarkEnd w:id="427"/>
      <w:bookmarkEnd w:id="428"/>
      <w:bookmarkEnd w:id="429"/>
      <w:bookmarkEnd w:id="430"/>
      <w:bookmarkEnd w:id="431"/>
      <w:bookmarkEnd w:id="432"/>
    </w:p>
    <w:p>
      <w:pPr>
        <w:pStyle w:val="Footnoteheading"/>
        <w:keepNext/>
        <w:keepLines/>
        <w:tabs>
          <w:tab w:val="left" w:pos="851"/>
        </w:tabs>
      </w:pPr>
      <w:r>
        <w:tab/>
        <w:t>[Heading inserted in Gazette 1 Oct 2003 p. 4313.]</w:t>
      </w:r>
    </w:p>
    <w:p>
      <w:pPr>
        <w:pStyle w:val="Heading5"/>
      </w:pPr>
      <w:bookmarkStart w:id="433" w:name="_Toc359316731"/>
      <w:r>
        <w:rPr>
          <w:rStyle w:val="CharSectno"/>
        </w:rPr>
        <w:t>64M</w:t>
      </w:r>
      <w:r>
        <w:t>.</w:t>
      </w:r>
      <w:r>
        <w:tab/>
        <w:t>Term used: attend</w:t>
      </w:r>
      <w:bookmarkEnd w:id="433"/>
    </w:p>
    <w:p>
      <w:pPr>
        <w:pStyle w:val="Subsection"/>
      </w:pPr>
      <w:r>
        <w:tab/>
      </w:r>
      <w:r>
        <w:tab/>
        <w:t>In this Division —</w:t>
      </w:r>
    </w:p>
    <w:p>
      <w:pPr>
        <w:pStyle w:val="Defstart"/>
      </w:pPr>
      <w:r>
        <w:rPr>
          <w:b/>
        </w:rPr>
        <w:tab/>
      </w:r>
      <w:r>
        <w:rPr>
          <w:rStyle w:val="CharDefText"/>
        </w:rPr>
        <w:t>attend</w:t>
      </w:r>
      <w:r>
        <w:t>, in respect of a net, means to be within 100 m of the net.</w:t>
      </w:r>
    </w:p>
    <w:p>
      <w:pPr>
        <w:pStyle w:val="Footnotesection"/>
      </w:pPr>
      <w:r>
        <w:tab/>
        <w:t>[Regulation 64M inserted in Gazette 1 Oct 2003 p. 4313.]</w:t>
      </w:r>
    </w:p>
    <w:p>
      <w:pPr>
        <w:pStyle w:val="Heading5"/>
      </w:pPr>
      <w:bookmarkStart w:id="434" w:name="_Toc359316732"/>
      <w:r>
        <w:rPr>
          <w:rStyle w:val="CharSectno"/>
        </w:rPr>
        <w:t>64N</w:t>
      </w:r>
      <w:r>
        <w:t>.</w:t>
      </w:r>
      <w:r>
        <w:tab/>
        <w:t>Application of this Division</w:t>
      </w:r>
      <w:bookmarkEnd w:id="434"/>
    </w:p>
    <w:p>
      <w:pPr>
        <w:pStyle w:val="Subsection"/>
        <w:spacing w:before="120"/>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435" w:name="_Toc359316733"/>
      <w:r>
        <w:rPr>
          <w:rStyle w:val="CharSectno"/>
        </w:rPr>
        <w:t>64NA</w:t>
      </w:r>
      <w:r>
        <w:t>.</w:t>
      </w:r>
      <w:r>
        <w:tab/>
        <w:t>Prawn hand trawl nets not to be used in certain places</w:t>
      </w:r>
      <w:bookmarkEnd w:id="435"/>
    </w:p>
    <w:p>
      <w:pPr>
        <w:pStyle w:val="Subsection"/>
      </w:pPr>
      <w:r>
        <w:tab/>
      </w:r>
      <w:r>
        <w:tab/>
        <w:t>A person must not use, or leave unattended, a prawn hand trawl net in the waters of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the Dawesville Cut.</w:t>
      </w:r>
    </w:p>
    <w:p>
      <w:pPr>
        <w:pStyle w:val="Penstart"/>
      </w:pPr>
      <w:r>
        <w:tab/>
        <w:t>Penalty: $2 000.</w:t>
      </w:r>
    </w:p>
    <w:p>
      <w:pPr>
        <w:pStyle w:val="Footnotesection"/>
      </w:pPr>
      <w:r>
        <w:tab/>
        <w:t>[Regulation 64NA inserted in Gazette 6 Jul 2007 p. 3388.]</w:t>
      </w:r>
    </w:p>
    <w:p>
      <w:pPr>
        <w:pStyle w:val="Heading5"/>
      </w:pPr>
      <w:bookmarkStart w:id="436" w:name="_Toc359316734"/>
      <w:r>
        <w:rPr>
          <w:rStyle w:val="CharSectno"/>
        </w:rPr>
        <w:t>64O</w:t>
      </w:r>
      <w:r>
        <w:t>.</w:t>
      </w:r>
      <w:r>
        <w:tab/>
        <w:t>Set fishing nets, use of</w:t>
      </w:r>
      <w:bookmarkEnd w:id="436"/>
    </w:p>
    <w:p>
      <w:pPr>
        <w:pStyle w:val="Subsection"/>
        <w:spacing w:before="180"/>
      </w:pPr>
      <w:r>
        <w:tab/>
        <w:t>(1)</w:t>
      </w:r>
      <w:r>
        <w:tab/>
        <w:t>A person must not set a fishing net in any waters of the West Coast Region other than in the waters of —</w:t>
      </w:r>
    </w:p>
    <w:p>
      <w:pPr>
        <w:pStyle w:val="Indenta"/>
      </w:pPr>
      <w:r>
        <w:tab/>
        <w:t>(a)</w:t>
      </w:r>
      <w:r>
        <w:tab/>
        <w:t>the Peel Inlet and Harvey Estuary; or</w:t>
      </w:r>
    </w:p>
    <w:p>
      <w:pPr>
        <w:pStyle w:val="Indenta"/>
      </w:pPr>
      <w:r>
        <w:tab/>
        <w:t>(b)</w:t>
      </w:r>
      <w:r>
        <w:tab/>
        <w:t>the Leschenault Estuary; or</w:t>
      </w:r>
    </w:p>
    <w:p>
      <w:pPr>
        <w:pStyle w:val="Indenta"/>
      </w:pPr>
      <w:r>
        <w:tab/>
        <w:t>(c)</w:t>
      </w:r>
      <w:r>
        <w:tab/>
        <w:t>the Hardy Inlet.</w:t>
      </w:r>
    </w:p>
    <w:p>
      <w:pPr>
        <w:pStyle w:val="Subsection"/>
      </w:pPr>
      <w:r>
        <w:tab/>
        <w:t>(2)</w:t>
      </w:r>
      <w:r>
        <w:tab/>
        <w:t>A person who fishes using a set fishing net in the West Coast Region must —</w:t>
      </w:r>
    </w:p>
    <w:p>
      <w:pPr>
        <w:pStyle w:val="Indenta"/>
      </w:pPr>
      <w:r>
        <w:tab/>
        <w:t>(a)</w:t>
      </w:r>
      <w:r>
        <w:tab/>
        <w:t>attend that net; and</w:t>
      </w:r>
    </w:p>
    <w:p>
      <w:pPr>
        <w:pStyle w:val="Indenta"/>
      </w:pPr>
      <w:r>
        <w:tab/>
        <w:t>(b)</w:t>
      </w:r>
      <w:r>
        <w:tab/>
        <w:t>remove the net from the water and clear it of fish at intervals of not more than one hour; and</w:t>
      </w:r>
    </w:p>
    <w:p>
      <w:pPr>
        <w:pStyle w:val="Indenta"/>
      </w:pPr>
      <w:r>
        <w:tab/>
        <w:t>(c)</w:t>
      </w:r>
      <w:r>
        <w:tab/>
        <w:t xml:space="preserve">not set the net — </w:t>
      </w:r>
    </w:p>
    <w:p>
      <w:pPr>
        <w:pStyle w:val="Indenti"/>
      </w:pPr>
      <w:r>
        <w:tab/>
        <w:t>(i)</w:t>
      </w:r>
      <w:r>
        <w:tab/>
        <w:t>in the waters referred to in subregulation (1)(a) — except within the period beginning at 4.30 p.m. and ending at midnight on any Wednesday; and</w:t>
      </w:r>
    </w:p>
    <w:p>
      <w:pPr>
        <w:pStyle w:val="Indenti"/>
      </w:pPr>
      <w:r>
        <w:tab/>
        <w:t>(ii)</w:t>
      </w:r>
      <w:r>
        <w:tab/>
        <w:t>in the waters referred to in subregulation (1)(b) or (c) — within the period beginning 1½ hours after sunrise and ending 1½ hours before sunset on any one day.</w:t>
      </w:r>
    </w:p>
    <w:p>
      <w:pPr>
        <w:pStyle w:val="Penstart"/>
      </w:pPr>
      <w:r>
        <w:tab/>
        <w:t>Penalty: $2 000.</w:t>
      </w:r>
    </w:p>
    <w:p>
      <w:pPr>
        <w:pStyle w:val="Footnotesection"/>
        <w:ind w:left="890" w:hanging="890"/>
      </w:pPr>
      <w:r>
        <w:tab/>
        <w:t>[Regulation 64O inserted in Gazette 1 Oct 2003 p. 4313; amended in Gazette 20 Dec 2011 p. 5375.]</w:t>
      </w:r>
    </w:p>
    <w:p>
      <w:pPr>
        <w:pStyle w:val="Heading5"/>
      </w:pPr>
      <w:bookmarkStart w:id="437" w:name="_Toc359316735"/>
      <w:r>
        <w:rPr>
          <w:rStyle w:val="CharSectno"/>
        </w:rPr>
        <w:t>64OAA</w:t>
      </w:r>
      <w:r>
        <w:t>.</w:t>
      </w:r>
      <w:r>
        <w:tab/>
        <w:t>Release weight to be on boat used to fish for demersal scalefish</w:t>
      </w:r>
      <w:bookmarkEnd w:id="437"/>
    </w:p>
    <w:p>
      <w:pPr>
        <w:pStyle w:val="Subsection"/>
      </w:pPr>
      <w:r>
        <w:tab/>
        <w:t>(1)</w:t>
      </w:r>
      <w:r>
        <w:tab/>
        <w:t>In this regulation —</w:t>
      </w:r>
    </w:p>
    <w:p>
      <w:pPr>
        <w:pStyle w:val="Defstart"/>
      </w:pPr>
      <w:r>
        <w:tab/>
      </w:r>
      <w:r>
        <w:rPr>
          <w:rStyle w:val="CharDefText"/>
        </w:rPr>
        <w:t>demersal scalefish</w:t>
      </w:r>
      <w:r>
        <w:t xml:space="preserve"> has the meaning given in regulation 45(1);</w:t>
      </w:r>
    </w:p>
    <w:p>
      <w:pPr>
        <w:pStyle w:val="Defstart"/>
      </w:pPr>
      <w:r>
        <w:tab/>
      </w:r>
      <w:r>
        <w:rPr>
          <w:rStyle w:val="CharDefText"/>
        </w:rPr>
        <w:t>release weight</w:t>
      </w:r>
      <w:r>
        <w:t xml:space="preserve"> means a weight that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 amended in Gazette 1 Mar 2011 p. 671.]</w:t>
      </w:r>
    </w:p>
    <w:p>
      <w:pPr>
        <w:pStyle w:val="Heading3"/>
        <w:spacing w:before="260"/>
      </w:pPr>
      <w:bookmarkStart w:id="438" w:name="_Toc339625849"/>
      <w:bookmarkStart w:id="439" w:name="_Toc342397599"/>
      <w:bookmarkStart w:id="440" w:name="_Toc343519856"/>
      <w:bookmarkStart w:id="441" w:name="_Toc343520313"/>
      <w:bookmarkStart w:id="442" w:name="_Toc344711878"/>
      <w:bookmarkStart w:id="443" w:name="_Toc344712394"/>
      <w:bookmarkStart w:id="444" w:name="_Toc347307671"/>
      <w:bookmarkStart w:id="445" w:name="_Toc349822588"/>
      <w:bookmarkStart w:id="446" w:name="_Toc349823008"/>
      <w:bookmarkStart w:id="447" w:name="_Toc349830990"/>
      <w:bookmarkStart w:id="448" w:name="_Toc359248779"/>
      <w:bookmarkStart w:id="449" w:name="_Toc359316736"/>
      <w:r>
        <w:rPr>
          <w:rStyle w:val="CharDivNo"/>
        </w:rPr>
        <w:t>Division 3A</w:t>
      </w:r>
      <w:r>
        <w:t> — </w:t>
      </w:r>
      <w:r>
        <w:rPr>
          <w:rStyle w:val="CharDivText"/>
        </w:rPr>
        <w:t>Requirements regarding fishing gear in the Pilbara and Kimberley Region</w:t>
      </w:r>
      <w:bookmarkEnd w:id="438"/>
      <w:bookmarkEnd w:id="439"/>
      <w:bookmarkEnd w:id="440"/>
      <w:bookmarkEnd w:id="441"/>
      <w:bookmarkEnd w:id="442"/>
      <w:bookmarkEnd w:id="443"/>
      <w:bookmarkEnd w:id="444"/>
      <w:bookmarkEnd w:id="445"/>
      <w:bookmarkEnd w:id="446"/>
      <w:bookmarkEnd w:id="447"/>
      <w:bookmarkEnd w:id="448"/>
      <w:bookmarkEnd w:id="449"/>
    </w:p>
    <w:p>
      <w:pPr>
        <w:pStyle w:val="Footnoteheading"/>
      </w:pPr>
      <w:r>
        <w:tab/>
        <w:t>[Heading inserted in Gazette 22 Dec 2005 p. 6222.]</w:t>
      </w:r>
    </w:p>
    <w:p>
      <w:pPr>
        <w:pStyle w:val="Heading5"/>
        <w:spacing w:before="240"/>
      </w:pPr>
      <w:bookmarkStart w:id="450" w:name="_Toc359316737"/>
      <w:r>
        <w:rPr>
          <w:rStyle w:val="CharSectno"/>
        </w:rPr>
        <w:t>64OA</w:t>
      </w:r>
      <w:r>
        <w:t>.</w:t>
      </w:r>
      <w:r>
        <w:tab/>
        <w:t>Application of this Division</w:t>
      </w:r>
      <w:bookmarkEnd w:id="450"/>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451" w:name="_Toc359316738"/>
      <w:r>
        <w:rPr>
          <w:rStyle w:val="CharSectno"/>
        </w:rPr>
        <w:t>64OB</w:t>
      </w:r>
      <w:r>
        <w:t>.</w:t>
      </w:r>
      <w:r>
        <w:tab/>
        <w:t>Haul and set nets, restrictions on use of</w:t>
      </w:r>
      <w:bookmarkEnd w:id="451"/>
    </w:p>
    <w:p>
      <w:pPr>
        <w:pStyle w:val="Subsection"/>
      </w:pPr>
      <w:r>
        <w:tab/>
        <w:t>(1)</w:t>
      </w:r>
      <w:r>
        <w:tab/>
        <w:t xml:space="preserve">A person must not fish in any waters of the Pilbara and Kimberley Region using — </w:t>
      </w:r>
    </w:p>
    <w:p>
      <w:pPr>
        <w:pStyle w:val="Indenta"/>
      </w:pPr>
      <w:r>
        <w:tab/>
        <w:t>(a)</w:t>
      </w:r>
      <w:r>
        <w:tab/>
        <w:t>a haul net; or</w:t>
      </w:r>
    </w:p>
    <w:p>
      <w:pPr>
        <w:pStyle w:val="Indenta"/>
      </w:pPr>
      <w:r>
        <w:tab/>
        <w:t>(b)</w:t>
      </w:r>
      <w:r>
        <w:tab/>
        <w:t>a set net.</w:t>
      </w:r>
    </w:p>
    <w:p>
      <w:pPr>
        <w:pStyle w:val="Penstart"/>
      </w:pPr>
      <w:r>
        <w:tab/>
        <w:t>Penalty: a fine of $2 000.</w:t>
      </w:r>
    </w:p>
    <w:p>
      <w:pPr>
        <w:pStyle w:val="Subsection"/>
        <w:spacing w:before="180"/>
      </w:pPr>
      <w:r>
        <w:tab/>
        <w:t>(2)</w:t>
      </w:r>
      <w:r>
        <w:tab/>
        <w:t>Subregulation (1)(a) does not apply if the person —</w:t>
      </w:r>
    </w:p>
    <w:p>
      <w:pPr>
        <w:pStyle w:val="Indenta"/>
      </w:pPr>
      <w:r>
        <w:tab/>
        <w:t>(a)</w:t>
      </w:r>
      <w:r>
        <w:tab/>
        <w:t>is fishing in Dampier Archipelago waters; and</w:t>
      </w:r>
    </w:p>
    <w:p>
      <w:pPr>
        <w:pStyle w:val="Indenta"/>
      </w:pPr>
      <w:r>
        <w:tab/>
        <w:t>(b)</w:t>
      </w:r>
      <w:r>
        <w:tab/>
        <w:t>is using a haul net that does not exceed 30 m in length; and</w:t>
      </w:r>
    </w:p>
    <w:p>
      <w:pPr>
        <w:pStyle w:val="Indenta"/>
      </w:pPr>
      <w:r>
        <w:tab/>
        <w:t>(c)</w:t>
      </w:r>
      <w:r>
        <w:tab/>
        <w:t>does not take any fish except mullet.</w:t>
      </w:r>
    </w:p>
    <w:p>
      <w:pPr>
        <w:pStyle w:val="Subsection"/>
        <w:spacing w:before="180"/>
      </w:pPr>
      <w:r>
        <w:tab/>
        <w:t>(3)</w:t>
      </w:r>
      <w:r>
        <w:tab/>
        <w:t>In this regulation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ind w:left="890" w:hanging="890"/>
      </w:pPr>
      <w:r>
        <w:tab/>
        <w:t>[Regulation 64OB inserted in Gazette 22 Dec 2005 p. 6222</w:t>
      </w:r>
      <w:r>
        <w:noBreakHyphen/>
        <w:t>3; amended in Gazette 7 Mar 2006 p. 975; 22 Jun 2012 p. 2779.]</w:t>
      </w:r>
    </w:p>
    <w:p>
      <w:pPr>
        <w:pStyle w:val="Heading3"/>
      </w:pPr>
      <w:bookmarkStart w:id="452" w:name="_Toc339625852"/>
      <w:bookmarkStart w:id="453" w:name="_Toc342397602"/>
      <w:bookmarkStart w:id="454" w:name="_Toc343519859"/>
      <w:bookmarkStart w:id="455" w:name="_Toc343520316"/>
      <w:bookmarkStart w:id="456" w:name="_Toc344711881"/>
      <w:bookmarkStart w:id="457" w:name="_Toc344712397"/>
      <w:bookmarkStart w:id="458" w:name="_Toc347307674"/>
      <w:bookmarkStart w:id="459" w:name="_Toc349822591"/>
      <w:bookmarkStart w:id="460" w:name="_Toc349823011"/>
      <w:bookmarkStart w:id="461" w:name="_Toc349830993"/>
      <w:bookmarkStart w:id="462" w:name="_Toc359248782"/>
      <w:bookmarkStart w:id="463" w:name="_Toc359316739"/>
      <w:r>
        <w:rPr>
          <w:rStyle w:val="CharDivNo"/>
        </w:rPr>
        <w:t>Division 3B</w:t>
      </w:r>
      <w:r>
        <w:t> — </w:t>
      </w:r>
      <w:r>
        <w:rPr>
          <w:rStyle w:val="CharDivText"/>
        </w:rPr>
        <w:t>Requirements regarding fishing gear in the South Coast Region</w:t>
      </w:r>
      <w:bookmarkEnd w:id="452"/>
      <w:bookmarkEnd w:id="453"/>
      <w:bookmarkEnd w:id="454"/>
      <w:bookmarkEnd w:id="455"/>
      <w:bookmarkEnd w:id="456"/>
      <w:bookmarkEnd w:id="457"/>
      <w:bookmarkEnd w:id="458"/>
      <w:bookmarkEnd w:id="459"/>
      <w:bookmarkEnd w:id="460"/>
      <w:bookmarkEnd w:id="461"/>
      <w:bookmarkEnd w:id="462"/>
      <w:bookmarkEnd w:id="463"/>
    </w:p>
    <w:p>
      <w:pPr>
        <w:pStyle w:val="Footnoteheading"/>
      </w:pPr>
      <w:r>
        <w:tab/>
        <w:t>[Heading inserted in Gazette 22 Dec 2005 p. 6223.]</w:t>
      </w:r>
    </w:p>
    <w:p>
      <w:pPr>
        <w:pStyle w:val="Heading5"/>
      </w:pPr>
      <w:bookmarkStart w:id="464" w:name="_Toc359316740"/>
      <w:r>
        <w:rPr>
          <w:rStyle w:val="CharSectno"/>
        </w:rPr>
        <w:t>64OC</w:t>
      </w:r>
      <w:r>
        <w:t>.</w:t>
      </w:r>
      <w:r>
        <w:tab/>
        <w:t>Application of this Division</w:t>
      </w:r>
      <w:bookmarkEnd w:id="464"/>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465" w:name="_Toc359316741"/>
      <w:r>
        <w:rPr>
          <w:rStyle w:val="CharSectno"/>
        </w:rPr>
        <w:t>64OD</w:t>
      </w:r>
      <w:r>
        <w:t>.</w:t>
      </w:r>
      <w:r>
        <w:tab/>
        <w:t>Set fishing nets, use of</w:t>
      </w:r>
      <w:bookmarkEnd w:id="465"/>
    </w:p>
    <w:p>
      <w:pPr>
        <w:pStyle w:val="Subsection"/>
        <w:spacing w:before="120"/>
      </w:pPr>
      <w:r>
        <w:tab/>
        <w:t>(1)</w:t>
      </w:r>
      <w:r>
        <w:tab/>
        <w:t>A person must not set a fishing net in any waters of the South Coast Region other than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w:t>
      </w:r>
      <w:smartTag w:uri="urn:schemas-microsoft-com:office:smarttags" w:element="place">
        <w:smartTag w:uri="urn:schemas-microsoft-com:office:smarttags" w:element="PlaceName">
          <w:r>
            <w:t>Gairdner</w:t>
          </w:r>
        </w:smartTag>
        <w:r>
          <w:t xml:space="preserve"> </w:t>
        </w:r>
        <w:smartTag w:uri="urn:schemas-microsoft-com:office:smarttags" w:element="PlaceType">
          <w:r>
            <w:t>River</w:t>
          </w:r>
        </w:smartTag>
      </w:smartTag>
      <w:r>
        <w:t>.</w:t>
      </w:r>
    </w:p>
    <w:p>
      <w:pPr>
        <w:pStyle w:val="Subsection"/>
        <w:spacing w:before="120"/>
      </w:pPr>
      <w:r>
        <w:tab/>
        <w:t>(2)</w:t>
      </w:r>
      <w:r>
        <w:tab/>
        <w:t>A person who fishes using a set fishing net in the South Coast Region must not use the net —</w:t>
      </w:r>
    </w:p>
    <w:p>
      <w:pPr>
        <w:pStyle w:val="Indenta"/>
        <w:spacing w:before="60"/>
      </w:pPr>
      <w:r>
        <w:tab/>
        <w:t>(a)</w:t>
      </w:r>
      <w:r>
        <w:tab/>
        <w:t>during May — October — at any time other than between 4 p.m. and 9 p.m. on a Friday or Saturday; or</w:t>
      </w:r>
    </w:p>
    <w:p>
      <w:pPr>
        <w:pStyle w:val="Indenta"/>
        <w:spacing w:before="60"/>
      </w:pPr>
      <w:r>
        <w:tab/>
        <w:t>(b)</w:t>
      </w:r>
      <w:r>
        <w:tab/>
        <w:t>during November — April — at any time other than between 5 p.m. and 10 p.m. on a Friday or Saturday.</w:t>
      </w:r>
    </w:p>
    <w:p>
      <w:pPr>
        <w:pStyle w:val="Subsection"/>
        <w:keepNext/>
        <w:spacing w:before="180"/>
      </w:pPr>
      <w:r>
        <w:tab/>
        <w:t>(3)</w:t>
      </w:r>
      <w:r>
        <w:tab/>
        <w:t>A person who fishes using a set fishing net in the South Coast Region must —</w:t>
      </w:r>
    </w:p>
    <w:p>
      <w:pPr>
        <w:pStyle w:val="Indenta"/>
        <w:spacing w:before="60"/>
      </w:pPr>
      <w:r>
        <w:tab/>
        <w:t>(a)</w:t>
      </w:r>
      <w:r>
        <w:tab/>
        <w:t>attend that net; and</w:t>
      </w:r>
    </w:p>
    <w:p>
      <w:pPr>
        <w:pStyle w:val="Indenta"/>
        <w:spacing w:before="60"/>
      </w:pPr>
      <w:r>
        <w:tab/>
        <w:t>(b)</w:t>
      </w:r>
      <w:r>
        <w:tab/>
        <w:t>remove the net from the water and clear it of fish at intervals of not more than one hour.</w:t>
      </w:r>
    </w:p>
    <w:p>
      <w:pPr>
        <w:pStyle w:val="Subsection"/>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240"/>
      </w:pPr>
      <w:bookmarkStart w:id="466" w:name="_Toc359316742"/>
      <w:r>
        <w:rPr>
          <w:rStyle w:val="CharSectno"/>
        </w:rPr>
        <w:t>64OE</w:t>
      </w:r>
      <w:r>
        <w:t>.</w:t>
      </w:r>
      <w:r>
        <w:tab/>
        <w:t>Throw nets, use of</w:t>
      </w:r>
      <w:bookmarkEnd w:id="466"/>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pPr>
      <w:r>
        <w:tab/>
        <w:t>(4)</w:t>
      </w:r>
      <w:r>
        <w:tab/>
        <w:t>In this regulation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w:t>
      </w:r>
    </w:p>
    <w:p>
      <w:pPr>
        <w:pStyle w:val="Penstart"/>
      </w:pPr>
      <w:r>
        <w:tab/>
        <w:t>Penalty: $2 000.</w:t>
      </w:r>
    </w:p>
    <w:p>
      <w:pPr>
        <w:pStyle w:val="Footnotesection"/>
        <w:spacing w:before="60"/>
        <w:ind w:left="890" w:hanging="890"/>
      </w:pPr>
      <w:r>
        <w:tab/>
        <w:t>[Regulation 64OE inserted in Gazette 22 Dec 2005 p. 6224</w:t>
      </w:r>
      <w:r>
        <w:noBreakHyphen/>
        <w:t>5.]</w:t>
      </w:r>
    </w:p>
    <w:p>
      <w:pPr>
        <w:pStyle w:val="Heading3"/>
        <w:keepLines/>
        <w:spacing w:before="180"/>
      </w:pPr>
      <w:bookmarkStart w:id="467" w:name="_Toc339625856"/>
      <w:bookmarkStart w:id="468" w:name="_Toc342397606"/>
      <w:bookmarkStart w:id="469" w:name="_Toc343519863"/>
      <w:bookmarkStart w:id="470" w:name="_Toc343520320"/>
      <w:bookmarkStart w:id="471" w:name="_Toc344711885"/>
      <w:bookmarkStart w:id="472" w:name="_Toc344712401"/>
      <w:bookmarkStart w:id="473" w:name="_Toc347307678"/>
      <w:bookmarkStart w:id="474" w:name="_Toc349822595"/>
      <w:bookmarkStart w:id="475" w:name="_Toc349823015"/>
      <w:bookmarkStart w:id="476" w:name="_Toc349830997"/>
      <w:bookmarkStart w:id="477" w:name="_Toc359248786"/>
      <w:bookmarkStart w:id="478" w:name="_Toc359316743"/>
      <w:r>
        <w:rPr>
          <w:rStyle w:val="CharDivNo"/>
        </w:rPr>
        <w:t>Division 4</w:t>
      </w:r>
      <w:r>
        <w:t> — </w:t>
      </w:r>
      <w:r>
        <w:rPr>
          <w:rStyle w:val="CharDivText"/>
        </w:rPr>
        <w:t>Requirements regarding fishing gear in certain other areas</w:t>
      </w:r>
      <w:bookmarkEnd w:id="467"/>
      <w:bookmarkEnd w:id="468"/>
      <w:bookmarkEnd w:id="469"/>
      <w:bookmarkEnd w:id="470"/>
      <w:bookmarkEnd w:id="471"/>
      <w:bookmarkEnd w:id="472"/>
      <w:bookmarkEnd w:id="473"/>
      <w:bookmarkEnd w:id="474"/>
      <w:bookmarkEnd w:id="475"/>
      <w:bookmarkEnd w:id="476"/>
      <w:bookmarkEnd w:id="477"/>
      <w:bookmarkEnd w:id="478"/>
    </w:p>
    <w:p>
      <w:pPr>
        <w:pStyle w:val="Footnoteheading"/>
        <w:keepNext/>
        <w:keepLines/>
        <w:tabs>
          <w:tab w:val="left" w:pos="851"/>
        </w:tabs>
        <w:spacing w:before="80"/>
      </w:pPr>
      <w:r>
        <w:tab/>
        <w:t>[Heading inserted in Gazette 1 Oct 2003 p. 4314.]</w:t>
      </w:r>
    </w:p>
    <w:p>
      <w:pPr>
        <w:pStyle w:val="Heading5"/>
      </w:pPr>
      <w:bookmarkStart w:id="479" w:name="_Toc359316744"/>
      <w:r>
        <w:rPr>
          <w:rStyle w:val="CharSectno"/>
        </w:rPr>
        <w:t>64P</w:t>
      </w:r>
      <w:r>
        <w:t>.</w:t>
      </w:r>
      <w:r>
        <w:tab/>
        <w:t xml:space="preserve">Prawn hand trawl nets, use of in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and Leschenault Estuary</w:t>
      </w:r>
      <w:bookmarkEnd w:id="479"/>
    </w:p>
    <w:p>
      <w:pPr>
        <w:pStyle w:val="Subsection"/>
      </w:pPr>
      <w:r>
        <w:tab/>
      </w:r>
      <w:r>
        <w:tab/>
        <w:t>A person must not use, or leave unattended, a prawn hand trawl net in the waters of —</w:t>
      </w:r>
    </w:p>
    <w:p>
      <w:pPr>
        <w:pStyle w:val="Indenta"/>
      </w:pPr>
      <w:r>
        <w:tab/>
        <w:t>(a)</w:t>
      </w:r>
      <w:r>
        <w:tab/>
        <w:t>the Leschenault Estuary; or</w:t>
      </w:r>
    </w:p>
    <w:p>
      <w:pPr>
        <w:pStyle w:val="Indenta"/>
      </w:pPr>
      <w:r>
        <w:tab/>
        <w:t>(b)</w:t>
      </w:r>
      <w:r>
        <w:tab/>
        <w:t xml:space="preserve">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w:t>
      </w:r>
    </w:p>
    <w:p>
      <w:pPr>
        <w:pStyle w:val="Indenti"/>
      </w:pPr>
      <w:r>
        <w:tab/>
        <w:t>(i)</w:t>
      </w:r>
      <w:r>
        <w:tab/>
        <w:t>within 100 m of any part of the Pelican Point Nature Reserve (Reserve No. 40891); or</w:t>
      </w:r>
    </w:p>
    <w:p>
      <w:pPr>
        <w:pStyle w:val="Indenti"/>
      </w:pPr>
      <w:r>
        <w:tab/>
        <w:t>(ii)</w:t>
      </w:r>
      <w:r>
        <w:tab/>
        <w:t>within 100 m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480" w:name="_Toc359316745"/>
      <w:r>
        <w:rPr>
          <w:rStyle w:val="CharSectno"/>
        </w:rPr>
        <w:t>64Q</w:t>
      </w:r>
      <w:r>
        <w:t>.</w:t>
      </w:r>
      <w:r>
        <w:tab/>
        <w:t>Fishing nets, use of etc. by commercial fishers in certain areas</w:t>
      </w:r>
      <w:bookmarkEnd w:id="480"/>
    </w:p>
    <w:p>
      <w:pPr>
        <w:pStyle w:val="Subsection"/>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rPr>
              <w:t>2.</w:t>
            </w:r>
          </w:p>
        </w:tc>
        <w:tc>
          <w:tcPr>
            <w:tcW w:w="5636" w:type="dxa"/>
          </w:tcPr>
          <w:p>
            <w:pPr>
              <w:pStyle w:val="TableNAm"/>
              <w:rPr>
                <w:sz w:val="22"/>
              </w:rPr>
            </w:pPr>
            <w:r>
              <w:rPr>
                <w:sz w:val="22"/>
              </w:rPr>
              <w:t xml:space="preserve">West Coast Estuarine Fishery identified in the </w:t>
            </w:r>
            <w:r>
              <w:rPr>
                <w:i/>
                <w:sz w:val="22"/>
              </w:rPr>
              <w:t>West Coast Estuarine Fishery (Interim) Management Plan 2003</w:t>
            </w:r>
            <w:r>
              <w:rPr>
                <w:sz w:val="22"/>
              </w:rPr>
              <w:t>.</w:t>
            </w:r>
          </w:p>
        </w:tc>
      </w:tr>
      <w:tr>
        <w:tc>
          <w:tcPr>
            <w:tcW w:w="709" w:type="dxa"/>
          </w:tcPr>
          <w:p>
            <w:pPr>
              <w:pStyle w:val="TableNAm"/>
              <w:rPr>
                <w:sz w:val="22"/>
              </w:rPr>
            </w:pPr>
            <w:r>
              <w:rPr>
                <w:sz w:val="22"/>
              </w:rPr>
              <w:t>3.</w:t>
            </w:r>
          </w:p>
        </w:tc>
        <w:tc>
          <w:tcPr>
            <w:tcW w:w="5636" w:type="dxa"/>
          </w:tcPr>
          <w:p>
            <w:pPr>
              <w:pStyle w:val="TableNAm"/>
              <w:rPr>
                <w:sz w:val="22"/>
              </w:rPr>
            </w:pPr>
            <w:smartTag w:uri="urn:schemas-microsoft-com:office:smarttags" w:element="PlaceName">
              <w:r>
                <w:rPr>
                  <w:sz w:val="22"/>
                </w:rPr>
                <w:t>Shark</w:t>
              </w:r>
            </w:smartTag>
            <w:r>
              <w:rPr>
                <w:sz w:val="22"/>
              </w:rPr>
              <w:t xml:space="preserve"> </w:t>
            </w:r>
            <w:smartTag w:uri="urn:schemas-microsoft-com:office:smarttags" w:element="PlaceType">
              <w:r>
                <w:rPr>
                  <w:sz w:val="22"/>
                </w:rPr>
                <w:t>Bay</w:t>
              </w:r>
            </w:smartTag>
            <w:r>
              <w:rPr>
                <w:sz w:val="22"/>
              </w:rPr>
              <w:t xml:space="preserve"> </w:t>
            </w:r>
            <w:smartTag w:uri="urn:schemas-microsoft-com:office:smarttags" w:element="PlaceType">
              <w:r>
                <w:rPr>
                  <w:sz w:val="22"/>
                </w:rPr>
                <w:t>Beach</w:t>
              </w:r>
            </w:smartTag>
            <w:r>
              <w:rPr>
                <w:sz w:val="22"/>
              </w:rPr>
              <w:t xml:space="preserve"> </w:t>
            </w:r>
            <w:smartTag w:uri="urn:schemas-microsoft-com:office:smarttags" w:element="place">
              <w:r>
                <w:rPr>
                  <w:sz w:val="22"/>
                </w:rPr>
                <w:t>Seine</w:t>
              </w:r>
            </w:smartTag>
            <w:r>
              <w:rPr>
                <w:sz w:val="22"/>
              </w:rPr>
              <w:t xml:space="preserv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 xml:space="preserve">South Coast Estuarine Fishery, being the commercial fishing by fishing net for all fish in the waters of all estuaries on the south coast of the State between </w:t>
            </w:r>
            <w:smartTag w:uri="urn:schemas-microsoft-com:office:smarttags" w:element="PlaceType">
              <w:r>
                <w:rPr>
                  <w:sz w:val="22"/>
                </w:rPr>
                <w:t>Cape</w:t>
              </w:r>
            </w:smartTag>
            <w:r>
              <w:rPr>
                <w:sz w:val="22"/>
              </w:rPr>
              <w:t xml:space="preserve"> </w:t>
            </w:r>
            <w:smartTag w:uri="urn:schemas-microsoft-com:office:smarttags" w:element="PlaceName">
              <w:r>
                <w:rPr>
                  <w:sz w:val="22"/>
                </w:rPr>
                <w:t>Beaufort</w:t>
              </w:r>
            </w:smartTag>
            <w:r>
              <w:rPr>
                <w:sz w:val="22"/>
              </w:rPr>
              <w:t xml:space="preserve"> and the 129° meridian of longitude, including </w:t>
            </w:r>
            <w:smartTag w:uri="urn:schemas-microsoft-com:office:smarttags" w:element="PlaceName">
              <w:r>
                <w:rPr>
                  <w:sz w:val="22"/>
                </w:rPr>
                <w:t>Princess</w:t>
              </w:r>
            </w:smartTag>
            <w:r>
              <w:rPr>
                <w:sz w:val="22"/>
              </w:rPr>
              <w:t xml:space="preserve"> </w:t>
            </w:r>
            <w:smartTag w:uri="urn:schemas-microsoft-com:office:smarttags" w:element="PlaceName">
              <w:r>
                <w:rPr>
                  <w:sz w:val="22"/>
                </w:rPr>
                <w:t>Royal</w:t>
              </w:r>
            </w:smartTag>
            <w:r>
              <w:rPr>
                <w:sz w:val="22"/>
              </w:rPr>
              <w:t xml:space="preserve"> </w:t>
            </w:r>
            <w:smartTag w:uri="urn:schemas-microsoft-com:office:smarttags" w:element="PlaceType">
              <w:r>
                <w:rPr>
                  <w:sz w:val="22"/>
                </w:rPr>
                <w:t>Harbour</w:t>
              </w:r>
            </w:smartTag>
            <w:r>
              <w:rPr>
                <w:sz w:val="22"/>
              </w:rPr>
              <w:t xml:space="preserve"> and </w:t>
            </w:r>
            <w:smartTag w:uri="urn:schemas-microsoft-com:office:smarttags" w:element="place">
              <w:smartTag w:uri="urn:schemas-microsoft-com:office:smarttags" w:element="PlaceName">
                <w:r>
                  <w:rPr>
                    <w:sz w:val="22"/>
                  </w:rPr>
                  <w:t>Oyster</w:t>
                </w:r>
              </w:smartTag>
              <w:r>
                <w:rPr>
                  <w:sz w:val="22"/>
                </w:rPr>
                <w:t xml:space="preserve"> </w:t>
              </w:r>
              <w:smartTag w:uri="urn:schemas-microsoft-com:office:smarttags" w:element="PlaceType">
                <w:r>
                  <w:rPr>
                    <w:sz w:val="22"/>
                  </w:rPr>
                  <w:t>Harbour</w:t>
                </w:r>
              </w:smartTag>
            </w:smartTag>
            <w:r>
              <w:rPr>
                <w:sz w:val="22"/>
              </w:rPr>
              <w:t>.</w:t>
            </w:r>
          </w:p>
        </w:tc>
      </w:tr>
      <w:tr>
        <w:tc>
          <w:tcPr>
            <w:tcW w:w="709" w:type="dxa"/>
          </w:tcPr>
          <w:p>
            <w:pPr>
              <w:pStyle w:val="TableNAm"/>
              <w:rPr>
                <w:sz w:val="22"/>
              </w:rPr>
            </w:pPr>
            <w:r>
              <w:rPr>
                <w:sz w:val="22"/>
              </w:rPr>
              <w:t>5.</w:t>
            </w:r>
          </w:p>
        </w:tc>
        <w:tc>
          <w:tcPr>
            <w:tcW w:w="5636" w:type="dxa"/>
          </w:tcPr>
          <w:p>
            <w:pPr>
              <w:pStyle w:val="TableNAm"/>
              <w:rPr>
                <w:sz w:val="22"/>
              </w:rPr>
            </w:pPr>
            <w:r>
              <w:rPr>
                <w:sz w:val="22"/>
              </w:rPr>
              <w:t xml:space="preserve">Swan/Canning Estuarine Fishery, being the commercial fishing by fishing net for all fish in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and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r>
              <w:rPr>
                <w:sz w:val="22"/>
              </w:rPr>
              <w:t>.</w:t>
            </w:r>
          </w:p>
        </w:tc>
      </w:tr>
      <w:tr>
        <w:tc>
          <w:tcPr>
            <w:tcW w:w="709" w:type="dxa"/>
          </w:tcPr>
          <w:p>
            <w:pPr>
              <w:pStyle w:val="TableNAm"/>
              <w:rPr>
                <w:sz w:val="22"/>
              </w:rPr>
            </w:pPr>
            <w:r>
              <w:rPr>
                <w:sz w:val="22"/>
              </w:rPr>
              <w:t>6.</w:t>
            </w:r>
          </w:p>
        </w:tc>
        <w:tc>
          <w:tcPr>
            <w:tcW w:w="5636" w:type="dxa"/>
          </w:tcPr>
          <w:p>
            <w:pPr>
              <w:pStyle w:val="TableNAm"/>
              <w:rPr>
                <w:sz w:val="22"/>
              </w:rPr>
            </w:pPr>
            <w:r>
              <w:rPr>
                <w:sz w:val="22"/>
              </w:rPr>
              <w:t xml:space="preserve">Lake Argyle Fishery, being the commercial fishing by fishing net for fish in the waters of </w:t>
            </w:r>
            <w:smartTag w:uri="urn:schemas-microsoft-com:office:smarttags" w:element="place">
              <w:smartTag w:uri="urn:schemas-microsoft-com:office:smarttags" w:element="PlaceType">
                <w:r>
                  <w:rPr>
                    <w:sz w:val="22"/>
                  </w:rPr>
                  <w:t>Lake</w:t>
                </w:r>
              </w:smartTag>
              <w:r>
                <w:rPr>
                  <w:sz w:val="22"/>
                </w:rPr>
                <w:t xml:space="preserve"> </w:t>
              </w:r>
              <w:smartTag w:uri="urn:schemas-microsoft-com:office:smarttags" w:element="PlaceName">
                <w:r>
                  <w:rPr>
                    <w:sz w:val="22"/>
                  </w:rPr>
                  <w:t>Argyle</w:t>
                </w:r>
              </w:smartTag>
            </w:smartTag>
            <w:r>
              <w:rPr>
                <w:sz w:val="22"/>
              </w:rPr>
              <w:t>.</w:t>
            </w:r>
          </w:p>
        </w:tc>
      </w:tr>
    </w:tbl>
    <w:p>
      <w:pPr>
        <w:pStyle w:val="Footnotesection"/>
      </w:pPr>
      <w:r>
        <w:tab/>
        <w:t>[Regulation 64Q inserted in Gazette 1 Oct 2003 p. 4314</w:t>
      </w:r>
      <w:r>
        <w:noBreakHyphen/>
        <w:t>15; amended in Gazette 6 Jul 2007 p. 3388.]</w:t>
      </w:r>
    </w:p>
    <w:p>
      <w:pPr>
        <w:pStyle w:val="Ednotesection"/>
      </w:pPr>
      <w:r>
        <w:t>[</w:t>
      </w:r>
      <w:r>
        <w:rPr>
          <w:b/>
        </w:rPr>
        <w:t>64R.</w:t>
      </w:r>
      <w:r>
        <w:tab/>
        <w:t>Deleted in Gazette 31 Oct 2003 p. 4561.]</w:t>
      </w:r>
    </w:p>
    <w:p>
      <w:pPr>
        <w:pStyle w:val="Heading5"/>
      </w:pPr>
      <w:bookmarkStart w:id="481" w:name="_Toc359316746"/>
      <w:r>
        <w:rPr>
          <w:rStyle w:val="CharSectno"/>
        </w:rPr>
        <w:t>64S</w:t>
      </w:r>
      <w:r>
        <w:t>.</w:t>
      </w:r>
      <w:r>
        <w:tab/>
        <w:t>Certain fishing gear not to be possessed near certain rivers and dams</w:t>
      </w:r>
      <w:bookmarkEnd w:id="481"/>
    </w:p>
    <w:p>
      <w:pPr>
        <w:pStyle w:val="Subsection"/>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keepNext/>
      </w:pPr>
      <w:r>
        <w:tab/>
        <w:t>(b)</w:t>
      </w:r>
      <w:r>
        <w:tab/>
        <w:t>no more than 5 rods, reels and lines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Subregulation (1) applies to a person who is in or on, or within 50 m of, the waters of —</w:t>
      </w:r>
    </w:p>
    <w:p>
      <w:pPr>
        <w:pStyle w:val="Indenta"/>
      </w:pPr>
      <w:r>
        <w:tab/>
        <w:t>(a)</w:t>
      </w:r>
      <w:r>
        <w:tab/>
      </w:r>
      <w:smartTag w:uri="urn:schemas-microsoft-com:office:smarttags" w:element="place">
        <w:smartTag w:uri="urn:schemas-microsoft-com:office:smarttags" w:element="PlaceName">
          <w:r>
            <w:t>Capel</w:t>
          </w:r>
        </w:smartTag>
        <w:r>
          <w:t xml:space="preserve"> </w:t>
        </w:r>
        <w:smartTag w:uri="urn:schemas-microsoft-com:office:smarttags" w:element="PlaceType">
          <w:r>
            <w:t>River</w:t>
          </w:r>
        </w:smartTag>
      </w:smartTag>
      <w:r>
        <w:t>, including its tributaries; or</w:t>
      </w:r>
    </w:p>
    <w:p>
      <w:pPr>
        <w:pStyle w:val="Indenta"/>
      </w:pPr>
      <w:r>
        <w:tab/>
        <w:t>(b)</w:t>
      </w:r>
      <w:r>
        <w:tab/>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including its tributaries; or</w:t>
      </w:r>
    </w:p>
    <w:p>
      <w:pPr>
        <w:pStyle w:val="Indenta"/>
      </w:pPr>
      <w:r>
        <w:tab/>
        <w:t>(ca)</w:t>
      </w:r>
      <w:r>
        <w:tab/>
        <w:t xml:space="preserve">the </w:t>
      </w:r>
      <w:smartTag w:uri="urn:schemas-microsoft-com:office:smarttags" w:element="place">
        <w:smartTag w:uri="urn:schemas-microsoft-com:office:smarttags" w:element="PlaceName">
          <w:r>
            <w:t>Collie</w:t>
          </w:r>
        </w:smartTag>
        <w:r>
          <w:t xml:space="preserve"> </w:t>
        </w:r>
        <w:smartTag w:uri="urn:schemas-microsoft-com:office:smarttags" w:element="PlaceType">
          <w:r>
            <w:t>River</w:t>
          </w:r>
        </w:smartTag>
      </w:smartTag>
      <w:r>
        <w:t> —</w:t>
      </w:r>
    </w:p>
    <w:p>
      <w:pPr>
        <w:pStyle w:val="Indenti"/>
      </w:pPr>
      <w:r>
        <w:tab/>
        <w:t>(i)</w:t>
      </w:r>
      <w:r>
        <w:tab/>
        <w:t xml:space="preserve">upstream of the </w:t>
      </w:r>
      <w:smartTag w:uri="urn:schemas-microsoft-com:office:smarttags" w:element="Street">
        <w:smartTag w:uri="urn:schemas-microsoft-com:office:smarttags" w:element="address">
          <w:r>
            <w:t>Australind Bypass Road</w:t>
          </w:r>
        </w:smartTag>
      </w:smartTag>
      <w:r>
        <w:t xml:space="preserve"> and downstream of the Wellington Dam wall; and</w:t>
      </w:r>
    </w:p>
    <w:p>
      <w:pPr>
        <w:pStyle w:val="Indenti"/>
      </w:pPr>
      <w:r>
        <w:tab/>
        <w:t>(ii)</w:t>
      </w:r>
      <w:r>
        <w:tab/>
        <w:t xml:space="preserve">upstream of the </w:t>
      </w:r>
      <w:smartTag w:uri="urn:schemas-microsoft-com:office:smarttags" w:element="place">
        <w:smartTag w:uri="urn:schemas-microsoft-com:office:smarttags" w:element="PlaceName">
          <w:r>
            <w:t>Mungalup</w:t>
          </w:r>
        </w:smartTag>
        <w:r>
          <w:t xml:space="preserve"> </w:t>
        </w:r>
        <w:smartTag w:uri="urn:schemas-microsoft-com:office:smarttags" w:element="PlaceName">
          <w:r>
            <w:t>Road</w:t>
          </w:r>
        </w:smartTag>
        <w:r>
          <w:t xml:space="preserve"> </w:t>
        </w:r>
        <w:smartTag w:uri="urn:schemas-microsoft-com:office:smarttags" w:element="PlaceType">
          <w:r>
            <w:t>Bridge</w:t>
          </w:r>
        </w:smartTag>
      </w:smartTag>
      <w:r>
        <w:t>;</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r>
      <w:smartTag w:uri="urn:schemas-microsoft-com:office:smarttags" w:element="PlaceName">
        <w:r>
          <w:t>Hutt</w:t>
        </w:r>
      </w:smartTag>
      <w:r>
        <w:t xml:space="preserve"> </w:t>
      </w:r>
      <w:smartTag w:uri="urn:schemas-microsoft-com:office:smarttags" w:element="PlaceType">
        <w:r>
          <w:t>River</w:t>
        </w:r>
      </w:smartTag>
      <w:r>
        <w:t xml:space="preserve">, </w:t>
      </w:r>
      <w:smartTag w:uri="urn:schemas-microsoft-com:office:smarttags" w:element="PlaceName">
        <w:r>
          <w:t>Moore</w:t>
        </w:r>
      </w:smartTag>
      <w:r>
        <w:t xml:space="preserve"> </w:t>
      </w:r>
      <w:smartTag w:uri="urn:schemas-microsoft-com:office:smarttags" w:element="PlaceType">
        <w:r>
          <w:t>River</w:t>
        </w:r>
      </w:smartTag>
      <w:r>
        <w:t xml:space="preserve"> and </w:t>
      </w:r>
      <w:smartTag w:uri="urn:schemas-microsoft-com:office:smarttags" w:element="place">
        <w:r>
          <w:t>Murray River</w:t>
        </w:r>
      </w:smartTag>
      <w:r>
        <w:t>, upstream of the Pinjarra Weir, including the tributaries flowing into those waters; or</w:t>
      </w:r>
    </w:p>
    <w:p>
      <w:pPr>
        <w:pStyle w:val="Indenta"/>
      </w:pPr>
      <w:r>
        <w:tab/>
        <w:t>(e)</w:t>
      </w:r>
      <w:r>
        <w:tab/>
      </w:r>
      <w:smartTag w:uri="urn:schemas-microsoft-com:office:smarttags" w:element="place">
        <w:r>
          <w:t>Deep River</w:t>
        </w:r>
      </w:smartTag>
      <w:r>
        <w:t>, including its tributaries; or</w:t>
      </w:r>
    </w:p>
    <w:p>
      <w:pPr>
        <w:pStyle w:val="Indenta"/>
      </w:pPr>
      <w:r>
        <w:tab/>
        <w:t>(f)</w:t>
      </w:r>
      <w:r>
        <w:tab/>
      </w:r>
      <w:smartTag w:uri="urn:schemas-microsoft-com:office:smarttags" w:element="place">
        <w:smartTag w:uri="urn:schemas-microsoft-com:office:smarttags" w:element="PlaceName">
          <w:r>
            <w:t>Gardner</w:t>
          </w:r>
        </w:smartTag>
        <w:r>
          <w:t xml:space="preserve"> </w:t>
        </w:r>
        <w:smartTag w:uri="urn:schemas-microsoft-com:office:smarttags" w:element="PlaceType">
          <w:r>
            <w:t>River</w:t>
          </w:r>
        </w:smartTag>
      </w:smartTag>
      <w:r>
        <w:t>,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 xml:space="preserve">the waters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 2 Nov 2011 p. 4624.]</w:t>
      </w:r>
    </w:p>
    <w:p>
      <w:pPr>
        <w:pStyle w:val="Heading5"/>
      </w:pPr>
      <w:bookmarkStart w:id="482" w:name="_Toc359316747"/>
      <w:r>
        <w:rPr>
          <w:rStyle w:val="CharSectno"/>
        </w:rPr>
        <w:t>64T</w:t>
      </w:r>
      <w:r>
        <w:t>.</w:t>
      </w:r>
      <w:r>
        <w:tab/>
        <w:t>Landing nets, use of in certain rivers and dams</w:t>
      </w:r>
      <w:bookmarkEnd w:id="482"/>
    </w:p>
    <w:p>
      <w:pPr>
        <w:pStyle w:val="Subsection"/>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spacing w:before="160"/>
        <w:ind w:left="890" w:hanging="890"/>
      </w:pPr>
      <w:r>
        <w:t>[</w:t>
      </w:r>
      <w:r>
        <w:rPr>
          <w:b/>
        </w:rPr>
        <w:t>64U.</w:t>
      </w:r>
      <w:r>
        <w:tab/>
        <w:t>Deleted in Gazette 29 Dec 2006 p. 5891.]</w:t>
      </w:r>
    </w:p>
    <w:p>
      <w:pPr>
        <w:pStyle w:val="Heading2"/>
      </w:pPr>
      <w:bookmarkStart w:id="483" w:name="_Toc339625861"/>
      <w:bookmarkStart w:id="484" w:name="_Toc342397611"/>
      <w:bookmarkStart w:id="485" w:name="_Toc343519868"/>
      <w:bookmarkStart w:id="486" w:name="_Toc343520325"/>
      <w:bookmarkStart w:id="487" w:name="_Toc344711890"/>
      <w:bookmarkStart w:id="488" w:name="_Toc344712406"/>
      <w:bookmarkStart w:id="489" w:name="_Toc347307683"/>
      <w:bookmarkStart w:id="490" w:name="_Toc349822600"/>
      <w:bookmarkStart w:id="491" w:name="_Toc349823020"/>
      <w:bookmarkStart w:id="492" w:name="_Toc349831002"/>
      <w:bookmarkStart w:id="493" w:name="_Toc359248791"/>
      <w:bookmarkStart w:id="494" w:name="_Toc359316748"/>
      <w:r>
        <w:rPr>
          <w:rStyle w:val="CharPartNo"/>
        </w:rPr>
        <w:t>Part 4B</w:t>
      </w:r>
      <w:r>
        <w:rPr>
          <w:b w:val="0"/>
        </w:rPr>
        <w:t> </w:t>
      </w:r>
      <w:r>
        <w:t>—</w:t>
      </w:r>
      <w:r>
        <w:rPr>
          <w:b w:val="0"/>
        </w:rPr>
        <w:t> </w:t>
      </w:r>
      <w:r>
        <w:rPr>
          <w:rStyle w:val="CharPartText"/>
        </w:rPr>
        <w:t>Bag limits</w:t>
      </w:r>
      <w:bookmarkEnd w:id="483"/>
      <w:bookmarkEnd w:id="484"/>
      <w:bookmarkEnd w:id="485"/>
      <w:bookmarkEnd w:id="486"/>
      <w:bookmarkEnd w:id="487"/>
      <w:bookmarkEnd w:id="488"/>
      <w:bookmarkEnd w:id="489"/>
      <w:bookmarkEnd w:id="490"/>
      <w:bookmarkEnd w:id="491"/>
      <w:bookmarkEnd w:id="492"/>
      <w:bookmarkEnd w:id="493"/>
      <w:bookmarkEnd w:id="494"/>
    </w:p>
    <w:p>
      <w:pPr>
        <w:pStyle w:val="Footnoteheading"/>
        <w:tabs>
          <w:tab w:val="left" w:pos="851"/>
        </w:tabs>
      </w:pPr>
      <w:r>
        <w:tab/>
        <w:t>[Heading inserted in Gazette 1 Oct 2003 p. 4319.]</w:t>
      </w:r>
    </w:p>
    <w:p>
      <w:pPr>
        <w:pStyle w:val="Heading3"/>
      </w:pPr>
      <w:bookmarkStart w:id="495" w:name="_Toc339625862"/>
      <w:bookmarkStart w:id="496" w:name="_Toc342397612"/>
      <w:bookmarkStart w:id="497" w:name="_Toc343519869"/>
      <w:bookmarkStart w:id="498" w:name="_Toc343520326"/>
      <w:bookmarkStart w:id="499" w:name="_Toc344711891"/>
      <w:bookmarkStart w:id="500" w:name="_Toc344712407"/>
      <w:bookmarkStart w:id="501" w:name="_Toc347307684"/>
      <w:bookmarkStart w:id="502" w:name="_Toc349822601"/>
      <w:bookmarkStart w:id="503" w:name="_Toc349823021"/>
      <w:bookmarkStart w:id="504" w:name="_Toc349831003"/>
      <w:bookmarkStart w:id="505" w:name="_Toc359248792"/>
      <w:bookmarkStart w:id="506" w:name="_Toc359316749"/>
      <w:r>
        <w:rPr>
          <w:rStyle w:val="CharDivNo"/>
        </w:rPr>
        <w:t>Division 1</w:t>
      </w:r>
      <w:r>
        <w:t> — </w:t>
      </w:r>
      <w:r>
        <w:rPr>
          <w:rStyle w:val="CharDivText"/>
        </w:rPr>
        <w:t>Preliminary</w:t>
      </w:r>
      <w:bookmarkEnd w:id="495"/>
      <w:bookmarkEnd w:id="496"/>
      <w:bookmarkEnd w:id="497"/>
      <w:bookmarkEnd w:id="498"/>
      <w:bookmarkEnd w:id="499"/>
      <w:bookmarkEnd w:id="500"/>
      <w:bookmarkEnd w:id="501"/>
      <w:bookmarkEnd w:id="502"/>
      <w:bookmarkEnd w:id="503"/>
      <w:bookmarkEnd w:id="504"/>
      <w:bookmarkEnd w:id="505"/>
      <w:bookmarkEnd w:id="506"/>
    </w:p>
    <w:p>
      <w:pPr>
        <w:pStyle w:val="Footnoteheading"/>
        <w:tabs>
          <w:tab w:val="left" w:pos="851"/>
        </w:tabs>
      </w:pPr>
      <w:r>
        <w:tab/>
        <w:t>[Heading inserted in Gazette 1 Oct 2003 p. 4319.]</w:t>
      </w:r>
    </w:p>
    <w:p>
      <w:pPr>
        <w:pStyle w:val="Ednotesection"/>
      </w:pPr>
      <w:r>
        <w:t>[</w:t>
      </w:r>
      <w:r>
        <w:rPr>
          <w:b/>
        </w:rPr>
        <w:t>64V.</w:t>
      </w:r>
      <w:r>
        <w:rPr>
          <w:b/>
        </w:rPr>
        <w:tab/>
      </w:r>
      <w:r>
        <w:t>Deleted in Gazette 29 Jan 2013 p. 308.]</w:t>
      </w:r>
    </w:p>
    <w:p>
      <w:pPr>
        <w:pStyle w:val="Heading5"/>
      </w:pPr>
      <w:bookmarkStart w:id="507" w:name="_Toc359316750"/>
      <w:r>
        <w:rPr>
          <w:rStyle w:val="CharSectno"/>
        </w:rPr>
        <w:t>64W</w:t>
      </w:r>
      <w:r>
        <w:t>.</w:t>
      </w:r>
      <w:r>
        <w:tab/>
        <w:t>Defences prescribed (Act s. 50(3))</w:t>
      </w:r>
      <w:bookmarkEnd w:id="507"/>
    </w:p>
    <w:p>
      <w:pPr>
        <w:pStyle w:val="Subsection"/>
      </w:pPr>
      <w:r>
        <w:tab/>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 1 Mar 2011 p. 671.]</w:t>
      </w:r>
    </w:p>
    <w:p>
      <w:pPr>
        <w:pStyle w:val="Heading5"/>
      </w:pPr>
      <w:bookmarkStart w:id="508" w:name="_Toc359316751"/>
      <w:r>
        <w:rPr>
          <w:rStyle w:val="CharSectno"/>
        </w:rPr>
        <w:t>64X</w:t>
      </w:r>
      <w:r>
        <w:t>.</w:t>
      </w:r>
      <w:r>
        <w:tab/>
        <w:t>Bag limits, application of</w:t>
      </w:r>
      <w:bookmarkEnd w:id="508"/>
    </w:p>
    <w:p>
      <w:pPr>
        <w:pStyle w:val="Subsection"/>
      </w:pPr>
      <w:r>
        <w:tab/>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rPr>
          <w:lang w:val="fr-FR"/>
        </w:rPr>
      </w:pPr>
      <w:bookmarkStart w:id="509" w:name="_Toc347307687"/>
      <w:bookmarkStart w:id="510" w:name="_Toc349822604"/>
      <w:bookmarkStart w:id="511" w:name="_Toc349823024"/>
      <w:bookmarkStart w:id="512" w:name="_Toc349831006"/>
      <w:bookmarkStart w:id="513" w:name="_Toc359248795"/>
      <w:bookmarkStart w:id="514" w:name="_Toc359316752"/>
      <w:bookmarkStart w:id="515" w:name="_Toc339625866"/>
      <w:bookmarkStart w:id="516" w:name="_Toc342397616"/>
      <w:bookmarkStart w:id="517" w:name="_Toc343519873"/>
      <w:bookmarkStart w:id="518" w:name="_Toc343520330"/>
      <w:bookmarkStart w:id="519" w:name="_Toc344711895"/>
      <w:bookmarkStart w:id="520" w:name="_Toc344712411"/>
      <w:r>
        <w:rPr>
          <w:rStyle w:val="CharDivNo"/>
          <w:lang w:val="fr-FR"/>
        </w:rPr>
        <w:t>Division 2</w:t>
      </w:r>
      <w:r>
        <w:rPr>
          <w:lang w:val="fr-FR"/>
        </w:rPr>
        <w:t> — </w:t>
      </w:r>
      <w:r>
        <w:rPr>
          <w:rStyle w:val="CharDivText"/>
          <w:lang w:val="fr-FR"/>
        </w:rPr>
        <w:t>Bag limits</w:t>
      </w:r>
      <w:bookmarkEnd w:id="509"/>
      <w:bookmarkEnd w:id="510"/>
      <w:bookmarkEnd w:id="511"/>
      <w:bookmarkEnd w:id="512"/>
      <w:bookmarkEnd w:id="513"/>
      <w:bookmarkEnd w:id="514"/>
      <w:r>
        <w:rPr>
          <w:lang w:val="fr-FR"/>
        </w:rPr>
        <w:t xml:space="preserve"> </w:t>
      </w:r>
    </w:p>
    <w:p>
      <w:pPr>
        <w:pStyle w:val="Footnoteheading"/>
      </w:pPr>
      <w:r>
        <w:tab/>
        <w:t>[Heading inserted in Gazette 29 Jan 2013 p. 308.]</w:t>
      </w:r>
    </w:p>
    <w:p>
      <w:pPr>
        <w:pStyle w:val="Ednotesection"/>
      </w:pPr>
      <w:r>
        <w:rPr>
          <w:lang w:val="fr-FR"/>
        </w:rPr>
        <w:t>[</w:t>
      </w:r>
      <w:r>
        <w:rPr>
          <w:b/>
          <w:lang w:val="fr-FR"/>
        </w:rPr>
        <w:t>64Y- 64ZAA.</w:t>
      </w:r>
      <w:r>
        <w:rPr>
          <w:lang w:val="fr-FR"/>
        </w:rPr>
        <w:tab/>
      </w:r>
      <w:r>
        <w:t>Deleted in Gazette 29 Jan 2013 p. 308.]</w:t>
      </w:r>
    </w:p>
    <w:p>
      <w:pPr>
        <w:pStyle w:val="Heading5"/>
      </w:pPr>
      <w:bookmarkStart w:id="521" w:name="_Toc359316753"/>
      <w:r>
        <w:rPr>
          <w:rStyle w:val="CharSectno"/>
        </w:rPr>
        <w:t>65A</w:t>
      </w:r>
      <w:r>
        <w:t>.</w:t>
      </w:r>
      <w:r>
        <w:tab/>
        <w:t>Bag limits for demersal finfish (regions other than West Coast region)</w:t>
      </w:r>
      <w:bookmarkEnd w:id="521"/>
    </w:p>
    <w:p>
      <w:pPr>
        <w:pStyle w:val="Subsection"/>
      </w:pPr>
      <w:r>
        <w:tab/>
        <w:t>(1)</w:t>
      </w:r>
      <w:r>
        <w:tab/>
        <w:t xml:space="preserve">For the purposes of section 50 of the Act, the quantity of fish specified in column 2 of Schedule 3 Part 1 Division 1 directly opposite a species of fish specified in column 1 of that Division </w:t>
      </w:r>
      <w:r>
        <w:rPr>
          <w:rStyle w:val="CharDefText"/>
          <w:b w:val="0"/>
          <w:i w:val="0"/>
        </w:rPr>
        <w:t>(</w:t>
      </w:r>
      <w:r>
        <w:rPr>
          <w:rStyle w:val="CharDefText"/>
        </w:rPr>
        <w:t>demersal finfish</w:t>
      </w:r>
      <w:r>
        <w:t xml:space="preserve">) is the bag limit in respect of fish of that species in the </w:t>
      </w:r>
      <w:smartTag w:uri="urn:schemas-microsoft-com:office:smarttags" w:element="PlaceName">
        <w:r>
          <w:t>South</w:t>
        </w:r>
      </w:smartTag>
      <w:r>
        <w:t xml:space="preserve"> </w:t>
      </w:r>
      <w:smartTag w:uri="urn:schemas-microsoft-com:office:smarttags" w:element="PlaceType">
        <w:r>
          <w:t>Coast</w:t>
        </w:r>
      </w:smartTag>
      <w:r>
        <w:t xml:space="preserve">, Gascoyne and </w:t>
      </w:r>
      <w:smartTag w:uri="urn:schemas-microsoft-com:office:smarttags" w:element="place">
        <w:smartTag w:uri="urn:schemas-microsoft-com:office:smarttags" w:element="PlaceName">
          <w:r>
            <w:t>North</w:t>
          </w:r>
        </w:smartTag>
        <w:r>
          <w:t xml:space="preserve"> </w:t>
        </w:r>
        <w:smartTag w:uri="urn:schemas-microsoft-com:office:smarttags" w:element="PlaceType">
          <w:r>
            <w:t>Coast</w:t>
          </w:r>
        </w:smartTag>
      </w:smartTag>
      <w:r>
        <w:t xml:space="preserve"> regions.</w:t>
      </w:r>
    </w:p>
    <w:p>
      <w:pPr>
        <w:pStyle w:val="Subsection"/>
      </w:pPr>
      <w:r>
        <w:tab/>
        <w:t>(2)</w:t>
      </w:r>
      <w:r>
        <w:tab/>
        <w:t>For the purposes of section 50 of the Act, the quantity of fish specified under the heading commencing “Grouped bag limit” in Schedule 3 Part 1 Division 1 is the bag limit in respect of all species of fish specified in that Division in the South Coast, Gascoyne and North Coast regions.</w:t>
      </w:r>
    </w:p>
    <w:p>
      <w:pPr>
        <w:pStyle w:val="Footnotesection"/>
      </w:pPr>
      <w:r>
        <w:tab/>
        <w:t>[Regulation 65A inserted in Gazette 29 Jan 2013 p. 308</w:t>
      </w:r>
      <w:r>
        <w:noBreakHyphen/>
        <w:t>9.]</w:t>
      </w:r>
    </w:p>
    <w:p>
      <w:pPr>
        <w:pStyle w:val="Heading5"/>
      </w:pPr>
      <w:bookmarkStart w:id="522" w:name="_Toc359316754"/>
      <w:r>
        <w:rPr>
          <w:rStyle w:val="CharSectno"/>
        </w:rPr>
        <w:t>65B</w:t>
      </w:r>
      <w:r>
        <w:t>.</w:t>
      </w:r>
      <w:r>
        <w:tab/>
        <w:t>Bag limits for demersal finfish (West Coast region)</w:t>
      </w:r>
      <w:bookmarkEnd w:id="522"/>
    </w:p>
    <w:p>
      <w:pPr>
        <w:pStyle w:val="Subsection"/>
      </w:pPr>
      <w:r>
        <w:tab/>
        <w:t>(1)</w:t>
      </w:r>
      <w:r>
        <w:tab/>
        <w:t>For the purposes of section 50 of the Act, the quantity of fish specified in column 2 of Schedule 3 Part 1 Division 2 directly opposite a species of fish specified in column 1 of that Division (</w:t>
      </w:r>
      <w:r>
        <w:rPr>
          <w:rStyle w:val="CharDefText"/>
        </w:rPr>
        <w:t>demersal finfish</w:t>
      </w:r>
      <w:r>
        <w:t>) is the bag limit in respect of fish of that species in the West Coast region.</w:t>
      </w:r>
    </w:p>
    <w:p>
      <w:pPr>
        <w:pStyle w:val="Subsection"/>
      </w:pPr>
      <w:r>
        <w:tab/>
        <w:t>(2)</w:t>
      </w:r>
      <w:r>
        <w:tab/>
        <w:t>For the purposes of section 50 of the Act, the quantity of fish specified under the heading commencing “Grouped bag limit” in Schedule 3 Part 1 Division 2 is the bag limit in respect of all species of fish specified in that Division in the West Coast region.</w:t>
      </w:r>
    </w:p>
    <w:p>
      <w:pPr>
        <w:pStyle w:val="Footnotesection"/>
      </w:pPr>
      <w:r>
        <w:tab/>
        <w:t>[Regulation 65B inserted in Gazette 29 Jan 2013 p. 309.]</w:t>
      </w:r>
    </w:p>
    <w:p>
      <w:pPr>
        <w:pStyle w:val="Heading5"/>
      </w:pPr>
      <w:bookmarkStart w:id="523" w:name="_Toc359316755"/>
      <w:r>
        <w:rPr>
          <w:rStyle w:val="CharSectno"/>
        </w:rPr>
        <w:t>65C</w:t>
      </w:r>
      <w:r>
        <w:t>.</w:t>
      </w:r>
      <w:r>
        <w:tab/>
        <w:t>Bag limits for large pelagic finfish</w:t>
      </w:r>
      <w:bookmarkEnd w:id="523"/>
    </w:p>
    <w:p>
      <w:pPr>
        <w:pStyle w:val="Subsection"/>
      </w:pPr>
      <w:r>
        <w:tab/>
        <w:t>(1)</w:t>
      </w:r>
      <w:r>
        <w:tab/>
        <w:t>For the purposes of section 50 of the Act, the quantity of fish specified in column 2 of Schedule 3 Part 2 directly opposite a species of fish specified in column 1 of that Part (</w:t>
      </w:r>
      <w:r>
        <w:rPr>
          <w:rStyle w:val="CharDefText"/>
        </w:rPr>
        <w:t>large pelagic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2 is the bag limit in respect of all species of fish specified in that Part.</w:t>
      </w:r>
    </w:p>
    <w:p>
      <w:pPr>
        <w:pStyle w:val="Footnotesection"/>
      </w:pPr>
      <w:r>
        <w:tab/>
        <w:t>[Regulation 65C inserted in Gazette 29 Jan 2013 p. 309</w:t>
      </w:r>
      <w:r>
        <w:noBreakHyphen/>
        <w:t>10.]</w:t>
      </w:r>
    </w:p>
    <w:p>
      <w:pPr>
        <w:pStyle w:val="Heading5"/>
      </w:pPr>
      <w:bookmarkStart w:id="524" w:name="_Toc359316756"/>
      <w:r>
        <w:rPr>
          <w:rStyle w:val="CharSectno"/>
        </w:rPr>
        <w:t>65D</w:t>
      </w:r>
      <w:r>
        <w:t>.</w:t>
      </w:r>
      <w:r>
        <w:tab/>
        <w:t>Bag limits for nearshore or estuarine finfish</w:t>
      </w:r>
      <w:bookmarkEnd w:id="524"/>
    </w:p>
    <w:p>
      <w:pPr>
        <w:pStyle w:val="Subsection"/>
      </w:pPr>
      <w:r>
        <w:tab/>
        <w:t>(1)</w:t>
      </w:r>
      <w:r>
        <w:tab/>
        <w:t>For the purposes of section 50 of the Act, the quantity of fish specified in column 2 of Schedule 3 Part 3 directly opposite a species of fish specified in column 1 of that Part (</w:t>
      </w:r>
      <w:r>
        <w:rPr>
          <w:rStyle w:val="CharDefText"/>
        </w:rPr>
        <w:t>nearshore or estuarine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3 is the bag limit in respect of all species of fish specified in that Part.</w:t>
      </w:r>
    </w:p>
    <w:p>
      <w:pPr>
        <w:pStyle w:val="Footnotesection"/>
      </w:pPr>
      <w:r>
        <w:tab/>
        <w:t>[Regulation 65D inserted in Gazette 29 Jan 2013 p. 310.]</w:t>
      </w:r>
    </w:p>
    <w:p>
      <w:pPr>
        <w:pStyle w:val="Heading5"/>
      </w:pPr>
      <w:bookmarkStart w:id="525" w:name="_Toc359316757"/>
      <w:r>
        <w:rPr>
          <w:rStyle w:val="CharSectno"/>
        </w:rPr>
        <w:t>65E</w:t>
      </w:r>
      <w:r>
        <w:t>.</w:t>
      </w:r>
      <w:r>
        <w:tab/>
        <w:t>Bag limits for freshwater finfish</w:t>
      </w:r>
      <w:bookmarkEnd w:id="525"/>
    </w:p>
    <w:p>
      <w:pPr>
        <w:pStyle w:val="Subsection"/>
      </w:pPr>
      <w:r>
        <w:tab/>
      </w:r>
      <w:r>
        <w:tab/>
        <w:t>For the purposes of section 50 of the Act, the bag limit in respect of a species of fish specified in Schedule 3 Part 4 (</w:t>
      </w:r>
      <w:r>
        <w:rPr>
          <w:rStyle w:val="CharDefText"/>
        </w:rPr>
        <w:t>freshwater finfish</w:t>
      </w:r>
      <w:r>
        <w:t>) is the bag limit in respect of fish of that species.</w:t>
      </w:r>
    </w:p>
    <w:p>
      <w:pPr>
        <w:pStyle w:val="Footnotesection"/>
      </w:pPr>
      <w:r>
        <w:tab/>
        <w:t>[Regulation 65E inserted in Gazette 29 Jan 2013 p. 310.]</w:t>
      </w:r>
    </w:p>
    <w:p>
      <w:pPr>
        <w:pStyle w:val="Heading5"/>
      </w:pPr>
      <w:bookmarkStart w:id="526" w:name="_Toc359316758"/>
      <w:r>
        <w:rPr>
          <w:rStyle w:val="CharSectno"/>
        </w:rPr>
        <w:t>65F</w:t>
      </w:r>
      <w:r>
        <w:t>.</w:t>
      </w:r>
      <w:r>
        <w:tab/>
        <w:t>Bag limits for other finfish</w:t>
      </w:r>
      <w:bookmarkEnd w:id="526"/>
    </w:p>
    <w:p>
      <w:pPr>
        <w:pStyle w:val="Subsection"/>
      </w:pPr>
      <w:r>
        <w:tab/>
        <w:t>(1)</w:t>
      </w:r>
      <w:r>
        <w:tab/>
        <w:t>For the purposes of section 50 of the Act, the bag limit for Bait Fish and Hardyhead is 9 litres.</w:t>
      </w:r>
    </w:p>
    <w:p>
      <w:pPr>
        <w:pStyle w:val="Subsection"/>
      </w:pPr>
      <w:r>
        <w:tab/>
        <w:t>(2)</w:t>
      </w:r>
      <w:r>
        <w:tab/>
        <w:t>For the purposes of section 50 of the Act, the bag limit for finfish not otherwise referred to in this Division is 30.</w:t>
      </w:r>
    </w:p>
    <w:p>
      <w:pPr>
        <w:pStyle w:val="Footnotesection"/>
      </w:pPr>
      <w:r>
        <w:tab/>
        <w:t>[Regulation 65F inserted in Gazette 29 Jan 2013 p. 310.]</w:t>
      </w:r>
    </w:p>
    <w:p>
      <w:pPr>
        <w:pStyle w:val="Heading5"/>
      </w:pPr>
      <w:bookmarkStart w:id="527" w:name="_Toc359316759"/>
      <w:r>
        <w:rPr>
          <w:rStyle w:val="CharSectno"/>
        </w:rPr>
        <w:t>65G</w:t>
      </w:r>
      <w:r>
        <w:t>.</w:t>
      </w:r>
      <w:r>
        <w:tab/>
        <w:t>Bag limits for crustaceans</w:t>
      </w:r>
      <w:bookmarkEnd w:id="527"/>
    </w:p>
    <w:p>
      <w:pPr>
        <w:pStyle w:val="Subsection"/>
      </w:pPr>
      <w:r>
        <w:tab/>
      </w:r>
      <w:r>
        <w:tab/>
        <w:t xml:space="preserve">For the purposes of section 50 of the Act, the quantity of crustaceans specified in column 2 of Schedule 3 Part 5 directly opposite a species of crustaceans specified in column 1 of that Part is the bag limit in respect of crustaceans of that species. </w:t>
      </w:r>
    </w:p>
    <w:p>
      <w:pPr>
        <w:pStyle w:val="Footnotesection"/>
      </w:pPr>
      <w:r>
        <w:tab/>
        <w:t>[Regulation 65G inserted in Gazette 29 Jan 2013 p. 310.]</w:t>
      </w:r>
    </w:p>
    <w:p>
      <w:pPr>
        <w:pStyle w:val="Heading5"/>
      </w:pPr>
      <w:bookmarkStart w:id="528" w:name="_Toc359316760"/>
      <w:r>
        <w:rPr>
          <w:rStyle w:val="CharSectno"/>
        </w:rPr>
        <w:t>65H</w:t>
      </w:r>
      <w:r>
        <w:t>.</w:t>
      </w:r>
      <w:r>
        <w:tab/>
        <w:t>Bag limits for molluscs and other invertebrates</w:t>
      </w:r>
      <w:bookmarkEnd w:id="528"/>
    </w:p>
    <w:p>
      <w:pPr>
        <w:pStyle w:val="Subsection"/>
      </w:pPr>
      <w:r>
        <w:tab/>
      </w:r>
      <w:r>
        <w:tab/>
        <w:t xml:space="preserve">For the purposes of section 50 of the Act, the quantity of molluscs or invertebrates specified in column 2 of Schedule 3 Part 6 directly opposite a species of molluscs or invertebrates specified in column 1 of that Part is the bag limit in respect of molluscs or invertebrates of that species. </w:t>
      </w:r>
    </w:p>
    <w:p>
      <w:pPr>
        <w:pStyle w:val="Footnotesection"/>
      </w:pPr>
      <w:r>
        <w:tab/>
        <w:t>[Regulation 65H inserted as regulation 66H in Gazette 29 Jan 2013 p. 311; renumbered as regulation 65H in Gazette 18 Jun 2013 p. 2296.]</w:t>
      </w:r>
    </w:p>
    <w:bookmarkEnd w:id="515"/>
    <w:bookmarkEnd w:id="516"/>
    <w:bookmarkEnd w:id="517"/>
    <w:bookmarkEnd w:id="518"/>
    <w:bookmarkEnd w:id="519"/>
    <w:bookmarkEnd w:id="520"/>
    <w:p>
      <w:pPr>
        <w:pStyle w:val="Ednotesubdivision"/>
      </w:pPr>
      <w:r>
        <w:t>[Division 3 deleted in Gazette 29 Jan 2013 p. 311.]</w:t>
      </w:r>
    </w:p>
    <w:p>
      <w:pPr>
        <w:pStyle w:val="Ednotedivision"/>
      </w:pPr>
      <w:r>
        <w:t>[Division 4 deleted in Gazette 3 Feb 2009 p. 227.]</w:t>
      </w:r>
    </w:p>
    <w:p>
      <w:pPr>
        <w:pStyle w:val="Heading2"/>
      </w:pPr>
      <w:bookmarkStart w:id="529" w:name="_Toc339625888"/>
      <w:bookmarkStart w:id="530" w:name="_Toc342397638"/>
      <w:bookmarkStart w:id="531" w:name="_Toc343519895"/>
      <w:bookmarkStart w:id="532" w:name="_Toc343520352"/>
      <w:bookmarkStart w:id="533" w:name="_Toc344711917"/>
      <w:bookmarkStart w:id="534" w:name="_Toc344712433"/>
      <w:bookmarkStart w:id="535" w:name="_Toc347307700"/>
      <w:bookmarkStart w:id="536" w:name="_Toc349822613"/>
      <w:bookmarkStart w:id="537" w:name="_Toc349823033"/>
      <w:bookmarkStart w:id="538" w:name="_Toc349831015"/>
      <w:bookmarkStart w:id="539" w:name="_Toc359248804"/>
      <w:bookmarkStart w:id="540" w:name="_Toc359316761"/>
      <w:r>
        <w:rPr>
          <w:rStyle w:val="CharPartNo"/>
        </w:rPr>
        <w:t>Part 5</w:t>
      </w:r>
      <w:r>
        <w:rPr>
          <w:rStyle w:val="CharDivNo"/>
        </w:rPr>
        <w:t> </w:t>
      </w:r>
      <w:r>
        <w:t>—</w:t>
      </w:r>
      <w:r>
        <w:rPr>
          <w:rStyle w:val="CharDivText"/>
        </w:rPr>
        <w:t> </w:t>
      </w:r>
      <w:r>
        <w:rPr>
          <w:rStyle w:val="CharPartText"/>
        </w:rPr>
        <w:t>Fish processing</w:t>
      </w:r>
      <w:bookmarkEnd w:id="529"/>
      <w:bookmarkEnd w:id="530"/>
      <w:bookmarkEnd w:id="531"/>
      <w:bookmarkEnd w:id="532"/>
      <w:bookmarkEnd w:id="533"/>
      <w:bookmarkEnd w:id="534"/>
      <w:bookmarkEnd w:id="535"/>
      <w:bookmarkEnd w:id="536"/>
      <w:bookmarkEnd w:id="537"/>
      <w:bookmarkEnd w:id="538"/>
      <w:bookmarkEnd w:id="539"/>
      <w:bookmarkEnd w:id="540"/>
    </w:p>
    <w:p>
      <w:pPr>
        <w:pStyle w:val="Heading5"/>
        <w:rPr>
          <w:snapToGrid w:val="0"/>
        </w:rPr>
      </w:pPr>
      <w:bookmarkStart w:id="541" w:name="_Toc359316762"/>
      <w:r>
        <w:rPr>
          <w:rStyle w:val="CharSectno"/>
        </w:rPr>
        <w:t>65</w:t>
      </w:r>
      <w:r>
        <w:rPr>
          <w:snapToGrid w:val="0"/>
        </w:rPr>
        <w:t>.</w:t>
      </w:r>
      <w:r>
        <w:rPr>
          <w:snapToGrid w:val="0"/>
        </w:rPr>
        <w:tab/>
        <w:t>Classes of fish prescribed (Act s. 82(2)(a))</w:t>
      </w:r>
      <w:bookmarkEnd w:id="541"/>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542" w:name="_Toc359316763"/>
      <w:r>
        <w:rPr>
          <w:rStyle w:val="CharSectno"/>
        </w:rPr>
        <w:t>66</w:t>
      </w:r>
      <w:r>
        <w:t>.</w:t>
      </w:r>
      <w:r>
        <w:tab/>
        <w:t>Fish processor’s licences, conditions of</w:t>
      </w:r>
      <w:bookmarkEnd w:id="542"/>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ind w:left="890" w:hanging="890"/>
      </w:pPr>
      <w:r>
        <w:tab/>
        <w:t>[Regulation 66 amended in Gazette 6 Jul 2007 p. 3389.]</w:t>
      </w:r>
    </w:p>
    <w:p>
      <w:pPr>
        <w:pStyle w:val="Heading2"/>
      </w:pPr>
      <w:bookmarkStart w:id="543" w:name="_Toc339625891"/>
      <w:bookmarkStart w:id="544" w:name="_Toc342397641"/>
      <w:bookmarkStart w:id="545" w:name="_Toc343519898"/>
      <w:bookmarkStart w:id="546" w:name="_Toc343520355"/>
      <w:bookmarkStart w:id="547" w:name="_Toc344711920"/>
      <w:bookmarkStart w:id="548" w:name="_Toc344712436"/>
      <w:bookmarkStart w:id="549" w:name="_Toc347307703"/>
      <w:bookmarkStart w:id="550" w:name="_Toc349822616"/>
      <w:bookmarkStart w:id="551" w:name="_Toc349823036"/>
      <w:bookmarkStart w:id="552" w:name="_Toc349831018"/>
      <w:bookmarkStart w:id="553" w:name="_Toc359248807"/>
      <w:bookmarkStart w:id="554" w:name="_Toc359316764"/>
      <w:r>
        <w:rPr>
          <w:rStyle w:val="CharPartNo"/>
        </w:rPr>
        <w:t>Part 6</w:t>
      </w:r>
      <w:r>
        <w:rPr>
          <w:rStyle w:val="CharDivNo"/>
        </w:rPr>
        <w:t> </w:t>
      </w:r>
      <w:r>
        <w:t>—</w:t>
      </w:r>
      <w:r>
        <w:rPr>
          <w:rStyle w:val="CharDivText"/>
        </w:rPr>
        <w:t> </w:t>
      </w:r>
      <w:r>
        <w:rPr>
          <w:rStyle w:val="CharPartText"/>
        </w:rPr>
        <w:t>Aquaculture</w:t>
      </w:r>
      <w:bookmarkEnd w:id="543"/>
      <w:bookmarkEnd w:id="544"/>
      <w:bookmarkEnd w:id="545"/>
      <w:bookmarkEnd w:id="546"/>
      <w:bookmarkEnd w:id="547"/>
      <w:bookmarkEnd w:id="548"/>
      <w:bookmarkEnd w:id="549"/>
      <w:bookmarkEnd w:id="550"/>
      <w:bookmarkEnd w:id="551"/>
      <w:bookmarkEnd w:id="552"/>
      <w:bookmarkEnd w:id="553"/>
      <w:bookmarkEnd w:id="554"/>
    </w:p>
    <w:p>
      <w:pPr>
        <w:pStyle w:val="Heading5"/>
        <w:rPr>
          <w:snapToGrid w:val="0"/>
        </w:rPr>
      </w:pPr>
      <w:bookmarkStart w:id="555" w:name="_Toc359316765"/>
      <w:r>
        <w:rPr>
          <w:rStyle w:val="CharSectno"/>
        </w:rPr>
        <w:t>67</w:t>
      </w:r>
      <w:r>
        <w:rPr>
          <w:snapToGrid w:val="0"/>
        </w:rPr>
        <w:t>.</w:t>
      </w:r>
      <w:r>
        <w:rPr>
          <w:snapToGrid w:val="0"/>
        </w:rPr>
        <w:tab/>
        <w:t>Aquaculture leases, application for</w:t>
      </w:r>
      <w:bookmarkEnd w:id="555"/>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in Gazette 6 Jul 2007 p. 3389.]</w:t>
      </w:r>
    </w:p>
    <w:p>
      <w:pPr>
        <w:pStyle w:val="Heading5"/>
        <w:rPr>
          <w:snapToGrid w:val="0"/>
        </w:rPr>
      </w:pPr>
      <w:bookmarkStart w:id="556" w:name="_Toc359316766"/>
      <w:r>
        <w:rPr>
          <w:rStyle w:val="CharSectno"/>
        </w:rPr>
        <w:t>68</w:t>
      </w:r>
      <w:r>
        <w:rPr>
          <w:snapToGrid w:val="0"/>
        </w:rPr>
        <w:t>.</w:t>
      </w:r>
      <w:r>
        <w:rPr>
          <w:snapToGrid w:val="0"/>
        </w:rPr>
        <w:tab/>
        <w:t>Classes of fish etc. prescribed (Act s. 91(a) and (d))</w:t>
      </w:r>
      <w:bookmarkEnd w:id="556"/>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rPr>
          <w:snapToGrid w:val="0"/>
        </w:rPr>
      </w:pPr>
      <w:bookmarkStart w:id="557" w:name="_Toc359316767"/>
      <w:r>
        <w:rPr>
          <w:rStyle w:val="CharSectno"/>
        </w:rPr>
        <w:t>69</w:t>
      </w:r>
      <w:r>
        <w:rPr>
          <w:snapToGrid w:val="0"/>
        </w:rPr>
        <w:t>.</w:t>
      </w:r>
      <w:r>
        <w:rPr>
          <w:snapToGrid w:val="0"/>
        </w:rPr>
        <w:tab/>
        <w:t>Aquaculture licences, conditions of</w:t>
      </w:r>
      <w:bookmarkEnd w:id="557"/>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 xml:space="preserve">to the head office of the Department at </w:t>
      </w:r>
      <w:smartTag w:uri="urn:schemas-microsoft-com:office:smarttags" w:element="place">
        <w:smartTag w:uri="urn:schemas-microsoft-com:office:smarttags" w:element="City">
          <w:r>
            <w:t>Perth</w:t>
          </w:r>
        </w:smartTag>
      </w:smartTag>
      <w:r>
        <w:t>;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558" w:name="_Toc339625895"/>
      <w:bookmarkStart w:id="559" w:name="_Toc342397645"/>
      <w:bookmarkStart w:id="560" w:name="_Toc343519902"/>
      <w:bookmarkStart w:id="561" w:name="_Toc343520359"/>
      <w:bookmarkStart w:id="562" w:name="_Toc344711924"/>
      <w:bookmarkStart w:id="563" w:name="_Toc344712440"/>
      <w:bookmarkStart w:id="564" w:name="_Toc347307707"/>
      <w:bookmarkStart w:id="565" w:name="_Toc349822620"/>
      <w:bookmarkStart w:id="566" w:name="_Toc349823040"/>
      <w:bookmarkStart w:id="567" w:name="_Toc349831022"/>
      <w:bookmarkStart w:id="568" w:name="_Toc359248811"/>
      <w:bookmarkStart w:id="569" w:name="_Toc359316768"/>
      <w:r>
        <w:rPr>
          <w:rStyle w:val="CharPartNo"/>
        </w:rPr>
        <w:t>Part 7</w:t>
      </w:r>
      <w:r>
        <w:rPr>
          <w:rStyle w:val="CharDivNo"/>
        </w:rPr>
        <w:t> </w:t>
      </w:r>
      <w:r>
        <w:t>—</w:t>
      </w:r>
      <w:r>
        <w:rPr>
          <w:rStyle w:val="CharDivText"/>
        </w:rPr>
        <w:t> </w:t>
      </w:r>
      <w:r>
        <w:rPr>
          <w:rStyle w:val="CharPartText"/>
        </w:rPr>
        <w:t>Noxious fish</w:t>
      </w:r>
      <w:bookmarkEnd w:id="558"/>
      <w:bookmarkEnd w:id="559"/>
      <w:bookmarkEnd w:id="560"/>
      <w:bookmarkEnd w:id="561"/>
      <w:bookmarkEnd w:id="562"/>
      <w:bookmarkEnd w:id="563"/>
      <w:bookmarkEnd w:id="564"/>
      <w:bookmarkEnd w:id="565"/>
      <w:bookmarkEnd w:id="566"/>
      <w:bookmarkEnd w:id="567"/>
      <w:bookmarkEnd w:id="568"/>
      <w:bookmarkEnd w:id="569"/>
    </w:p>
    <w:p>
      <w:pPr>
        <w:pStyle w:val="Heading5"/>
        <w:rPr>
          <w:snapToGrid w:val="0"/>
        </w:rPr>
      </w:pPr>
      <w:bookmarkStart w:id="570" w:name="_Toc359316769"/>
      <w:r>
        <w:rPr>
          <w:rStyle w:val="CharSectno"/>
        </w:rPr>
        <w:t>70</w:t>
      </w:r>
      <w:r>
        <w:rPr>
          <w:snapToGrid w:val="0"/>
        </w:rPr>
        <w:t>.</w:t>
      </w:r>
      <w:r>
        <w:rPr>
          <w:snapToGrid w:val="0"/>
        </w:rPr>
        <w:tab/>
        <w:t>Species prescribed (Sch. 5 and Act s. 103)</w:t>
      </w:r>
      <w:bookmarkEnd w:id="570"/>
    </w:p>
    <w:p>
      <w:pPr>
        <w:pStyle w:val="Subsection"/>
        <w:rPr>
          <w:snapToGrid w:val="0"/>
        </w:rPr>
      </w:pPr>
      <w:r>
        <w:rPr>
          <w:snapToGrid w:val="0"/>
        </w:rPr>
        <w:tab/>
      </w:r>
      <w:r>
        <w:rPr>
          <w:snapToGrid w:val="0"/>
        </w:rPr>
        <w:tab/>
        <w:t xml:space="preserve">The species of fish </w:t>
      </w:r>
      <w:r>
        <w:t xml:space="preserve">described by a scientific name </w:t>
      </w:r>
      <w:r>
        <w:rPr>
          <w:snapToGrid w:val="0"/>
        </w:rPr>
        <w:t>listed in Schedule 5 are prescribed under section 103 of the Act to be noxious fish for the purposes of the Act.</w:t>
      </w:r>
    </w:p>
    <w:p>
      <w:pPr>
        <w:pStyle w:val="Footnotesection"/>
      </w:pPr>
      <w:r>
        <w:tab/>
        <w:t>[Regulation 70 amended in Gazette 23 Jul 2010 p. 3402.]</w:t>
      </w:r>
    </w:p>
    <w:p>
      <w:pPr>
        <w:pStyle w:val="Heading2"/>
      </w:pPr>
      <w:bookmarkStart w:id="571" w:name="_Toc339625897"/>
      <w:bookmarkStart w:id="572" w:name="_Toc342397647"/>
      <w:bookmarkStart w:id="573" w:name="_Toc343519904"/>
      <w:bookmarkStart w:id="574" w:name="_Toc343520361"/>
      <w:bookmarkStart w:id="575" w:name="_Toc344711926"/>
      <w:bookmarkStart w:id="576" w:name="_Toc344712442"/>
      <w:bookmarkStart w:id="577" w:name="_Toc347307709"/>
      <w:bookmarkStart w:id="578" w:name="_Toc349822622"/>
      <w:bookmarkStart w:id="579" w:name="_Toc349823042"/>
      <w:bookmarkStart w:id="580" w:name="_Toc349831024"/>
      <w:bookmarkStart w:id="581" w:name="_Toc359248813"/>
      <w:bookmarkStart w:id="582" w:name="_Toc359316770"/>
      <w:r>
        <w:rPr>
          <w:rStyle w:val="CharPartNo"/>
        </w:rPr>
        <w:t>Part 8</w:t>
      </w:r>
      <w:r>
        <w:rPr>
          <w:rStyle w:val="CharDivNo"/>
        </w:rPr>
        <w:t> </w:t>
      </w:r>
      <w:r>
        <w:t>—</w:t>
      </w:r>
      <w:r>
        <w:rPr>
          <w:rStyle w:val="CharDivText"/>
        </w:rPr>
        <w:t> </w:t>
      </w:r>
      <w:r>
        <w:rPr>
          <w:rStyle w:val="CharPartText"/>
        </w:rPr>
        <w:t>Designated fishing zones</w:t>
      </w:r>
      <w:bookmarkEnd w:id="571"/>
      <w:bookmarkEnd w:id="572"/>
      <w:bookmarkEnd w:id="573"/>
      <w:bookmarkEnd w:id="574"/>
      <w:bookmarkEnd w:id="575"/>
      <w:bookmarkEnd w:id="576"/>
      <w:bookmarkEnd w:id="577"/>
      <w:bookmarkEnd w:id="578"/>
      <w:bookmarkEnd w:id="579"/>
      <w:bookmarkEnd w:id="580"/>
      <w:bookmarkEnd w:id="581"/>
      <w:bookmarkEnd w:id="582"/>
    </w:p>
    <w:p>
      <w:pPr>
        <w:pStyle w:val="Heading5"/>
        <w:rPr>
          <w:snapToGrid w:val="0"/>
        </w:rPr>
      </w:pPr>
      <w:bookmarkStart w:id="583" w:name="_Toc359316771"/>
      <w:r>
        <w:rPr>
          <w:rStyle w:val="CharSectno"/>
        </w:rPr>
        <w:t>71</w:t>
      </w:r>
      <w:r>
        <w:rPr>
          <w:snapToGrid w:val="0"/>
        </w:rPr>
        <w:t>.</w:t>
      </w:r>
      <w:r>
        <w:rPr>
          <w:snapToGrid w:val="0"/>
        </w:rPr>
        <w:tab/>
        <w:t>Fisheries officer may restrict activities etc. in zones</w:t>
      </w:r>
      <w:bookmarkEnd w:id="583"/>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584" w:name="_Toc339625899"/>
      <w:bookmarkStart w:id="585" w:name="_Toc342397649"/>
      <w:bookmarkStart w:id="586" w:name="_Toc343519906"/>
      <w:bookmarkStart w:id="587" w:name="_Toc343520363"/>
      <w:bookmarkStart w:id="588" w:name="_Toc344711928"/>
      <w:bookmarkStart w:id="589" w:name="_Toc344712444"/>
      <w:bookmarkStart w:id="590" w:name="_Toc347307711"/>
      <w:bookmarkStart w:id="591" w:name="_Toc349822624"/>
      <w:bookmarkStart w:id="592" w:name="_Toc349823044"/>
      <w:bookmarkStart w:id="593" w:name="_Toc349831026"/>
      <w:bookmarkStart w:id="594" w:name="_Toc359248815"/>
      <w:bookmarkStart w:id="595" w:name="_Toc359316772"/>
      <w:r>
        <w:rPr>
          <w:rStyle w:val="CharPartNo"/>
        </w:rPr>
        <w:t>Part 9</w:t>
      </w:r>
      <w:r>
        <w:t> —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584"/>
      <w:bookmarkEnd w:id="585"/>
      <w:bookmarkEnd w:id="586"/>
      <w:bookmarkEnd w:id="587"/>
      <w:bookmarkEnd w:id="588"/>
      <w:bookmarkEnd w:id="589"/>
      <w:bookmarkEnd w:id="590"/>
      <w:bookmarkEnd w:id="591"/>
      <w:bookmarkEnd w:id="592"/>
      <w:bookmarkEnd w:id="593"/>
      <w:bookmarkEnd w:id="594"/>
      <w:bookmarkEnd w:id="595"/>
    </w:p>
    <w:p>
      <w:pPr>
        <w:pStyle w:val="Heading3"/>
      </w:pPr>
      <w:bookmarkStart w:id="596" w:name="_Toc339625900"/>
      <w:bookmarkStart w:id="597" w:name="_Toc342397650"/>
      <w:bookmarkStart w:id="598" w:name="_Toc343519907"/>
      <w:bookmarkStart w:id="599" w:name="_Toc343520364"/>
      <w:bookmarkStart w:id="600" w:name="_Toc344711929"/>
      <w:bookmarkStart w:id="601" w:name="_Toc344712445"/>
      <w:bookmarkStart w:id="602" w:name="_Toc347307712"/>
      <w:bookmarkStart w:id="603" w:name="_Toc349822625"/>
      <w:bookmarkStart w:id="604" w:name="_Toc349823045"/>
      <w:bookmarkStart w:id="605" w:name="_Toc349831027"/>
      <w:bookmarkStart w:id="606" w:name="_Toc359248816"/>
      <w:bookmarkStart w:id="607" w:name="_Toc359316773"/>
      <w:r>
        <w:rPr>
          <w:rStyle w:val="CharDivNo"/>
        </w:rPr>
        <w:t>Division 1</w:t>
      </w:r>
      <w:r>
        <w:rPr>
          <w:snapToGrid w:val="0"/>
        </w:rPr>
        <w:t> — </w:t>
      </w:r>
      <w:r>
        <w:rPr>
          <w:rStyle w:val="CharDivText"/>
        </w:rPr>
        <w:t>Interpretation and application of Part</w:t>
      </w:r>
      <w:bookmarkEnd w:id="596"/>
      <w:bookmarkEnd w:id="597"/>
      <w:bookmarkEnd w:id="598"/>
      <w:bookmarkEnd w:id="599"/>
      <w:bookmarkEnd w:id="600"/>
      <w:bookmarkEnd w:id="601"/>
      <w:bookmarkEnd w:id="602"/>
      <w:bookmarkEnd w:id="603"/>
      <w:bookmarkEnd w:id="604"/>
      <w:bookmarkEnd w:id="605"/>
      <w:bookmarkEnd w:id="606"/>
      <w:bookmarkEnd w:id="607"/>
    </w:p>
    <w:p>
      <w:pPr>
        <w:pStyle w:val="Heading5"/>
        <w:rPr>
          <w:snapToGrid w:val="0"/>
        </w:rPr>
      </w:pPr>
      <w:bookmarkStart w:id="608" w:name="_Toc359316774"/>
      <w:r>
        <w:rPr>
          <w:rStyle w:val="CharSectno"/>
        </w:rPr>
        <w:t>72</w:t>
      </w:r>
      <w:r>
        <w:rPr>
          <w:snapToGrid w:val="0"/>
        </w:rPr>
        <w:t>.</w:t>
      </w:r>
      <w:r>
        <w:rPr>
          <w:snapToGrid w:val="0"/>
        </w:rPr>
        <w:tab/>
        <w:t>Terms used</w:t>
      </w:r>
      <w:bookmarkEnd w:id="608"/>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Defstart"/>
      </w:pPr>
      <w:r>
        <w:tab/>
      </w:r>
      <w:r>
        <w:rPr>
          <w:rStyle w:val="CharDefText"/>
        </w:rPr>
        <w:t>rock lobster licence</w:t>
      </w:r>
      <w:r>
        <w:t xml:space="preserve"> means a managed fishery licence granted in respect of the West Coast Rock Lobster Fishery which authorises fishing for rock lobster in the reserve;</w:t>
      </w:r>
      <w:r>
        <w:tab/>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 1 Mar 2013 p. 1092.]</w:t>
      </w:r>
    </w:p>
    <w:p>
      <w:pPr>
        <w:pStyle w:val="Heading5"/>
        <w:rPr>
          <w:snapToGrid w:val="0"/>
        </w:rPr>
      </w:pPr>
      <w:bookmarkStart w:id="609" w:name="_Toc359316775"/>
      <w:r>
        <w:rPr>
          <w:rStyle w:val="CharSectno"/>
        </w:rPr>
        <w:t>73</w:t>
      </w:r>
      <w:r>
        <w:rPr>
          <w:snapToGrid w:val="0"/>
        </w:rPr>
        <w:t>.</w:t>
      </w:r>
      <w:r>
        <w:rPr>
          <w:snapToGrid w:val="0"/>
        </w:rPr>
        <w:tab/>
        <w:t>Application of this Part</w:t>
      </w:r>
      <w:bookmarkEnd w:id="609"/>
    </w:p>
    <w:p>
      <w:pPr>
        <w:pStyle w:val="Subsection"/>
        <w:spacing w:before="120"/>
        <w:rPr>
          <w:snapToGrid w:val="0"/>
        </w:rPr>
      </w:pPr>
      <w:r>
        <w:rPr>
          <w:snapToGrid w:val="0"/>
        </w:rPr>
        <w:tab/>
      </w:r>
      <w:r>
        <w:rPr>
          <w:snapToGrid w:val="0"/>
        </w:rPr>
        <w:tab/>
        <w:t>This Part applies to and in respect to all land and waters within and adjacent to the reserve.</w:t>
      </w:r>
    </w:p>
    <w:p>
      <w:pPr>
        <w:pStyle w:val="Heading3"/>
        <w:spacing w:before="200"/>
      </w:pPr>
      <w:bookmarkStart w:id="610" w:name="_Toc339625903"/>
      <w:bookmarkStart w:id="611" w:name="_Toc342397653"/>
      <w:bookmarkStart w:id="612" w:name="_Toc343519910"/>
      <w:bookmarkStart w:id="613" w:name="_Toc343520367"/>
      <w:bookmarkStart w:id="614" w:name="_Toc344711932"/>
      <w:bookmarkStart w:id="615" w:name="_Toc344712448"/>
      <w:bookmarkStart w:id="616" w:name="_Toc347307715"/>
      <w:bookmarkStart w:id="617" w:name="_Toc349822628"/>
      <w:bookmarkStart w:id="618" w:name="_Toc349823048"/>
      <w:bookmarkStart w:id="619" w:name="_Toc349831030"/>
      <w:bookmarkStart w:id="620" w:name="_Toc359248819"/>
      <w:bookmarkStart w:id="621" w:name="_Toc359316776"/>
      <w:r>
        <w:rPr>
          <w:rStyle w:val="CharDivNo"/>
        </w:rPr>
        <w:t>Division 2</w:t>
      </w:r>
      <w:r>
        <w:rPr>
          <w:snapToGrid w:val="0"/>
        </w:rPr>
        <w:t> — </w:t>
      </w:r>
      <w:r>
        <w:rPr>
          <w:rStyle w:val="CharDivText"/>
        </w:rPr>
        <w:t>Jetties</w:t>
      </w:r>
      <w:bookmarkEnd w:id="610"/>
      <w:bookmarkEnd w:id="611"/>
      <w:bookmarkEnd w:id="612"/>
      <w:bookmarkEnd w:id="613"/>
      <w:bookmarkEnd w:id="614"/>
      <w:bookmarkEnd w:id="615"/>
      <w:bookmarkEnd w:id="616"/>
      <w:bookmarkEnd w:id="617"/>
      <w:bookmarkEnd w:id="618"/>
      <w:bookmarkEnd w:id="619"/>
      <w:bookmarkEnd w:id="620"/>
      <w:bookmarkEnd w:id="621"/>
    </w:p>
    <w:p>
      <w:pPr>
        <w:pStyle w:val="Heading5"/>
        <w:spacing w:before="180"/>
        <w:rPr>
          <w:snapToGrid w:val="0"/>
        </w:rPr>
      </w:pPr>
      <w:bookmarkStart w:id="622" w:name="_Toc359316777"/>
      <w:r>
        <w:rPr>
          <w:rStyle w:val="CharSectno"/>
        </w:rPr>
        <w:t>74</w:t>
      </w:r>
      <w:r>
        <w:rPr>
          <w:snapToGrid w:val="0"/>
        </w:rPr>
        <w:t>.</w:t>
      </w:r>
      <w:r>
        <w:rPr>
          <w:snapToGrid w:val="0"/>
        </w:rPr>
        <w:tab/>
        <w:t>Construction and modification of jetties and moorings</w:t>
      </w:r>
      <w:bookmarkEnd w:id="622"/>
    </w:p>
    <w:p>
      <w:pPr>
        <w:pStyle w:val="Subsection"/>
        <w:spacing w:before="120"/>
        <w:rPr>
          <w:snapToGrid w:val="0"/>
        </w:rPr>
      </w:pPr>
      <w:r>
        <w:rPr>
          <w:snapToGrid w:val="0"/>
        </w:rPr>
        <w:tab/>
        <w:t>(1)</w:t>
      </w:r>
      <w:r>
        <w:rPr>
          <w:snapToGrid w:val="0"/>
        </w:rPr>
        <w:tab/>
        <w:t>A person who wishes to construct or modify a jetty or mooring must first apply to the CEO in the approved form.</w:t>
      </w:r>
    </w:p>
    <w:p>
      <w:pPr>
        <w:pStyle w:val="Subsection"/>
        <w:spacing w:before="120"/>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spacing w:before="120"/>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spacing w:before="120"/>
        <w:rPr>
          <w:snapToGrid w:val="0"/>
        </w:rPr>
      </w:pPr>
      <w:r>
        <w:rPr>
          <w:snapToGrid w:val="0"/>
        </w:rPr>
        <w:tab/>
        <w:t>(4)</w:t>
      </w:r>
      <w:r>
        <w:rPr>
          <w:snapToGrid w:val="0"/>
        </w:rPr>
        <w:tab/>
        <w:t>A person must comply with a condition endorsed on an approval given under this regulation.</w:t>
      </w:r>
    </w:p>
    <w:p>
      <w:pPr>
        <w:pStyle w:val="Penstart"/>
        <w:spacing w:before="120"/>
        <w:rPr>
          <w:snapToGrid w:val="0"/>
        </w:rPr>
      </w:pPr>
      <w:r>
        <w:rPr>
          <w:snapToGrid w:val="0"/>
        </w:rPr>
        <w:tab/>
        <w:t>Penalty for an offence under subregulation (3) or (4): Not less than $500 or more than $2 000.</w:t>
      </w:r>
    </w:p>
    <w:p>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spacing w:before="120"/>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[Regulation 74 amended in Gazette 6 Jul 2007 p. 3389.]</w:t>
      </w:r>
    </w:p>
    <w:p>
      <w:pPr>
        <w:pStyle w:val="Heading5"/>
        <w:keepNext w:val="0"/>
        <w:keepLines w:val="0"/>
        <w:spacing w:before="180"/>
        <w:rPr>
          <w:snapToGrid w:val="0"/>
        </w:rPr>
      </w:pPr>
      <w:bookmarkStart w:id="623" w:name="_Toc359316778"/>
      <w:r>
        <w:rPr>
          <w:rStyle w:val="CharSectno"/>
        </w:rPr>
        <w:t>75</w:t>
      </w:r>
      <w:r>
        <w:rPr>
          <w:snapToGrid w:val="0"/>
        </w:rPr>
        <w:t>.</w:t>
      </w:r>
      <w:r>
        <w:rPr>
          <w:snapToGrid w:val="0"/>
        </w:rPr>
        <w:tab/>
        <w:t>Unauthorised use of jetties and moorings</w:t>
      </w:r>
      <w:bookmarkEnd w:id="623"/>
    </w:p>
    <w:p>
      <w:pPr>
        <w:pStyle w:val="Subsection"/>
        <w:spacing w:before="120"/>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8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keepLines/>
      </w:pPr>
      <w:bookmarkStart w:id="624" w:name="_Toc339625906"/>
      <w:bookmarkStart w:id="625" w:name="_Toc342397656"/>
      <w:bookmarkStart w:id="626" w:name="_Toc343519913"/>
      <w:bookmarkStart w:id="627" w:name="_Toc343520370"/>
      <w:bookmarkStart w:id="628" w:name="_Toc344711935"/>
      <w:bookmarkStart w:id="629" w:name="_Toc344712451"/>
      <w:bookmarkStart w:id="630" w:name="_Toc347307718"/>
      <w:bookmarkStart w:id="631" w:name="_Toc349822631"/>
      <w:bookmarkStart w:id="632" w:name="_Toc349823051"/>
      <w:bookmarkStart w:id="633" w:name="_Toc349831033"/>
      <w:bookmarkStart w:id="634" w:name="_Toc359248822"/>
      <w:bookmarkStart w:id="635" w:name="_Toc359316779"/>
      <w:r>
        <w:rPr>
          <w:rStyle w:val="CharDivNo"/>
        </w:rPr>
        <w:t>Division 3</w:t>
      </w:r>
      <w:r>
        <w:rPr>
          <w:snapToGrid w:val="0"/>
        </w:rPr>
        <w:t> — </w:t>
      </w:r>
      <w:r>
        <w:rPr>
          <w:rStyle w:val="CharDivText"/>
        </w:rPr>
        <w:t>Buildings and facilities</w:t>
      </w:r>
      <w:bookmarkEnd w:id="624"/>
      <w:bookmarkEnd w:id="625"/>
      <w:bookmarkEnd w:id="626"/>
      <w:bookmarkEnd w:id="627"/>
      <w:bookmarkEnd w:id="628"/>
      <w:bookmarkEnd w:id="629"/>
      <w:bookmarkEnd w:id="630"/>
      <w:bookmarkEnd w:id="631"/>
      <w:bookmarkEnd w:id="632"/>
      <w:bookmarkEnd w:id="633"/>
      <w:bookmarkEnd w:id="634"/>
      <w:bookmarkEnd w:id="635"/>
    </w:p>
    <w:p>
      <w:pPr>
        <w:pStyle w:val="Heading5"/>
        <w:keepNext w:val="0"/>
        <w:rPr>
          <w:snapToGrid w:val="0"/>
        </w:rPr>
      </w:pPr>
      <w:bookmarkStart w:id="636" w:name="_Toc359316780"/>
      <w:r>
        <w:rPr>
          <w:rStyle w:val="CharSectno"/>
        </w:rPr>
        <w:t>76</w:t>
      </w:r>
      <w:r>
        <w:rPr>
          <w:snapToGrid w:val="0"/>
        </w:rPr>
        <w:t>.</w:t>
      </w:r>
      <w:r>
        <w:rPr>
          <w:snapToGrid w:val="0"/>
        </w:rPr>
        <w:tab/>
        <w:t>CEO may waive requirements of this Division</w:t>
      </w:r>
      <w:bookmarkEnd w:id="636"/>
    </w:p>
    <w:p>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in Gazette 6 Jul 2007 p. 3389.]</w:t>
      </w:r>
    </w:p>
    <w:p>
      <w:pPr>
        <w:pStyle w:val="Heading5"/>
        <w:rPr>
          <w:snapToGrid w:val="0"/>
        </w:rPr>
      </w:pPr>
      <w:bookmarkStart w:id="637" w:name="_Toc359316781"/>
      <w:r>
        <w:rPr>
          <w:rStyle w:val="CharSectno"/>
        </w:rPr>
        <w:t>77</w:t>
      </w:r>
      <w:r>
        <w:rPr>
          <w:snapToGrid w:val="0"/>
        </w:rPr>
        <w:t>.</w:t>
      </w:r>
      <w:r>
        <w:rPr>
          <w:snapToGrid w:val="0"/>
        </w:rPr>
        <w:tab/>
        <w:t>Camps associated with rock lobster licences, transfer of etc.</w:t>
      </w:r>
      <w:bookmarkEnd w:id="637"/>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638" w:name="_Toc359316782"/>
      <w:r>
        <w:rPr>
          <w:rStyle w:val="CharSectno"/>
        </w:rPr>
        <w:t>78</w:t>
      </w:r>
      <w:r>
        <w:rPr>
          <w:snapToGrid w:val="0"/>
        </w:rPr>
        <w:t>.</w:t>
      </w:r>
      <w:r>
        <w:rPr>
          <w:snapToGrid w:val="0"/>
        </w:rPr>
        <w:tab/>
        <w:t>Camp not transferred etc. under r. 77 becomes unauthorised structure</w:t>
      </w:r>
      <w:bookmarkEnd w:id="638"/>
    </w:p>
    <w:p>
      <w:pPr>
        <w:pStyle w:val="Subsection"/>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639" w:name="_Toc359316783"/>
      <w:r>
        <w:rPr>
          <w:rStyle w:val="CharSectno"/>
        </w:rPr>
        <w:t>79</w:t>
      </w:r>
      <w:r>
        <w:rPr>
          <w:snapToGrid w:val="0"/>
        </w:rPr>
        <w:t>.</w:t>
      </w:r>
      <w:r>
        <w:rPr>
          <w:snapToGrid w:val="0"/>
        </w:rPr>
        <w:tab/>
        <w:t>Building standards, owners’ duties as to</w:t>
      </w:r>
      <w:bookmarkEnd w:id="639"/>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640" w:name="_Toc359316784"/>
      <w:r>
        <w:rPr>
          <w:rStyle w:val="CharSectno"/>
        </w:rPr>
        <w:t>80</w:t>
      </w:r>
      <w:r>
        <w:rPr>
          <w:snapToGrid w:val="0"/>
        </w:rPr>
        <w:t>.</w:t>
      </w:r>
      <w:r>
        <w:rPr>
          <w:snapToGrid w:val="0"/>
        </w:rPr>
        <w:tab/>
        <w:t>Minor structural changes to buildings, requirements for</w:t>
      </w:r>
      <w:bookmarkEnd w:id="640"/>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in Gazette 6 Jul 2007 p. 3389.]</w:t>
      </w:r>
    </w:p>
    <w:p>
      <w:pPr>
        <w:pStyle w:val="Heading5"/>
        <w:rPr>
          <w:snapToGrid w:val="0"/>
        </w:rPr>
      </w:pPr>
      <w:bookmarkStart w:id="641" w:name="_Toc359316785"/>
      <w:r>
        <w:rPr>
          <w:rStyle w:val="CharSectno"/>
        </w:rPr>
        <w:t>81</w:t>
      </w:r>
      <w:r>
        <w:rPr>
          <w:snapToGrid w:val="0"/>
        </w:rPr>
        <w:t>.</w:t>
      </w:r>
      <w:r>
        <w:rPr>
          <w:snapToGrid w:val="0"/>
        </w:rPr>
        <w:tab/>
        <w:t>New buildings and major structural changes to buildings, requirements for</w:t>
      </w:r>
      <w:bookmarkEnd w:id="641"/>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keepLines/>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pPr>
      <w:bookmarkStart w:id="642" w:name="_Toc339625913"/>
      <w:bookmarkStart w:id="643" w:name="_Toc342397663"/>
      <w:bookmarkStart w:id="644" w:name="_Toc343519920"/>
      <w:bookmarkStart w:id="645" w:name="_Toc343520377"/>
      <w:bookmarkStart w:id="646" w:name="_Toc344711942"/>
      <w:bookmarkStart w:id="647" w:name="_Toc344712458"/>
      <w:bookmarkStart w:id="648" w:name="_Toc347307725"/>
      <w:bookmarkStart w:id="649" w:name="_Toc349822638"/>
      <w:bookmarkStart w:id="650" w:name="_Toc349823058"/>
      <w:bookmarkStart w:id="651" w:name="_Toc349831040"/>
      <w:bookmarkStart w:id="652" w:name="_Toc359248829"/>
      <w:bookmarkStart w:id="653" w:name="_Toc359316786"/>
      <w:r>
        <w:rPr>
          <w:rStyle w:val="CharDivNo"/>
        </w:rPr>
        <w:t>Division 4</w:t>
      </w:r>
      <w:r>
        <w:rPr>
          <w:snapToGrid w:val="0"/>
        </w:rPr>
        <w:t> — </w:t>
      </w:r>
      <w:r>
        <w:rPr>
          <w:rStyle w:val="CharDivText"/>
        </w:rPr>
        <w:t>Power and maintenance</w:t>
      </w:r>
      <w:bookmarkEnd w:id="642"/>
      <w:bookmarkEnd w:id="643"/>
      <w:bookmarkEnd w:id="644"/>
      <w:bookmarkEnd w:id="645"/>
      <w:bookmarkEnd w:id="646"/>
      <w:bookmarkEnd w:id="647"/>
      <w:bookmarkEnd w:id="648"/>
      <w:bookmarkEnd w:id="649"/>
      <w:bookmarkEnd w:id="650"/>
      <w:bookmarkEnd w:id="651"/>
      <w:bookmarkEnd w:id="652"/>
      <w:bookmarkEnd w:id="653"/>
    </w:p>
    <w:p>
      <w:pPr>
        <w:pStyle w:val="Ednotesection"/>
      </w:pPr>
      <w:r>
        <w:t>[</w:t>
      </w:r>
      <w:r>
        <w:rPr>
          <w:b/>
        </w:rPr>
        <w:t>82, 83.</w:t>
      </w:r>
      <w:r>
        <w:tab/>
        <w:t>Deleted in Gazette 23 May 2006 p. 1860.]</w:t>
      </w:r>
    </w:p>
    <w:p>
      <w:pPr>
        <w:pStyle w:val="Heading5"/>
        <w:rPr>
          <w:snapToGrid w:val="0"/>
        </w:rPr>
      </w:pPr>
      <w:bookmarkStart w:id="654" w:name="_Toc359316787"/>
      <w:r>
        <w:rPr>
          <w:rStyle w:val="CharSectno"/>
        </w:rPr>
        <w:t>84</w:t>
      </w:r>
      <w:r>
        <w:rPr>
          <w:snapToGrid w:val="0"/>
        </w:rPr>
        <w:t>.</w:t>
      </w:r>
      <w:r>
        <w:rPr>
          <w:snapToGrid w:val="0"/>
        </w:rPr>
        <w:tab/>
        <w:t>Water tanks etc., occupiers’ duties as to</w:t>
      </w:r>
      <w:bookmarkEnd w:id="654"/>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rPr>
          <w:snapToGrid w:val="0"/>
        </w:rPr>
      </w:pPr>
      <w:bookmarkStart w:id="655" w:name="_Toc359316788"/>
      <w:r>
        <w:rPr>
          <w:rStyle w:val="CharSectno"/>
        </w:rPr>
        <w:t>85</w:t>
      </w:r>
      <w:r>
        <w:rPr>
          <w:snapToGrid w:val="0"/>
        </w:rPr>
        <w:t>.</w:t>
      </w:r>
      <w:r>
        <w:rPr>
          <w:snapToGrid w:val="0"/>
        </w:rPr>
        <w:tab/>
        <w:t>Generators, installation and use of</w:t>
      </w:r>
      <w:bookmarkEnd w:id="655"/>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in Gazette 6 Jul 2007 p. 3389.]</w:t>
      </w:r>
    </w:p>
    <w:p>
      <w:pPr>
        <w:pStyle w:val="Heading5"/>
        <w:rPr>
          <w:snapToGrid w:val="0"/>
        </w:rPr>
      </w:pPr>
      <w:bookmarkStart w:id="656" w:name="_Toc359316789"/>
      <w:r>
        <w:rPr>
          <w:rStyle w:val="CharSectno"/>
        </w:rPr>
        <w:t>86</w:t>
      </w:r>
      <w:r>
        <w:rPr>
          <w:snapToGrid w:val="0"/>
        </w:rPr>
        <w:t>.</w:t>
      </w:r>
      <w:r>
        <w:rPr>
          <w:snapToGrid w:val="0"/>
        </w:rPr>
        <w:tab/>
        <w:t>Machinery noise, fisheries officer’s powers as to</w:t>
      </w:r>
      <w:bookmarkEnd w:id="656"/>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pPr>
      <w:bookmarkStart w:id="657" w:name="_Toc339625917"/>
      <w:bookmarkStart w:id="658" w:name="_Toc342397667"/>
      <w:bookmarkStart w:id="659" w:name="_Toc343519924"/>
      <w:bookmarkStart w:id="660" w:name="_Toc343520381"/>
      <w:bookmarkStart w:id="661" w:name="_Toc344711946"/>
      <w:bookmarkStart w:id="662" w:name="_Toc344712462"/>
      <w:bookmarkStart w:id="663" w:name="_Toc347307729"/>
      <w:bookmarkStart w:id="664" w:name="_Toc349822642"/>
      <w:bookmarkStart w:id="665" w:name="_Toc349823062"/>
      <w:bookmarkStart w:id="666" w:name="_Toc349831044"/>
      <w:bookmarkStart w:id="667" w:name="_Toc359248833"/>
      <w:bookmarkStart w:id="668" w:name="_Toc359316790"/>
      <w:r>
        <w:rPr>
          <w:rStyle w:val="CharDivNo"/>
        </w:rPr>
        <w:t>Division 5</w:t>
      </w:r>
      <w:r>
        <w:rPr>
          <w:snapToGrid w:val="0"/>
        </w:rPr>
        <w:t> — </w:t>
      </w:r>
      <w:r>
        <w:rPr>
          <w:rStyle w:val="CharDivText"/>
        </w:rPr>
        <w:t>Unauthorised structures and termination of tenancy</w:t>
      </w:r>
      <w:bookmarkEnd w:id="657"/>
      <w:bookmarkEnd w:id="658"/>
      <w:bookmarkEnd w:id="659"/>
      <w:bookmarkEnd w:id="660"/>
      <w:bookmarkEnd w:id="661"/>
      <w:bookmarkEnd w:id="662"/>
      <w:bookmarkEnd w:id="663"/>
      <w:bookmarkEnd w:id="664"/>
      <w:bookmarkEnd w:id="665"/>
      <w:bookmarkEnd w:id="666"/>
      <w:bookmarkEnd w:id="667"/>
      <w:bookmarkEnd w:id="668"/>
    </w:p>
    <w:p>
      <w:pPr>
        <w:pStyle w:val="Heading5"/>
        <w:rPr>
          <w:snapToGrid w:val="0"/>
        </w:rPr>
      </w:pPr>
      <w:bookmarkStart w:id="669" w:name="_Toc359316791"/>
      <w:r>
        <w:rPr>
          <w:rStyle w:val="CharSectno"/>
        </w:rPr>
        <w:t>87</w:t>
      </w:r>
      <w:r>
        <w:rPr>
          <w:snapToGrid w:val="0"/>
        </w:rPr>
        <w:t>.</w:t>
      </w:r>
      <w:r>
        <w:rPr>
          <w:snapToGrid w:val="0"/>
        </w:rPr>
        <w:tab/>
        <w:t>Terms used</w:t>
      </w:r>
      <w:bookmarkEnd w:id="669"/>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670" w:name="_Toc359316792"/>
      <w:r>
        <w:rPr>
          <w:rStyle w:val="CharSectno"/>
        </w:rPr>
        <w:t>88</w:t>
      </w:r>
      <w:r>
        <w:rPr>
          <w:snapToGrid w:val="0"/>
        </w:rPr>
        <w:t>.</w:t>
      </w:r>
      <w:r>
        <w:rPr>
          <w:snapToGrid w:val="0"/>
        </w:rPr>
        <w:tab/>
        <w:t>Unauthorised structures, CEO may direct removal of</w:t>
      </w:r>
      <w:bookmarkEnd w:id="670"/>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in Gazette 6 Jul 2007 p. 3389.]</w:t>
      </w:r>
    </w:p>
    <w:p>
      <w:pPr>
        <w:pStyle w:val="Heading5"/>
        <w:rPr>
          <w:snapToGrid w:val="0"/>
        </w:rPr>
      </w:pPr>
      <w:bookmarkStart w:id="671" w:name="_Toc359316793"/>
      <w:r>
        <w:rPr>
          <w:rStyle w:val="CharSectno"/>
        </w:rPr>
        <w:t>89</w:t>
      </w:r>
      <w:r>
        <w:rPr>
          <w:snapToGrid w:val="0"/>
        </w:rPr>
        <w:t>.</w:t>
      </w:r>
      <w:r>
        <w:rPr>
          <w:snapToGrid w:val="0"/>
        </w:rPr>
        <w:tab/>
        <w:t>Service of r. 88 notice</w:t>
      </w:r>
      <w:bookmarkEnd w:id="671"/>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672" w:name="_Toc359316794"/>
      <w:r>
        <w:rPr>
          <w:rStyle w:val="CharSectno"/>
        </w:rPr>
        <w:t>90</w:t>
      </w:r>
      <w:r>
        <w:rPr>
          <w:snapToGrid w:val="0"/>
        </w:rPr>
        <w:t>.</w:t>
      </w:r>
      <w:r>
        <w:rPr>
          <w:snapToGrid w:val="0"/>
        </w:rPr>
        <w:tab/>
        <w:t>Non</w:t>
      </w:r>
      <w:r>
        <w:rPr>
          <w:snapToGrid w:val="0"/>
        </w:rPr>
        <w:noBreakHyphen/>
      </w:r>
      <w:r>
        <w:rPr>
          <w:snapToGrid w:val="0"/>
        </w:rPr>
        <w:softHyphen/>
        <w:t>compliance with r. 88 notice</w:t>
      </w:r>
      <w:bookmarkEnd w:id="672"/>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ind w:left="890" w:hanging="890"/>
      </w:pPr>
      <w:r>
        <w:tab/>
        <w:t>[Regulation 90 amended in Gazette 6 Jul 2007 p. 3389.]</w:t>
      </w:r>
    </w:p>
    <w:p>
      <w:pPr>
        <w:pStyle w:val="Heading5"/>
        <w:spacing w:before="240"/>
        <w:rPr>
          <w:snapToGrid w:val="0"/>
        </w:rPr>
      </w:pPr>
      <w:bookmarkStart w:id="673" w:name="_Toc359316795"/>
      <w:r>
        <w:rPr>
          <w:rStyle w:val="CharSectno"/>
        </w:rPr>
        <w:t>91</w:t>
      </w:r>
      <w:r>
        <w:rPr>
          <w:snapToGrid w:val="0"/>
        </w:rPr>
        <w:t>.</w:t>
      </w:r>
      <w:r>
        <w:rPr>
          <w:snapToGrid w:val="0"/>
        </w:rPr>
        <w:tab/>
        <w:t>Site of unauthorised structure to be cleared completely</w:t>
      </w:r>
      <w:bookmarkEnd w:id="673"/>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674" w:name="_Toc339625923"/>
      <w:bookmarkStart w:id="675" w:name="_Toc342397673"/>
      <w:bookmarkStart w:id="676" w:name="_Toc343519930"/>
      <w:bookmarkStart w:id="677" w:name="_Toc343520387"/>
      <w:bookmarkStart w:id="678" w:name="_Toc344711952"/>
      <w:bookmarkStart w:id="679" w:name="_Toc344712468"/>
      <w:bookmarkStart w:id="680" w:name="_Toc347307735"/>
      <w:bookmarkStart w:id="681" w:name="_Toc349822648"/>
      <w:bookmarkStart w:id="682" w:name="_Toc349823068"/>
      <w:bookmarkStart w:id="683" w:name="_Toc349831050"/>
      <w:bookmarkStart w:id="684" w:name="_Toc359248839"/>
      <w:bookmarkStart w:id="685" w:name="_Toc359316796"/>
      <w:r>
        <w:rPr>
          <w:rStyle w:val="CharDivNo"/>
        </w:rPr>
        <w:t>Division 6</w:t>
      </w:r>
      <w:r>
        <w:rPr>
          <w:snapToGrid w:val="0"/>
        </w:rPr>
        <w:t> — </w:t>
      </w:r>
      <w:r>
        <w:rPr>
          <w:rStyle w:val="CharDivText"/>
        </w:rPr>
        <w:t>Share arrangements and dispute procedure</w:t>
      </w:r>
      <w:bookmarkEnd w:id="674"/>
      <w:bookmarkEnd w:id="675"/>
      <w:bookmarkEnd w:id="676"/>
      <w:bookmarkEnd w:id="677"/>
      <w:bookmarkEnd w:id="678"/>
      <w:bookmarkEnd w:id="679"/>
      <w:bookmarkEnd w:id="680"/>
      <w:bookmarkEnd w:id="681"/>
      <w:bookmarkEnd w:id="682"/>
      <w:bookmarkEnd w:id="683"/>
      <w:bookmarkEnd w:id="684"/>
      <w:bookmarkEnd w:id="685"/>
    </w:p>
    <w:p>
      <w:pPr>
        <w:pStyle w:val="Heading5"/>
        <w:rPr>
          <w:snapToGrid w:val="0"/>
        </w:rPr>
      </w:pPr>
      <w:bookmarkStart w:id="686" w:name="_Toc359316797"/>
      <w:r>
        <w:rPr>
          <w:rStyle w:val="CharSectno"/>
        </w:rPr>
        <w:t>92</w:t>
      </w:r>
      <w:r>
        <w:rPr>
          <w:snapToGrid w:val="0"/>
        </w:rPr>
        <w:t>.</w:t>
      </w:r>
      <w:r>
        <w:rPr>
          <w:snapToGrid w:val="0"/>
        </w:rPr>
        <w:tab/>
        <w:t>Share arrangement to be subject of written agreement</w:t>
      </w:r>
      <w:bookmarkEnd w:id="686"/>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keepNext/>
        <w:rPr>
          <w:snapToGrid w:val="0"/>
        </w:rPr>
      </w:pPr>
      <w:r>
        <w:rPr>
          <w:snapToGrid w:val="0"/>
        </w:rPr>
        <w:tab/>
        <w:t>(3)</w:t>
      </w:r>
      <w:r>
        <w:rPr>
          <w:snapToGrid w:val="0"/>
        </w:rPr>
        <w:tab/>
        <w:t>A written agreement cannot be amended without the written approval of the CEO.</w:t>
      </w:r>
    </w:p>
    <w:p>
      <w:pPr>
        <w:pStyle w:val="Footnotesection"/>
        <w:ind w:left="890" w:hanging="890"/>
      </w:pPr>
      <w:r>
        <w:tab/>
        <w:t>[Regulation 92 amended in Gazette 6 Jul 2007 p. 3389.]</w:t>
      </w:r>
    </w:p>
    <w:p>
      <w:pPr>
        <w:pStyle w:val="Heading5"/>
        <w:rPr>
          <w:snapToGrid w:val="0"/>
        </w:rPr>
      </w:pPr>
      <w:bookmarkStart w:id="687" w:name="_Toc359316798"/>
      <w:r>
        <w:rPr>
          <w:rStyle w:val="CharSectno"/>
        </w:rPr>
        <w:t>93</w:t>
      </w:r>
      <w:r>
        <w:rPr>
          <w:snapToGrid w:val="0"/>
        </w:rPr>
        <w:t>.</w:t>
      </w:r>
      <w:r>
        <w:rPr>
          <w:snapToGrid w:val="0"/>
        </w:rPr>
        <w:tab/>
        <w:t>Disputes over use of shared buildings etc., resolution procedure for</w:t>
      </w:r>
      <w:bookmarkEnd w:id="687"/>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ind w:left="890" w:hanging="890"/>
      </w:pPr>
      <w:r>
        <w:tab/>
        <w:t>[Regulation 93 amended in Gazette 6 Jul 2007 p. 3389</w:t>
      </w:r>
      <w:r>
        <w:noBreakHyphen/>
        <w:t>90.]</w:t>
      </w:r>
    </w:p>
    <w:p>
      <w:pPr>
        <w:pStyle w:val="Heading5"/>
        <w:rPr>
          <w:snapToGrid w:val="0"/>
        </w:rPr>
      </w:pPr>
      <w:bookmarkStart w:id="688" w:name="_Toc359316799"/>
      <w:r>
        <w:rPr>
          <w:rStyle w:val="CharSectno"/>
        </w:rPr>
        <w:t>94</w:t>
      </w:r>
      <w:r>
        <w:rPr>
          <w:snapToGrid w:val="0"/>
        </w:rPr>
        <w:t>.</w:t>
      </w:r>
      <w:r>
        <w:rPr>
          <w:snapToGrid w:val="0"/>
        </w:rPr>
        <w:tab/>
        <w:t>Independent arbitrators, duties of</w:t>
      </w:r>
      <w:bookmarkEnd w:id="688"/>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90.]</w:t>
      </w:r>
    </w:p>
    <w:p>
      <w:pPr>
        <w:pStyle w:val="Heading5"/>
        <w:spacing w:before="180"/>
        <w:rPr>
          <w:snapToGrid w:val="0"/>
        </w:rPr>
      </w:pPr>
      <w:bookmarkStart w:id="689" w:name="_Toc359316800"/>
      <w:r>
        <w:rPr>
          <w:rStyle w:val="CharSectno"/>
        </w:rPr>
        <w:t>95</w:t>
      </w:r>
      <w:r>
        <w:rPr>
          <w:snapToGrid w:val="0"/>
        </w:rPr>
        <w:t>.</w:t>
      </w:r>
      <w:r>
        <w:rPr>
          <w:snapToGrid w:val="0"/>
        </w:rPr>
        <w:tab/>
        <w:t>Arbitrator’s determination to be decided by Minister</w:t>
      </w:r>
      <w:bookmarkEnd w:id="689"/>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690" w:name="_Toc339625928"/>
      <w:bookmarkStart w:id="691" w:name="_Toc342397678"/>
      <w:bookmarkStart w:id="692" w:name="_Toc343519935"/>
      <w:bookmarkStart w:id="693" w:name="_Toc343520392"/>
      <w:bookmarkStart w:id="694" w:name="_Toc344711957"/>
      <w:bookmarkStart w:id="695" w:name="_Toc344712473"/>
      <w:bookmarkStart w:id="696" w:name="_Toc347307740"/>
      <w:bookmarkStart w:id="697" w:name="_Toc349822653"/>
      <w:bookmarkStart w:id="698" w:name="_Toc349823073"/>
      <w:bookmarkStart w:id="699" w:name="_Toc349831055"/>
      <w:bookmarkStart w:id="700" w:name="_Toc359248844"/>
      <w:bookmarkStart w:id="701" w:name="_Toc359316801"/>
      <w:r>
        <w:rPr>
          <w:rStyle w:val="CharDivNo"/>
        </w:rPr>
        <w:t>Division 7</w:t>
      </w:r>
      <w:r>
        <w:rPr>
          <w:snapToGrid w:val="0"/>
        </w:rPr>
        <w:t> — </w:t>
      </w:r>
      <w:r>
        <w:rPr>
          <w:rStyle w:val="CharDivText"/>
        </w:rPr>
        <w:t>Disposal of waste</w:t>
      </w:r>
      <w:bookmarkEnd w:id="690"/>
      <w:bookmarkEnd w:id="691"/>
      <w:bookmarkEnd w:id="692"/>
      <w:bookmarkEnd w:id="693"/>
      <w:bookmarkEnd w:id="694"/>
      <w:bookmarkEnd w:id="695"/>
      <w:bookmarkEnd w:id="696"/>
      <w:bookmarkEnd w:id="697"/>
      <w:bookmarkEnd w:id="698"/>
      <w:bookmarkEnd w:id="699"/>
      <w:bookmarkEnd w:id="700"/>
      <w:bookmarkEnd w:id="701"/>
    </w:p>
    <w:p>
      <w:pPr>
        <w:pStyle w:val="Heading5"/>
        <w:rPr>
          <w:snapToGrid w:val="0"/>
        </w:rPr>
      </w:pPr>
      <w:bookmarkStart w:id="702" w:name="_Toc359316802"/>
      <w:r>
        <w:rPr>
          <w:rStyle w:val="CharSectno"/>
        </w:rPr>
        <w:t>96</w:t>
      </w:r>
      <w:r>
        <w:rPr>
          <w:snapToGrid w:val="0"/>
        </w:rPr>
        <w:t>.</w:t>
      </w:r>
      <w:r>
        <w:rPr>
          <w:snapToGrid w:val="0"/>
        </w:rPr>
        <w:tab/>
        <w:t>Waste disposal to be in accordance with this Division</w:t>
      </w:r>
      <w:bookmarkEnd w:id="702"/>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90.]</w:t>
      </w:r>
    </w:p>
    <w:p>
      <w:pPr>
        <w:pStyle w:val="Heading5"/>
        <w:rPr>
          <w:snapToGrid w:val="0"/>
        </w:rPr>
      </w:pPr>
      <w:bookmarkStart w:id="703" w:name="_Toc359316803"/>
      <w:r>
        <w:rPr>
          <w:rStyle w:val="CharSectno"/>
        </w:rPr>
        <w:t>97</w:t>
      </w:r>
      <w:r>
        <w:rPr>
          <w:snapToGrid w:val="0"/>
        </w:rPr>
        <w:t>.</w:t>
      </w:r>
      <w:r>
        <w:rPr>
          <w:snapToGrid w:val="0"/>
        </w:rPr>
        <w:tab/>
        <w:t>Food waste</w:t>
      </w:r>
      <w:bookmarkEnd w:id="703"/>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704" w:name="_Toc359316804"/>
      <w:r>
        <w:rPr>
          <w:rStyle w:val="CharSectno"/>
        </w:rPr>
        <w:t>98</w:t>
      </w:r>
      <w:r>
        <w:rPr>
          <w:snapToGrid w:val="0"/>
        </w:rPr>
        <w:t>.</w:t>
      </w:r>
      <w:r>
        <w:rPr>
          <w:snapToGrid w:val="0"/>
        </w:rPr>
        <w:tab/>
        <w:t>Paper, plastic, cardboard, bait bags etc.</w:t>
      </w:r>
      <w:bookmarkEnd w:id="704"/>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705" w:name="_Toc359316805"/>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705"/>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706" w:name="_Toc359316806"/>
      <w:r>
        <w:rPr>
          <w:rStyle w:val="CharSectno"/>
        </w:rPr>
        <w:t>100</w:t>
      </w:r>
      <w:r>
        <w:rPr>
          <w:snapToGrid w:val="0"/>
        </w:rPr>
        <w:t>.</w:t>
      </w:r>
      <w:r>
        <w:rPr>
          <w:snapToGrid w:val="0"/>
        </w:rPr>
        <w:tab/>
        <w:t>Oil, fuel, engine filters and batteries</w:t>
      </w:r>
      <w:bookmarkEnd w:id="706"/>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707" w:name="_Toc359316807"/>
      <w:r>
        <w:rPr>
          <w:rStyle w:val="CharSectno"/>
        </w:rPr>
        <w:t>101</w:t>
      </w:r>
      <w:r>
        <w:rPr>
          <w:snapToGrid w:val="0"/>
        </w:rPr>
        <w:t>.</w:t>
      </w:r>
      <w:r>
        <w:rPr>
          <w:snapToGrid w:val="0"/>
        </w:rPr>
        <w:tab/>
        <w:t>Campsite waste</w:t>
      </w:r>
      <w:bookmarkEnd w:id="707"/>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90.]</w:t>
      </w:r>
    </w:p>
    <w:p>
      <w:pPr>
        <w:pStyle w:val="Heading5"/>
        <w:rPr>
          <w:snapToGrid w:val="0"/>
        </w:rPr>
      </w:pPr>
      <w:bookmarkStart w:id="708" w:name="_Toc359316808"/>
      <w:r>
        <w:rPr>
          <w:rStyle w:val="CharSectno"/>
        </w:rPr>
        <w:t>102</w:t>
      </w:r>
      <w:r>
        <w:rPr>
          <w:snapToGrid w:val="0"/>
        </w:rPr>
        <w:t>.</w:t>
      </w:r>
      <w:r>
        <w:rPr>
          <w:snapToGrid w:val="0"/>
        </w:rPr>
        <w:tab/>
        <w:t>Sewage</w:t>
      </w:r>
      <w:bookmarkEnd w:id="708"/>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709" w:name="_Toc359316809"/>
      <w:r>
        <w:rPr>
          <w:rStyle w:val="CharSectno"/>
        </w:rPr>
        <w:t>103</w:t>
      </w:r>
      <w:r>
        <w:rPr>
          <w:snapToGrid w:val="0"/>
        </w:rPr>
        <w:t>.</w:t>
      </w:r>
      <w:r>
        <w:rPr>
          <w:snapToGrid w:val="0"/>
        </w:rPr>
        <w:tab/>
        <w:t>Incinerators, construction and use of</w:t>
      </w:r>
      <w:bookmarkEnd w:id="709"/>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710" w:name="_Toc339625937"/>
      <w:bookmarkStart w:id="711" w:name="_Toc342397687"/>
      <w:bookmarkStart w:id="712" w:name="_Toc343519944"/>
      <w:bookmarkStart w:id="713" w:name="_Toc343520401"/>
      <w:bookmarkStart w:id="714" w:name="_Toc344711966"/>
      <w:bookmarkStart w:id="715" w:name="_Toc344712482"/>
      <w:bookmarkStart w:id="716" w:name="_Toc347307749"/>
      <w:bookmarkStart w:id="717" w:name="_Toc349822662"/>
      <w:bookmarkStart w:id="718" w:name="_Toc349823082"/>
      <w:bookmarkStart w:id="719" w:name="_Toc349831064"/>
      <w:bookmarkStart w:id="720" w:name="_Toc359248853"/>
      <w:bookmarkStart w:id="721" w:name="_Toc359316810"/>
      <w:r>
        <w:rPr>
          <w:rStyle w:val="CharDivNo"/>
        </w:rPr>
        <w:t>Division 8</w:t>
      </w:r>
      <w:r>
        <w:rPr>
          <w:snapToGrid w:val="0"/>
        </w:rPr>
        <w:t> — </w:t>
      </w:r>
      <w:r>
        <w:rPr>
          <w:rStyle w:val="CharDivText"/>
        </w:rPr>
        <w:t>Miscellaneous</w:t>
      </w:r>
      <w:bookmarkEnd w:id="710"/>
      <w:bookmarkEnd w:id="711"/>
      <w:bookmarkEnd w:id="712"/>
      <w:bookmarkEnd w:id="713"/>
      <w:bookmarkEnd w:id="714"/>
      <w:bookmarkEnd w:id="715"/>
      <w:bookmarkEnd w:id="716"/>
      <w:bookmarkEnd w:id="717"/>
      <w:bookmarkEnd w:id="718"/>
      <w:bookmarkEnd w:id="719"/>
      <w:bookmarkEnd w:id="720"/>
      <w:bookmarkEnd w:id="721"/>
    </w:p>
    <w:p>
      <w:pPr>
        <w:pStyle w:val="Heading5"/>
        <w:rPr>
          <w:snapToGrid w:val="0"/>
        </w:rPr>
      </w:pPr>
      <w:bookmarkStart w:id="722" w:name="_Toc359316811"/>
      <w:r>
        <w:rPr>
          <w:rStyle w:val="CharSectno"/>
        </w:rPr>
        <w:t>104</w:t>
      </w:r>
      <w:r>
        <w:rPr>
          <w:snapToGrid w:val="0"/>
        </w:rPr>
        <w:t>.</w:t>
      </w:r>
      <w:r>
        <w:rPr>
          <w:snapToGrid w:val="0"/>
        </w:rPr>
        <w:tab/>
        <w:t>Noise to be kept below certain levels</w:t>
      </w:r>
      <w:bookmarkEnd w:id="722"/>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723" w:name="_Toc359316812"/>
      <w:r>
        <w:rPr>
          <w:rStyle w:val="CharSectno"/>
        </w:rPr>
        <w:t>105</w:t>
      </w:r>
      <w:r>
        <w:rPr>
          <w:snapToGrid w:val="0"/>
        </w:rPr>
        <w:t>.</w:t>
      </w:r>
      <w:r>
        <w:rPr>
          <w:snapToGrid w:val="0"/>
        </w:rPr>
        <w:tab/>
        <w:t>Vehicles not to be used without CEO’s approval</w:t>
      </w:r>
      <w:bookmarkEnd w:id="723"/>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ind w:left="890" w:hanging="890"/>
      </w:pPr>
      <w:r>
        <w:tab/>
        <w:t>[Regulation 105 amended in Gazette 6 Jul 2007 p. 3389</w:t>
      </w:r>
      <w:r>
        <w:noBreakHyphen/>
        <w:t>90.]</w:t>
      </w:r>
    </w:p>
    <w:p>
      <w:pPr>
        <w:pStyle w:val="Ednotesection"/>
      </w:pPr>
      <w:r>
        <w:t>[</w:t>
      </w:r>
      <w:r>
        <w:rPr>
          <w:b/>
        </w:rPr>
        <w:t>105A.</w:t>
      </w:r>
      <w:r>
        <w:tab/>
        <w:t>Inserted in Gazette 26 Mar 1999 p. 1279</w:t>
      </w:r>
      <w:r>
        <w:noBreakHyphen/>
        <w:t>80. Disallowed in Gazette 25 Jun 1999 p. 2742.]</w:t>
      </w:r>
    </w:p>
    <w:p>
      <w:pPr>
        <w:pStyle w:val="Heading5"/>
        <w:spacing w:before="180"/>
        <w:rPr>
          <w:snapToGrid w:val="0"/>
        </w:rPr>
      </w:pPr>
      <w:bookmarkStart w:id="724" w:name="_Toc359316813"/>
      <w:r>
        <w:rPr>
          <w:rStyle w:val="CharSectno"/>
        </w:rPr>
        <w:t>106</w:t>
      </w:r>
      <w:r>
        <w:rPr>
          <w:snapToGrid w:val="0"/>
        </w:rPr>
        <w:t>.</w:t>
      </w:r>
      <w:r>
        <w:rPr>
          <w:snapToGrid w:val="0"/>
        </w:rPr>
        <w:tab/>
        <w:t>Domestic pets prohibited on reserve and boats at jetties</w:t>
      </w:r>
      <w:bookmarkEnd w:id="724"/>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spacing w:before="180"/>
        <w:rPr>
          <w:snapToGrid w:val="0"/>
        </w:rPr>
      </w:pPr>
      <w:bookmarkStart w:id="725" w:name="_Toc359316814"/>
      <w:r>
        <w:rPr>
          <w:rStyle w:val="CharSectno"/>
        </w:rPr>
        <w:t>107</w:t>
      </w:r>
      <w:r>
        <w:rPr>
          <w:snapToGrid w:val="0"/>
        </w:rPr>
        <w:t>.</w:t>
      </w:r>
      <w:r>
        <w:rPr>
          <w:snapToGrid w:val="0"/>
        </w:rPr>
        <w:tab/>
        <w:t>Flora and fauna not to be introduced without approval</w:t>
      </w:r>
      <w:bookmarkEnd w:id="725"/>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2</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spacing w:before="180"/>
        <w:rPr>
          <w:snapToGrid w:val="0"/>
        </w:rPr>
      </w:pPr>
      <w:bookmarkStart w:id="726" w:name="_Toc359316815"/>
      <w:r>
        <w:rPr>
          <w:rStyle w:val="CharSectno"/>
        </w:rPr>
        <w:t>108</w:t>
      </w:r>
      <w:r>
        <w:rPr>
          <w:snapToGrid w:val="0"/>
        </w:rPr>
        <w:t>.</w:t>
      </w:r>
      <w:r>
        <w:rPr>
          <w:snapToGrid w:val="0"/>
        </w:rPr>
        <w:tab/>
        <w:t>Noxious etc. plants, pests etc., control of to be by approved methods</w:t>
      </w:r>
      <w:bookmarkEnd w:id="726"/>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[Regulation 108 amended in Gazette 6 Jul 2007 p. 3389</w:t>
      </w:r>
      <w:r>
        <w:noBreakHyphen/>
        <w:t>90.]</w:t>
      </w:r>
    </w:p>
    <w:p>
      <w:pPr>
        <w:pStyle w:val="Heading5"/>
        <w:spacing w:before="240"/>
        <w:rPr>
          <w:snapToGrid w:val="0"/>
        </w:rPr>
      </w:pPr>
      <w:bookmarkStart w:id="727" w:name="_Toc359316816"/>
      <w:r>
        <w:rPr>
          <w:rStyle w:val="CharSectno"/>
        </w:rPr>
        <w:t>109</w:t>
      </w:r>
      <w:r>
        <w:rPr>
          <w:snapToGrid w:val="0"/>
        </w:rPr>
        <w:t>.</w:t>
      </w:r>
      <w:r>
        <w:rPr>
          <w:snapToGrid w:val="0"/>
        </w:rPr>
        <w:tab/>
        <w:t>Behaviour standards for people; power to direct person to leave</w:t>
      </w:r>
      <w:bookmarkEnd w:id="727"/>
    </w:p>
    <w:p>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spacing w:before="240"/>
        <w:rPr>
          <w:snapToGrid w:val="0"/>
        </w:rPr>
      </w:pPr>
      <w:bookmarkStart w:id="728" w:name="_Toc359316817"/>
      <w:r>
        <w:rPr>
          <w:rStyle w:val="CharSectno"/>
        </w:rPr>
        <w:t>110</w:t>
      </w:r>
      <w:r>
        <w:rPr>
          <w:snapToGrid w:val="0"/>
        </w:rPr>
        <w:t>.</w:t>
      </w:r>
      <w:r>
        <w:rPr>
          <w:snapToGrid w:val="0"/>
        </w:rPr>
        <w:tab/>
        <w:t>Chlorine tarping of boats, restrictions on</w:t>
      </w:r>
      <w:bookmarkEnd w:id="728"/>
    </w:p>
    <w:p>
      <w:pPr>
        <w:pStyle w:val="Subsection"/>
        <w:keepNext/>
        <w:keepLines/>
        <w:spacing w:before="18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keepLines w:val="0"/>
        <w:spacing w:before="240"/>
        <w:rPr>
          <w:snapToGrid w:val="0"/>
        </w:rPr>
      </w:pPr>
      <w:bookmarkStart w:id="729" w:name="_Toc359316818"/>
      <w:r>
        <w:rPr>
          <w:rStyle w:val="CharSectno"/>
        </w:rPr>
        <w:t>111</w:t>
      </w:r>
      <w:r>
        <w:rPr>
          <w:snapToGrid w:val="0"/>
        </w:rPr>
        <w:t>.</w:t>
      </w:r>
      <w:r>
        <w:rPr>
          <w:snapToGrid w:val="0"/>
        </w:rPr>
        <w:tab/>
        <w:t>Travel to reserve between 15 Jul and 20 Feb, notice of required</w:t>
      </w:r>
      <w:bookmarkEnd w:id="729"/>
    </w:p>
    <w:p>
      <w:pPr>
        <w:pStyle w:val="Subsection"/>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w:t>
      </w:r>
    </w:p>
    <w:p>
      <w:pPr>
        <w:pStyle w:val="Indenta"/>
        <w:rPr>
          <w:snapToGrid w:val="0"/>
        </w:rPr>
      </w:pPr>
      <w:r>
        <w:rPr>
          <w:snapToGrid w:val="0"/>
        </w:rPr>
        <w:tab/>
        <w:t>(a)</w:t>
      </w:r>
      <w:r>
        <w:rPr>
          <w:snapToGrid w:val="0"/>
        </w:rPr>
        <w:tab/>
        <w:t>the length of stay proposed; and</w:t>
      </w:r>
    </w:p>
    <w:p>
      <w:pPr>
        <w:pStyle w:val="Indenta"/>
        <w:rPr>
          <w:snapToGrid w:val="0"/>
        </w:rPr>
      </w:pPr>
      <w:r>
        <w:rPr>
          <w:snapToGrid w:val="0"/>
        </w:rPr>
        <w:tab/>
        <w:t>(b)</w:t>
      </w:r>
      <w:r>
        <w:rPr>
          <w:snapToGrid w:val="0"/>
        </w:rPr>
        <w:tab/>
        <w:t>the name, description and (where applicable) any distinguishing number allocated in respect of the boat under these regulations; and</w:t>
      </w:r>
    </w:p>
    <w:p>
      <w:pPr>
        <w:pStyle w:val="Indenta"/>
        <w:rPr>
          <w:snapToGrid w:val="0"/>
        </w:rPr>
      </w:pPr>
      <w:r>
        <w:rPr>
          <w:snapToGrid w:val="0"/>
        </w:rPr>
        <w:tab/>
        <w:t>(c)</w:t>
      </w:r>
      <w:r>
        <w:rPr>
          <w:snapToGrid w:val="0"/>
        </w:rPr>
        <w:tab/>
        <w:t>the number of persons on the boat; and</w:t>
      </w:r>
    </w:p>
    <w:p>
      <w:pPr>
        <w:pStyle w:val="Indenta"/>
        <w:rPr>
          <w:snapToGrid w:val="0"/>
        </w:rPr>
      </w:pPr>
      <w:r>
        <w:rPr>
          <w:snapToGrid w:val="0"/>
        </w:rPr>
        <w:tab/>
        <w:t>(d)</w:t>
      </w:r>
      <w:r>
        <w:rPr>
          <w:snapToGrid w:val="0"/>
        </w:rPr>
        <w:tab/>
        <w:t>details of the particular areas of the reserve it is proposed to visit; and</w:t>
      </w:r>
    </w:p>
    <w:p>
      <w:pPr>
        <w:pStyle w:val="Indenta"/>
        <w:rPr>
          <w:snapToGrid w:val="0"/>
        </w:rPr>
      </w:pPr>
      <w:r>
        <w:rPr>
          <w:snapToGrid w:val="0"/>
        </w:rPr>
        <w:tab/>
        <w:t>(e)</w:t>
      </w:r>
      <w:r>
        <w:rPr>
          <w:snapToGrid w:val="0"/>
        </w:rPr>
        <w:tab/>
        <w:t>a radio call signal on which the boat can be contacted.</w:t>
      </w:r>
    </w:p>
    <w:p>
      <w:pPr>
        <w:pStyle w:val="Subsection"/>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rPr>
          <w:snapToGrid w:val="0"/>
        </w:rPr>
      </w:pPr>
      <w:bookmarkStart w:id="730" w:name="_Toc359316819"/>
      <w:r>
        <w:rPr>
          <w:rStyle w:val="CharSectno"/>
        </w:rPr>
        <w:t>112</w:t>
      </w:r>
      <w:r>
        <w:rPr>
          <w:snapToGrid w:val="0"/>
        </w:rPr>
        <w:t>.</w:t>
      </w:r>
      <w:r>
        <w:rPr>
          <w:snapToGrid w:val="0"/>
        </w:rPr>
        <w:tab/>
        <w:t>Weapons prohibited</w:t>
      </w:r>
      <w:bookmarkEnd w:id="730"/>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731" w:name="_Toc359316820"/>
      <w:r>
        <w:rPr>
          <w:rStyle w:val="CharSectno"/>
        </w:rPr>
        <w:t>113</w:t>
      </w:r>
      <w:r>
        <w:rPr>
          <w:snapToGrid w:val="0"/>
        </w:rPr>
        <w:t>.</w:t>
      </w:r>
      <w:r>
        <w:rPr>
          <w:snapToGrid w:val="0"/>
        </w:rPr>
        <w:tab/>
        <w:t>Open fires prohibited</w:t>
      </w:r>
      <w:bookmarkEnd w:id="731"/>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732" w:name="_Toc339625948"/>
      <w:bookmarkStart w:id="733" w:name="_Toc342397698"/>
      <w:bookmarkStart w:id="734" w:name="_Toc343519955"/>
      <w:bookmarkStart w:id="735" w:name="_Toc343520412"/>
      <w:bookmarkStart w:id="736" w:name="_Toc344711977"/>
      <w:bookmarkStart w:id="737" w:name="_Toc344712493"/>
      <w:bookmarkStart w:id="738" w:name="_Toc347307760"/>
      <w:bookmarkStart w:id="739" w:name="_Toc349822673"/>
      <w:bookmarkStart w:id="740" w:name="_Toc349823093"/>
      <w:bookmarkStart w:id="741" w:name="_Toc349831075"/>
      <w:bookmarkStart w:id="742" w:name="_Toc359248864"/>
      <w:bookmarkStart w:id="743" w:name="_Toc359316821"/>
      <w:r>
        <w:rPr>
          <w:rStyle w:val="CharPartNo"/>
        </w:rPr>
        <w:t>Part 9A</w:t>
      </w:r>
      <w:r>
        <w:rPr>
          <w:b w:val="0"/>
        </w:rPr>
        <w:t> </w:t>
      </w:r>
      <w:r>
        <w:t>—</w:t>
      </w:r>
      <w:r>
        <w:rPr>
          <w:b w:val="0"/>
        </w:rPr>
        <w:t> </w:t>
      </w:r>
      <w:r>
        <w:rPr>
          <w:rStyle w:val="CharPartText"/>
        </w:rPr>
        <w:t>Fish Habitat Protection Areas</w:t>
      </w:r>
      <w:bookmarkEnd w:id="732"/>
      <w:bookmarkEnd w:id="733"/>
      <w:bookmarkEnd w:id="734"/>
      <w:bookmarkEnd w:id="735"/>
      <w:bookmarkEnd w:id="736"/>
      <w:bookmarkEnd w:id="737"/>
      <w:bookmarkEnd w:id="738"/>
      <w:bookmarkEnd w:id="739"/>
      <w:bookmarkEnd w:id="740"/>
      <w:bookmarkEnd w:id="741"/>
      <w:bookmarkEnd w:id="742"/>
      <w:bookmarkEnd w:id="743"/>
    </w:p>
    <w:p>
      <w:pPr>
        <w:pStyle w:val="Footnoteheading"/>
        <w:tabs>
          <w:tab w:val="left" w:pos="851"/>
        </w:tabs>
      </w:pPr>
      <w:r>
        <w:tab/>
        <w:t>[Heading inserted in Gazette 23 Dec 2003 p. 5205.]</w:t>
      </w:r>
    </w:p>
    <w:p>
      <w:pPr>
        <w:pStyle w:val="Heading3"/>
      </w:pPr>
      <w:bookmarkStart w:id="744" w:name="_Toc339625949"/>
      <w:bookmarkStart w:id="745" w:name="_Toc342397699"/>
      <w:bookmarkStart w:id="746" w:name="_Toc343519956"/>
      <w:bookmarkStart w:id="747" w:name="_Toc343520413"/>
      <w:bookmarkStart w:id="748" w:name="_Toc344711978"/>
      <w:bookmarkStart w:id="749" w:name="_Toc344712494"/>
      <w:bookmarkStart w:id="750" w:name="_Toc347307761"/>
      <w:bookmarkStart w:id="751" w:name="_Toc349822674"/>
      <w:bookmarkStart w:id="752" w:name="_Toc349823094"/>
      <w:bookmarkStart w:id="753" w:name="_Toc349831076"/>
      <w:bookmarkStart w:id="754" w:name="_Toc359248865"/>
      <w:bookmarkStart w:id="755" w:name="_Toc359316822"/>
      <w:r>
        <w:rPr>
          <w:rStyle w:val="CharDivNo"/>
        </w:rPr>
        <w:t>Division 1</w:t>
      </w:r>
      <w:r>
        <w:t> — </w:t>
      </w:r>
      <w:r>
        <w:rPr>
          <w:rStyle w:val="CharDivText"/>
        </w:rPr>
        <w:t>Cottesloe Reef Fish Habitat Protection Area</w:t>
      </w:r>
      <w:bookmarkEnd w:id="744"/>
      <w:bookmarkEnd w:id="745"/>
      <w:bookmarkEnd w:id="746"/>
      <w:bookmarkEnd w:id="747"/>
      <w:bookmarkEnd w:id="748"/>
      <w:bookmarkEnd w:id="749"/>
      <w:bookmarkEnd w:id="750"/>
      <w:bookmarkEnd w:id="751"/>
      <w:bookmarkEnd w:id="752"/>
      <w:bookmarkEnd w:id="753"/>
      <w:bookmarkEnd w:id="754"/>
      <w:bookmarkEnd w:id="755"/>
    </w:p>
    <w:p>
      <w:pPr>
        <w:pStyle w:val="Footnoteheading"/>
        <w:tabs>
          <w:tab w:val="left" w:pos="851"/>
        </w:tabs>
      </w:pPr>
      <w:r>
        <w:tab/>
        <w:t>[Heading inserted in Gazette 23 Dec 2003 p. 5205.]</w:t>
      </w:r>
    </w:p>
    <w:p>
      <w:pPr>
        <w:pStyle w:val="Heading5"/>
      </w:pPr>
      <w:bookmarkStart w:id="756" w:name="_Toc359316823"/>
      <w:r>
        <w:rPr>
          <w:rStyle w:val="CharSectno"/>
        </w:rPr>
        <w:t>113A</w:t>
      </w:r>
      <w:r>
        <w:t>.</w:t>
      </w:r>
      <w:r>
        <w:tab/>
        <w:t>Prohibited activities</w:t>
      </w:r>
      <w:bookmarkEnd w:id="756"/>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757" w:name="_Toc339625951"/>
      <w:bookmarkStart w:id="758" w:name="_Toc342397701"/>
      <w:bookmarkStart w:id="759" w:name="_Toc343519958"/>
      <w:bookmarkStart w:id="760" w:name="_Toc343520415"/>
      <w:bookmarkStart w:id="761" w:name="_Toc344711980"/>
      <w:bookmarkStart w:id="762" w:name="_Toc344712496"/>
      <w:bookmarkStart w:id="763" w:name="_Toc347307763"/>
      <w:bookmarkStart w:id="764" w:name="_Toc349822676"/>
      <w:bookmarkStart w:id="765" w:name="_Toc349823096"/>
      <w:bookmarkStart w:id="766" w:name="_Toc349831078"/>
      <w:bookmarkStart w:id="767" w:name="_Toc359248867"/>
      <w:bookmarkStart w:id="768" w:name="_Toc359316824"/>
      <w:r>
        <w:rPr>
          <w:rStyle w:val="CharDivNo"/>
        </w:rPr>
        <w:t>Division 2</w:t>
      </w:r>
      <w:r>
        <w:t> — </w:t>
      </w:r>
      <w:smartTag w:uri="urn:schemas-microsoft-com:office:smarttags" w:element="place">
        <w:smartTag w:uri="urn:schemas-microsoft-com:office:smarttags" w:element="PlaceName">
          <w:r>
            <w:rPr>
              <w:rStyle w:val="CharDivText"/>
            </w:rPr>
            <w:t>Lancelin</w:t>
          </w:r>
        </w:smartTag>
        <w:r>
          <w:rPr>
            <w:rStyle w:val="CharDivText"/>
          </w:rPr>
          <w:t xml:space="preserve"> </w:t>
        </w:r>
        <w:smartTag w:uri="urn:schemas-microsoft-com:office:smarttags" w:element="PlaceType">
          <w:r>
            <w:rPr>
              <w:rStyle w:val="CharDivText"/>
            </w:rPr>
            <w:t>Island</w:t>
          </w:r>
        </w:smartTag>
      </w:smartTag>
      <w:r>
        <w:rPr>
          <w:rStyle w:val="CharDivText"/>
        </w:rPr>
        <w:t xml:space="preserve"> Lagoon Fish Habitat Protection Area</w:t>
      </w:r>
      <w:bookmarkEnd w:id="757"/>
      <w:bookmarkEnd w:id="758"/>
      <w:bookmarkEnd w:id="759"/>
      <w:bookmarkEnd w:id="760"/>
      <w:bookmarkEnd w:id="761"/>
      <w:bookmarkEnd w:id="762"/>
      <w:bookmarkEnd w:id="763"/>
      <w:bookmarkEnd w:id="764"/>
      <w:bookmarkEnd w:id="765"/>
      <w:bookmarkEnd w:id="766"/>
      <w:bookmarkEnd w:id="767"/>
      <w:bookmarkEnd w:id="768"/>
    </w:p>
    <w:p>
      <w:pPr>
        <w:pStyle w:val="Footnoteheading"/>
        <w:tabs>
          <w:tab w:val="left" w:pos="851"/>
        </w:tabs>
      </w:pPr>
      <w:r>
        <w:tab/>
        <w:t>[Heading inserted in Gazette 23 Dec 2003 p. 5205.]</w:t>
      </w:r>
    </w:p>
    <w:p>
      <w:pPr>
        <w:pStyle w:val="Heading5"/>
        <w:spacing w:before="240"/>
      </w:pPr>
      <w:bookmarkStart w:id="769" w:name="_Toc359316825"/>
      <w:r>
        <w:rPr>
          <w:rStyle w:val="CharSectno"/>
        </w:rPr>
        <w:t>113B</w:t>
      </w:r>
      <w:r>
        <w:t>.</w:t>
      </w:r>
      <w:r>
        <w:tab/>
        <w:t>Prohibited activities</w:t>
      </w:r>
      <w:bookmarkEnd w:id="769"/>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260"/>
      </w:pPr>
      <w:bookmarkStart w:id="770" w:name="_Toc339625953"/>
      <w:bookmarkStart w:id="771" w:name="_Toc342397703"/>
      <w:bookmarkStart w:id="772" w:name="_Toc343519960"/>
      <w:bookmarkStart w:id="773" w:name="_Toc343520417"/>
      <w:bookmarkStart w:id="774" w:name="_Toc344711982"/>
      <w:bookmarkStart w:id="775" w:name="_Toc344712498"/>
      <w:bookmarkStart w:id="776" w:name="_Toc347307765"/>
      <w:bookmarkStart w:id="777" w:name="_Toc349822678"/>
      <w:bookmarkStart w:id="778" w:name="_Toc349823098"/>
      <w:bookmarkStart w:id="779" w:name="_Toc349831080"/>
      <w:bookmarkStart w:id="780" w:name="_Toc359248869"/>
      <w:bookmarkStart w:id="781" w:name="_Toc359316826"/>
      <w:r>
        <w:rPr>
          <w:rStyle w:val="CharDivNo"/>
        </w:rPr>
        <w:t>Division 3</w:t>
      </w:r>
      <w:r>
        <w:t> — </w:t>
      </w:r>
      <w:r>
        <w:rPr>
          <w:rStyle w:val="CharDivText"/>
        </w:rPr>
        <w:t>Kalbarri Blue Holes Fish Habitat Protection Area</w:t>
      </w:r>
      <w:bookmarkEnd w:id="770"/>
      <w:bookmarkEnd w:id="771"/>
      <w:bookmarkEnd w:id="772"/>
      <w:bookmarkEnd w:id="773"/>
      <w:bookmarkEnd w:id="774"/>
      <w:bookmarkEnd w:id="775"/>
      <w:bookmarkEnd w:id="776"/>
      <w:bookmarkEnd w:id="777"/>
      <w:bookmarkEnd w:id="778"/>
      <w:bookmarkEnd w:id="779"/>
      <w:bookmarkEnd w:id="780"/>
      <w:bookmarkEnd w:id="781"/>
    </w:p>
    <w:p>
      <w:pPr>
        <w:pStyle w:val="Footnoteheading"/>
        <w:tabs>
          <w:tab w:val="left" w:pos="851"/>
        </w:tabs>
      </w:pPr>
      <w:r>
        <w:tab/>
        <w:t>[Heading inserted in Gazette 21 Dec 2007 p. 6326.]</w:t>
      </w:r>
    </w:p>
    <w:p>
      <w:pPr>
        <w:pStyle w:val="Heading5"/>
        <w:spacing w:before="240"/>
      </w:pPr>
      <w:bookmarkStart w:id="782" w:name="_Toc359316827"/>
      <w:r>
        <w:rPr>
          <w:rStyle w:val="CharSectno"/>
        </w:rPr>
        <w:t>113C</w:t>
      </w:r>
      <w:r>
        <w:t>.</w:t>
      </w:r>
      <w:r>
        <w:tab/>
        <w:t>Prohibited activities</w:t>
      </w:r>
      <w:bookmarkEnd w:id="782"/>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rPr>
          <w:lang w:val="fr-FR"/>
        </w:rPr>
      </w:pPr>
      <w:bookmarkStart w:id="783" w:name="_Toc339625955"/>
      <w:bookmarkStart w:id="784" w:name="_Toc342397705"/>
      <w:bookmarkStart w:id="785" w:name="_Toc343519962"/>
      <w:bookmarkStart w:id="786" w:name="_Toc343520419"/>
      <w:bookmarkStart w:id="787" w:name="_Toc344711984"/>
      <w:bookmarkStart w:id="788" w:name="_Toc344712500"/>
      <w:bookmarkStart w:id="789" w:name="_Toc347307767"/>
      <w:bookmarkStart w:id="790" w:name="_Toc349822680"/>
      <w:bookmarkStart w:id="791" w:name="_Toc349823100"/>
      <w:bookmarkStart w:id="792" w:name="_Toc349831082"/>
      <w:bookmarkStart w:id="793" w:name="_Toc359248871"/>
      <w:bookmarkStart w:id="794" w:name="_Toc359316828"/>
      <w:r>
        <w:rPr>
          <w:rStyle w:val="CharDivNo"/>
          <w:lang w:val="fr-FR"/>
        </w:rPr>
        <w:t>Division 4</w:t>
      </w:r>
      <w:r>
        <w:rPr>
          <w:lang w:val="fr-FR"/>
        </w:rPr>
        <w:t> — </w:t>
      </w:r>
      <w:r>
        <w:rPr>
          <w:rStyle w:val="CharDivText"/>
          <w:lang w:val="fr-FR"/>
        </w:rPr>
        <w:t>Point Quobba Fish Habitat Protection Area</w:t>
      </w:r>
      <w:bookmarkEnd w:id="783"/>
      <w:bookmarkEnd w:id="784"/>
      <w:bookmarkEnd w:id="785"/>
      <w:bookmarkEnd w:id="786"/>
      <w:bookmarkEnd w:id="787"/>
      <w:bookmarkEnd w:id="788"/>
      <w:bookmarkEnd w:id="789"/>
      <w:bookmarkEnd w:id="790"/>
      <w:bookmarkEnd w:id="791"/>
      <w:bookmarkEnd w:id="792"/>
      <w:bookmarkEnd w:id="793"/>
      <w:bookmarkEnd w:id="794"/>
    </w:p>
    <w:p>
      <w:pPr>
        <w:pStyle w:val="Footnoteheading"/>
        <w:keepNext/>
        <w:keepLines/>
        <w:tabs>
          <w:tab w:val="left" w:pos="851"/>
        </w:tabs>
      </w:pPr>
      <w:r>
        <w:rPr>
          <w:lang w:val="fr-FR"/>
        </w:rPr>
        <w:tab/>
      </w:r>
      <w:r>
        <w:t>[Heading inserted in Gazette 3 Jul 2009 p. 2679.]</w:t>
      </w:r>
    </w:p>
    <w:p>
      <w:pPr>
        <w:pStyle w:val="Heading5"/>
      </w:pPr>
      <w:bookmarkStart w:id="795" w:name="_Toc359316829"/>
      <w:r>
        <w:rPr>
          <w:rStyle w:val="CharSectno"/>
        </w:rPr>
        <w:t>113D</w:t>
      </w:r>
      <w:r>
        <w:t>.</w:t>
      </w:r>
      <w:r>
        <w:tab/>
        <w:t>Terms used</w:t>
      </w:r>
      <w:bookmarkEnd w:id="795"/>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796" w:name="_Toc359316830"/>
      <w:r>
        <w:rPr>
          <w:rStyle w:val="CharSectno"/>
        </w:rPr>
        <w:t>113E</w:t>
      </w:r>
      <w:r>
        <w:t>.</w:t>
      </w:r>
      <w:r>
        <w:tab/>
        <w:t>Prohibited activities</w:t>
      </w:r>
      <w:bookmarkEnd w:id="796"/>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797" w:name="_Toc339625958"/>
      <w:bookmarkStart w:id="798" w:name="_Toc342397708"/>
      <w:bookmarkStart w:id="799" w:name="_Toc343519965"/>
      <w:bookmarkStart w:id="800" w:name="_Toc343520422"/>
      <w:bookmarkStart w:id="801" w:name="_Toc344711987"/>
      <w:bookmarkStart w:id="802" w:name="_Toc344712503"/>
      <w:bookmarkStart w:id="803" w:name="_Toc347307770"/>
      <w:bookmarkStart w:id="804" w:name="_Toc349822683"/>
      <w:bookmarkStart w:id="805" w:name="_Toc349823103"/>
      <w:bookmarkStart w:id="806" w:name="_Toc349831085"/>
      <w:bookmarkStart w:id="807" w:name="_Toc359248874"/>
      <w:bookmarkStart w:id="808" w:name="_Toc359316831"/>
      <w:r>
        <w:rPr>
          <w:rStyle w:val="CharPartNo"/>
        </w:rPr>
        <w:t>Part 10</w:t>
      </w:r>
      <w:r>
        <w:rPr>
          <w:rStyle w:val="CharDivNo"/>
        </w:rPr>
        <w:t> </w:t>
      </w:r>
      <w:r>
        <w:t>—</w:t>
      </w:r>
      <w:r>
        <w:rPr>
          <w:rStyle w:val="CharDivText"/>
        </w:rPr>
        <w:t> </w:t>
      </w:r>
      <w:r>
        <w:rPr>
          <w:rStyle w:val="CharPartText"/>
        </w:rPr>
        <w:t>Register</w:t>
      </w:r>
      <w:bookmarkEnd w:id="797"/>
      <w:bookmarkEnd w:id="798"/>
      <w:bookmarkEnd w:id="799"/>
      <w:bookmarkEnd w:id="800"/>
      <w:bookmarkEnd w:id="801"/>
      <w:bookmarkEnd w:id="802"/>
      <w:bookmarkEnd w:id="803"/>
      <w:bookmarkEnd w:id="804"/>
      <w:bookmarkEnd w:id="805"/>
      <w:bookmarkEnd w:id="806"/>
      <w:bookmarkEnd w:id="807"/>
      <w:bookmarkEnd w:id="808"/>
    </w:p>
    <w:p>
      <w:pPr>
        <w:pStyle w:val="Heading5"/>
        <w:rPr>
          <w:snapToGrid w:val="0"/>
        </w:rPr>
      </w:pPr>
      <w:bookmarkStart w:id="809" w:name="_Toc359316832"/>
      <w:r>
        <w:rPr>
          <w:rStyle w:val="CharSectno"/>
        </w:rPr>
        <w:t>114</w:t>
      </w:r>
      <w:r>
        <w:rPr>
          <w:snapToGrid w:val="0"/>
        </w:rPr>
        <w:t>.</w:t>
      </w:r>
      <w:r>
        <w:rPr>
          <w:snapToGrid w:val="0"/>
        </w:rPr>
        <w:tab/>
        <w:t>Hours, place and fees prescribed (Act s. 124)</w:t>
      </w:r>
      <w:bookmarkEnd w:id="809"/>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 xml:space="preserve">170 </w:t>
            </w:r>
            <w:smartTag w:uri="urn:schemas-microsoft-com:office:smarttags" w:element="place">
              <w:smartTag w:uri="urn:schemas-microsoft-com:office:smarttags" w:element="City">
                <w:r>
                  <w:rPr>
                    <w:snapToGrid w:val="0"/>
                  </w:rPr>
                  <w:t>St. George’s</w:t>
                </w:r>
              </w:smartTag>
            </w:smartTag>
            <w:r>
              <w:rPr>
                <w:snapToGrid w:val="0"/>
              </w:rPr>
              <w:t xml:space="preserve"> Tce.</w:t>
            </w:r>
          </w:p>
        </w:tc>
      </w:tr>
      <w:tr>
        <w:tc>
          <w:tcPr>
            <w:tcW w:w="3360" w:type="dxa"/>
          </w:tcPr>
          <w:p>
            <w:pPr>
              <w:pStyle w:val="TableNAm"/>
              <w:spacing w:before="60"/>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WA 6000</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810" w:name="_Toc359316833"/>
      <w:r>
        <w:rPr>
          <w:rStyle w:val="CharSectno"/>
        </w:rPr>
        <w:t>115</w:t>
      </w:r>
      <w:r>
        <w:rPr>
          <w:snapToGrid w:val="0"/>
        </w:rPr>
        <w:t>.</w:t>
      </w:r>
      <w:r>
        <w:rPr>
          <w:snapToGrid w:val="0"/>
        </w:rPr>
        <w:tab/>
        <w:t>Details prescribed (Act s. 126(e))</w:t>
      </w:r>
      <w:bookmarkEnd w:id="810"/>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90.]</w:t>
      </w:r>
    </w:p>
    <w:p>
      <w:pPr>
        <w:pStyle w:val="Heading5"/>
        <w:rPr>
          <w:snapToGrid w:val="0"/>
        </w:rPr>
      </w:pPr>
      <w:bookmarkStart w:id="811" w:name="_Toc359316834"/>
      <w:r>
        <w:rPr>
          <w:rStyle w:val="CharSectno"/>
        </w:rPr>
        <w:t>116</w:t>
      </w:r>
      <w:r>
        <w:rPr>
          <w:snapToGrid w:val="0"/>
        </w:rPr>
        <w:t>.</w:t>
      </w:r>
      <w:r>
        <w:rPr>
          <w:snapToGrid w:val="0"/>
        </w:rPr>
        <w:tab/>
        <w:t>Details of security interest prescribed (Act s. 128(2)(c))</w:t>
      </w:r>
      <w:bookmarkEnd w:id="811"/>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812" w:name="_Toc339625962"/>
      <w:bookmarkStart w:id="813" w:name="_Toc342397712"/>
      <w:bookmarkStart w:id="814" w:name="_Toc343519969"/>
      <w:bookmarkStart w:id="815" w:name="_Toc343520426"/>
      <w:bookmarkStart w:id="816" w:name="_Toc344711991"/>
      <w:bookmarkStart w:id="817" w:name="_Toc344712507"/>
      <w:bookmarkStart w:id="818" w:name="_Toc347307774"/>
      <w:bookmarkStart w:id="819" w:name="_Toc349822687"/>
      <w:bookmarkStart w:id="820" w:name="_Toc349823107"/>
      <w:bookmarkStart w:id="821" w:name="_Toc349831089"/>
      <w:bookmarkStart w:id="822" w:name="_Toc359248878"/>
      <w:bookmarkStart w:id="823" w:name="_Toc359316835"/>
      <w:r>
        <w:rPr>
          <w:rStyle w:val="CharPartNo"/>
        </w:rPr>
        <w:t>Part 11</w:t>
      </w:r>
      <w:r>
        <w:t> — </w:t>
      </w:r>
      <w:r>
        <w:rPr>
          <w:rStyle w:val="CharPartText"/>
        </w:rPr>
        <w:t>Authorisations</w:t>
      </w:r>
      <w:bookmarkEnd w:id="812"/>
      <w:bookmarkEnd w:id="813"/>
      <w:bookmarkEnd w:id="814"/>
      <w:bookmarkEnd w:id="815"/>
      <w:bookmarkEnd w:id="816"/>
      <w:bookmarkEnd w:id="817"/>
      <w:bookmarkEnd w:id="818"/>
      <w:bookmarkEnd w:id="819"/>
      <w:bookmarkEnd w:id="820"/>
      <w:bookmarkEnd w:id="821"/>
      <w:bookmarkEnd w:id="822"/>
      <w:bookmarkEnd w:id="823"/>
    </w:p>
    <w:p>
      <w:pPr>
        <w:pStyle w:val="Heading3"/>
        <w:spacing w:before="200"/>
      </w:pPr>
      <w:bookmarkStart w:id="824" w:name="_Toc339625963"/>
      <w:bookmarkStart w:id="825" w:name="_Toc342397713"/>
      <w:bookmarkStart w:id="826" w:name="_Toc343519970"/>
      <w:bookmarkStart w:id="827" w:name="_Toc343520427"/>
      <w:bookmarkStart w:id="828" w:name="_Toc344711992"/>
      <w:bookmarkStart w:id="829" w:name="_Toc344712508"/>
      <w:bookmarkStart w:id="830" w:name="_Toc347307775"/>
      <w:bookmarkStart w:id="831" w:name="_Toc349822688"/>
      <w:bookmarkStart w:id="832" w:name="_Toc349823108"/>
      <w:bookmarkStart w:id="833" w:name="_Toc349831090"/>
      <w:bookmarkStart w:id="834" w:name="_Toc359248879"/>
      <w:bookmarkStart w:id="835" w:name="_Toc359316836"/>
      <w:r>
        <w:rPr>
          <w:rStyle w:val="CharDivNo"/>
        </w:rPr>
        <w:t>Division 1</w:t>
      </w:r>
      <w:r>
        <w:t xml:space="preserve"> — </w:t>
      </w:r>
      <w:r>
        <w:rPr>
          <w:rStyle w:val="CharDivText"/>
        </w:rPr>
        <w:t>Commercial fishing</w:t>
      </w:r>
      <w:bookmarkEnd w:id="824"/>
      <w:bookmarkEnd w:id="825"/>
      <w:bookmarkEnd w:id="826"/>
      <w:bookmarkEnd w:id="827"/>
      <w:bookmarkEnd w:id="828"/>
      <w:bookmarkEnd w:id="829"/>
      <w:bookmarkEnd w:id="830"/>
      <w:bookmarkEnd w:id="831"/>
      <w:bookmarkEnd w:id="832"/>
      <w:bookmarkEnd w:id="833"/>
      <w:bookmarkEnd w:id="834"/>
      <w:bookmarkEnd w:id="835"/>
    </w:p>
    <w:p>
      <w:pPr>
        <w:pStyle w:val="Footnoteheading"/>
        <w:tabs>
          <w:tab w:val="left" w:pos="909"/>
        </w:tabs>
        <w:spacing w:before="100"/>
        <w:ind w:left="924" w:hanging="924"/>
      </w:pPr>
      <w:r>
        <w:tab/>
        <w:t>[Heading inserted in Gazette 29 Jun 2001 p. 3164.]</w:t>
      </w:r>
    </w:p>
    <w:p>
      <w:pPr>
        <w:pStyle w:val="Heading5"/>
        <w:spacing w:before="180"/>
        <w:rPr>
          <w:snapToGrid w:val="0"/>
        </w:rPr>
      </w:pPr>
      <w:bookmarkStart w:id="836" w:name="_Toc359316837"/>
      <w:r>
        <w:rPr>
          <w:rStyle w:val="CharSectno"/>
        </w:rPr>
        <w:t>117</w:t>
      </w:r>
      <w:r>
        <w:rPr>
          <w:snapToGrid w:val="0"/>
        </w:rPr>
        <w:t>.</w:t>
      </w:r>
      <w:r>
        <w:rPr>
          <w:snapToGrid w:val="0"/>
        </w:rPr>
        <w:tab/>
        <w:t>Fishing boats, duties of masters etc. as to licences, LFB numbers etc.</w:t>
      </w:r>
      <w:bookmarkEnd w:id="836"/>
    </w:p>
    <w:p>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spacing w:before="60"/>
        <w:rPr>
          <w:snapToGrid w:val="0"/>
        </w:rPr>
      </w:pPr>
      <w:r>
        <w:rPr>
          <w:snapToGrid w:val="0"/>
        </w:rPr>
        <w:tab/>
        <w:t>Penalty: $10 000.</w:t>
      </w:r>
    </w:p>
    <w:p>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spacing w:before="60"/>
        <w:rPr>
          <w:snapToGrid w:val="0"/>
        </w:rPr>
      </w:pPr>
      <w:r>
        <w:rPr>
          <w:snapToGrid w:val="0"/>
        </w:rPr>
        <w:tab/>
        <w:t>Penalty: $5 000.</w:t>
      </w:r>
    </w:p>
    <w:p>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spacing w:before="60"/>
        <w:rPr>
          <w:snapToGrid w:val="0"/>
        </w:rPr>
      </w:pPr>
      <w:r>
        <w:rPr>
          <w:snapToGrid w:val="0"/>
        </w:rPr>
        <w:tab/>
        <w:t>Penalty: $1 000.</w:t>
      </w:r>
    </w:p>
    <w:p>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spacing w:before="120"/>
        <w:rPr>
          <w:snapToGrid w:val="0"/>
        </w:rPr>
      </w:pPr>
      <w:r>
        <w:rPr>
          <w:snapToGrid w:val="0"/>
        </w:rPr>
        <w:tab/>
        <w:t>(6)</w:t>
      </w:r>
      <w:r>
        <w:rPr>
          <w:snapToGrid w:val="0"/>
        </w:rPr>
        <w:tab/>
        <w:t>A person must not —</w:t>
      </w:r>
    </w:p>
    <w:p>
      <w:pPr>
        <w:pStyle w:val="Indenta"/>
        <w:spacing w:before="60"/>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in Gazette 29 Jun 2001 p. 3164; 27 Jun 2003 p. 2390; 6 Jul 2007 p. 3389</w:t>
      </w:r>
      <w:r>
        <w:noBreakHyphen/>
        <w:t>90; 2 Nov 2011 p. 4624</w:t>
      </w:r>
      <w:r>
        <w:noBreakHyphen/>
        <w:t>5.]</w:t>
      </w:r>
    </w:p>
    <w:p>
      <w:pPr>
        <w:pStyle w:val="Heading5"/>
        <w:spacing w:before="240"/>
        <w:rPr>
          <w:snapToGrid w:val="0"/>
        </w:rPr>
      </w:pPr>
      <w:bookmarkStart w:id="837" w:name="_Toc359316838"/>
      <w:r>
        <w:rPr>
          <w:rStyle w:val="CharSectno"/>
        </w:rPr>
        <w:t>118</w:t>
      </w:r>
      <w:r>
        <w:rPr>
          <w:snapToGrid w:val="0"/>
        </w:rPr>
        <w:t>.</w:t>
      </w:r>
      <w:r>
        <w:rPr>
          <w:snapToGrid w:val="0"/>
        </w:rPr>
        <w:tab/>
        <w:t>Fishing boat licences, grant of</w:t>
      </w:r>
      <w:bookmarkEnd w:id="837"/>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in Gazette 6 Jul 2007 p. 3389.]</w:t>
      </w:r>
    </w:p>
    <w:p>
      <w:pPr>
        <w:pStyle w:val="Heading5"/>
      </w:pPr>
      <w:bookmarkStart w:id="838" w:name="_Toc359316839"/>
      <w:r>
        <w:rPr>
          <w:rStyle w:val="CharSectno"/>
        </w:rPr>
        <w:t>118A</w:t>
      </w:r>
      <w:r>
        <w:t>.</w:t>
      </w:r>
      <w:r>
        <w:tab/>
        <w:t>Fishing boat licence of no effect in some circumstances</w:t>
      </w:r>
      <w:bookmarkEnd w:id="838"/>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80"/>
        <w:ind w:left="890" w:hanging="890"/>
      </w:pPr>
      <w:r>
        <w:tab/>
        <w:t>[Regulation 118A inserted in Gazette 8 Sep 2000 p. 5187; amended in Gazette 14 Nov 2001 p. 5978</w:t>
      </w:r>
      <w:r>
        <w:noBreakHyphen/>
        <w:t>9; 18 Nov 2011 p. 4810.]</w:t>
      </w:r>
    </w:p>
    <w:p>
      <w:pPr>
        <w:pStyle w:val="Heading5"/>
        <w:rPr>
          <w:snapToGrid w:val="0"/>
        </w:rPr>
      </w:pPr>
      <w:bookmarkStart w:id="839" w:name="_Toc359316840"/>
      <w:r>
        <w:rPr>
          <w:rStyle w:val="CharSectno"/>
        </w:rPr>
        <w:t>119</w:t>
      </w:r>
      <w:r>
        <w:rPr>
          <w:snapToGrid w:val="0"/>
        </w:rPr>
        <w:t>.</w:t>
      </w:r>
      <w:r>
        <w:rPr>
          <w:snapToGrid w:val="0"/>
        </w:rPr>
        <w:tab/>
        <w:t>Carrier boats, duties of masters etc. as to licences, LCB numbers etc.</w:t>
      </w:r>
      <w:bookmarkEnd w:id="839"/>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840" w:name="_Toc359316841"/>
      <w:r>
        <w:rPr>
          <w:rStyle w:val="CharSectno"/>
        </w:rPr>
        <w:t>120</w:t>
      </w:r>
      <w:r>
        <w:rPr>
          <w:snapToGrid w:val="0"/>
        </w:rPr>
        <w:t>.</w:t>
      </w:r>
      <w:r>
        <w:rPr>
          <w:snapToGrid w:val="0"/>
        </w:rPr>
        <w:tab/>
        <w:t>Carrier boat licences, grant of</w:t>
      </w:r>
      <w:bookmarkEnd w:id="840"/>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ind w:left="890" w:hanging="890"/>
      </w:pPr>
      <w:r>
        <w:tab/>
        <w:t>[Regulation 120 amended in Gazette 6 Jul 2007 p. 3389.]</w:t>
      </w:r>
    </w:p>
    <w:p>
      <w:pPr>
        <w:pStyle w:val="Heading5"/>
        <w:keepLines w:val="0"/>
        <w:rPr>
          <w:snapToGrid w:val="0"/>
        </w:rPr>
      </w:pPr>
      <w:bookmarkStart w:id="841" w:name="_Toc359316842"/>
      <w:r>
        <w:rPr>
          <w:rStyle w:val="CharSectno"/>
        </w:rPr>
        <w:t>121</w:t>
      </w:r>
      <w:r>
        <w:rPr>
          <w:snapToGrid w:val="0"/>
        </w:rPr>
        <w:t>.</w:t>
      </w:r>
      <w:r>
        <w:rPr>
          <w:snapToGrid w:val="0"/>
        </w:rPr>
        <w:tab/>
        <w:t>Commercial fishing licence, when required</w:t>
      </w:r>
      <w:bookmarkEnd w:id="841"/>
    </w:p>
    <w:p>
      <w:pPr>
        <w:pStyle w:val="Subsection"/>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842" w:name="_Toc359316843"/>
      <w:r>
        <w:rPr>
          <w:rStyle w:val="CharSectno"/>
        </w:rPr>
        <w:t>122</w:t>
      </w:r>
      <w:r>
        <w:rPr>
          <w:snapToGrid w:val="0"/>
        </w:rPr>
        <w:t>.</w:t>
      </w:r>
      <w:r>
        <w:rPr>
          <w:snapToGrid w:val="0"/>
        </w:rPr>
        <w:tab/>
        <w:t>Commercial fishing licences, grant of</w:t>
      </w:r>
      <w:bookmarkEnd w:id="842"/>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[Regulation 122 amended in Gazette 6 Jul 2007 p. 3389.]</w:t>
      </w:r>
    </w:p>
    <w:p>
      <w:pPr>
        <w:pStyle w:val="Heading3"/>
      </w:pPr>
      <w:bookmarkStart w:id="843" w:name="_Toc339625971"/>
      <w:bookmarkStart w:id="844" w:name="_Toc342397721"/>
      <w:bookmarkStart w:id="845" w:name="_Toc343519978"/>
      <w:bookmarkStart w:id="846" w:name="_Toc343520435"/>
      <w:bookmarkStart w:id="847" w:name="_Toc344712000"/>
      <w:bookmarkStart w:id="848" w:name="_Toc344712516"/>
      <w:bookmarkStart w:id="849" w:name="_Toc347307783"/>
      <w:bookmarkStart w:id="850" w:name="_Toc349822696"/>
      <w:bookmarkStart w:id="851" w:name="_Toc349823116"/>
      <w:bookmarkStart w:id="852" w:name="_Toc349831098"/>
      <w:bookmarkStart w:id="853" w:name="_Toc359248887"/>
      <w:bookmarkStart w:id="854" w:name="_Toc359316844"/>
      <w:r>
        <w:rPr>
          <w:rStyle w:val="CharDivNo"/>
        </w:rPr>
        <w:t>Division 2</w:t>
      </w:r>
      <w:r>
        <w:t> — </w:t>
      </w:r>
      <w:r>
        <w:rPr>
          <w:rStyle w:val="CharDivText"/>
        </w:rPr>
        <w:t>Recreational fishing</w:t>
      </w:r>
      <w:bookmarkEnd w:id="843"/>
      <w:bookmarkEnd w:id="844"/>
      <w:bookmarkEnd w:id="845"/>
      <w:bookmarkEnd w:id="846"/>
      <w:bookmarkEnd w:id="847"/>
      <w:bookmarkEnd w:id="848"/>
      <w:bookmarkEnd w:id="849"/>
      <w:bookmarkEnd w:id="850"/>
      <w:bookmarkEnd w:id="851"/>
      <w:bookmarkEnd w:id="852"/>
      <w:bookmarkEnd w:id="853"/>
      <w:bookmarkEnd w:id="854"/>
    </w:p>
    <w:p>
      <w:pPr>
        <w:pStyle w:val="Footnoteheading"/>
        <w:tabs>
          <w:tab w:val="left" w:pos="909"/>
        </w:tabs>
        <w:ind w:left="923" w:hanging="923"/>
      </w:pPr>
      <w:r>
        <w:tab/>
        <w:t>[Heading inserted in Gazette 29 Jun 2001 p. 3164.]</w:t>
      </w:r>
    </w:p>
    <w:p>
      <w:pPr>
        <w:pStyle w:val="Heading4"/>
      </w:pPr>
      <w:bookmarkStart w:id="855" w:name="_Toc339625972"/>
      <w:bookmarkStart w:id="856" w:name="_Toc342397722"/>
      <w:bookmarkStart w:id="857" w:name="_Toc343519979"/>
      <w:bookmarkStart w:id="858" w:name="_Toc343520436"/>
      <w:bookmarkStart w:id="859" w:name="_Toc344712001"/>
      <w:bookmarkStart w:id="860" w:name="_Toc344712517"/>
      <w:bookmarkStart w:id="861" w:name="_Toc347307784"/>
      <w:bookmarkStart w:id="862" w:name="_Toc349822697"/>
      <w:bookmarkStart w:id="863" w:name="_Toc349823117"/>
      <w:bookmarkStart w:id="864" w:name="_Toc349831099"/>
      <w:bookmarkStart w:id="865" w:name="_Toc359248888"/>
      <w:bookmarkStart w:id="866" w:name="_Toc359316845"/>
      <w:r>
        <w:t>Subdivision 1 — Recreational fishing licence</w:t>
      </w:r>
      <w:bookmarkEnd w:id="855"/>
      <w:bookmarkEnd w:id="856"/>
      <w:bookmarkEnd w:id="857"/>
      <w:bookmarkEnd w:id="858"/>
      <w:bookmarkEnd w:id="859"/>
      <w:bookmarkEnd w:id="860"/>
      <w:bookmarkEnd w:id="861"/>
      <w:bookmarkEnd w:id="862"/>
      <w:bookmarkEnd w:id="863"/>
      <w:bookmarkEnd w:id="864"/>
      <w:bookmarkEnd w:id="865"/>
      <w:bookmarkEnd w:id="866"/>
    </w:p>
    <w:p>
      <w:pPr>
        <w:pStyle w:val="Footnoteheading"/>
      </w:pPr>
      <w:r>
        <w:tab/>
        <w:t>[Heading inserted in Gazette 12 Feb 2010 p. 584.]</w:t>
      </w:r>
    </w:p>
    <w:p>
      <w:pPr>
        <w:pStyle w:val="Heading5"/>
        <w:rPr>
          <w:snapToGrid w:val="0"/>
        </w:rPr>
      </w:pPr>
      <w:bookmarkStart w:id="867" w:name="_Toc359316846"/>
      <w:r>
        <w:rPr>
          <w:rStyle w:val="CharSectno"/>
        </w:rPr>
        <w:t>123</w:t>
      </w:r>
      <w:r>
        <w:rPr>
          <w:snapToGrid w:val="0"/>
        </w:rPr>
        <w:t>.</w:t>
      </w:r>
      <w:r>
        <w:rPr>
          <w:snapToGrid w:val="0"/>
        </w:rPr>
        <w:tab/>
        <w:t>Recreational fishing licence, when required</w:t>
      </w:r>
      <w:bookmarkEnd w:id="867"/>
    </w:p>
    <w:p>
      <w:pPr>
        <w:pStyle w:val="Subsection"/>
        <w:rPr>
          <w:snapToGrid w:val="0"/>
        </w:rPr>
      </w:pPr>
      <w:r>
        <w:rPr>
          <w:snapToGrid w:val="0"/>
        </w:rPr>
        <w:tab/>
        <w:t>(1)</w:t>
      </w:r>
      <w:r>
        <w:rPr>
          <w:snapToGrid w:val="0"/>
        </w:rPr>
        <w:tab/>
        <w:t>A person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Ednotesubsection"/>
      </w:pPr>
      <w:r>
        <w:tab/>
        <w:t>[(2)</w:t>
      </w:r>
      <w:r>
        <w:tab/>
        <w:t>deleted]</w:t>
      </w:r>
    </w:p>
    <w:p>
      <w:pPr>
        <w:pStyle w:val="Footnotesection"/>
      </w:pPr>
      <w:r>
        <w:tab/>
        <w:t>[Regulation 123 amended in Gazette 12 Feb 2010 p. 584; 1 Mar 2011 p. 675; 2 Nov 2011 p. 4625.]</w:t>
      </w:r>
    </w:p>
    <w:p>
      <w:pPr>
        <w:pStyle w:val="Heading5"/>
        <w:rPr>
          <w:snapToGrid w:val="0"/>
        </w:rPr>
      </w:pPr>
      <w:bookmarkStart w:id="868" w:name="_Toc359316847"/>
      <w:r>
        <w:rPr>
          <w:rStyle w:val="CharSectno"/>
        </w:rPr>
        <w:t>124</w:t>
      </w:r>
      <w:r>
        <w:rPr>
          <w:snapToGrid w:val="0"/>
        </w:rPr>
        <w:t>.</w:t>
      </w:r>
      <w:r>
        <w:rPr>
          <w:snapToGrid w:val="0"/>
        </w:rPr>
        <w:tab/>
        <w:t>Recreational fishing licences, grant of</w:t>
      </w:r>
      <w:bookmarkEnd w:id="868"/>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Subsection"/>
      </w:pPr>
      <w:r>
        <w:tab/>
        <w:t>(3)</w:t>
      </w:r>
      <w:r>
        <w:tab/>
        <w:t>The CEO must issue a receipt to a person who has applied for the grant or renewal of a recreational fishing licence.</w:t>
      </w:r>
    </w:p>
    <w:p>
      <w:pPr>
        <w:pStyle w:val="Subsection"/>
      </w:pPr>
      <w:r>
        <w:tab/>
        <w:t>(4)</w:t>
      </w:r>
      <w:r>
        <w:tab/>
        <w:t xml:space="preserve">A receipt issued under subregulation (3)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date on which the receipt was issued;</w:t>
      </w:r>
    </w:p>
    <w:p>
      <w:pPr>
        <w:pStyle w:val="Indenti"/>
      </w:pPr>
      <w:r>
        <w:tab/>
        <w:t>(ii)</w:t>
      </w:r>
      <w:r>
        <w:tab/>
        <w:t>the activity referred to in subregulation (2)(a) in respect of which the application is made;</w:t>
      </w:r>
    </w:p>
    <w:p>
      <w:pPr>
        <w:pStyle w:val="Indenti"/>
      </w:pPr>
      <w:r>
        <w:tab/>
        <w:t>(iii)</w:t>
      </w:r>
      <w:r>
        <w:tab/>
        <w:t>any letters and numbers that may be allocated in respect of a licence to which the application relates under subregulation (2)(b).</w:t>
      </w:r>
    </w:p>
    <w:p>
      <w:pPr>
        <w:pStyle w:val="Footnotesection"/>
        <w:ind w:left="890" w:hanging="890"/>
      </w:pPr>
      <w:r>
        <w:tab/>
        <w:t>[Regulation 124 amended in Gazette 6 Jul 2007 p. 3389; 14 Sep 2012 p. 4373.]</w:t>
      </w:r>
    </w:p>
    <w:p>
      <w:pPr>
        <w:pStyle w:val="Heading5"/>
      </w:pPr>
      <w:bookmarkStart w:id="869" w:name="_Toc359316848"/>
      <w:r>
        <w:rPr>
          <w:rStyle w:val="CharSectno"/>
        </w:rPr>
        <w:t>124A</w:t>
      </w:r>
      <w:r>
        <w:t>.</w:t>
      </w:r>
      <w:r>
        <w:tab/>
        <w:t>Recreational fishing licence receipt may have effect as a recreational fishing licence</w:t>
      </w:r>
      <w:bookmarkEnd w:id="869"/>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fishing licence;</w:t>
      </w:r>
    </w:p>
    <w:p>
      <w:pPr>
        <w:pStyle w:val="Defstart"/>
      </w:pPr>
      <w:r>
        <w:tab/>
      </w:r>
      <w:r>
        <w:rPr>
          <w:rStyle w:val="CharDefText"/>
        </w:rPr>
        <w:t>recreational fishing licence receipt</w:t>
      </w:r>
      <w:r>
        <w:t xml:space="preserve"> means a receipt issued under regulation 124(3).</w:t>
      </w:r>
    </w:p>
    <w:p>
      <w:pPr>
        <w:pStyle w:val="Subsection"/>
      </w:pPr>
      <w:r>
        <w:tab/>
        <w:t>(2)</w:t>
      </w:r>
      <w:r>
        <w:tab/>
        <w:t>A recreational fishing licence receipt issued to an applicant has effect as if it was a recreational fishing licence granted to the applicant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ind w:left="890" w:hanging="890"/>
      </w:pPr>
      <w:r>
        <w:tab/>
        <w:t>[Regulation 124A inserted in Gazette 14 Sep 2012 p. 4373</w:t>
      </w:r>
      <w:r>
        <w:noBreakHyphen/>
        <w:t>4.]</w:t>
      </w:r>
    </w:p>
    <w:p>
      <w:pPr>
        <w:pStyle w:val="Heading4"/>
      </w:pPr>
      <w:bookmarkStart w:id="870" w:name="_Toc339625976"/>
      <w:bookmarkStart w:id="871" w:name="_Toc342397726"/>
      <w:bookmarkStart w:id="872" w:name="_Toc343519983"/>
      <w:bookmarkStart w:id="873" w:name="_Toc343520440"/>
      <w:bookmarkStart w:id="874" w:name="_Toc344712005"/>
      <w:bookmarkStart w:id="875" w:name="_Toc344712521"/>
      <w:bookmarkStart w:id="876" w:name="_Toc347307788"/>
      <w:bookmarkStart w:id="877" w:name="_Toc349822701"/>
      <w:bookmarkStart w:id="878" w:name="_Toc349823121"/>
      <w:bookmarkStart w:id="879" w:name="_Toc349831103"/>
      <w:bookmarkStart w:id="880" w:name="_Toc359248892"/>
      <w:bookmarkStart w:id="881" w:name="_Toc359316849"/>
      <w:r>
        <w:t>Subdivision 2 — Recreational (boat) fishing licence</w:t>
      </w:r>
      <w:bookmarkEnd w:id="870"/>
      <w:bookmarkEnd w:id="871"/>
      <w:bookmarkEnd w:id="872"/>
      <w:bookmarkEnd w:id="873"/>
      <w:bookmarkEnd w:id="874"/>
      <w:bookmarkEnd w:id="875"/>
      <w:bookmarkEnd w:id="876"/>
      <w:bookmarkEnd w:id="877"/>
      <w:bookmarkEnd w:id="878"/>
      <w:bookmarkEnd w:id="879"/>
      <w:bookmarkEnd w:id="880"/>
      <w:bookmarkEnd w:id="881"/>
    </w:p>
    <w:p>
      <w:pPr>
        <w:pStyle w:val="Footnoteheading"/>
      </w:pPr>
      <w:r>
        <w:tab/>
        <w:t>[Heading inserted in Gazette 12 Feb 2010 p. 584.]</w:t>
      </w:r>
    </w:p>
    <w:p>
      <w:pPr>
        <w:pStyle w:val="Heading5"/>
      </w:pPr>
      <w:bookmarkStart w:id="882" w:name="_Toc359316850"/>
      <w:r>
        <w:rPr>
          <w:rStyle w:val="CharSectno"/>
        </w:rPr>
        <w:t>124B</w:t>
      </w:r>
      <w:r>
        <w:t>.</w:t>
      </w:r>
      <w:r>
        <w:tab/>
        <w:t>Recreational (boat) fishing licence, when required</w:t>
      </w:r>
      <w:bookmarkEnd w:id="882"/>
    </w:p>
    <w:p>
      <w:pPr>
        <w:pStyle w:val="Subsection"/>
      </w:pPr>
      <w:r>
        <w:tab/>
        <w:t>(1)</w:t>
      </w:r>
      <w:r>
        <w:tab/>
        <w:t>In this regulation —</w:t>
      </w:r>
    </w:p>
    <w:p>
      <w:pPr>
        <w:pStyle w:val="Defstart"/>
      </w:pPr>
      <w:r>
        <w:tab/>
      </w:r>
      <w:r>
        <w:rPr>
          <w:rStyle w:val="CharDefText"/>
        </w:rPr>
        <w:t>boat</w:t>
      </w:r>
      <w:r>
        <w:t xml:space="preserve"> means a vessel propelled by a motor.</w:t>
      </w:r>
    </w:p>
    <w:p>
      <w:pPr>
        <w:pStyle w:val="Subsection"/>
      </w:pPr>
      <w:r>
        <w:tab/>
        <w:t>(2)</w:t>
      </w:r>
      <w:r>
        <w:tab/>
        <w:t>A person who fishes by use of a boat must hold a recreational (boat) fishing licence unless —</w:t>
      </w:r>
    </w:p>
    <w:p>
      <w:pPr>
        <w:pStyle w:val="Indenta"/>
      </w:pPr>
      <w:r>
        <w:tab/>
        <w:t>(a)</w:t>
      </w:r>
      <w:r>
        <w:tab/>
        <w:t>the person is not required to hold a recreational (boat) fishing licence under subregulation (3); or</w:t>
      </w:r>
    </w:p>
    <w:p>
      <w:pPr>
        <w:pStyle w:val="Indenta"/>
      </w:pPr>
      <w:r>
        <w:tab/>
        <w:t>(b)</w:t>
      </w:r>
      <w:r>
        <w:tab/>
        <w:t>the person is not required to hold a recreational (boat) fishing licence under subregulation (5); or</w:t>
      </w:r>
    </w:p>
    <w:p>
      <w:pPr>
        <w:pStyle w:val="Indenta"/>
      </w:pPr>
      <w:r>
        <w:tab/>
        <w:t>(c)</w:t>
      </w:r>
      <w:r>
        <w:tab/>
        <w:t>the person is fishing for a commercial purpose; or</w:t>
      </w:r>
    </w:p>
    <w:p>
      <w:pPr>
        <w:pStyle w:val="Indenta"/>
      </w:pPr>
      <w:r>
        <w:tab/>
        <w:t>(d)</w:t>
      </w:r>
      <w:r>
        <w:tab/>
        <w:t>the person is an Aboriginal person not required to hold a recreational fishing licence under section 6 of the Act; or</w:t>
      </w:r>
    </w:p>
    <w:p>
      <w:pPr>
        <w:pStyle w:val="Indenta"/>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is not required to hold a recreational (boat) fishing licence to fish by use of a boat if the unlicensed person is fishing with another person who holds a recreational (boat) fishing licence.</w:t>
      </w:r>
    </w:p>
    <w:p>
      <w:pPr>
        <w:pStyle w:val="Subsection"/>
      </w:pPr>
      <w:r>
        <w:tab/>
        <w:t>(4)</w:t>
      </w:r>
      <w:r>
        <w:tab/>
        <w:t>For the purposes of determining whether a bag limit has been exceeded, any fish taken by an unlicensed person when fishing under the authority conferred by subregulation (3) are to be regarded as having been taken by the other person who holds a recreational (boat) fishing licence.</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pPr>
      <w:r>
        <w:tab/>
        <w:t>(6)</w:t>
      </w:r>
      <w:r>
        <w:tab/>
        <w:t>This regulation does not limit the operation of regulation 123.</w:t>
      </w:r>
    </w:p>
    <w:p>
      <w:pPr>
        <w:pStyle w:val="Footnotesection"/>
      </w:pPr>
      <w:r>
        <w:tab/>
        <w:t>[Regulation 124B inserted in Gazette 12 Feb 2010 p. 584</w:t>
      </w:r>
      <w:r>
        <w:noBreakHyphen/>
        <w:t>5; amended in Gazette 24 Aug 2011 p. 3405-6.]</w:t>
      </w:r>
    </w:p>
    <w:p>
      <w:pPr>
        <w:pStyle w:val="Heading5"/>
      </w:pPr>
      <w:bookmarkStart w:id="883" w:name="_Toc359316851"/>
      <w:r>
        <w:rPr>
          <w:rStyle w:val="CharSectno"/>
        </w:rPr>
        <w:t>124C</w:t>
      </w:r>
      <w:r>
        <w:t>.</w:t>
      </w:r>
      <w:r>
        <w:tab/>
        <w:t>Recreational (boat) fishing licences, grant of</w:t>
      </w:r>
      <w:bookmarkEnd w:id="883"/>
    </w:p>
    <w:p>
      <w:pPr>
        <w:pStyle w:val="Subsection"/>
      </w:pPr>
      <w:r>
        <w:tab/>
        <w:t>(1)</w:t>
      </w:r>
      <w:r>
        <w:tab/>
        <w:t>If a person applies to the CEO, the CEO may grant to the person a recreational (boat) fishing licence.</w:t>
      </w:r>
    </w:p>
    <w:p>
      <w:pPr>
        <w:pStyle w:val="Subsection"/>
      </w:pPr>
      <w:r>
        <w:tab/>
        <w:t>(2)</w:t>
      </w:r>
      <w:r>
        <w:tab/>
        <w:t>The CEO must issue a receipt to a person who has applied for the grant or renewal of a recreational (boat)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specify the date on which the receipt was issued.</w:t>
      </w:r>
    </w:p>
    <w:p>
      <w:pPr>
        <w:pStyle w:val="Footnotesection"/>
      </w:pPr>
      <w:r>
        <w:tab/>
        <w:t>[Regulation 124C inserted in Gazette 14 Sep 2012 p. 4374.]</w:t>
      </w:r>
    </w:p>
    <w:p>
      <w:pPr>
        <w:pStyle w:val="Heading5"/>
      </w:pPr>
      <w:bookmarkStart w:id="884" w:name="_Toc359316852"/>
      <w:r>
        <w:rPr>
          <w:rStyle w:val="CharSectno"/>
        </w:rPr>
        <w:t>124D</w:t>
      </w:r>
      <w:r>
        <w:t>.</w:t>
      </w:r>
      <w:r>
        <w:tab/>
        <w:t>Recreational fishing (boat) licence receipt may have effect as a recreational (boat) fishing licence</w:t>
      </w:r>
      <w:bookmarkEnd w:id="884"/>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(boat) fishing licence;</w:t>
      </w:r>
    </w:p>
    <w:p>
      <w:pPr>
        <w:pStyle w:val="Defstart"/>
      </w:pPr>
      <w:r>
        <w:tab/>
      </w:r>
      <w:r>
        <w:rPr>
          <w:rStyle w:val="CharDefText"/>
        </w:rPr>
        <w:t>recreational (boat) fishing licence receipt</w:t>
      </w:r>
      <w:r>
        <w:t xml:space="preserve"> means a receipt issued under regulation 124C(2).</w:t>
      </w:r>
    </w:p>
    <w:p>
      <w:pPr>
        <w:pStyle w:val="Subsection"/>
      </w:pPr>
      <w:r>
        <w:tab/>
        <w:t>(2)</w:t>
      </w:r>
      <w:r>
        <w:tab/>
        <w:t xml:space="preserve">A recreational (boat) fishing licence receipt issued to an applicant has effect as if it was a recreational (boat)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(boat) fishing licence receipt does not have effect as a recreational (boat) fishing licence if the applicant to whom it was issued —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124D inserted in Gazette 14 Sep 2012 p. 4374</w:t>
      </w:r>
      <w:r>
        <w:noBreakHyphen/>
        <w:t>5.]</w:t>
      </w:r>
    </w:p>
    <w:p>
      <w:pPr>
        <w:pStyle w:val="Heading3"/>
      </w:pPr>
      <w:bookmarkStart w:id="885" w:name="_Toc339625980"/>
      <w:bookmarkStart w:id="886" w:name="_Toc342397730"/>
      <w:bookmarkStart w:id="887" w:name="_Toc343519987"/>
      <w:bookmarkStart w:id="888" w:name="_Toc343520444"/>
      <w:bookmarkStart w:id="889" w:name="_Toc344712009"/>
      <w:bookmarkStart w:id="890" w:name="_Toc344712525"/>
      <w:bookmarkStart w:id="891" w:name="_Toc347307792"/>
      <w:bookmarkStart w:id="892" w:name="_Toc349822705"/>
      <w:bookmarkStart w:id="893" w:name="_Toc349823125"/>
      <w:bookmarkStart w:id="894" w:name="_Toc349831107"/>
      <w:bookmarkStart w:id="895" w:name="_Toc359248896"/>
      <w:bookmarkStart w:id="896" w:name="_Toc359316853"/>
      <w:r>
        <w:rPr>
          <w:rStyle w:val="CharDivNo"/>
        </w:rPr>
        <w:t>Division 3</w:t>
      </w:r>
      <w:r>
        <w:t xml:space="preserve"> — </w:t>
      </w:r>
      <w:r>
        <w:rPr>
          <w:rStyle w:val="CharDivText"/>
        </w:rPr>
        <w:t>Specific fish or specific methods of fishing</w:t>
      </w:r>
      <w:bookmarkEnd w:id="885"/>
      <w:bookmarkEnd w:id="886"/>
      <w:bookmarkEnd w:id="887"/>
      <w:bookmarkEnd w:id="888"/>
      <w:bookmarkEnd w:id="889"/>
      <w:bookmarkEnd w:id="890"/>
      <w:bookmarkEnd w:id="891"/>
      <w:bookmarkEnd w:id="892"/>
      <w:bookmarkEnd w:id="893"/>
      <w:bookmarkEnd w:id="894"/>
      <w:bookmarkEnd w:id="895"/>
      <w:bookmarkEnd w:id="896"/>
    </w:p>
    <w:p>
      <w:pPr>
        <w:pStyle w:val="Footnoteheading"/>
        <w:tabs>
          <w:tab w:val="left" w:pos="909"/>
        </w:tabs>
        <w:ind w:left="923" w:hanging="923"/>
      </w:pPr>
      <w:r>
        <w:tab/>
        <w:t>[Heading inserted in Gazette 29 Jun 2001 p. 3164.]</w:t>
      </w:r>
    </w:p>
    <w:p>
      <w:pPr>
        <w:pStyle w:val="Heading5"/>
        <w:spacing w:before="180"/>
        <w:rPr>
          <w:snapToGrid w:val="0"/>
        </w:rPr>
      </w:pPr>
      <w:bookmarkStart w:id="897" w:name="_Toc359316854"/>
      <w:r>
        <w:rPr>
          <w:rStyle w:val="CharSectno"/>
        </w:rPr>
        <w:t>125</w:t>
      </w:r>
      <w:r>
        <w:rPr>
          <w:snapToGrid w:val="0"/>
        </w:rPr>
        <w:t>.</w:t>
      </w:r>
      <w:r>
        <w:rPr>
          <w:snapToGrid w:val="0"/>
        </w:rPr>
        <w:tab/>
        <w:t>Rock lobster pot licence, when required</w:t>
      </w:r>
      <w:bookmarkEnd w:id="897"/>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spacing w:before="180"/>
        <w:rPr>
          <w:snapToGrid w:val="0"/>
        </w:rPr>
      </w:pPr>
      <w:bookmarkStart w:id="898" w:name="_Toc359316855"/>
      <w:r>
        <w:rPr>
          <w:rStyle w:val="CharSectno"/>
        </w:rPr>
        <w:t>126</w:t>
      </w:r>
      <w:r>
        <w:rPr>
          <w:snapToGrid w:val="0"/>
        </w:rPr>
        <w:t>.</w:t>
      </w:r>
      <w:r>
        <w:rPr>
          <w:snapToGrid w:val="0"/>
        </w:rPr>
        <w:tab/>
        <w:t>Rock lobster pot licence, grant of</w:t>
      </w:r>
      <w:bookmarkEnd w:id="898"/>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[Regulation 126 amended in Gazette 6 Jul 2007 p. 3389.]</w:t>
      </w:r>
    </w:p>
    <w:p>
      <w:pPr>
        <w:pStyle w:val="Ednotesection"/>
      </w:pPr>
      <w:r>
        <w:t>[</w:t>
      </w:r>
      <w:r>
        <w:rPr>
          <w:b/>
        </w:rPr>
        <w:t>127, 128.</w:t>
      </w:r>
      <w:r>
        <w:rPr>
          <w:b/>
        </w:rPr>
        <w:tab/>
      </w:r>
      <w:r>
        <w:t>Deleted in Gazette 4 Sep 2007 p. 4520.]</w:t>
      </w:r>
    </w:p>
    <w:p>
      <w:pPr>
        <w:pStyle w:val="Heading3"/>
      </w:pPr>
      <w:bookmarkStart w:id="899" w:name="_Toc339625983"/>
      <w:bookmarkStart w:id="900" w:name="_Toc342397733"/>
      <w:bookmarkStart w:id="901" w:name="_Toc343519990"/>
      <w:bookmarkStart w:id="902" w:name="_Toc343520447"/>
      <w:bookmarkStart w:id="903" w:name="_Toc344712012"/>
      <w:bookmarkStart w:id="904" w:name="_Toc344712528"/>
      <w:bookmarkStart w:id="905" w:name="_Toc347307795"/>
      <w:bookmarkStart w:id="906" w:name="_Toc349822708"/>
      <w:bookmarkStart w:id="907" w:name="_Toc349823128"/>
      <w:bookmarkStart w:id="908" w:name="_Toc349831110"/>
      <w:bookmarkStart w:id="909" w:name="_Toc359248899"/>
      <w:bookmarkStart w:id="910" w:name="_Toc359316856"/>
      <w:r>
        <w:rPr>
          <w:rStyle w:val="CharDivNo"/>
        </w:rPr>
        <w:t>Division 4</w:t>
      </w:r>
      <w:r>
        <w:t> — </w:t>
      </w:r>
      <w:r>
        <w:rPr>
          <w:rStyle w:val="CharDivText"/>
        </w:rPr>
        <w:t>Aquatic eco</w:t>
      </w:r>
      <w:r>
        <w:rPr>
          <w:rStyle w:val="CharDivText"/>
        </w:rPr>
        <w:noBreakHyphen/>
        <w:t>tourism operators</w:t>
      </w:r>
      <w:bookmarkEnd w:id="899"/>
      <w:bookmarkEnd w:id="900"/>
      <w:bookmarkEnd w:id="901"/>
      <w:bookmarkEnd w:id="902"/>
      <w:bookmarkEnd w:id="903"/>
      <w:bookmarkEnd w:id="904"/>
      <w:bookmarkEnd w:id="905"/>
      <w:bookmarkEnd w:id="906"/>
      <w:bookmarkEnd w:id="907"/>
      <w:bookmarkEnd w:id="908"/>
      <w:bookmarkEnd w:id="909"/>
      <w:bookmarkEnd w:id="910"/>
    </w:p>
    <w:p>
      <w:pPr>
        <w:pStyle w:val="Footnoteheading"/>
        <w:tabs>
          <w:tab w:val="left" w:pos="909"/>
        </w:tabs>
        <w:ind w:left="923" w:hanging="923"/>
      </w:pPr>
      <w:r>
        <w:tab/>
        <w:t>[Heading inserted in Gazette 29 Jun 2001 p. 3165.]</w:t>
      </w:r>
    </w:p>
    <w:p>
      <w:pPr>
        <w:pStyle w:val="Heading5"/>
      </w:pPr>
      <w:bookmarkStart w:id="911" w:name="_Toc359316857"/>
      <w:r>
        <w:rPr>
          <w:rStyle w:val="CharSectno"/>
        </w:rPr>
        <w:t>128A</w:t>
      </w:r>
      <w:r>
        <w:t>.</w:t>
      </w:r>
      <w:r>
        <w:tab/>
        <w:t>Aquatic eco</w:t>
      </w:r>
      <w:r>
        <w:noBreakHyphen/>
        <w:t>tourism operator’s licence, when required</w:t>
      </w:r>
      <w:bookmarkEnd w:id="911"/>
    </w:p>
    <w:p>
      <w:pPr>
        <w:pStyle w:val="Subsection"/>
        <w:spacing w:before="120"/>
      </w:pPr>
      <w:r>
        <w:tab/>
        <w:t>(1)</w:t>
      </w:r>
      <w:r>
        <w:tab/>
        <w:t xml:space="preserve">Subject to </w:t>
      </w:r>
      <w:r>
        <w:rPr>
          <w:snapToGrid w:val="0"/>
        </w:rPr>
        <w:t>subregulations (</w:t>
      </w:r>
      <w:r>
        <w:t>2) and (3), a person who engages in aquatic eco</w:t>
      </w:r>
      <w:r>
        <w:noBreakHyphen/>
        <w:t>tourism for a commercial purpose in a zone set out in Schedule 15 must be authorised to do so under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 1 Mar 2011 p. 672.]</w:t>
      </w:r>
    </w:p>
    <w:p>
      <w:pPr>
        <w:pStyle w:val="Heading5"/>
        <w:keepLines w:val="0"/>
      </w:pPr>
      <w:bookmarkStart w:id="912" w:name="_Toc359316858"/>
      <w:r>
        <w:rPr>
          <w:rStyle w:val="CharSectno"/>
        </w:rPr>
        <w:t>128B</w:t>
      </w:r>
      <w:r>
        <w:t>.</w:t>
      </w:r>
      <w:r>
        <w:tab/>
        <w:t>Aquatic eco</w:t>
      </w:r>
      <w:r>
        <w:noBreakHyphen/>
        <w:t>tourism operator’s licence, grant of</w:t>
      </w:r>
      <w:bookmarkEnd w:id="912"/>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pPr>
      <w:r>
        <w:tab/>
        <w:t>(a)</w:t>
      </w:r>
      <w:r>
        <w:tab/>
        <w:t>specify the name and business address of the holder of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in which an aquatic eco</w:t>
      </w:r>
      <w:r>
        <w:noBreakHyphen/>
        <w:t>tour may be conducted under the licence; and</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r>
      <w:r>
        <w:tab/>
        <w:t>and</w:t>
      </w:r>
    </w:p>
    <w:p>
      <w:pPr>
        <w:pStyle w:val="Indenta"/>
      </w:pPr>
      <w:r>
        <w:tab/>
        <w:t>(f)</w:t>
      </w:r>
      <w:r>
        <w:tab/>
        <w:t>specify any conditions that the CEO has imposed in relation to the grant of the licence; and</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Deleted in Gazette 27 Jun 2003 p. 2390.]</w:t>
      </w:r>
    </w:p>
    <w:p>
      <w:pPr>
        <w:pStyle w:val="Heading5"/>
        <w:keepLines w:val="0"/>
      </w:pPr>
      <w:bookmarkStart w:id="913" w:name="_Toc359316859"/>
      <w:r>
        <w:rPr>
          <w:rStyle w:val="CharSectno"/>
        </w:rPr>
        <w:t>128D</w:t>
      </w:r>
      <w:r>
        <w:t>.</w:t>
      </w:r>
      <w:r>
        <w:tab/>
        <w:t>Documents to be carried on boat etc. connected with aquatic eco-tour</w:t>
      </w:r>
      <w:bookmarkEnd w:id="913"/>
      <w:r>
        <w:t xml:space="preserve"> </w:t>
      </w:r>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914" w:name="_Toc359316860"/>
      <w:r>
        <w:rPr>
          <w:rStyle w:val="CharSectno"/>
        </w:rPr>
        <w:t>128E</w:t>
      </w:r>
      <w:r>
        <w:t>.</w:t>
      </w:r>
      <w:r>
        <w:tab/>
        <w:t>Licence holders, duties of as to records and returns</w:t>
      </w:r>
      <w:bookmarkEnd w:id="914"/>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 xml:space="preserve">A person who must submit a return must send the return relating to each month to the head office of the Department in </w:t>
      </w:r>
      <w:smartTag w:uri="urn:schemas-microsoft-com:office:smarttags" w:element="place">
        <w:smartTag w:uri="urn:schemas-microsoft-com:office:smarttags" w:element="City">
          <w:r>
            <w:t>Perth</w:t>
          </w:r>
        </w:smartTag>
      </w:smartTag>
      <w:r>
        <w:t xml:space="preserve">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keepNext/>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spacing w:before="180"/>
      </w:pPr>
      <w:r>
        <w:t>[</w:t>
      </w:r>
      <w:r>
        <w:rPr>
          <w:b/>
        </w:rPr>
        <w:t>128F.</w:t>
      </w:r>
      <w:r>
        <w:tab/>
        <w:t>Deleted in Gazette 27 Jun 2003 p. 2390.]</w:t>
      </w:r>
    </w:p>
    <w:p>
      <w:pPr>
        <w:pStyle w:val="Heading5"/>
        <w:spacing w:before="180"/>
      </w:pPr>
      <w:bookmarkStart w:id="915" w:name="_Toc359316861"/>
      <w:r>
        <w:rPr>
          <w:rStyle w:val="CharSectno"/>
        </w:rPr>
        <w:t>128G</w:t>
      </w:r>
      <w:r>
        <w:t>.</w:t>
      </w:r>
      <w:r>
        <w:tab/>
        <w:t>Fishing etc. and fish prohibited on aquatic eco</w:t>
      </w:r>
      <w:r>
        <w:noBreakHyphen/>
        <w:t>tour</w:t>
      </w:r>
      <w:bookmarkEnd w:id="915"/>
    </w:p>
    <w:p>
      <w:pPr>
        <w:pStyle w:val="Subsection"/>
      </w:pPr>
      <w:r>
        <w:tab/>
        <w:t>(1)</w:t>
      </w:r>
      <w:r>
        <w:tab/>
        <w:t>The master of a boat used for an aquatic eco</w:t>
      </w:r>
      <w:r>
        <w:noBreakHyphen/>
        <w:t>tourism trip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pPr>
      <w:r>
        <w:tab/>
        <w:t>(2)</w:t>
      </w:r>
      <w:r>
        <w:tab/>
        <w:t>The person in charge of any boat, vehicle or aircraft being used for an aquatic eco</w:t>
      </w:r>
      <w:r>
        <w:noBreakHyphen/>
        <w:t>tourism trip must not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spacing w:before="120"/>
      </w:pPr>
      <w:r>
        <w:tab/>
        <w:t>[(3)</w:t>
      </w:r>
      <w:r>
        <w:tab/>
        <w:t>deleted]</w:t>
      </w:r>
    </w:p>
    <w:p>
      <w:pPr>
        <w:pStyle w:val="Subsection"/>
        <w:spacing w:before="12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spacing w:before="80"/>
        <w:ind w:left="890" w:hanging="890"/>
      </w:pPr>
      <w:r>
        <w:tab/>
        <w:t>[Regulation 128G inserted in Gazette 29 Jun 2001 p. 3169</w:t>
      </w:r>
      <w:r>
        <w:noBreakHyphen/>
        <w:t>70; amended in Gazette 27 Jun 2003 p. 2390</w:t>
      </w:r>
      <w:r>
        <w:noBreakHyphen/>
        <w:t>1; 4 Nov 2005 p. 5312.]</w:t>
      </w:r>
    </w:p>
    <w:p>
      <w:pPr>
        <w:pStyle w:val="Heading5"/>
      </w:pPr>
      <w:bookmarkStart w:id="916" w:name="_Toc359316862"/>
      <w:r>
        <w:rPr>
          <w:rStyle w:val="CharSectno"/>
        </w:rPr>
        <w:t>128HA</w:t>
      </w:r>
      <w:r>
        <w:t>.</w:t>
      </w:r>
      <w:r>
        <w:tab/>
        <w:t>Shark tourism activities prohibited on aquatic eco-tour</w:t>
      </w:r>
      <w:bookmarkEnd w:id="916"/>
    </w:p>
    <w:p>
      <w:pPr>
        <w:pStyle w:val="Subsection"/>
      </w:pPr>
      <w:r>
        <w:tab/>
        <w:t>(1)</w:t>
      </w:r>
      <w:r>
        <w:tab/>
        <w:t>A participant in an aquatic eco</w:t>
      </w:r>
      <w:r>
        <w:noBreakHyphen/>
        <w:t xml:space="preserve">tourism trip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pPr>
      <w:r>
        <w:tab/>
        <w:t>(2)</w:t>
      </w:r>
      <w:r>
        <w:tab/>
        <w:t>The person in charge of an aquatic eco</w:t>
      </w:r>
      <w:r>
        <w:noBreakHyphen/>
        <w:t xml:space="preserve">tourism trip must not — </w:t>
      </w:r>
    </w:p>
    <w:p>
      <w:pPr>
        <w:pStyle w:val="Indenta"/>
      </w:pPr>
      <w:r>
        <w:tab/>
        <w:t>(a)</w:t>
      </w:r>
      <w:r>
        <w:tab/>
        <w:t>provide or use, or allow participants in the trip to use, a safety cage the purpose of which is to protect swimmers or divers from sharks; or</w:t>
      </w:r>
    </w:p>
    <w:p>
      <w:pPr>
        <w:pStyle w:val="Indenta"/>
      </w:pPr>
      <w:r>
        <w:tab/>
        <w:t>(b)</w:t>
      </w:r>
      <w:r>
        <w:tab/>
        <w:t>engage, or allow participants in the trip to engage, in the tagging or marking of sharks; or</w:t>
      </w:r>
    </w:p>
    <w:p>
      <w:pPr>
        <w:pStyle w:val="Indenta"/>
      </w:pPr>
      <w:r>
        <w:tab/>
        <w:t>(c)</w:t>
      </w:r>
      <w:r>
        <w:tab/>
        <w:t>provide or use, or allow participants in the trip to use, blood, berley or any vibrating, visual, sonic, electronic, electromagnetic or other equipment for the purpose of attracting sharks.</w:t>
      </w:r>
    </w:p>
    <w:p>
      <w:pPr>
        <w:pStyle w:val="Penstart"/>
      </w:pPr>
      <w:r>
        <w:tab/>
        <w:t>Penalty: $10 000.</w:t>
      </w:r>
    </w:p>
    <w:p>
      <w:pPr>
        <w:pStyle w:val="Footnotesection"/>
      </w:pPr>
      <w:r>
        <w:tab/>
        <w:t>[Regulation 128HA inserted in Gazette 4 Dec 2012 p. 5919</w:t>
      </w:r>
      <w:r>
        <w:noBreakHyphen/>
        <w:t>20.]</w:t>
      </w:r>
    </w:p>
    <w:p>
      <w:pPr>
        <w:pStyle w:val="Heading5"/>
        <w:spacing w:before="180"/>
      </w:pPr>
      <w:bookmarkStart w:id="917" w:name="_Toc359316863"/>
      <w:r>
        <w:rPr>
          <w:rStyle w:val="CharSectno"/>
        </w:rPr>
        <w:t>128H</w:t>
      </w:r>
      <w:r>
        <w:t>.</w:t>
      </w:r>
      <w:r>
        <w:tab/>
        <w:t>Boat not to be used for both commercial fishing and aquatic eco</w:t>
      </w:r>
      <w:r>
        <w:noBreakHyphen/>
        <w:t>tour during single trip</w:t>
      </w:r>
      <w:bookmarkEnd w:id="917"/>
    </w:p>
    <w:p>
      <w:pPr>
        <w:pStyle w:val="Subsection"/>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spacing w:before="80"/>
        <w:ind w:left="890" w:hanging="890"/>
      </w:pPr>
      <w:r>
        <w:tab/>
        <w:t>[Regulation 128H inserted in Gazette 27 Jun 2003 p. 2391.]</w:t>
      </w:r>
    </w:p>
    <w:p>
      <w:pPr>
        <w:pStyle w:val="Heading3"/>
        <w:keepLines/>
      </w:pPr>
      <w:bookmarkStart w:id="918" w:name="_Toc339625990"/>
      <w:bookmarkStart w:id="919" w:name="_Toc342397741"/>
      <w:bookmarkStart w:id="920" w:name="_Toc343519998"/>
      <w:bookmarkStart w:id="921" w:name="_Toc343520455"/>
      <w:bookmarkStart w:id="922" w:name="_Toc344712020"/>
      <w:bookmarkStart w:id="923" w:name="_Toc344712536"/>
      <w:bookmarkStart w:id="924" w:name="_Toc347307803"/>
      <w:bookmarkStart w:id="925" w:name="_Toc349822716"/>
      <w:bookmarkStart w:id="926" w:name="_Toc349823136"/>
      <w:bookmarkStart w:id="927" w:name="_Toc349831118"/>
      <w:bookmarkStart w:id="928" w:name="_Toc359248907"/>
      <w:bookmarkStart w:id="929" w:name="_Toc359316864"/>
      <w:r>
        <w:rPr>
          <w:rStyle w:val="CharDivNo"/>
        </w:rPr>
        <w:t>Division 5</w:t>
      </w:r>
      <w:r>
        <w:t> — </w:t>
      </w:r>
      <w:r>
        <w:rPr>
          <w:rStyle w:val="CharDivText"/>
        </w:rPr>
        <w:t>Fishing tour operators</w:t>
      </w:r>
      <w:bookmarkEnd w:id="918"/>
      <w:bookmarkEnd w:id="919"/>
      <w:bookmarkEnd w:id="920"/>
      <w:bookmarkEnd w:id="921"/>
      <w:bookmarkEnd w:id="922"/>
      <w:bookmarkEnd w:id="923"/>
      <w:bookmarkEnd w:id="924"/>
      <w:bookmarkEnd w:id="925"/>
      <w:bookmarkEnd w:id="926"/>
      <w:bookmarkEnd w:id="927"/>
      <w:bookmarkEnd w:id="928"/>
      <w:bookmarkEnd w:id="929"/>
    </w:p>
    <w:p>
      <w:pPr>
        <w:pStyle w:val="Footnoteheading"/>
        <w:keepNext/>
        <w:keepLines/>
        <w:tabs>
          <w:tab w:val="left" w:pos="909"/>
        </w:tabs>
        <w:ind w:left="923" w:hanging="923"/>
      </w:pPr>
      <w:r>
        <w:tab/>
        <w:t>[Heading inserted in Gazette 29 Jun 2001 p. 3171.]</w:t>
      </w:r>
    </w:p>
    <w:p>
      <w:pPr>
        <w:pStyle w:val="Heading5"/>
        <w:spacing w:before="240"/>
      </w:pPr>
      <w:bookmarkStart w:id="930" w:name="_Toc359316865"/>
      <w:r>
        <w:rPr>
          <w:rStyle w:val="CharSectno"/>
        </w:rPr>
        <w:t>128I</w:t>
      </w:r>
      <w:r>
        <w:t>.</w:t>
      </w:r>
      <w:r>
        <w:tab/>
        <w:t>Fishing tour operator’s licence, when required</w:t>
      </w:r>
      <w:bookmarkEnd w:id="930"/>
    </w:p>
    <w:p>
      <w:pPr>
        <w:pStyle w:val="Subsection"/>
      </w:pPr>
      <w:r>
        <w:tab/>
      </w:r>
      <w:r>
        <w:tab/>
        <w:t>A person who conducts a fishing tour for a commercial purpose in a zone set out in Schedule 15 must be authorised to do so under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 1 Mar 2011 p. 672.]</w:t>
      </w:r>
    </w:p>
    <w:p>
      <w:pPr>
        <w:pStyle w:val="Heading5"/>
        <w:spacing w:before="180"/>
      </w:pPr>
      <w:bookmarkStart w:id="931" w:name="_Toc359316866"/>
      <w:r>
        <w:rPr>
          <w:rStyle w:val="CharSectno"/>
        </w:rPr>
        <w:t>128J</w:t>
      </w:r>
      <w:r>
        <w:t>.</w:t>
      </w:r>
      <w:r>
        <w:tab/>
        <w:t>Fishing tour operator’s licence, grant of</w:t>
      </w:r>
      <w:bookmarkEnd w:id="931"/>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r>
      <w:r>
        <w:tab/>
        <w:t>and</w:t>
      </w:r>
    </w:p>
    <w:p>
      <w:pPr>
        <w:pStyle w:val="Indenta"/>
      </w:pPr>
      <w:r>
        <w:tab/>
        <w:t>(f)</w:t>
      </w:r>
      <w:r>
        <w:tab/>
        <w:t>specify any conditions that the CEO has imposed in relation to the grant of the licence; and</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pPr>
      <w:bookmarkStart w:id="932" w:name="_Toc359316867"/>
      <w:r>
        <w:rPr>
          <w:rStyle w:val="CharSectno"/>
        </w:rPr>
        <w:t>128K</w:t>
      </w:r>
      <w:r>
        <w:t>.</w:t>
      </w:r>
      <w:r>
        <w:tab/>
        <w:t>Master of fishing boat used for fishing tours to notify Department of commercial fishing trip</w:t>
      </w:r>
      <w:bookmarkEnd w:id="932"/>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933" w:name="_Toc359316868"/>
      <w:r>
        <w:rPr>
          <w:rStyle w:val="CharSectno"/>
        </w:rPr>
        <w:t>128L</w:t>
      </w:r>
      <w:r>
        <w:t>.</w:t>
      </w:r>
      <w:r>
        <w:tab/>
        <w:t>Documents to be carried on boat etc. connected with fishing tour</w:t>
      </w:r>
      <w:bookmarkEnd w:id="933"/>
    </w:p>
    <w:p>
      <w:pPr>
        <w:pStyle w:val="Subsection"/>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vehicle or aircraft or class of boats, vehicles or aircraft.</w:t>
      </w:r>
    </w:p>
    <w:p>
      <w:pPr>
        <w:pStyle w:val="Subsection"/>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pPr>
      <w:r>
        <w:tab/>
        <w:t>Penalty: $500.</w:t>
      </w:r>
    </w:p>
    <w:p>
      <w:pPr>
        <w:pStyle w:val="Footnotesection"/>
        <w:ind w:left="890" w:hanging="890"/>
      </w:pPr>
      <w:r>
        <w:tab/>
        <w:t>[Regulation 128L inserted in Gazette 29 Jun 2001 p. 3172</w:t>
      </w:r>
      <w:r>
        <w:noBreakHyphen/>
        <w:t>3; amended in Gazette 27 Jun 2003 p. 2392; 6 Jul 2007 p. 3389.]</w:t>
      </w:r>
    </w:p>
    <w:p>
      <w:pPr>
        <w:pStyle w:val="Heading5"/>
        <w:spacing w:before="240"/>
      </w:pPr>
      <w:bookmarkStart w:id="934" w:name="_Toc359316869"/>
      <w:r>
        <w:rPr>
          <w:rStyle w:val="CharSectno"/>
        </w:rPr>
        <w:t>128M</w:t>
      </w:r>
      <w:r>
        <w:t>.</w:t>
      </w:r>
      <w:r>
        <w:tab/>
        <w:t>Operators etc. to ensure participants in fishing tour comply with recreational fishing laws</w:t>
      </w:r>
      <w:bookmarkEnd w:id="934"/>
    </w:p>
    <w:p>
      <w:pPr>
        <w:pStyle w:val="Subsection"/>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pPr>
      <w:r>
        <w:tab/>
        <w:t>Penalty: $2 000.</w:t>
      </w:r>
    </w:p>
    <w:p>
      <w:pPr>
        <w:pStyle w:val="Footnotesection"/>
        <w:ind w:left="890" w:hanging="890"/>
      </w:pPr>
      <w:r>
        <w:tab/>
        <w:t>[Regulation 128M inserted in Gazette 29 Jun 2001 p. 3173; amended in Gazette 27 Jun 2003 p. 2392.]</w:t>
      </w:r>
    </w:p>
    <w:p>
      <w:pPr>
        <w:pStyle w:val="Ednotesection"/>
      </w:pPr>
      <w:r>
        <w:t>[</w:t>
      </w:r>
      <w:r>
        <w:rPr>
          <w:b/>
        </w:rPr>
        <w:t>128N.</w:t>
      </w:r>
      <w:r>
        <w:tab/>
        <w:t>Deleted in Gazette 1 Mar 2011 p. 672]</w:t>
      </w:r>
    </w:p>
    <w:p>
      <w:pPr>
        <w:pStyle w:val="Heading5"/>
      </w:pPr>
      <w:bookmarkStart w:id="935" w:name="_Toc359316870"/>
      <w:r>
        <w:rPr>
          <w:rStyle w:val="CharSectno"/>
        </w:rPr>
        <w:t>128OA</w:t>
      </w:r>
      <w:r>
        <w:t>.</w:t>
      </w:r>
      <w:r>
        <w:tab/>
        <w:t>Shark tourism activities prohibited on fishing tour</w:t>
      </w:r>
      <w:bookmarkEnd w:id="935"/>
    </w:p>
    <w:p>
      <w:pPr>
        <w:pStyle w:val="Subsection"/>
      </w:pPr>
      <w:r>
        <w:tab/>
        <w:t>(1)</w:t>
      </w:r>
      <w:r>
        <w:tab/>
        <w:t xml:space="preserve">A participant in a fishing tour trip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pPr>
      <w:r>
        <w:tab/>
        <w:t>(2)</w:t>
      </w:r>
      <w:r>
        <w:tab/>
        <w:t xml:space="preserve">The person in charge of a fishing tour trip must not — </w:t>
      </w:r>
    </w:p>
    <w:p>
      <w:pPr>
        <w:pStyle w:val="Indenta"/>
      </w:pPr>
      <w:r>
        <w:tab/>
        <w:t>(a)</w:t>
      </w:r>
      <w:r>
        <w:tab/>
        <w:t>provide or use, or allow participants in the trip to use, a safety cage the purpose of which is to protect swimmers or divers from sharks; or</w:t>
      </w:r>
    </w:p>
    <w:p>
      <w:pPr>
        <w:pStyle w:val="Indenta"/>
      </w:pPr>
      <w:r>
        <w:tab/>
        <w:t>(b)</w:t>
      </w:r>
      <w:r>
        <w:tab/>
        <w:t>engage, or allow participants in the trip to engage, in the tagging or marking of sharks; or</w:t>
      </w:r>
    </w:p>
    <w:p>
      <w:pPr>
        <w:pStyle w:val="Indenta"/>
      </w:pPr>
      <w:r>
        <w:tab/>
        <w:t>(c)</w:t>
      </w:r>
      <w:r>
        <w:tab/>
        <w:t>provide or use, or allow participants in the trip to use, blood, berley or any vibrating, visual, sonic, electronic, electromagnetic or other equipment for the purpose of attracting sharks.</w:t>
      </w:r>
    </w:p>
    <w:p>
      <w:pPr>
        <w:pStyle w:val="Penstart"/>
      </w:pPr>
      <w:r>
        <w:tab/>
        <w:t>Penalty: $10 000.</w:t>
      </w:r>
    </w:p>
    <w:p>
      <w:pPr>
        <w:pStyle w:val="Footnotesection"/>
      </w:pPr>
      <w:r>
        <w:tab/>
        <w:t>[Regulation 128OA inserted in Gazette 4 Dec 2012 p. 5920.]</w:t>
      </w:r>
    </w:p>
    <w:p>
      <w:pPr>
        <w:pStyle w:val="Heading5"/>
      </w:pPr>
      <w:bookmarkStart w:id="936" w:name="_Toc359316871"/>
      <w:r>
        <w:rPr>
          <w:rStyle w:val="CharSectno"/>
        </w:rPr>
        <w:t>128O</w:t>
      </w:r>
      <w:r>
        <w:t>.</w:t>
      </w:r>
      <w:r>
        <w:tab/>
      </w:r>
      <w:smartTag w:uri="urn:schemas-microsoft-com:office:smarttags" w:element="place">
        <w:smartTag w:uri="urn:schemas-microsoft-com:office:smarttags" w:element="City">
          <w:r>
            <w:t>Sale</w:t>
          </w:r>
        </w:smartTag>
      </w:smartTag>
      <w:r>
        <w:t xml:space="preserve"> of fish taken on fishing tour prohibited</w:t>
      </w:r>
      <w:bookmarkEnd w:id="936"/>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pPr>
      <w:bookmarkStart w:id="937" w:name="_Toc359316872"/>
      <w:r>
        <w:rPr>
          <w:rStyle w:val="CharSectno"/>
        </w:rPr>
        <w:t>128P</w:t>
      </w:r>
      <w:r>
        <w:t>.</w:t>
      </w:r>
      <w:r>
        <w:tab/>
        <w:t>Boat not to be used for both commercial fishing and fishing tour during single trip</w:t>
      </w:r>
      <w:bookmarkEnd w:id="937"/>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keepLines w:val="0"/>
        <w:spacing w:before="60"/>
        <w:ind w:left="890" w:hanging="890"/>
      </w:pPr>
      <w:r>
        <w:tab/>
        <w:t>[Regulation 128P inserted in Gazette 27 Jun 2003 p. 2393.]</w:t>
      </w:r>
    </w:p>
    <w:p>
      <w:pPr>
        <w:pStyle w:val="Ednotesection"/>
      </w:pPr>
      <w:r>
        <w:t>[</w:t>
      </w:r>
      <w:r>
        <w:rPr>
          <w:b/>
        </w:rPr>
        <w:t>128Q.</w:t>
      </w:r>
      <w:r>
        <w:tab/>
        <w:t>Deleted in Gazette 1 Mar 2011 p. 672]</w:t>
      </w:r>
    </w:p>
    <w:p>
      <w:pPr>
        <w:pStyle w:val="Heading5"/>
      </w:pPr>
      <w:bookmarkStart w:id="938" w:name="_Toc359316873"/>
      <w:r>
        <w:rPr>
          <w:rStyle w:val="CharSectno"/>
        </w:rPr>
        <w:t>128R</w:t>
      </w:r>
      <w:r>
        <w:t>.</w:t>
      </w:r>
      <w:r>
        <w:tab/>
        <w:t>Person in charge of restricted fishing tour not to permit rod on boat</w:t>
      </w:r>
      <w:bookmarkEnd w:id="938"/>
    </w:p>
    <w:p>
      <w:pPr>
        <w:pStyle w:val="Subsection"/>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939" w:name="_Toc359316874"/>
      <w:r>
        <w:rPr>
          <w:rStyle w:val="CharSectno"/>
        </w:rPr>
        <w:t>128S</w:t>
      </w:r>
      <w:r>
        <w:t>.</w:t>
      </w:r>
      <w:r>
        <w:tab/>
        <w:t>Restricted fishing tours, limits on fishing etc. by participants etc.</w:t>
      </w:r>
      <w:bookmarkEnd w:id="939"/>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r>
      <w:r>
        <w:rPr>
          <w:spacing w:val="-2"/>
        </w:rPr>
        <w:t>A person in charge of a restricted fishing tour must not allow participants on the tour to take more than a reasonable quantity of fish for a meal for those on the boat at the time the fish is taken</w:t>
      </w:r>
      <w:r>
        <w:t>.</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w:t>
      </w:r>
    </w:p>
    <w:p>
      <w:pPr>
        <w:pStyle w:val="Heading3"/>
      </w:pPr>
      <w:bookmarkStart w:id="940" w:name="_Toc339626000"/>
      <w:bookmarkStart w:id="941" w:name="_Toc342397752"/>
      <w:bookmarkStart w:id="942" w:name="_Toc343520009"/>
      <w:bookmarkStart w:id="943" w:name="_Toc343520466"/>
      <w:bookmarkStart w:id="944" w:name="_Toc344712031"/>
      <w:bookmarkStart w:id="945" w:name="_Toc344712547"/>
      <w:bookmarkStart w:id="946" w:name="_Toc347307814"/>
      <w:bookmarkStart w:id="947" w:name="_Toc349822727"/>
      <w:bookmarkStart w:id="948" w:name="_Toc349823147"/>
      <w:bookmarkStart w:id="949" w:name="_Toc349831129"/>
      <w:bookmarkStart w:id="950" w:name="_Toc359248918"/>
      <w:bookmarkStart w:id="951" w:name="_Toc359316875"/>
      <w:r>
        <w:rPr>
          <w:rStyle w:val="CharDivNo"/>
        </w:rPr>
        <w:t>Division 6A</w:t>
      </w:r>
      <w:r>
        <w:t> — </w:t>
      </w:r>
      <w:r>
        <w:rPr>
          <w:rStyle w:val="CharDivText"/>
        </w:rPr>
        <w:t>Replacement of cancelled authorisations</w:t>
      </w:r>
      <w:bookmarkEnd w:id="940"/>
      <w:bookmarkEnd w:id="941"/>
      <w:bookmarkEnd w:id="942"/>
      <w:bookmarkEnd w:id="943"/>
      <w:bookmarkEnd w:id="944"/>
      <w:bookmarkEnd w:id="945"/>
      <w:bookmarkEnd w:id="946"/>
      <w:bookmarkEnd w:id="947"/>
      <w:bookmarkEnd w:id="948"/>
      <w:bookmarkEnd w:id="949"/>
      <w:bookmarkEnd w:id="950"/>
      <w:bookmarkEnd w:id="951"/>
    </w:p>
    <w:p>
      <w:pPr>
        <w:pStyle w:val="Footnoteheading"/>
      </w:pPr>
      <w:r>
        <w:tab/>
        <w:t>[Heading inserted in Gazette 1 Jul 2011 p. 2722.]</w:t>
      </w:r>
    </w:p>
    <w:p>
      <w:pPr>
        <w:pStyle w:val="Heading5"/>
      </w:pPr>
      <w:bookmarkStart w:id="952" w:name="_Toc359316876"/>
      <w:r>
        <w:rPr>
          <w:rStyle w:val="CharSectno"/>
        </w:rPr>
        <w:t>129A</w:t>
      </w:r>
      <w:r>
        <w:t>.</w:t>
      </w:r>
      <w:r>
        <w:tab/>
        <w:t>Terms used</w:t>
      </w:r>
      <w:bookmarkEnd w:id="952"/>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in Gazette 1 Jul 2011 p. 2722.]</w:t>
      </w:r>
    </w:p>
    <w:p>
      <w:pPr>
        <w:pStyle w:val="Heading5"/>
      </w:pPr>
      <w:bookmarkStart w:id="953" w:name="_Toc359316877"/>
      <w:r>
        <w:rPr>
          <w:rStyle w:val="CharSectno"/>
        </w:rPr>
        <w:t>129B</w:t>
      </w:r>
      <w:r>
        <w:t>.</w:t>
      </w:r>
      <w:r>
        <w:tab/>
        <w:t>CEO may grant certain replacement authorisations</w:t>
      </w:r>
      <w:bookmarkEnd w:id="953"/>
    </w:p>
    <w:p>
      <w:pPr>
        <w:pStyle w:val="Subsection"/>
        <w:keepNext/>
      </w:pPr>
      <w:r>
        <w:tab/>
        <w:t>(1)</w:t>
      </w:r>
      <w:r>
        <w:tab/>
        <w:t xml:space="preserve">If — </w:t>
      </w:r>
    </w:p>
    <w:p>
      <w:pPr>
        <w:pStyle w:val="Indenta"/>
      </w:pPr>
      <w:r>
        <w:tab/>
        <w:t>(a)</w:t>
      </w:r>
      <w:r>
        <w:tab/>
        <w:t>a former authorisation holder applies on or before 15 August 2011 to the CEO for the grant of an authorisation; and</w:t>
      </w:r>
    </w:p>
    <w:p>
      <w:pPr>
        <w:pStyle w:val="Indenta"/>
      </w:pPr>
      <w:r>
        <w:tab/>
        <w:t>(b)</w:t>
      </w:r>
      <w:r>
        <w:tab/>
        <w:t xml:space="preserve">the application is accompanied by — </w:t>
      </w:r>
    </w:p>
    <w:p>
      <w:pPr>
        <w:pStyle w:val="Indenti"/>
      </w:pPr>
      <w:r>
        <w:tab/>
        <w:t>(i)</w:t>
      </w:r>
      <w:r>
        <w:tab/>
        <w:t>an application fee of $329.00; and</w:t>
      </w:r>
    </w:p>
    <w:p>
      <w:pPr>
        <w:pStyle w:val="Indenti"/>
      </w:pPr>
      <w:r>
        <w:tab/>
        <w:t>(ii)</w:t>
      </w:r>
      <w:r>
        <w:tab/>
        <w:t>the relevant replacement authorisation fee set out in subregulation (3),</w:t>
      </w:r>
    </w:p>
    <w:p>
      <w:pPr>
        <w:pStyle w:val="Subsection"/>
      </w:pPr>
      <w:r>
        <w:tab/>
      </w:r>
      <w:r>
        <w:tab/>
        <w:t>the CEO may grant to the former authorisation holder an authorisation to replace the former authorisation holder’s cancelled authorisation.</w:t>
      </w:r>
    </w:p>
    <w:p>
      <w:pPr>
        <w:pStyle w:val="Subsection"/>
      </w:pPr>
      <w:r>
        <w:tab/>
        <w:t>(2)</w:t>
      </w:r>
      <w:r>
        <w:tab/>
        <w:t xml:space="preserve">When an authorisation is granted to replace a cancelled authorisation, the replacement authorisation — </w:t>
      </w:r>
    </w:p>
    <w:p>
      <w:pPr>
        <w:pStyle w:val="Indenta"/>
      </w:pPr>
      <w:r>
        <w:tab/>
        <w:t>(a)</w:t>
      </w:r>
      <w:r>
        <w:tab/>
        <w:t>confers the same authority and entitlement that were conferred by the cancelled authorisation immediately before it was cancelled; and</w:t>
      </w:r>
    </w:p>
    <w:p>
      <w:pPr>
        <w:pStyle w:val="Indenta"/>
      </w:pPr>
      <w:r>
        <w:tab/>
        <w:t>(b)</w:t>
      </w:r>
      <w:r>
        <w:tab/>
        <w:t>is subject to the same conditions to which the cancelled authorisation was subject immediately before it was cancelled.</w:t>
      </w:r>
    </w:p>
    <w:p>
      <w:pPr>
        <w:pStyle w:val="Subsection"/>
      </w:pPr>
      <w:r>
        <w:tab/>
        <w:t>(3)</w:t>
      </w:r>
      <w:r>
        <w:tab/>
        <w:t xml:space="preserve">The replacement authorisation fee — </w:t>
      </w:r>
    </w:p>
    <w:p>
      <w:pPr>
        <w:pStyle w:val="Indenta"/>
      </w:pPr>
      <w:r>
        <w:tab/>
        <w:t>(a)</w:t>
      </w:r>
      <w:r>
        <w:tab/>
        <w:t>for the grant of an authorisation to replace authorisation No. 1450 — is $82 180;</w:t>
      </w:r>
    </w:p>
    <w:p>
      <w:pPr>
        <w:pStyle w:val="Indenta"/>
      </w:pPr>
      <w:r>
        <w:tab/>
        <w:t>(b)</w:t>
      </w:r>
      <w:r>
        <w:tab/>
        <w:t>for the grant of an authorisation to replace authorisation No. 1493 — is $100 878.</w:t>
      </w:r>
    </w:p>
    <w:p>
      <w:pPr>
        <w:pStyle w:val="Footnotesection"/>
      </w:pPr>
      <w:r>
        <w:tab/>
        <w:t>[Regulation 129B inserted in Gazette 1 Jul 2011 p. 2722</w:t>
      </w:r>
      <w:r>
        <w:noBreakHyphen/>
        <w:t>3.]</w:t>
      </w:r>
    </w:p>
    <w:p>
      <w:pPr>
        <w:pStyle w:val="Heading3"/>
      </w:pPr>
      <w:bookmarkStart w:id="954" w:name="_Toc339626003"/>
      <w:bookmarkStart w:id="955" w:name="_Toc342397755"/>
      <w:bookmarkStart w:id="956" w:name="_Toc343520012"/>
      <w:bookmarkStart w:id="957" w:name="_Toc343520469"/>
      <w:bookmarkStart w:id="958" w:name="_Toc344712034"/>
      <w:bookmarkStart w:id="959" w:name="_Toc344712550"/>
      <w:bookmarkStart w:id="960" w:name="_Toc347307817"/>
      <w:bookmarkStart w:id="961" w:name="_Toc349822730"/>
      <w:bookmarkStart w:id="962" w:name="_Toc349823150"/>
      <w:bookmarkStart w:id="963" w:name="_Toc349831132"/>
      <w:bookmarkStart w:id="964" w:name="_Toc359248921"/>
      <w:bookmarkStart w:id="965" w:name="_Toc359316878"/>
      <w:r>
        <w:rPr>
          <w:rStyle w:val="CharDivNo"/>
        </w:rPr>
        <w:t>Division 6</w:t>
      </w:r>
      <w:r>
        <w:t> — </w:t>
      </w:r>
      <w:r>
        <w:rPr>
          <w:rStyle w:val="CharDivText"/>
        </w:rPr>
        <w:t>General</w:t>
      </w:r>
      <w:bookmarkEnd w:id="954"/>
      <w:bookmarkEnd w:id="955"/>
      <w:bookmarkEnd w:id="956"/>
      <w:bookmarkEnd w:id="957"/>
      <w:bookmarkEnd w:id="958"/>
      <w:bookmarkEnd w:id="959"/>
      <w:bookmarkEnd w:id="960"/>
      <w:bookmarkEnd w:id="961"/>
      <w:bookmarkEnd w:id="962"/>
      <w:bookmarkEnd w:id="963"/>
      <w:bookmarkEnd w:id="964"/>
      <w:bookmarkEnd w:id="965"/>
    </w:p>
    <w:p>
      <w:pPr>
        <w:pStyle w:val="Footnoteheading"/>
        <w:keepNext/>
        <w:tabs>
          <w:tab w:val="left" w:pos="909"/>
        </w:tabs>
        <w:ind w:left="923" w:hanging="923"/>
      </w:pPr>
      <w:r>
        <w:tab/>
        <w:t>[Heading inserted in Gazette 29 Jun 2001 p. 3174.]</w:t>
      </w:r>
    </w:p>
    <w:p>
      <w:pPr>
        <w:pStyle w:val="Heading5"/>
        <w:spacing w:before="180"/>
        <w:rPr>
          <w:snapToGrid w:val="0"/>
        </w:rPr>
      </w:pPr>
      <w:bookmarkStart w:id="966" w:name="_Toc359316879"/>
      <w:r>
        <w:rPr>
          <w:rStyle w:val="CharSectno"/>
        </w:rPr>
        <w:t>129</w:t>
      </w:r>
      <w:r>
        <w:rPr>
          <w:snapToGrid w:val="0"/>
        </w:rPr>
        <w:t>.</w:t>
      </w:r>
      <w:r>
        <w:rPr>
          <w:snapToGrid w:val="0"/>
        </w:rPr>
        <w:tab/>
        <w:t>Lost etc. authorisations, replacement of</w:t>
      </w:r>
      <w:bookmarkEnd w:id="966"/>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in Gazette 6 Jul 2007 p. 3389; 9 Jun 2009 p. 1911.]</w:t>
      </w:r>
    </w:p>
    <w:p>
      <w:pPr>
        <w:pStyle w:val="Heading5"/>
        <w:keepNext w:val="0"/>
        <w:keepLines w:val="0"/>
        <w:spacing w:before="180"/>
        <w:rPr>
          <w:snapToGrid w:val="0"/>
        </w:rPr>
      </w:pPr>
      <w:bookmarkStart w:id="967" w:name="_Toc359316880"/>
      <w:r>
        <w:rPr>
          <w:rStyle w:val="CharSectno"/>
        </w:rPr>
        <w:t>130</w:t>
      </w:r>
      <w:r>
        <w:rPr>
          <w:snapToGrid w:val="0"/>
        </w:rPr>
        <w:t>.</w:t>
      </w:r>
      <w:r>
        <w:rPr>
          <w:snapToGrid w:val="0"/>
        </w:rPr>
        <w:tab/>
        <w:t>Conditions of licences, imposition of etc.</w:t>
      </w:r>
      <w:bookmarkEnd w:id="967"/>
    </w:p>
    <w:p>
      <w:pPr>
        <w:pStyle w:val="Subsection"/>
        <w:spacing w:before="120"/>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in Gazette 6 Jul 2007 p. 3389.]</w:t>
      </w:r>
    </w:p>
    <w:p>
      <w:pPr>
        <w:pStyle w:val="Heading5"/>
      </w:pPr>
      <w:bookmarkStart w:id="968" w:name="_Toc359316881"/>
      <w:r>
        <w:rPr>
          <w:rStyle w:val="CharSectno"/>
        </w:rPr>
        <w:t>130A</w:t>
      </w:r>
      <w:r>
        <w:t>.</w:t>
      </w:r>
      <w:r>
        <w:tab/>
        <w:t>Boat used for aquatic eco</w:t>
      </w:r>
      <w:r>
        <w:noBreakHyphen/>
        <w:t>tourism or fishing tour to be identified</w:t>
      </w:r>
      <w:bookmarkEnd w:id="968"/>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969" w:name="_Toc359316882"/>
      <w:r>
        <w:rPr>
          <w:rStyle w:val="CharSectno"/>
        </w:rPr>
        <w:t>131</w:t>
      </w:r>
      <w:r>
        <w:rPr>
          <w:snapToGrid w:val="0"/>
        </w:rPr>
        <w:t>.</w:t>
      </w:r>
      <w:r>
        <w:rPr>
          <w:snapToGrid w:val="0"/>
        </w:rPr>
        <w:tab/>
        <w:t>Grounds for refusal of transfer of authorisations etc. prescribed (Act s. 140(2)(b))</w:t>
      </w:r>
      <w:bookmarkEnd w:id="969"/>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ind w:left="890" w:hanging="890"/>
      </w:pPr>
      <w:r>
        <w:tab/>
        <w:t>[Regulation 131 amended in Gazette 29 Jun 2001 p. 3175; 6 Jul 2007 p. 3389.]</w:t>
      </w:r>
    </w:p>
    <w:p>
      <w:pPr>
        <w:pStyle w:val="Heading5"/>
        <w:rPr>
          <w:snapToGrid w:val="0"/>
        </w:rPr>
      </w:pPr>
      <w:bookmarkStart w:id="970" w:name="_Toc359316883"/>
      <w:r>
        <w:rPr>
          <w:rStyle w:val="CharSectno"/>
        </w:rPr>
        <w:t>132</w:t>
      </w:r>
      <w:r>
        <w:rPr>
          <w:snapToGrid w:val="0"/>
        </w:rPr>
        <w:t>.</w:t>
      </w:r>
      <w:r>
        <w:rPr>
          <w:snapToGrid w:val="0"/>
        </w:rPr>
        <w:tab/>
        <w:t>Short term use of boat instead of lost etc. licensed fishing boat etc., authorisation of</w:t>
      </w:r>
      <w:bookmarkEnd w:id="970"/>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rPr>
          <w:snapToGrid w:val="0"/>
        </w:rPr>
      </w:pPr>
      <w:r>
        <w:rPr>
          <w:snapToGrid w:val="0"/>
        </w:rPr>
        <w:tab/>
        <w:t>(a)</w:t>
      </w:r>
      <w:r>
        <w:rPr>
          <w:snapToGrid w:val="0"/>
        </w:rPr>
        <w:tab/>
        <w:t>the boat is unseaworthy, lost or destroyed; or</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in Gazette 6 Jul 2007 p. 3389.]</w:t>
      </w:r>
    </w:p>
    <w:p>
      <w:pPr>
        <w:pStyle w:val="Heading5"/>
        <w:rPr>
          <w:snapToGrid w:val="0"/>
        </w:rPr>
      </w:pPr>
      <w:bookmarkStart w:id="971" w:name="_Toc359316884"/>
      <w:r>
        <w:rPr>
          <w:rStyle w:val="CharSectno"/>
        </w:rPr>
        <w:t>133</w:t>
      </w:r>
      <w:r>
        <w:rPr>
          <w:snapToGrid w:val="0"/>
        </w:rPr>
        <w:t>.</w:t>
      </w:r>
      <w:r>
        <w:rPr>
          <w:snapToGrid w:val="0"/>
        </w:rPr>
        <w:tab/>
        <w:t>Duration of licences</w:t>
      </w:r>
      <w:bookmarkEnd w:id="971"/>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972" w:name="_Toc359316885"/>
      <w:r>
        <w:rPr>
          <w:rStyle w:val="CharSectno"/>
        </w:rPr>
        <w:t>134</w:t>
      </w:r>
      <w:r>
        <w:rPr>
          <w:snapToGrid w:val="0"/>
        </w:rPr>
        <w:t>.</w:t>
      </w:r>
      <w:r>
        <w:rPr>
          <w:snapToGrid w:val="0"/>
        </w:rPr>
        <w:tab/>
        <w:t>Renewal of licences</w:t>
      </w:r>
      <w:bookmarkEnd w:id="972"/>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in Gazette 6 Jul 2007 p. 3389.]</w:t>
      </w:r>
    </w:p>
    <w:p>
      <w:pPr>
        <w:pStyle w:val="Heading5"/>
        <w:rPr>
          <w:snapToGrid w:val="0"/>
        </w:rPr>
      </w:pPr>
      <w:bookmarkStart w:id="973" w:name="_Toc359316886"/>
      <w:r>
        <w:rPr>
          <w:rStyle w:val="CharSectno"/>
        </w:rPr>
        <w:t>135</w:t>
      </w:r>
      <w:r>
        <w:rPr>
          <w:snapToGrid w:val="0"/>
        </w:rPr>
        <w:t>.</w:t>
      </w:r>
      <w:r>
        <w:rPr>
          <w:snapToGrid w:val="0"/>
        </w:rPr>
        <w:tab/>
        <w:t>Application fees</w:t>
      </w:r>
      <w:bookmarkEnd w:id="973"/>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974" w:name="_Toc359316887"/>
      <w:r>
        <w:rPr>
          <w:rStyle w:val="CharSectno"/>
        </w:rPr>
        <w:t>136</w:t>
      </w:r>
      <w:r>
        <w:rPr>
          <w:snapToGrid w:val="0"/>
        </w:rPr>
        <w:t>.</w:t>
      </w:r>
      <w:r>
        <w:rPr>
          <w:snapToGrid w:val="0"/>
        </w:rPr>
        <w:tab/>
        <w:t>Recreational fishing licence fee halved for pensioners etc.</w:t>
      </w:r>
      <w:bookmarkEnd w:id="974"/>
    </w:p>
    <w:p>
      <w:pPr>
        <w:pStyle w:val="Subsection"/>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spacing w:before="60"/>
        <w:rPr>
          <w:snapToGrid w:val="0"/>
        </w:rPr>
      </w:pPr>
      <w:r>
        <w:rPr>
          <w:snapToGrid w:val="0"/>
        </w:rPr>
        <w:tab/>
        <w:t>(a)</w:t>
      </w:r>
      <w:r>
        <w:rPr>
          <w:snapToGrid w:val="0"/>
        </w:rPr>
        <w:tab/>
        <w:t>a person under the age of 16 years; or</w:t>
      </w:r>
    </w:p>
    <w:p>
      <w:pPr>
        <w:pStyle w:val="Indenta"/>
        <w:spacing w:before="60"/>
        <w:rPr>
          <w:snapToGrid w:val="0"/>
        </w:rPr>
      </w:pPr>
      <w:r>
        <w:rPr>
          <w:snapToGrid w:val="0"/>
        </w:rPr>
        <w:tab/>
        <w:t>(b)</w:t>
      </w:r>
      <w:r>
        <w:rPr>
          <w:snapToGrid w:val="0"/>
        </w:rPr>
        <w:tab/>
        <w:t>a person receiving —</w:t>
      </w:r>
    </w:p>
    <w:p>
      <w:pPr>
        <w:pStyle w:val="Indenti"/>
        <w:spacing w:before="60"/>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spacing w:before="60"/>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spacing w:before="60"/>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a person who is the spouse, widow or widower of a person referred to in paragraph (b); or</w:t>
      </w:r>
    </w:p>
    <w:p>
      <w:pPr>
        <w:pStyle w:val="Indenta"/>
        <w:keepNext/>
        <w:spacing w:before="60"/>
      </w:pPr>
      <w:r>
        <w:tab/>
        <w:t>(ca)</w:t>
      </w:r>
      <w:r>
        <w:tab/>
        <w:t>a person who —</w:t>
      </w:r>
    </w:p>
    <w:p>
      <w:pPr>
        <w:pStyle w:val="Indenti"/>
        <w:spacing w:before="60"/>
      </w:pPr>
      <w:r>
        <w:tab/>
        <w:t>(i)</w:t>
      </w:r>
      <w:r>
        <w:tab/>
        <w:t>is the de facto partner of a person referred to in paragraph (b); or</w:t>
      </w:r>
    </w:p>
    <w:p>
      <w:pPr>
        <w:pStyle w:val="Indenti"/>
        <w:spacing w:before="60"/>
      </w:pPr>
      <w:r>
        <w:tab/>
        <w:t>(ii)</w:t>
      </w:r>
      <w:r>
        <w:tab/>
        <w:t>if the person referred to in paragraph (b) has died, was the de facto partner of that person immediately before the death of that person;</w:t>
      </w:r>
    </w:p>
    <w:p>
      <w:pPr>
        <w:pStyle w:val="Indenta"/>
        <w:spacing w:before="60"/>
      </w:pPr>
      <w:r>
        <w:tab/>
      </w:r>
      <w:r>
        <w:tab/>
        <w:t>or</w:t>
      </w:r>
    </w:p>
    <w:p>
      <w:pPr>
        <w:pStyle w:val="Indenta"/>
        <w:spacing w:before="60"/>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975" w:name="_Toc359316888"/>
      <w:r>
        <w:rPr>
          <w:rStyle w:val="CharSectno"/>
        </w:rPr>
        <w:t>137</w:t>
      </w:r>
      <w:r>
        <w:rPr>
          <w:snapToGrid w:val="0"/>
        </w:rPr>
        <w:t>.</w:t>
      </w:r>
      <w:r>
        <w:rPr>
          <w:snapToGrid w:val="0"/>
        </w:rPr>
        <w:tab/>
        <w:t>Fees for grant or renewal of authorisation</w:t>
      </w:r>
      <w:bookmarkEnd w:id="975"/>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pPr>
      <w:r>
        <w:tab/>
        <w:t>(6)</w:t>
      </w:r>
      <w:r>
        <w:tab/>
        <w:t>If —</w:t>
      </w:r>
    </w:p>
    <w:p>
      <w:pPr>
        <w:pStyle w:val="Indenta"/>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in Gazette 24 Dec 1996 p. 7114; 5 Sep 2006 p. 3615; 12 Feb 2010 p. 586.]</w:t>
      </w:r>
    </w:p>
    <w:p>
      <w:pPr>
        <w:pStyle w:val="Heading5"/>
        <w:rPr>
          <w:snapToGrid w:val="0"/>
        </w:rPr>
      </w:pPr>
      <w:bookmarkStart w:id="976" w:name="_Toc359316889"/>
      <w:r>
        <w:rPr>
          <w:rStyle w:val="CharSectno"/>
        </w:rPr>
        <w:t>138</w:t>
      </w:r>
      <w:r>
        <w:rPr>
          <w:snapToGrid w:val="0"/>
        </w:rPr>
        <w:t>.</w:t>
      </w:r>
      <w:r>
        <w:rPr>
          <w:snapToGrid w:val="0"/>
        </w:rPr>
        <w:tab/>
        <w:t>Transfer of part of entitlement not permitted in some cases</w:t>
      </w:r>
      <w:bookmarkEnd w:id="976"/>
    </w:p>
    <w:p>
      <w:pPr>
        <w:pStyle w:val="Subsection"/>
        <w:spacing w:before="180"/>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977" w:name="_Toc359316890"/>
      <w:r>
        <w:rPr>
          <w:rStyle w:val="CharSectno"/>
        </w:rPr>
        <w:t>139</w:t>
      </w:r>
      <w:r>
        <w:rPr>
          <w:snapToGrid w:val="0"/>
        </w:rPr>
        <w:t>.</w:t>
      </w:r>
      <w:r>
        <w:rPr>
          <w:snapToGrid w:val="0"/>
        </w:rPr>
        <w:tab/>
        <w:t>Change of name or address, duty to notify CEO</w:t>
      </w:r>
      <w:bookmarkEnd w:id="977"/>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in Gazette 6 Jul 2007 p. 3389.]</w:t>
      </w:r>
    </w:p>
    <w:p>
      <w:pPr>
        <w:pStyle w:val="Heading2"/>
      </w:pPr>
      <w:bookmarkStart w:id="978" w:name="_Toc359248934"/>
      <w:bookmarkStart w:id="979" w:name="_Toc359316891"/>
      <w:r>
        <w:rPr>
          <w:rStyle w:val="CharPartNo"/>
        </w:rPr>
        <w:t>Part 12</w:t>
      </w:r>
      <w:r>
        <w:rPr>
          <w:rStyle w:val="CharDivNo"/>
        </w:rPr>
        <w:t> </w:t>
      </w:r>
      <w:r>
        <w:t>—</w:t>
      </w:r>
      <w:r>
        <w:rPr>
          <w:rStyle w:val="CharDivText"/>
        </w:rPr>
        <w:t> </w:t>
      </w:r>
      <w:r>
        <w:rPr>
          <w:rStyle w:val="CharPartText"/>
        </w:rPr>
        <w:t>Fish trafficking</w:t>
      </w:r>
      <w:bookmarkEnd w:id="978"/>
      <w:bookmarkEnd w:id="979"/>
    </w:p>
    <w:p>
      <w:pPr>
        <w:pStyle w:val="Footnoteheading"/>
      </w:pPr>
      <w:r>
        <w:tab/>
        <w:t>[Heading inserted in Gazette 18 Jun 2013 p. 2296.]</w:t>
      </w:r>
    </w:p>
    <w:p>
      <w:pPr>
        <w:pStyle w:val="Heading5"/>
      </w:pPr>
      <w:bookmarkStart w:id="980" w:name="_Toc359316892"/>
      <w:r>
        <w:rPr>
          <w:rStyle w:val="CharSectno"/>
        </w:rPr>
        <w:t>140</w:t>
      </w:r>
      <w:r>
        <w:t>.</w:t>
      </w:r>
      <w:r>
        <w:tab/>
        <w:t>Priority fish</w:t>
      </w:r>
      <w:bookmarkEnd w:id="980"/>
    </w:p>
    <w:p>
      <w:pPr>
        <w:pStyle w:val="Subsection"/>
      </w:pPr>
      <w:r>
        <w:tab/>
        <w:t>(1)</w:t>
      </w:r>
      <w:r>
        <w:tab/>
        <w:t xml:space="preserve">For the purposes of paragraph (a) of the definition of </w:t>
      </w:r>
      <w:r>
        <w:rPr>
          <w:b/>
          <w:i/>
        </w:rPr>
        <w:t>priority fish</w:t>
      </w:r>
      <w:r>
        <w:t xml:space="preserve"> in section 153 of the Act each of the species of fish set out in the Table is declared to be a priority species.</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386"/>
      </w:tblGrid>
      <w:tr>
        <w:tc>
          <w:tcPr>
            <w:tcW w:w="5386" w:type="dxa"/>
          </w:tcPr>
          <w:p>
            <w:pPr>
              <w:pStyle w:val="TableNAm"/>
            </w:pPr>
            <w:r>
              <w:t>Abalone, Brownlip</w:t>
            </w:r>
          </w:p>
        </w:tc>
      </w:tr>
      <w:tr>
        <w:tc>
          <w:tcPr>
            <w:tcW w:w="5386" w:type="dxa"/>
          </w:tcPr>
          <w:p>
            <w:pPr>
              <w:pStyle w:val="TableNAm"/>
            </w:pPr>
            <w:r>
              <w:t>Abalone, Greenlip</w:t>
            </w:r>
          </w:p>
        </w:tc>
      </w:tr>
      <w:tr>
        <w:tc>
          <w:tcPr>
            <w:tcW w:w="5386" w:type="dxa"/>
          </w:tcPr>
          <w:p>
            <w:pPr>
              <w:pStyle w:val="TableNAm"/>
            </w:pPr>
            <w:r>
              <w:t>Abalone, Roe’s</w:t>
            </w:r>
          </w:p>
        </w:tc>
      </w:tr>
      <w:tr>
        <w:tc>
          <w:tcPr>
            <w:tcW w:w="5386" w:type="dxa"/>
          </w:tcPr>
          <w:p>
            <w:pPr>
              <w:pStyle w:val="TableNAm"/>
            </w:pPr>
            <w:r>
              <w:t>Barramundi</w:t>
            </w:r>
          </w:p>
        </w:tc>
      </w:tr>
      <w:tr>
        <w:tc>
          <w:tcPr>
            <w:tcW w:w="5386" w:type="dxa"/>
          </w:tcPr>
          <w:p>
            <w:pPr>
              <w:pStyle w:val="TableNAm"/>
            </w:pPr>
            <w:r>
              <w:t>Coral Trout</w:t>
            </w:r>
          </w:p>
        </w:tc>
      </w:tr>
      <w:tr>
        <w:tc>
          <w:tcPr>
            <w:tcW w:w="5386" w:type="dxa"/>
          </w:tcPr>
          <w:p>
            <w:pPr>
              <w:pStyle w:val="TableNAm"/>
            </w:pPr>
            <w:r>
              <w:t>Dhufish, West Australian</w:t>
            </w:r>
          </w:p>
        </w:tc>
      </w:tr>
      <w:tr>
        <w:tc>
          <w:tcPr>
            <w:tcW w:w="5386" w:type="dxa"/>
          </w:tcPr>
          <w:p>
            <w:pPr>
              <w:pStyle w:val="TableNAm"/>
            </w:pPr>
            <w:r>
              <w:t>Groper, Baldchin</w:t>
            </w:r>
          </w:p>
        </w:tc>
      </w:tr>
      <w:tr>
        <w:tc>
          <w:tcPr>
            <w:tcW w:w="5386" w:type="dxa"/>
          </w:tcPr>
          <w:p>
            <w:pPr>
              <w:pStyle w:val="TableNAm"/>
            </w:pPr>
            <w:r>
              <w:t>Snapper, Pink</w:t>
            </w:r>
          </w:p>
        </w:tc>
      </w:tr>
    </w:tbl>
    <w:p>
      <w:pPr>
        <w:pStyle w:val="Subsection"/>
      </w:pPr>
      <w:r>
        <w:tab/>
        <w:t>(2)</w:t>
      </w:r>
      <w:r>
        <w:tab/>
        <w:t xml:space="preserve">For the purposes of paragraph (b) of the definition of </w:t>
      </w:r>
      <w:r>
        <w:rPr>
          <w:b/>
          <w:i/>
        </w:rPr>
        <w:t>priority fish</w:t>
      </w:r>
      <w:r>
        <w:t xml:space="preserve"> in section 153 of the Act each of the following groups of species of fish are declared to be a priority group of species — </w:t>
      </w:r>
    </w:p>
    <w:p>
      <w:pPr>
        <w:pStyle w:val="Indenta"/>
      </w:pPr>
      <w:r>
        <w:tab/>
        <w:t>(a)</w:t>
      </w:r>
      <w:r>
        <w:tab/>
        <w:t>all species of rock lobster;</w:t>
      </w:r>
    </w:p>
    <w:p>
      <w:pPr>
        <w:pStyle w:val="Indenta"/>
      </w:pPr>
      <w:r>
        <w:tab/>
        <w:t>(b)</w:t>
      </w:r>
      <w:r>
        <w:tab/>
        <w:t>all species of finfish.</w:t>
      </w:r>
    </w:p>
    <w:p>
      <w:pPr>
        <w:pStyle w:val="Footnotesection"/>
      </w:pPr>
      <w:r>
        <w:tab/>
        <w:t>[Regulation 140 inserted in Gazette 18 Jun 2013 p. 2296-7.]</w:t>
      </w:r>
    </w:p>
    <w:p>
      <w:pPr>
        <w:pStyle w:val="Heading5"/>
      </w:pPr>
      <w:bookmarkStart w:id="981" w:name="_Toc359316893"/>
      <w:r>
        <w:rPr>
          <w:rStyle w:val="CharSectno"/>
        </w:rPr>
        <w:t>141</w:t>
      </w:r>
      <w:r>
        <w:t>.</w:t>
      </w:r>
      <w:r>
        <w:tab/>
        <w:t>Commercial quantity</w:t>
      </w:r>
      <w:bookmarkEnd w:id="981"/>
    </w:p>
    <w:p>
      <w:pPr>
        <w:pStyle w:val="Subsection"/>
      </w:pPr>
      <w:r>
        <w:tab/>
      </w:r>
      <w:r>
        <w:tab/>
        <w:t xml:space="preserve">For the purpose of paragraph (a) of the definition of </w:t>
      </w:r>
      <w:r>
        <w:rPr>
          <w:b/>
          <w:i/>
        </w:rPr>
        <w:t>commercial quantity</w:t>
      </w:r>
      <w:r>
        <w:t xml:space="preserve"> in section 153 of the Act — </w:t>
      </w:r>
    </w:p>
    <w:p>
      <w:pPr>
        <w:pStyle w:val="Indenta"/>
      </w:pPr>
      <w:r>
        <w:tab/>
        <w:t>(a)</w:t>
      </w:r>
      <w:r>
        <w:tab/>
        <w:t>the quantity for fish of a priority species is 10 times the bag limit for that species; and</w:t>
      </w:r>
    </w:p>
    <w:p>
      <w:pPr>
        <w:pStyle w:val="Indenta"/>
      </w:pPr>
      <w:r>
        <w:tab/>
        <w:t>(b)</w:t>
      </w:r>
      <w:r>
        <w:tab/>
        <w:t>the quantity for rock lobster is 10 times the bag limit for rock lobster; and</w:t>
      </w:r>
    </w:p>
    <w:p>
      <w:pPr>
        <w:pStyle w:val="Indenta"/>
      </w:pPr>
      <w:r>
        <w:tab/>
        <w:t>(c)</w:t>
      </w:r>
      <w:r>
        <w:tab/>
        <w:t>the quantity for finfish is 100 kg of fillets.</w:t>
      </w:r>
    </w:p>
    <w:p>
      <w:pPr>
        <w:pStyle w:val="Footnotesection"/>
      </w:pPr>
      <w:r>
        <w:tab/>
        <w:t>[Regulation 141 inserted in Gazette 18 Jun 2013 p. 2297.]</w:t>
      </w:r>
    </w:p>
    <w:p>
      <w:pPr>
        <w:pStyle w:val="Ednotesection"/>
      </w:pPr>
      <w:r>
        <w:t>[</w:t>
      </w:r>
      <w:r>
        <w:rPr>
          <w:b/>
        </w:rPr>
        <w:t>142, 143.</w:t>
      </w:r>
      <w:r>
        <w:tab/>
        <w:t>Deleted in Gazette 30 Dec 2004 p. 6965.]</w:t>
      </w:r>
    </w:p>
    <w:p>
      <w:pPr>
        <w:pStyle w:val="Heading2"/>
      </w:pPr>
      <w:bookmarkStart w:id="982" w:name="_Toc339626016"/>
      <w:bookmarkStart w:id="983" w:name="_Toc342397768"/>
      <w:bookmarkStart w:id="984" w:name="_Toc343520025"/>
      <w:bookmarkStart w:id="985" w:name="_Toc343520482"/>
      <w:bookmarkStart w:id="986" w:name="_Toc344712047"/>
      <w:bookmarkStart w:id="987" w:name="_Toc344712563"/>
      <w:bookmarkStart w:id="988" w:name="_Toc347307830"/>
      <w:bookmarkStart w:id="989" w:name="_Toc349822743"/>
      <w:bookmarkStart w:id="990" w:name="_Toc349823163"/>
      <w:bookmarkStart w:id="991" w:name="_Toc349831145"/>
      <w:bookmarkStart w:id="992" w:name="_Toc359248937"/>
      <w:bookmarkStart w:id="993" w:name="_Toc359316894"/>
      <w:r>
        <w:rPr>
          <w:rStyle w:val="CharPartNo"/>
        </w:rPr>
        <w:t>Part 13</w:t>
      </w:r>
      <w:r>
        <w:rPr>
          <w:rStyle w:val="CharDivNo"/>
        </w:rPr>
        <w:t> </w:t>
      </w:r>
      <w:r>
        <w:t>—</w:t>
      </w:r>
      <w:r>
        <w:rPr>
          <w:rStyle w:val="CharDivText"/>
        </w:rPr>
        <w:t> </w:t>
      </w:r>
      <w:r>
        <w:rPr>
          <w:rStyle w:val="CharPartText"/>
        </w:rPr>
        <w:t>Miscellaneous offences</w:t>
      </w:r>
      <w:bookmarkEnd w:id="982"/>
      <w:bookmarkEnd w:id="983"/>
      <w:bookmarkEnd w:id="984"/>
      <w:bookmarkEnd w:id="985"/>
      <w:bookmarkEnd w:id="986"/>
      <w:bookmarkEnd w:id="987"/>
      <w:bookmarkEnd w:id="988"/>
      <w:bookmarkEnd w:id="989"/>
      <w:bookmarkEnd w:id="990"/>
      <w:bookmarkEnd w:id="991"/>
      <w:bookmarkEnd w:id="992"/>
      <w:bookmarkEnd w:id="993"/>
    </w:p>
    <w:p>
      <w:pPr>
        <w:pStyle w:val="Heading5"/>
        <w:rPr>
          <w:snapToGrid w:val="0"/>
        </w:rPr>
      </w:pPr>
      <w:bookmarkStart w:id="994" w:name="_Toc359316895"/>
      <w:r>
        <w:rPr>
          <w:rStyle w:val="CharSectno"/>
        </w:rPr>
        <w:t>144</w:t>
      </w:r>
      <w:r>
        <w:rPr>
          <w:snapToGrid w:val="0"/>
        </w:rPr>
        <w:t>.</w:t>
      </w:r>
      <w:r>
        <w:rPr>
          <w:snapToGrid w:val="0"/>
        </w:rPr>
        <w:tab/>
        <w:t>Certain activities in bays etc. and as to use of traps prohibited</w:t>
      </w:r>
      <w:bookmarkEnd w:id="994"/>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995" w:name="_Toc359316896"/>
      <w:r>
        <w:rPr>
          <w:rStyle w:val="CharSectno"/>
        </w:rPr>
        <w:t>145</w:t>
      </w:r>
      <w:r>
        <w:rPr>
          <w:snapToGrid w:val="0"/>
        </w:rPr>
        <w:t>.</w:t>
      </w:r>
      <w:r>
        <w:rPr>
          <w:snapToGrid w:val="0"/>
        </w:rPr>
        <w:tab/>
        <w:t>Explosives or noxious substances, carriage of on boats</w:t>
      </w:r>
      <w:bookmarkEnd w:id="995"/>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996" w:name="_Toc359316897"/>
      <w:r>
        <w:rPr>
          <w:rStyle w:val="CharSectno"/>
        </w:rPr>
        <w:t>146</w:t>
      </w:r>
      <w:r>
        <w:rPr>
          <w:snapToGrid w:val="0"/>
        </w:rPr>
        <w:t>.</w:t>
      </w:r>
      <w:r>
        <w:rPr>
          <w:snapToGrid w:val="0"/>
        </w:rPr>
        <w:tab/>
        <w:t>Explosive or noxious substance used to take fish, presumptions as to possession of</w:t>
      </w:r>
      <w:bookmarkEnd w:id="996"/>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5"/>
      </w:pPr>
      <w:bookmarkStart w:id="997" w:name="_Toc359316898"/>
      <w:r>
        <w:rPr>
          <w:rStyle w:val="CharSectno"/>
        </w:rPr>
        <w:t>147A</w:t>
      </w:r>
      <w:r>
        <w:t>.</w:t>
      </w:r>
      <w:r>
        <w:tab/>
        <w:t>Arranging for transport by courier business of fish taken recreationally</w:t>
      </w:r>
      <w:bookmarkEnd w:id="997"/>
    </w:p>
    <w:p>
      <w:pPr>
        <w:pStyle w:val="Subsection"/>
      </w:pPr>
      <w:r>
        <w:tab/>
        <w:t>(1)</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Subsection"/>
      </w:pPr>
      <w:r>
        <w:tab/>
        <w:t>(2)</w:t>
      </w:r>
      <w:r>
        <w:tab/>
        <w:t>A person must not enter into a contract or other agreement with a person who operates a courier business for the courier business to transport fish that have been taken by recreational fishing.</w:t>
      </w:r>
    </w:p>
    <w:p>
      <w:pPr>
        <w:pStyle w:val="Penstart"/>
      </w:pPr>
      <w:r>
        <w:tab/>
        <w:t>Penalty: a fine of $5 000 and the penalty provided in section 222 of the Act.</w:t>
      </w:r>
    </w:p>
    <w:p>
      <w:pPr>
        <w:pStyle w:val="Footnotesection"/>
      </w:pPr>
      <w:r>
        <w:tab/>
        <w:t>[Regulation 147A inserted in Gazette 29 Jan 2013 p. 311.]</w:t>
      </w:r>
    </w:p>
    <w:p>
      <w:pPr>
        <w:pStyle w:val="Heading2"/>
      </w:pPr>
      <w:bookmarkStart w:id="998" w:name="_Toc339626020"/>
      <w:bookmarkStart w:id="999" w:name="_Toc342397772"/>
      <w:bookmarkStart w:id="1000" w:name="_Toc343520029"/>
      <w:bookmarkStart w:id="1001" w:name="_Toc343520486"/>
      <w:bookmarkStart w:id="1002" w:name="_Toc344712051"/>
      <w:bookmarkStart w:id="1003" w:name="_Toc344712567"/>
      <w:bookmarkStart w:id="1004" w:name="_Toc347307835"/>
      <w:bookmarkStart w:id="1005" w:name="_Toc349822748"/>
      <w:bookmarkStart w:id="1006" w:name="_Toc349823168"/>
      <w:bookmarkStart w:id="1007" w:name="_Toc349831150"/>
      <w:bookmarkStart w:id="1008" w:name="_Toc359248942"/>
      <w:bookmarkStart w:id="1009" w:name="_Toc359316899"/>
      <w:r>
        <w:rPr>
          <w:rStyle w:val="CharPartNo"/>
        </w:rPr>
        <w:t>Part 14</w:t>
      </w:r>
      <w:r>
        <w:rPr>
          <w:rStyle w:val="CharDivNo"/>
        </w:rPr>
        <w:t> </w:t>
      </w:r>
      <w:r>
        <w:t>—</w:t>
      </w:r>
      <w:r>
        <w:rPr>
          <w:rStyle w:val="CharDivText"/>
        </w:rPr>
        <w:t> </w:t>
      </w:r>
      <w:r>
        <w:rPr>
          <w:rStyle w:val="CharPartText"/>
        </w:rPr>
        <w:t>Fisheries officers</w:t>
      </w:r>
      <w:bookmarkEnd w:id="998"/>
      <w:bookmarkEnd w:id="999"/>
      <w:bookmarkEnd w:id="1000"/>
      <w:bookmarkEnd w:id="1001"/>
      <w:bookmarkEnd w:id="1002"/>
      <w:bookmarkEnd w:id="1003"/>
      <w:bookmarkEnd w:id="1004"/>
      <w:bookmarkEnd w:id="1005"/>
      <w:bookmarkEnd w:id="1006"/>
      <w:bookmarkEnd w:id="1007"/>
      <w:bookmarkEnd w:id="1008"/>
      <w:bookmarkEnd w:id="1009"/>
    </w:p>
    <w:p>
      <w:pPr>
        <w:pStyle w:val="Heading5"/>
        <w:rPr>
          <w:snapToGrid w:val="0"/>
        </w:rPr>
      </w:pPr>
      <w:bookmarkStart w:id="1010" w:name="_Toc359316900"/>
      <w:r>
        <w:rPr>
          <w:rStyle w:val="CharSectno"/>
        </w:rPr>
        <w:t>147</w:t>
      </w:r>
      <w:r>
        <w:rPr>
          <w:snapToGrid w:val="0"/>
        </w:rPr>
        <w:t>.</w:t>
      </w:r>
      <w:r>
        <w:rPr>
          <w:snapToGrid w:val="0"/>
        </w:rPr>
        <w:tab/>
        <w:t>Warrant form prescribed (Act s. 187)</w:t>
      </w:r>
      <w:bookmarkEnd w:id="1010"/>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1011" w:name="_Toc359316901"/>
      <w:r>
        <w:rPr>
          <w:rStyle w:val="CharSectno"/>
        </w:rPr>
        <w:t>148</w:t>
      </w:r>
      <w:r>
        <w:rPr>
          <w:snapToGrid w:val="0"/>
        </w:rPr>
        <w:t>.</w:t>
      </w:r>
      <w:r>
        <w:rPr>
          <w:snapToGrid w:val="0"/>
        </w:rPr>
        <w:tab/>
        <w:t>Ways of disposing of fish prescribed (Act s. 194)</w:t>
      </w:r>
      <w:bookmarkEnd w:id="1011"/>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1012" w:name="_Toc359316902"/>
      <w:r>
        <w:rPr>
          <w:rStyle w:val="CharSectno"/>
        </w:rPr>
        <w:t>149</w:t>
      </w:r>
      <w:r>
        <w:rPr>
          <w:snapToGrid w:val="0"/>
        </w:rPr>
        <w:t>.</w:t>
      </w:r>
      <w:r>
        <w:rPr>
          <w:snapToGrid w:val="0"/>
        </w:rPr>
        <w:tab/>
        <w:t>Accounts prescribed (Act s. 194)</w:t>
      </w:r>
      <w:bookmarkEnd w:id="1012"/>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3</w:t>
      </w:r>
      <w:r>
        <w:rPr>
          <w:snapToGrid w:val="0"/>
        </w:rPr>
        <w:t xml:space="preserve">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w:t>
      </w:r>
      <w:r>
        <w:rPr>
          <w:snapToGrid w:val="0"/>
          <w:vertAlign w:val="superscript"/>
        </w:rPr>
        <w:t> 4</w:t>
      </w:r>
      <w:r>
        <w:rPr>
          <w:snapToGrid w:val="0"/>
        </w:rPr>
        <w:t xml:space="preserve"> established under section 239 of the Act in all other cases.</w:t>
      </w:r>
    </w:p>
    <w:p>
      <w:pPr>
        <w:pStyle w:val="Heading5"/>
        <w:rPr>
          <w:snapToGrid w:val="0"/>
        </w:rPr>
      </w:pPr>
      <w:bookmarkStart w:id="1013" w:name="_Toc359316903"/>
      <w:r>
        <w:rPr>
          <w:rStyle w:val="CharSectno"/>
        </w:rPr>
        <w:t>150</w:t>
      </w:r>
      <w:r>
        <w:rPr>
          <w:snapToGrid w:val="0"/>
        </w:rPr>
        <w:t>.</w:t>
      </w:r>
      <w:r>
        <w:rPr>
          <w:snapToGrid w:val="0"/>
        </w:rPr>
        <w:tab/>
        <w:t>Applying for compensation (Act s. 197(3))</w:t>
      </w:r>
      <w:bookmarkEnd w:id="1013"/>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in Gazette 6 Jul 2007 p. 3389.]</w:t>
      </w:r>
    </w:p>
    <w:p>
      <w:pPr>
        <w:pStyle w:val="Heading2"/>
      </w:pPr>
      <w:bookmarkStart w:id="1014" w:name="_Toc339626025"/>
      <w:bookmarkStart w:id="1015" w:name="_Toc342397777"/>
      <w:bookmarkStart w:id="1016" w:name="_Toc343520034"/>
      <w:bookmarkStart w:id="1017" w:name="_Toc343520491"/>
      <w:bookmarkStart w:id="1018" w:name="_Toc344712056"/>
      <w:bookmarkStart w:id="1019" w:name="_Toc344712572"/>
      <w:bookmarkStart w:id="1020" w:name="_Toc347307840"/>
      <w:bookmarkStart w:id="1021" w:name="_Toc349822753"/>
      <w:bookmarkStart w:id="1022" w:name="_Toc349823173"/>
      <w:bookmarkStart w:id="1023" w:name="_Toc349831155"/>
      <w:bookmarkStart w:id="1024" w:name="_Toc359248947"/>
      <w:bookmarkStart w:id="1025" w:name="_Toc359316904"/>
      <w:r>
        <w:rPr>
          <w:rStyle w:val="CharPartNo"/>
        </w:rPr>
        <w:t>Part 15</w:t>
      </w:r>
      <w:r>
        <w:rPr>
          <w:rStyle w:val="CharDivNo"/>
        </w:rPr>
        <w:t> </w:t>
      </w:r>
      <w:r>
        <w:t>—</w:t>
      </w:r>
      <w:r>
        <w:rPr>
          <w:rStyle w:val="CharDivText"/>
        </w:rPr>
        <w:t> </w:t>
      </w:r>
      <w:r>
        <w:rPr>
          <w:rStyle w:val="CharPartText"/>
        </w:rPr>
        <w:t>Legal proceedings</w:t>
      </w:r>
      <w:bookmarkEnd w:id="1014"/>
      <w:bookmarkEnd w:id="1015"/>
      <w:bookmarkEnd w:id="1016"/>
      <w:bookmarkEnd w:id="1017"/>
      <w:bookmarkEnd w:id="1018"/>
      <w:bookmarkEnd w:id="1019"/>
      <w:bookmarkEnd w:id="1020"/>
      <w:bookmarkEnd w:id="1021"/>
      <w:bookmarkEnd w:id="1022"/>
      <w:bookmarkEnd w:id="1023"/>
      <w:bookmarkEnd w:id="1024"/>
      <w:bookmarkEnd w:id="1025"/>
    </w:p>
    <w:p>
      <w:pPr>
        <w:pStyle w:val="Heading5"/>
        <w:spacing w:before="260"/>
        <w:rPr>
          <w:snapToGrid w:val="0"/>
        </w:rPr>
      </w:pPr>
      <w:bookmarkStart w:id="1026" w:name="_Toc359316905"/>
      <w:r>
        <w:rPr>
          <w:rStyle w:val="CharSectno"/>
        </w:rPr>
        <w:t>151</w:t>
      </w:r>
      <w:r>
        <w:rPr>
          <w:snapToGrid w:val="0"/>
        </w:rPr>
        <w:t>.</w:t>
      </w:r>
      <w:r>
        <w:rPr>
          <w:snapToGrid w:val="0"/>
        </w:rPr>
        <w:tab/>
        <w:t>Method for determining size etc. of fish prescribed (Act s. 214)</w:t>
      </w:r>
      <w:bookmarkEnd w:id="1026"/>
    </w:p>
    <w:p>
      <w:pPr>
        <w:pStyle w:val="Subsection"/>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260"/>
      </w:pPr>
      <w:bookmarkStart w:id="1027" w:name="_Toc359316906"/>
      <w:r>
        <w:rPr>
          <w:rStyle w:val="CharSectno"/>
        </w:rPr>
        <w:t>152</w:t>
      </w:r>
      <w:r>
        <w:t>.</w:t>
      </w:r>
      <w:r>
        <w:tab/>
        <w:t>Australian datum prescribed (Act s. 216)</w:t>
      </w:r>
      <w:bookmarkEnd w:id="1027"/>
    </w:p>
    <w:p>
      <w:pPr>
        <w:pStyle w:val="Subsection"/>
        <w:keepLines/>
      </w:pPr>
      <w:r>
        <w:tab/>
        <w:t>(1)</w:t>
      </w:r>
      <w:r>
        <w:tab/>
        <w:t xml:space="preserve">The Geocentric Datum of Australia (the </w:t>
      </w:r>
      <w:r>
        <w:rPr>
          <w:rStyle w:val="CharDefText"/>
        </w:rPr>
        <w:t>GDA</w:t>
      </w:r>
      <w:r>
        <w:t>) is the prescribed Australian datum for the purposes of section 216 of the Act.</w:t>
      </w:r>
    </w:p>
    <w:p>
      <w:pPr>
        <w:pStyle w:val="Subsection"/>
        <w:keepLines/>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6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smartTag w:uri="urn:schemas-microsoft-com:office:smarttags" w:element="place">
              <w:r>
                <w:rPr>
                  <w:sz w:val="20"/>
                </w:rPr>
                <w:t>Alice Springs</w:t>
              </w:r>
            </w:smartTag>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Darwin</w:t>
                </w:r>
              </w:smartTag>
            </w:smartTag>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Hobart</w:t>
                </w:r>
              </w:smartTag>
            </w:smartTag>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1028" w:name="_Toc359316907"/>
      <w:r>
        <w:rPr>
          <w:rStyle w:val="CharSectno"/>
        </w:rPr>
        <w:t>153</w:t>
      </w:r>
      <w:r>
        <w:rPr>
          <w:snapToGrid w:val="0"/>
        </w:rPr>
        <w:t>.</w:t>
      </w:r>
      <w:r>
        <w:rPr>
          <w:snapToGrid w:val="0"/>
        </w:rPr>
        <w:tab/>
        <w:t>Way of giving notice prescribed (Act s. 219(1))</w:t>
      </w:r>
      <w:bookmarkEnd w:id="1028"/>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in Gazette 6 Jul 2007 p. 3389.]</w:t>
      </w:r>
    </w:p>
    <w:p>
      <w:pPr>
        <w:pStyle w:val="Heading5"/>
        <w:rPr>
          <w:snapToGrid w:val="0"/>
        </w:rPr>
      </w:pPr>
      <w:bookmarkStart w:id="1029" w:name="_Toc359316908"/>
      <w:r>
        <w:rPr>
          <w:rStyle w:val="CharSectno"/>
        </w:rPr>
        <w:t>154</w:t>
      </w:r>
      <w:r>
        <w:rPr>
          <w:snapToGrid w:val="0"/>
        </w:rPr>
        <w:t>.</w:t>
      </w:r>
      <w:r>
        <w:rPr>
          <w:snapToGrid w:val="0"/>
        </w:rPr>
        <w:tab/>
        <w:t>Things forfeited to Crown, disposal of</w:t>
      </w:r>
      <w:bookmarkEnd w:id="1029"/>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spacing w:before="200"/>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spacing w:before="200"/>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r>
        <w:tab/>
        <w:t>[Regulation 154 amended in Gazette 6 Jul 2007 p. 3389.]</w:t>
      </w:r>
    </w:p>
    <w:p>
      <w:pPr>
        <w:pStyle w:val="Heading5"/>
        <w:spacing w:before="260"/>
        <w:rPr>
          <w:snapToGrid w:val="0"/>
        </w:rPr>
      </w:pPr>
      <w:bookmarkStart w:id="1030" w:name="_Toc359316909"/>
      <w:r>
        <w:rPr>
          <w:rStyle w:val="CharSectno"/>
        </w:rPr>
        <w:t>155</w:t>
      </w:r>
      <w:r>
        <w:rPr>
          <w:snapToGrid w:val="0"/>
        </w:rPr>
        <w:t>.</w:t>
      </w:r>
      <w:r>
        <w:rPr>
          <w:snapToGrid w:val="0"/>
        </w:rPr>
        <w:tab/>
        <w:t>Accounts prescribed (Act s. 221(2))</w:t>
      </w:r>
      <w:bookmarkEnd w:id="1030"/>
    </w:p>
    <w:p>
      <w:pPr>
        <w:pStyle w:val="Subsection"/>
        <w:spacing w:before="200"/>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xml:space="preserve"> 3 </w:t>
      </w:r>
      <w:r>
        <w:rPr>
          <w:snapToGrid w:val="0"/>
        </w:rPr>
        <w:t>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w:t>
      </w:r>
      <w:r>
        <w:rPr>
          <w:snapToGrid w:val="0"/>
          <w:vertAlign w:val="superscript"/>
        </w:rPr>
        <w:t xml:space="preserve"> 4 </w:t>
      </w:r>
      <w:r>
        <w:rPr>
          <w:snapToGrid w:val="0"/>
        </w:rPr>
        <w:t xml:space="preserve"> established under section 239 of the Act in all other cases.</w:t>
      </w:r>
    </w:p>
    <w:p>
      <w:pPr>
        <w:pStyle w:val="Heading5"/>
        <w:spacing w:before="260"/>
        <w:rPr>
          <w:snapToGrid w:val="0"/>
        </w:rPr>
      </w:pPr>
      <w:bookmarkStart w:id="1031" w:name="_Toc359316910"/>
      <w:r>
        <w:rPr>
          <w:rStyle w:val="CharSectno"/>
        </w:rPr>
        <w:t>156</w:t>
      </w:r>
      <w:r>
        <w:rPr>
          <w:snapToGrid w:val="0"/>
        </w:rPr>
        <w:t>.</w:t>
      </w:r>
      <w:r>
        <w:rPr>
          <w:snapToGrid w:val="0"/>
        </w:rPr>
        <w:tab/>
        <w:t>Provisions of regulations prescribed (Act s. 222(1))</w:t>
      </w:r>
      <w:bookmarkEnd w:id="1031"/>
    </w:p>
    <w:p>
      <w:pPr>
        <w:pStyle w:val="Subsection"/>
        <w:spacing w:before="200"/>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Regulations </w:t>
            </w:r>
            <w:r>
              <w:rPr>
                <w:sz w:val="22"/>
                <w:szCs w:val="22"/>
              </w:rPr>
              <w:t>14(1), 15(1), 16(1),</w:t>
            </w:r>
            <w:r>
              <w:rPr>
                <w:sz w:val="22"/>
              </w:rPr>
              <w:t xml:space="preserve"> 16B, </w:t>
            </w:r>
            <w:r>
              <w:rPr>
                <w:sz w:val="22"/>
                <w:szCs w:val="22"/>
              </w:rPr>
              <w:t>16E(3C),</w:t>
            </w:r>
            <w:r>
              <w:t xml:space="preserve"> </w:t>
            </w:r>
            <w:r>
              <w:rPr>
                <w:sz w:val="22"/>
              </w:rPr>
              <w:t xml:space="preserve">22, 31, 31A(1), 35, 38B, 38C, 38D(2), 38E, </w:t>
            </w:r>
            <w:r>
              <w:rPr>
                <w:sz w:val="22"/>
                <w:szCs w:val="22"/>
              </w:rPr>
              <w:t xml:space="preserve">38F, </w:t>
            </w:r>
            <w:r>
              <w:rPr>
                <w:sz w:val="22"/>
              </w:rPr>
              <w:t xml:space="preserve">38H, 38I(1), 38J, 38K, 38M, 38N(1), 38O(1), </w:t>
            </w:r>
            <w:r>
              <w:rPr>
                <w:sz w:val="22"/>
                <w:szCs w:val="22"/>
              </w:rPr>
              <w:t xml:space="preserve">41(1), 41(2A), </w:t>
            </w:r>
            <w:r>
              <w:rPr>
                <w:sz w:val="22"/>
              </w:rPr>
              <w:t xml:space="preserve">45(2), 56A, 64(5), 113A(1), 113A(2), 113B(1), 121, 128G(1), 128G(2), </w:t>
            </w:r>
            <w:r>
              <w:rPr>
                <w:sz w:val="22"/>
                <w:szCs w:val="22"/>
              </w:rPr>
              <w:t>128O, 130 and 147A(2).</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 29 Jan 2013 p. 312; 18 Jun 2013 p. 2297.]</w:t>
      </w:r>
    </w:p>
    <w:p>
      <w:pPr>
        <w:pStyle w:val="Heading5"/>
      </w:pPr>
      <w:bookmarkStart w:id="1032" w:name="_Toc359316911"/>
      <w:r>
        <w:rPr>
          <w:rStyle w:val="CharSectno"/>
        </w:rPr>
        <w:t>157</w:t>
      </w:r>
      <w:r>
        <w:t>.</w:t>
      </w:r>
      <w:r>
        <w:tab/>
        <w:t>Values prescribed (Act s. 222(4)(a), (b))</w:t>
      </w:r>
      <w:bookmarkEnd w:id="1032"/>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1033" w:name="_Toc359316912"/>
      <w:r>
        <w:rPr>
          <w:rStyle w:val="CharSectno"/>
        </w:rPr>
        <w:t>158</w:t>
      </w:r>
      <w:r>
        <w:rPr>
          <w:snapToGrid w:val="0"/>
        </w:rPr>
        <w:t>.</w:t>
      </w:r>
      <w:r>
        <w:rPr>
          <w:snapToGrid w:val="0"/>
        </w:rPr>
        <w:tab/>
        <w:t>Offences prescribed (Act s. 224(1)(a))</w:t>
      </w:r>
      <w:bookmarkEnd w:id="1033"/>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TableNAm"/>
              <w:spacing w:before="60"/>
              <w:jc w:val="center"/>
              <w:rPr>
                <w:b/>
                <w:bCs/>
                <w:snapToGrid w:val="0"/>
                <w:sz w:val="22"/>
              </w:rPr>
            </w:pPr>
            <w:r>
              <w:rPr>
                <w:b/>
                <w:bCs/>
                <w:snapToGrid w:val="0"/>
                <w:sz w:val="22"/>
              </w:rPr>
              <w:t>Provisions of the Act</w:t>
            </w:r>
          </w:p>
        </w:tc>
      </w:tr>
      <w:tr>
        <w:tc>
          <w:tcPr>
            <w:tcW w:w="5812" w:type="dxa"/>
          </w:tcPr>
          <w:p>
            <w:pPr>
              <w:pStyle w:val="TableNAm"/>
              <w:spacing w:before="6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TableNAm"/>
              <w:spacing w:before="6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TableNAm"/>
              <w:keepNext/>
              <w:keepLines/>
              <w:spacing w:before="160"/>
              <w:jc w:val="center"/>
              <w:rPr>
                <w:b/>
                <w:bCs/>
                <w:snapToGrid w:val="0"/>
                <w:sz w:val="22"/>
              </w:rPr>
            </w:pPr>
            <w:r>
              <w:rPr>
                <w:b/>
                <w:bCs/>
                <w:snapToGrid w:val="0"/>
                <w:sz w:val="22"/>
              </w:rPr>
              <w:t>Provision of these regulations</w:t>
            </w:r>
          </w:p>
        </w:tc>
      </w:tr>
      <w:tr>
        <w:tc>
          <w:tcPr>
            <w:tcW w:w="5812" w:type="dxa"/>
          </w:tcPr>
          <w:p>
            <w:pPr>
              <w:pStyle w:val="TableNAm"/>
              <w:keepNext/>
              <w:keepLines/>
              <w:spacing w:before="60"/>
              <w:rPr>
                <w:snapToGrid w:val="0"/>
                <w:sz w:val="22"/>
              </w:rPr>
            </w:pPr>
            <w:r>
              <w:rPr>
                <w:snapToGrid w:val="0"/>
                <w:sz w:val="22"/>
              </w:rPr>
              <w:t xml:space="preserve">Regulations 13, 16B, 18, 31A(1), 31A(2), 32(1), 35, 38, 63, 64, </w:t>
            </w:r>
            <w:r>
              <w:rPr>
                <w:sz w:val="22"/>
              </w:rPr>
              <w:t xml:space="preserve">64Q, </w:t>
            </w:r>
            <w:r>
              <w:rPr>
                <w:snapToGrid w:val="0"/>
                <w:sz w:val="22"/>
              </w:rPr>
              <w:t xml:space="preserve">71(3), 117(1), 119(2), 125(2), </w:t>
            </w:r>
            <w:r>
              <w:rPr>
                <w:sz w:val="22"/>
              </w:rPr>
              <w:t xml:space="preserve">128G(1), 128G(2), </w:t>
            </w:r>
            <w:r>
              <w:rPr>
                <w:sz w:val="22"/>
                <w:szCs w:val="22"/>
              </w:rPr>
              <w:t xml:space="preserve">128HA(2), 128OA(2), </w:t>
            </w:r>
            <w:r>
              <w:rPr>
                <w:sz w:val="22"/>
              </w:rPr>
              <w:t>128O, 128P,</w:t>
            </w:r>
            <w:r>
              <w:rPr>
                <w:snapToGrid w:val="0"/>
                <w:sz w:val="22"/>
              </w:rPr>
              <w:t xml:space="preserve"> 130(4), 130A, 145(1) and 176.</w:t>
            </w:r>
          </w:p>
        </w:tc>
      </w:tr>
    </w:tbl>
    <w:p>
      <w:pPr>
        <w:pStyle w:val="Footnotesection"/>
        <w:keepLines w:val="0"/>
      </w:pPr>
      <w:r>
        <w:tab/>
        <w:t>[Regulation 158 amended in Gazette 29 Jun 2001 p. 3175; 14 Nov 2001 p. 5979; 29 Nov 2002 p. 5655; 11 Feb 2003 p. 412; 1 Oct 2003 p. 4328; 31 Oct 2003 p. 4562; 10 Nov 2006 p. 4709; 27 Aug 2010 p. 4106; 4 Dec 2012 p. 5920.]</w:t>
      </w:r>
    </w:p>
    <w:p>
      <w:pPr>
        <w:pStyle w:val="Heading5"/>
        <w:rPr>
          <w:snapToGrid w:val="0"/>
        </w:rPr>
      </w:pPr>
      <w:bookmarkStart w:id="1034" w:name="_Toc359316913"/>
      <w:r>
        <w:rPr>
          <w:rStyle w:val="CharSectno"/>
        </w:rPr>
        <w:t>159</w:t>
      </w:r>
      <w:r>
        <w:rPr>
          <w:snapToGrid w:val="0"/>
        </w:rPr>
        <w:t>.</w:t>
      </w:r>
      <w:r>
        <w:rPr>
          <w:snapToGrid w:val="0"/>
        </w:rPr>
        <w:tab/>
        <w:t>Offences prescribed (Act s. 228(1))</w:t>
      </w:r>
      <w:bookmarkEnd w:id="1034"/>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1035" w:name="_Toc359316914"/>
      <w:r>
        <w:rPr>
          <w:rStyle w:val="CharSectno"/>
        </w:rPr>
        <w:t>160</w:t>
      </w:r>
      <w:r>
        <w:rPr>
          <w:snapToGrid w:val="0"/>
        </w:rPr>
        <w:t>.</w:t>
      </w:r>
      <w:r>
        <w:rPr>
          <w:snapToGrid w:val="0"/>
        </w:rPr>
        <w:tab/>
        <w:t>Infringement notice form prescribed (Act s. 229(1))</w:t>
      </w:r>
      <w:bookmarkEnd w:id="1035"/>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1036" w:name="_Toc359316915"/>
      <w:r>
        <w:rPr>
          <w:rStyle w:val="CharSectno"/>
        </w:rPr>
        <w:t>161</w:t>
      </w:r>
      <w:r>
        <w:rPr>
          <w:snapToGrid w:val="0"/>
        </w:rPr>
        <w:t>.</w:t>
      </w:r>
      <w:r>
        <w:rPr>
          <w:snapToGrid w:val="0"/>
        </w:rPr>
        <w:tab/>
        <w:t>Withdrawal of infringement notice form prescribed (Act s. 231(1))</w:t>
      </w:r>
      <w:bookmarkEnd w:id="1036"/>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1037" w:name="_Toc359316916"/>
      <w:r>
        <w:rPr>
          <w:rStyle w:val="CharSectno"/>
        </w:rPr>
        <w:t>162</w:t>
      </w:r>
      <w:r>
        <w:rPr>
          <w:snapToGrid w:val="0"/>
        </w:rPr>
        <w:t>.</w:t>
      </w:r>
      <w:r>
        <w:rPr>
          <w:snapToGrid w:val="0"/>
        </w:rPr>
        <w:tab/>
        <w:t>Modified penalties prescribed (Act s. 229(2))</w:t>
      </w:r>
      <w:bookmarkEnd w:id="1037"/>
    </w:p>
    <w:p>
      <w:pPr>
        <w:pStyle w:val="Subsection"/>
        <w:rPr>
          <w:snapToGrid w:val="0"/>
        </w:rPr>
      </w:pPr>
      <w:r>
        <w:tab/>
        <w:t>(1)</w:t>
      </w:r>
      <w:r>
        <w:tab/>
        <w:t>The</w:t>
      </w:r>
      <w:r>
        <w:rPr>
          <w:snapToGrid w:val="0"/>
        </w:rPr>
        <w:t xml:space="preserve"> modified penalty set out in column 2 of Schedule 12 opposite an offence referred to in column 1 is the prescribed modified penalty for that offence for the purposes of section 229(2) of the Act.</w:t>
      </w:r>
    </w:p>
    <w:p>
      <w:pPr>
        <w:pStyle w:val="Subsection"/>
      </w:pPr>
      <w:bookmarkStart w:id="1038" w:name="_Toc339626038"/>
      <w:bookmarkStart w:id="1039" w:name="_Toc342397790"/>
      <w:bookmarkStart w:id="1040" w:name="_Toc343520047"/>
      <w:bookmarkStart w:id="1041" w:name="_Toc343520504"/>
      <w:bookmarkStart w:id="1042" w:name="_Toc344712069"/>
      <w:bookmarkStart w:id="1043" w:name="_Toc344712585"/>
      <w:bookmarkStart w:id="1044" w:name="_Toc347307853"/>
      <w:bookmarkStart w:id="1045" w:name="_Toc349822766"/>
      <w:bookmarkStart w:id="1046" w:name="_Toc349823186"/>
      <w:bookmarkStart w:id="1047" w:name="_Toc349831168"/>
      <w:r>
        <w:tab/>
        <w:t>(2)</w:t>
      </w:r>
      <w:r>
        <w:tab/>
        <w:t xml:space="preserve">In Schedule 12 — </w:t>
      </w:r>
    </w:p>
    <w:p>
      <w:pPr>
        <w:pStyle w:val="Defstart"/>
      </w:pPr>
      <w:r>
        <w:tab/>
      </w:r>
      <w:r>
        <w:rPr>
          <w:rStyle w:val="CharDefText"/>
        </w:rPr>
        <w:t>notional bag limit</w:t>
      </w:r>
      <w:r>
        <w:t>, in relation to totally protected fish of a particular species, means the bag limit that applies to fish of that species that are not totally protected.</w:t>
      </w:r>
    </w:p>
    <w:p>
      <w:pPr>
        <w:pStyle w:val="Footnotesection"/>
        <w:keepLines w:val="0"/>
      </w:pPr>
      <w:r>
        <w:tab/>
        <w:t>[Regulation 162 amended in Gazette 18 Jun 2013 p. 2297.]</w:t>
      </w:r>
    </w:p>
    <w:p>
      <w:pPr>
        <w:pStyle w:val="Heading2"/>
      </w:pPr>
      <w:bookmarkStart w:id="1048" w:name="_Toc359248960"/>
      <w:bookmarkStart w:id="1049" w:name="_Toc359316917"/>
      <w:r>
        <w:rPr>
          <w:rStyle w:val="CharPartNo"/>
        </w:rPr>
        <w:t>Part 16</w:t>
      </w:r>
      <w:r>
        <w:rPr>
          <w:rStyle w:val="CharDivNo"/>
        </w:rPr>
        <w:t> </w:t>
      </w:r>
      <w:r>
        <w:t>—</w:t>
      </w:r>
      <w:r>
        <w:rPr>
          <w:rStyle w:val="CharDivText"/>
        </w:rPr>
        <w:t> </w:t>
      </w:r>
      <w:r>
        <w:rPr>
          <w:rStyle w:val="CharPartText"/>
        </w:rPr>
        <w:t>Financial provisions</w:t>
      </w:r>
      <w:bookmarkEnd w:id="1038"/>
      <w:bookmarkEnd w:id="1039"/>
      <w:bookmarkEnd w:id="1040"/>
      <w:bookmarkEnd w:id="1041"/>
      <w:bookmarkEnd w:id="1042"/>
      <w:bookmarkEnd w:id="1043"/>
      <w:bookmarkEnd w:id="1044"/>
      <w:bookmarkEnd w:id="1045"/>
      <w:bookmarkEnd w:id="1046"/>
      <w:bookmarkEnd w:id="1047"/>
      <w:bookmarkEnd w:id="1048"/>
      <w:bookmarkEnd w:id="1049"/>
    </w:p>
    <w:p>
      <w:pPr>
        <w:pStyle w:val="Heading5"/>
        <w:rPr>
          <w:snapToGrid w:val="0"/>
        </w:rPr>
      </w:pPr>
      <w:bookmarkStart w:id="1050" w:name="_Toc359316918"/>
      <w:r>
        <w:rPr>
          <w:rStyle w:val="CharSectno"/>
        </w:rPr>
        <w:t>163</w:t>
      </w:r>
      <w:r>
        <w:rPr>
          <w:snapToGrid w:val="0"/>
        </w:rPr>
        <w:t>.</w:t>
      </w:r>
      <w:r>
        <w:rPr>
          <w:snapToGrid w:val="0"/>
        </w:rPr>
        <w:tab/>
        <w:t>Times prescribed for special purpose audits (Act s. 240)</w:t>
      </w:r>
      <w:bookmarkEnd w:id="1050"/>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1051" w:name="_Toc339626040"/>
      <w:bookmarkStart w:id="1052" w:name="_Toc342397792"/>
      <w:bookmarkStart w:id="1053" w:name="_Toc343520049"/>
      <w:bookmarkStart w:id="1054" w:name="_Toc343520506"/>
      <w:bookmarkStart w:id="1055" w:name="_Toc344712071"/>
      <w:bookmarkStart w:id="1056" w:name="_Toc344712587"/>
      <w:bookmarkStart w:id="1057" w:name="_Toc347307855"/>
      <w:bookmarkStart w:id="1058" w:name="_Toc349822768"/>
      <w:bookmarkStart w:id="1059" w:name="_Toc349823188"/>
      <w:bookmarkStart w:id="1060" w:name="_Toc349831170"/>
      <w:bookmarkStart w:id="1061" w:name="_Toc359248962"/>
      <w:bookmarkStart w:id="1062" w:name="_Toc359316919"/>
      <w:r>
        <w:rPr>
          <w:rStyle w:val="CharPartNo"/>
        </w:rPr>
        <w:t>Part 17</w:t>
      </w:r>
      <w:r>
        <w:t> — </w:t>
      </w:r>
      <w:r>
        <w:rPr>
          <w:rStyle w:val="CharPartText"/>
        </w:rPr>
        <w:t>Miscellaneous</w:t>
      </w:r>
      <w:bookmarkEnd w:id="1051"/>
      <w:bookmarkEnd w:id="1052"/>
      <w:bookmarkEnd w:id="1053"/>
      <w:bookmarkEnd w:id="1054"/>
      <w:bookmarkEnd w:id="1055"/>
      <w:bookmarkEnd w:id="1056"/>
      <w:bookmarkEnd w:id="1057"/>
      <w:bookmarkEnd w:id="1058"/>
      <w:bookmarkEnd w:id="1059"/>
      <w:bookmarkEnd w:id="1060"/>
      <w:bookmarkEnd w:id="1061"/>
      <w:bookmarkEnd w:id="1062"/>
    </w:p>
    <w:p>
      <w:pPr>
        <w:pStyle w:val="Heading3"/>
      </w:pPr>
      <w:bookmarkStart w:id="1063" w:name="_Toc339626041"/>
      <w:bookmarkStart w:id="1064" w:name="_Toc342397793"/>
      <w:bookmarkStart w:id="1065" w:name="_Toc343520050"/>
      <w:bookmarkStart w:id="1066" w:name="_Toc343520507"/>
      <w:bookmarkStart w:id="1067" w:name="_Toc344712072"/>
      <w:bookmarkStart w:id="1068" w:name="_Toc344712588"/>
      <w:bookmarkStart w:id="1069" w:name="_Toc347307856"/>
      <w:bookmarkStart w:id="1070" w:name="_Toc349822769"/>
      <w:bookmarkStart w:id="1071" w:name="_Toc349823189"/>
      <w:bookmarkStart w:id="1072" w:name="_Toc349831171"/>
      <w:bookmarkStart w:id="1073" w:name="_Toc359248963"/>
      <w:bookmarkStart w:id="1074" w:name="_Toc359316920"/>
      <w:r>
        <w:rPr>
          <w:rStyle w:val="CharDivNo"/>
        </w:rPr>
        <w:t>Division 1</w:t>
      </w:r>
      <w:r>
        <w:rPr>
          <w:snapToGrid w:val="0"/>
        </w:rPr>
        <w:t> — </w:t>
      </w:r>
      <w:r>
        <w:rPr>
          <w:rStyle w:val="CharDivText"/>
        </w:rPr>
        <w:t>Guidelines</w:t>
      </w:r>
      <w:bookmarkEnd w:id="1063"/>
      <w:bookmarkEnd w:id="1064"/>
      <w:bookmarkEnd w:id="1065"/>
      <w:bookmarkEnd w:id="1066"/>
      <w:bookmarkEnd w:id="1067"/>
      <w:bookmarkEnd w:id="1068"/>
      <w:bookmarkEnd w:id="1069"/>
      <w:bookmarkEnd w:id="1070"/>
      <w:bookmarkEnd w:id="1071"/>
      <w:bookmarkEnd w:id="1072"/>
      <w:bookmarkEnd w:id="1073"/>
      <w:bookmarkEnd w:id="1074"/>
    </w:p>
    <w:p>
      <w:pPr>
        <w:pStyle w:val="Heading5"/>
        <w:rPr>
          <w:snapToGrid w:val="0"/>
        </w:rPr>
      </w:pPr>
      <w:bookmarkStart w:id="1075" w:name="_Toc359316921"/>
      <w:r>
        <w:rPr>
          <w:rStyle w:val="CharSectno"/>
        </w:rPr>
        <w:t>164</w:t>
      </w:r>
      <w:r>
        <w:rPr>
          <w:snapToGrid w:val="0"/>
        </w:rPr>
        <w:t>.</w:t>
      </w:r>
      <w:r>
        <w:rPr>
          <w:snapToGrid w:val="0"/>
        </w:rPr>
        <w:tab/>
        <w:t>Ways of publishing guidelines prescribed (Act s. 246 and 247)</w:t>
      </w:r>
      <w:bookmarkEnd w:id="1075"/>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in Gazette 6 Jul 2007 p. 3389.]</w:t>
      </w:r>
    </w:p>
    <w:p>
      <w:pPr>
        <w:pStyle w:val="Heading5"/>
        <w:rPr>
          <w:snapToGrid w:val="0"/>
        </w:rPr>
      </w:pPr>
      <w:bookmarkStart w:id="1076" w:name="_Toc359316922"/>
      <w:r>
        <w:rPr>
          <w:rStyle w:val="CharSectno"/>
        </w:rPr>
        <w:t>165</w:t>
      </w:r>
      <w:r>
        <w:rPr>
          <w:snapToGrid w:val="0"/>
        </w:rPr>
        <w:t>.</w:t>
      </w:r>
      <w:r>
        <w:rPr>
          <w:snapToGrid w:val="0"/>
        </w:rPr>
        <w:tab/>
        <w:t>Form of notice to attend inquiry etc. (Act s. 249(3))</w:t>
      </w:r>
      <w:bookmarkEnd w:id="1076"/>
    </w:p>
    <w:p>
      <w:pPr>
        <w:pStyle w:val="Subsection"/>
        <w:rPr>
          <w:snapToGrid w:val="0"/>
        </w:rPr>
      </w:pPr>
      <w:r>
        <w:rPr>
          <w:snapToGrid w:val="0"/>
        </w:rPr>
        <w:tab/>
      </w:r>
      <w:r>
        <w:rPr>
          <w:snapToGrid w:val="0"/>
        </w:rPr>
        <w:tab/>
        <w:t>A notice under section 249(3)(a) of the Act is to be in the form of Form 5.</w:t>
      </w:r>
    </w:p>
    <w:p>
      <w:pPr>
        <w:pStyle w:val="Heading3"/>
        <w:rPr>
          <w:lang w:val="fr-FR"/>
        </w:rPr>
      </w:pPr>
      <w:bookmarkStart w:id="1077" w:name="_Toc339626044"/>
      <w:bookmarkStart w:id="1078" w:name="_Toc342397796"/>
      <w:bookmarkStart w:id="1079" w:name="_Toc343520053"/>
      <w:bookmarkStart w:id="1080" w:name="_Toc343520510"/>
      <w:bookmarkStart w:id="1081" w:name="_Toc344712075"/>
      <w:bookmarkStart w:id="1082" w:name="_Toc344712591"/>
      <w:bookmarkStart w:id="1083" w:name="_Toc347307859"/>
      <w:bookmarkStart w:id="1084" w:name="_Toc349822772"/>
      <w:bookmarkStart w:id="1085" w:name="_Toc349823192"/>
      <w:bookmarkStart w:id="1086" w:name="_Toc349831174"/>
      <w:bookmarkStart w:id="1087" w:name="_Toc359248966"/>
      <w:bookmarkStart w:id="1088" w:name="_Toc359316923"/>
      <w:r>
        <w:rPr>
          <w:rStyle w:val="CharDivNo"/>
          <w:lang w:val="fr-FR"/>
        </w:rPr>
        <w:t>Division 2</w:t>
      </w:r>
      <w:r>
        <w:rPr>
          <w:snapToGrid w:val="0"/>
          <w:lang w:val="fr-FR"/>
        </w:rPr>
        <w:t> — </w:t>
      </w:r>
      <w:r>
        <w:rPr>
          <w:rStyle w:val="CharDivText"/>
          <w:lang w:val="fr-FR"/>
        </w:rPr>
        <w:t>Exclusive licences</w:t>
      </w:r>
      <w:bookmarkEnd w:id="1077"/>
      <w:bookmarkEnd w:id="1078"/>
      <w:bookmarkEnd w:id="1079"/>
      <w:bookmarkEnd w:id="1080"/>
      <w:bookmarkEnd w:id="1081"/>
      <w:bookmarkEnd w:id="1082"/>
      <w:bookmarkEnd w:id="1083"/>
      <w:bookmarkEnd w:id="1084"/>
      <w:bookmarkEnd w:id="1085"/>
      <w:bookmarkEnd w:id="1086"/>
      <w:bookmarkEnd w:id="1087"/>
      <w:bookmarkEnd w:id="1088"/>
    </w:p>
    <w:p>
      <w:pPr>
        <w:pStyle w:val="Heading5"/>
        <w:rPr>
          <w:snapToGrid w:val="0"/>
          <w:lang w:val="fr-FR"/>
        </w:rPr>
      </w:pPr>
      <w:bookmarkStart w:id="1089" w:name="_Toc359316924"/>
      <w:r>
        <w:rPr>
          <w:rStyle w:val="CharSectno"/>
          <w:lang w:val="fr-FR"/>
        </w:rPr>
        <w:t>166</w:t>
      </w:r>
      <w:r>
        <w:rPr>
          <w:snapToGrid w:val="0"/>
          <w:lang w:val="fr-FR"/>
        </w:rPr>
        <w:t>.</w:t>
      </w:r>
      <w:r>
        <w:rPr>
          <w:snapToGrid w:val="0"/>
          <w:lang w:val="fr-FR"/>
        </w:rPr>
        <w:tab/>
        <w:t>Applications for exclusive licences</w:t>
      </w:r>
      <w:bookmarkEnd w:id="1089"/>
    </w:p>
    <w:p>
      <w:pPr>
        <w:pStyle w:val="Subsection"/>
        <w:rPr>
          <w:snapToGrid w:val="0"/>
        </w:rPr>
      </w:pPr>
      <w:r>
        <w:rPr>
          <w:snapToGrid w:val="0"/>
          <w:lang w:val="fr-FR"/>
        </w:rPr>
        <w:tab/>
      </w:r>
      <w:r>
        <w:rPr>
          <w:snapToGrid w:val="0"/>
        </w:rPr>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in Gazette 6 Jul 2007 p. 3389; 9 Jun 2009 p. 1911.]</w:t>
      </w:r>
    </w:p>
    <w:p>
      <w:pPr>
        <w:pStyle w:val="Heading5"/>
        <w:rPr>
          <w:snapToGrid w:val="0"/>
        </w:rPr>
      </w:pPr>
      <w:bookmarkStart w:id="1090" w:name="_Toc359316925"/>
      <w:r>
        <w:rPr>
          <w:rStyle w:val="CharSectno"/>
        </w:rPr>
        <w:t>167</w:t>
      </w:r>
      <w:r>
        <w:rPr>
          <w:snapToGrid w:val="0"/>
        </w:rPr>
        <w:t>.</w:t>
      </w:r>
      <w:r>
        <w:rPr>
          <w:snapToGrid w:val="0"/>
        </w:rPr>
        <w:tab/>
        <w:t>Effect of exclusive licences</w:t>
      </w:r>
      <w:bookmarkEnd w:id="1090"/>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1091" w:name="_Toc359316926"/>
      <w:r>
        <w:rPr>
          <w:rStyle w:val="CharSectno"/>
        </w:rPr>
        <w:t>168</w:t>
      </w:r>
      <w:r>
        <w:rPr>
          <w:snapToGrid w:val="0"/>
        </w:rPr>
        <w:t>.</w:t>
      </w:r>
      <w:r>
        <w:rPr>
          <w:snapToGrid w:val="0"/>
        </w:rPr>
        <w:tab/>
        <w:t>Form of exclusive licences</w:t>
      </w:r>
      <w:bookmarkEnd w:id="1091"/>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90.]</w:t>
      </w:r>
    </w:p>
    <w:p>
      <w:pPr>
        <w:pStyle w:val="Heading5"/>
        <w:rPr>
          <w:snapToGrid w:val="0"/>
        </w:rPr>
      </w:pPr>
      <w:bookmarkStart w:id="1092" w:name="_Toc359316927"/>
      <w:r>
        <w:rPr>
          <w:rStyle w:val="CharSectno"/>
        </w:rPr>
        <w:t>169</w:t>
      </w:r>
      <w:r>
        <w:rPr>
          <w:snapToGrid w:val="0"/>
        </w:rPr>
        <w:t>.</w:t>
      </w:r>
      <w:r>
        <w:rPr>
          <w:snapToGrid w:val="0"/>
        </w:rPr>
        <w:tab/>
        <w:t>Renewal after expiry of exclusive licences (Act s. 139)</w:t>
      </w:r>
      <w:bookmarkEnd w:id="1092"/>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1093" w:name="_Toc359316928"/>
      <w:r>
        <w:rPr>
          <w:rStyle w:val="CharSectno"/>
        </w:rPr>
        <w:t>170</w:t>
      </w:r>
      <w:r>
        <w:rPr>
          <w:snapToGrid w:val="0"/>
        </w:rPr>
        <w:t>.</w:t>
      </w:r>
      <w:r>
        <w:rPr>
          <w:snapToGrid w:val="0"/>
        </w:rPr>
        <w:tab/>
        <w:t>Some draft exclusive licences to go before Parliament</w:t>
      </w:r>
      <w:bookmarkEnd w:id="1093"/>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1094" w:name="_Toc359316929"/>
      <w:r>
        <w:rPr>
          <w:rStyle w:val="CharSectno"/>
        </w:rPr>
        <w:t>171</w:t>
      </w:r>
      <w:r>
        <w:rPr>
          <w:snapToGrid w:val="0"/>
        </w:rPr>
        <w:t>.</w:t>
      </w:r>
      <w:r>
        <w:rPr>
          <w:snapToGrid w:val="0"/>
        </w:rPr>
        <w:tab/>
        <w:t>Conditions of exclusive licences</w:t>
      </w:r>
      <w:bookmarkEnd w:id="1094"/>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 xml:space="preserve">that the fees or royalties (if any) that the licence holder is required to pay in relation to the licence are paid at the head office of the Department in </w:t>
      </w:r>
      <w:smartTag w:uri="urn:schemas-microsoft-com:office:smarttags" w:element="place">
        <w:smartTag w:uri="urn:schemas-microsoft-com:office:smarttags" w:element="City">
          <w:r>
            <w:rPr>
              <w:snapToGrid w:val="0"/>
            </w:rPr>
            <w:t>Perth</w:t>
          </w:r>
        </w:smartTag>
      </w:smartTag>
      <w:r>
        <w:rPr>
          <w:snapToGrid w:val="0"/>
        </w:rPr>
        <w:t xml:space="preserve">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1095" w:name="_Toc359316930"/>
      <w:r>
        <w:rPr>
          <w:rStyle w:val="CharSectno"/>
        </w:rPr>
        <w:t>172</w:t>
      </w:r>
      <w:r>
        <w:rPr>
          <w:snapToGrid w:val="0"/>
        </w:rPr>
        <w:t>.</w:t>
      </w:r>
      <w:r>
        <w:rPr>
          <w:snapToGrid w:val="0"/>
        </w:rPr>
        <w:tab/>
        <w:t>Who can fish in areas the subject of exclusive licences</w:t>
      </w:r>
      <w:bookmarkEnd w:id="1095"/>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1096" w:name="_Toc339626052"/>
      <w:bookmarkStart w:id="1097" w:name="_Toc342397804"/>
      <w:bookmarkStart w:id="1098" w:name="_Toc343520061"/>
      <w:bookmarkStart w:id="1099" w:name="_Toc343520518"/>
      <w:bookmarkStart w:id="1100" w:name="_Toc344712083"/>
      <w:bookmarkStart w:id="1101" w:name="_Toc344712599"/>
      <w:bookmarkStart w:id="1102" w:name="_Toc347307867"/>
      <w:bookmarkStart w:id="1103" w:name="_Toc349822780"/>
      <w:bookmarkStart w:id="1104" w:name="_Toc349823200"/>
      <w:bookmarkStart w:id="1105" w:name="_Toc349831182"/>
      <w:bookmarkStart w:id="1106" w:name="_Toc359248974"/>
      <w:bookmarkStart w:id="1107" w:name="_Toc359316931"/>
      <w:r>
        <w:rPr>
          <w:rStyle w:val="CharDivNo"/>
        </w:rPr>
        <w:t>Division 3</w:t>
      </w:r>
      <w:r>
        <w:rPr>
          <w:snapToGrid w:val="0"/>
        </w:rPr>
        <w:t> — </w:t>
      </w:r>
      <w:r>
        <w:rPr>
          <w:rStyle w:val="CharDivText"/>
        </w:rPr>
        <w:t>Prohibition of activities that pollute waters</w:t>
      </w:r>
      <w:bookmarkEnd w:id="1096"/>
      <w:bookmarkEnd w:id="1097"/>
      <w:bookmarkEnd w:id="1098"/>
      <w:bookmarkEnd w:id="1099"/>
      <w:bookmarkEnd w:id="1100"/>
      <w:bookmarkEnd w:id="1101"/>
      <w:bookmarkEnd w:id="1102"/>
      <w:bookmarkEnd w:id="1103"/>
      <w:bookmarkEnd w:id="1104"/>
      <w:bookmarkEnd w:id="1105"/>
      <w:bookmarkEnd w:id="1106"/>
      <w:bookmarkEnd w:id="1107"/>
    </w:p>
    <w:p>
      <w:pPr>
        <w:pStyle w:val="Heading5"/>
        <w:rPr>
          <w:snapToGrid w:val="0"/>
        </w:rPr>
      </w:pPr>
      <w:bookmarkStart w:id="1108" w:name="_Toc359316932"/>
      <w:r>
        <w:rPr>
          <w:rStyle w:val="CharSectno"/>
        </w:rPr>
        <w:t>173</w:t>
      </w:r>
      <w:r>
        <w:rPr>
          <w:snapToGrid w:val="0"/>
        </w:rPr>
        <w:t>.</w:t>
      </w:r>
      <w:r>
        <w:rPr>
          <w:snapToGrid w:val="0"/>
        </w:rPr>
        <w:tab/>
        <w:t>Notice prohibiting activities, form of (Act s. 255(1))</w:t>
      </w:r>
      <w:bookmarkEnd w:id="1108"/>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1109" w:name="_Toc359316933"/>
      <w:r>
        <w:rPr>
          <w:rStyle w:val="CharSectno"/>
        </w:rPr>
        <w:t>174</w:t>
      </w:r>
      <w:r>
        <w:rPr>
          <w:snapToGrid w:val="0"/>
        </w:rPr>
        <w:t>.</w:t>
      </w:r>
      <w:r>
        <w:rPr>
          <w:snapToGrid w:val="0"/>
        </w:rPr>
        <w:tab/>
        <w:t>Notice of variation or revocation, form of (Act s. 255(2)(c))</w:t>
      </w:r>
      <w:bookmarkEnd w:id="1109"/>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pPr>
      <w:bookmarkStart w:id="1110" w:name="_Toc339626055"/>
      <w:bookmarkStart w:id="1111" w:name="_Toc342397807"/>
      <w:bookmarkStart w:id="1112" w:name="_Toc343520064"/>
      <w:bookmarkStart w:id="1113" w:name="_Toc343520521"/>
      <w:bookmarkStart w:id="1114" w:name="_Toc344712086"/>
      <w:bookmarkStart w:id="1115" w:name="_Toc344712602"/>
      <w:bookmarkStart w:id="1116" w:name="_Toc347307870"/>
      <w:bookmarkStart w:id="1117" w:name="_Toc349822783"/>
      <w:bookmarkStart w:id="1118" w:name="_Toc349823203"/>
      <w:bookmarkStart w:id="1119" w:name="_Toc349831185"/>
      <w:bookmarkStart w:id="1120" w:name="_Toc359248977"/>
      <w:bookmarkStart w:id="1121" w:name="_Toc359316934"/>
      <w:r>
        <w:rPr>
          <w:rStyle w:val="CharDivNo"/>
        </w:rPr>
        <w:t>Division 4</w:t>
      </w:r>
      <w:r>
        <w:rPr>
          <w:snapToGrid w:val="0"/>
        </w:rPr>
        <w:t> — </w:t>
      </w:r>
      <w:r>
        <w:rPr>
          <w:rStyle w:val="CharDivText"/>
        </w:rPr>
        <w:t>General</w:t>
      </w:r>
      <w:bookmarkEnd w:id="1110"/>
      <w:bookmarkEnd w:id="1111"/>
      <w:bookmarkEnd w:id="1112"/>
      <w:bookmarkEnd w:id="1113"/>
      <w:bookmarkEnd w:id="1114"/>
      <w:bookmarkEnd w:id="1115"/>
      <w:bookmarkEnd w:id="1116"/>
      <w:bookmarkEnd w:id="1117"/>
      <w:bookmarkEnd w:id="1118"/>
      <w:bookmarkEnd w:id="1119"/>
      <w:bookmarkEnd w:id="1120"/>
      <w:bookmarkEnd w:id="1121"/>
    </w:p>
    <w:p>
      <w:pPr>
        <w:pStyle w:val="Heading5"/>
        <w:rPr>
          <w:snapToGrid w:val="0"/>
        </w:rPr>
      </w:pPr>
      <w:bookmarkStart w:id="1122" w:name="_Toc359316935"/>
      <w:r>
        <w:rPr>
          <w:rStyle w:val="CharSectno"/>
        </w:rPr>
        <w:t>176</w:t>
      </w:r>
      <w:r>
        <w:rPr>
          <w:snapToGrid w:val="0"/>
        </w:rPr>
        <w:t>.</w:t>
      </w:r>
      <w:r>
        <w:rPr>
          <w:snapToGrid w:val="0"/>
        </w:rPr>
        <w:tab/>
        <w:t>Non</w:t>
      </w:r>
      <w:r>
        <w:rPr>
          <w:snapToGrid w:val="0"/>
        </w:rPr>
        <w:noBreakHyphen/>
        <w:t>endemic fish, approval to import into WA etc.</w:t>
      </w:r>
      <w:bookmarkEnd w:id="1122"/>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90; 9 Jun 2009 p. 1912.]</w:t>
      </w:r>
    </w:p>
    <w:p>
      <w:pPr>
        <w:pStyle w:val="Heading5"/>
        <w:rPr>
          <w:snapToGrid w:val="0"/>
        </w:rPr>
      </w:pPr>
      <w:bookmarkStart w:id="1123" w:name="_Toc359316936"/>
      <w:r>
        <w:rPr>
          <w:rStyle w:val="CharSectno"/>
        </w:rPr>
        <w:t>177</w:t>
      </w:r>
      <w:r>
        <w:rPr>
          <w:snapToGrid w:val="0"/>
        </w:rPr>
        <w:t>.</w:t>
      </w:r>
      <w:r>
        <w:rPr>
          <w:snapToGrid w:val="0"/>
        </w:rPr>
        <w:tab/>
        <w:t>Disease control at fish processing or aquaculture places</w:t>
      </w:r>
      <w:bookmarkEnd w:id="1123"/>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disease specified in Schedule 1 to the </w:t>
      </w:r>
      <w:r>
        <w:rPr>
          <w:i/>
          <w:snapToGrid w:val="0"/>
        </w:rPr>
        <w:t>Enzootic Diseases Regulations 1970</w:t>
      </w:r>
      <w:r>
        <w:rPr>
          <w:snapToGrid w:val="0"/>
        </w:rPr>
        <w:t>; or</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90.]</w:t>
      </w:r>
    </w:p>
    <w:p>
      <w:pPr>
        <w:pStyle w:val="Heading5"/>
        <w:rPr>
          <w:snapToGrid w:val="0"/>
        </w:rPr>
      </w:pPr>
      <w:bookmarkStart w:id="1124" w:name="_Toc359316937"/>
      <w:r>
        <w:rPr>
          <w:rStyle w:val="CharSectno"/>
        </w:rPr>
        <w:t>178</w:t>
      </w:r>
      <w:r>
        <w:rPr>
          <w:snapToGrid w:val="0"/>
        </w:rPr>
        <w:t>.</w:t>
      </w:r>
      <w:r>
        <w:rPr>
          <w:snapToGrid w:val="0"/>
        </w:rPr>
        <w:tab/>
        <w:t>Fish for scientific purposes, authority to fish for</w:t>
      </w:r>
      <w:bookmarkEnd w:id="1124"/>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90; 9 Jun 2009 p. 1912.]</w:t>
      </w:r>
    </w:p>
    <w:p>
      <w:pPr>
        <w:pStyle w:val="Heading5"/>
        <w:rPr>
          <w:snapToGrid w:val="0"/>
        </w:rPr>
      </w:pPr>
      <w:bookmarkStart w:id="1125" w:name="_Toc359316938"/>
      <w:r>
        <w:rPr>
          <w:rStyle w:val="CharSectno"/>
        </w:rPr>
        <w:t>179</w:t>
      </w:r>
      <w:r>
        <w:rPr>
          <w:snapToGrid w:val="0"/>
        </w:rPr>
        <w:t>.</w:t>
      </w:r>
      <w:r>
        <w:rPr>
          <w:snapToGrid w:val="0"/>
        </w:rPr>
        <w:tab/>
        <w:t>Fish for genetic etc. analysis, approval to take etc.</w:t>
      </w:r>
      <w:bookmarkEnd w:id="1125"/>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90; 9 Jun 2009 p. 1912.]</w:t>
      </w:r>
    </w:p>
    <w:p>
      <w:pPr>
        <w:pStyle w:val="Heading5"/>
        <w:rPr>
          <w:snapToGrid w:val="0"/>
        </w:rPr>
      </w:pPr>
      <w:bookmarkStart w:id="1126" w:name="_Toc359316939"/>
      <w:r>
        <w:rPr>
          <w:rStyle w:val="CharSectno"/>
        </w:rPr>
        <w:t>180</w:t>
      </w:r>
      <w:r>
        <w:rPr>
          <w:snapToGrid w:val="0"/>
        </w:rPr>
        <w:t>.</w:t>
      </w:r>
      <w:r>
        <w:rPr>
          <w:snapToGrid w:val="0"/>
        </w:rPr>
        <w:tab/>
        <w:t>Categories of fish (Sch. 4)</w:t>
      </w:r>
      <w:bookmarkEnd w:id="1126"/>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pPr>
      <w:bookmarkStart w:id="1127" w:name="_Toc359316940"/>
      <w:r>
        <w:rPr>
          <w:rStyle w:val="CharSectno"/>
        </w:rPr>
        <w:t>181A</w:t>
      </w:r>
      <w:r>
        <w:t>.</w:t>
      </w:r>
      <w:r>
        <w:tab/>
        <w:t xml:space="preserve">Certain things are not personal property for purposes of </w:t>
      </w:r>
      <w:r>
        <w:rPr>
          <w:i/>
        </w:rPr>
        <w:t xml:space="preserve">Personal Property Securities Act 2009 </w:t>
      </w:r>
      <w:r>
        <w:t>(Cwlth)</w:t>
      </w:r>
      <w:bookmarkEnd w:id="1127"/>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pPr>
        <w:pStyle w:val="Indenta"/>
      </w:pPr>
      <w:r>
        <w:tab/>
        <w:t>(a)</w:t>
      </w:r>
      <w:r>
        <w:tab/>
        <w:t>a fishing boat licence granted under regulation 118(1);</w:t>
      </w:r>
    </w:p>
    <w:p>
      <w:pPr>
        <w:pStyle w:val="Indenta"/>
      </w:pPr>
      <w:r>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Indenta"/>
      </w:pPr>
      <w:r>
        <w:tab/>
        <w:t>(f)</w:t>
      </w:r>
      <w:r>
        <w:tab/>
        <w:t>a rock lobster pot licence granted under regulation 126;</w:t>
      </w:r>
    </w:p>
    <w:p>
      <w:pPr>
        <w:pStyle w:val="Indenta"/>
      </w:pPr>
      <w:r>
        <w:tab/>
        <w:t>(g)</w:t>
      </w:r>
      <w:r>
        <w:tab/>
        <w:t>an aquatic eco</w:t>
      </w:r>
      <w:r>
        <w:noBreakHyphen/>
        <w:t>tourism operator’s licence granted under regulation 128B(1);</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in Gazette 22 Nov 2011 p. 4848.]</w:t>
      </w:r>
    </w:p>
    <w:p>
      <w:pPr>
        <w:pStyle w:val="Heading5"/>
        <w:rPr>
          <w:snapToGrid w:val="0"/>
        </w:rPr>
      </w:pPr>
      <w:bookmarkStart w:id="1128" w:name="_Toc359316941"/>
      <w:r>
        <w:rPr>
          <w:rStyle w:val="CharSectno"/>
        </w:rPr>
        <w:t>181</w:t>
      </w:r>
      <w:r>
        <w:rPr>
          <w:snapToGrid w:val="0"/>
        </w:rPr>
        <w:t>.</w:t>
      </w:r>
      <w:r>
        <w:rPr>
          <w:snapToGrid w:val="0"/>
        </w:rPr>
        <w:tab/>
        <w:t>Fees and charges, reduction and waiver of</w:t>
      </w:r>
      <w:bookmarkEnd w:id="1128"/>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1129" w:name="_Toc339626063"/>
      <w:bookmarkStart w:id="1130" w:name="_Toc342397815"/>
      <w:bookmarkStart w:id="1131" w:name="_Toc343520072"/>
      <w:bookmarkStart w:id="1132" w:name="_Toc343520529"/>
      <w:bookmarkStart w:id="1133" w:name="_Toc344712094"/>
      <w:bookmarkStart w:id="1134" w:name="_Toc344712610"/>
      <w:bookmarkStart w:id="1135" w:name="_Toc347307878"/>
      <w:bookmarkStart w:id="1136" w:name="_Toc349822791"/>
      <w:bookmarkStart w:id="1137" w:name="_Toc349823211"/>
      <w:bookmarkStart w:id="1138" w:name="_Toc349831193"/>
      <w:bookmarkStart w:id="1139" w:name="_Toc359248985"/>
      <w:bookmarkStart w:id="1140" w:name="_Toc359316942"/>
      <w:r>
        <w:rPr>
          <w:rStyle w:val="CharPartNo"/>
        </w:rPr>
        <w:t>Part 18</w:t>
      </w:r>
      <w:r>
        <w:rPr>
          <w:rStyle w:val="CharDivNo"/>
        </w:rPr>
        <w:t> </w:t>
      </w:r>
      <w:r>
        <w:t>—</w:t>
      </w:r>
      <w:r>
        <w:rPr>
          <w:rStyle w:val="CharDivText"/>
        </w:rPr>
        <w:t> </w:t>
      </w:r>
      <w:r>
        <w:rPr>
          <w:rStyle w:val="CharPartText"/>
        </w:rPr>
        <w:t>Savings and transitional provisions</w:t>
      </w:r>
      <w:bookmarkEnd w:id="1129"/>
      <w:bookmarkEnd w:id="1130"/>
      <w:bookmarkEnd w:id="1131"/>
      <w:bookmarkEnd w:id="1132"/>
      <w:bookmarkEnd w:id="1133"/>
      <w:bookmarkEnd w:id="1134"/>
      <w:bookmarkEnd w:id="1135"/>
      <w:bookmarkEnd w:id="1136"/>
      <w:bookmarkEnd w:id="1137"/>
      <w:bookmarkEnd w:id="1138"/>
      <w:bookmarkEnd w:id="1139"/>
      <w:bookmarkEnd w:id="1140"/>
    </w:p>
    <w:p>
      <w:pPr>
        <w:pStyle w:val="Heading5"/>
        <w:rPr>
          <w:snapToGrid w:val="0"/>
        </w:rPr>
      </w:pPr>
      <w:bookmarkStart w:id="1141" w:name="_Toc359316943"/>
      <w:r>
        <w:rPr>
          <w:rStyle w:val="CharSectno"/>
        </w:rPr>
        <w:t>182</w:t>
      </w:r>
      <w:r>
        <w:rPr>
          <w:snapToGrid w:val="0"/>
        </w:rPr>
        <w:t>.</w:t>
      </w:r>
      <w:r>
        <w:rPr>
          <w:snapToGrid w:val="0"/>
        </w:rPr>
        <w:tab/>
        <w:t>Limited entry fisheries under repealed Act (Act s. 74)</w:t>
      </w:r>
      <w:bookmarkEnd w:id="1141"/>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1142" w:name="_Toc359316944"/>
      <w:r>
        <w:rPr>
          <w:rStyle w:val="CharSectno"/>
        </w:rPr>
        <w:t>183</w:t>
      </w:r>
      <w:r>
        <w:rPr>
          <w:snapToGrid w:val="0"/>
        </w:rPr>
        <w:t>.</w:t>
      </w:r>
      <w:r>
        <w:rPr>
          <w:snapToGrid w:val="0"/>
        </w:rPr>
        <w:tab/>
        <w:t>Citation of notices</w:t>
      </w:r>
      <w:bookmarkEnd w:id="1142"/>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Fishery Notice 1982</w:t>
            </w:r>
          </w:p>
        </w:tc>
        <w:tc>
          <w:tcPr>
            <w:tcW w:w="3260"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1143" w:name="_Toc359316945"/>
      <w:r>
        <w:rPr>
          <w:rStyle w:val="CharSectno"/>
        </w:rPr>
        <w:t>186</w:t>
      </w:r>
      <w:r>
        <w:rPr>
          <w:snapToGrid w:val="0"/>
        </w:rPr>
        <w:t>.</w:t>
      </w:r>
      <w:r>
        <w:rPr>
          <w:snapToGrid w:val="0"/>
        </w:rPr>
        <w:tab/>
        <w:t>Certain notices under repealed Act continued as orders (Act s. 43)</w:t>
      </w:r>
      <w:bookmarkEnd w:id="1143"/>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90.]</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bookmarkStart w:id="1144" w:name="_Toc339626067"/>
      <w:bookmarkStart w:id="1145" w:name="_Toc342397819"/>
      <w:bookmarkStart w:id="1146" w:name="_Toc343520076"/>
      <w:bookmarkStart w:id="1147" w:name="_Toc343520533"/>
      <w:bookmarkStart w:id="1148" w:name="_Toc344712098"/>
      <w:bookmarkStart w:id="1149" w:name="_Toc344712614"/>
      <w:bookmarkStart w:id="1150" w:name="_Toc347307882"/>
    </w:p>
    <w:p>
      <w:pPr>
        <w:pStyle w:val="yScheduleHeading"/>
      </w:pPr>
      <w:bookmarkStart w:id="1151" w:name="_Toc349822795"/>
      <w:bookmarkStart w:id="1152" w:name="_Toc349823215"/>
      <w:bookmarkStart w:id="1153" w:name="_Toc349831197"/>
      <w:bookmarkStart w:id="1154" w:name="_Toc359248989"/>
      <w:bookmarkStart w:id="1155" w:name="_Toc359316946"/>
      <w:r>
        <w:rPr>
          <w:rStyle w:val="CharSchNo"/>
        </w:rPr>
        <w:t>Schedule 1</w:t>
      </w:r>
      <w:r>
        <w:t> — </w:t>
      </w:r>
      <w:r>
        <w:rPr>
          <w:rStyle w:val="CharSchText"/>
        </w:rPr>
        <w:t>Fees</w:t>
      </w:r>
      <w:bookmarkEnd w:id="1144"/>
      <w:bookmarkEnd w:id="1145"/>
      <w:bookmarkEnd w:id="1146"/>
      <w:bookmarkEnd w:id="1147"/>
      <w:bookmarkEnd w:id="1148"/>
      <w:bookmarkEnd w:id="1149"/>
      <w:bookmarkEnd w:id="1150"/>
      <w:bookmarkEnd w:id="1151"/>
      <w:bookmarkEnd w:id="1152"/>
      <w:bookmarkEnd w:id="1153"/>
      <w:bookmarkEnd w:id="1154"/>
      <w:bookmarkEnd w:id="1155"/>
    </w:p>
    <w:p>
      <w:pPr>
        <w:pStyle w:val="yFootnoteheading"/>
      </w:pPr>
      <w:r>
        <w:tab/>
        <w:t>[Heading inserted in Gazette 9 Jun 2009 p. 1912.]</w:t>
      </w:r>
    </w:p>
    <w:p>
      <w:pPr>
        <w:pStyle w:val="yHeading2"/>
      </w:pPr>
      <w:bookmarkStart w:id="1156" w:name="_Toc339626068"/>
      <w:bookmarkStart w:id="1157" w:name="_Toc342397820"/>
      <w:bookmarkStart w:id="1158" w:name="_Toc343520077"/>
      <w:bookmarkStart w:id="1159" w:name="_Toc343520534"/>
      <w:bookmarkStart w:id="1160" w:name="_Toc344712099"/>
      <w:bookmarkStart w:id="1161" w:name="_Toc344712615"/>
      <w:bookmarkStart w:id="1162" w:name="_Toc347307883"/>
      <w:bookmarkStart w:id="1163" w:name="_Toc349822796"/>
      <w:bookmarkStart w:id="1164" w:name="_Toc349823216"/>
      <w:bookmarkStart w:id="1165" w:name="_Toc349831198"/>
      <w:bookmarkStart w:id="1166" w:name="_Toc359248990"/>
      <w:bookmarkStart w:id="1167" w:name="_Toc359316947"/>
      <w:r>
        <w:rPr>
          <w:rStyle w:val="CharSDivNo"/>
          <w:sz w:val="28"/>
        </w:rPr>
        <w:t>Part 1</w:t>
      </w:r>
      <w:r>
        <w:t> — </w:t>
      </w:r>
      <w:r>
        <w:rPr>
          <w:rStyle w:val="CharSDivText"/>
          <w:sz w:val="28"/>
        </w:rPr>
        <w:t>General fees</w:t>
      </w:r>
      <w:bookmarkEnd w:id="1156"/>
      <w:bookmarkEnd w:id="1157"/>
      <w:bookmarkEnd w:id="1158"/>
      <w:bookmarkEnd w:id="1159"/>
      <w:bookmarkEnd w:id="1160"/>
      <w:bookmarkEnd w:id="1161"/>
      <w:bookmarkEnd w:id="1162"/>
      <w:bookmarkEnd w:id="1163"/>
      <w:bookmarkEnd w:id="1164"/>
      <w:bookmarkEnd w:id="1165"/>
      <w:bookmarkEnd w:id="1166"/>
      <w:bookmarkEnd w:id="1167"/>
    </w:p>
    <w:p>
      <w:pPr>
        <w:pStyle w:val="yFootnoteheading"/>
      </w:pPr>
      <w:r>
        <w:tab/>
        <w:t>[Heading inserted in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tabs>
                <w:tab w:val="clear" w:pos="567"/>
                <w:tab w:val="left" w:pos="598"/>
              </w:tabs>
              <w:ind w:left="612" w:hanging="612"/>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 xml:space="preserve">to the Minister, for any purpose (as provided by section 7(2) of the Act) </w:t>
            </w:r>
          </w:p>
        </w:tc>
        <w:tc>
          <w:tcPr>
            <w:tcW w:w="1200" w:type="dxa"/>
          </w:tcPr>
          <w:p>
            <w:pPr>
              <w:pStyle w:val="yTableNAm"/>
              <w:ind w:right="118"/>
              <w:jc w:val="right"/>
            </w:pPr>
            <w:r>
              <w:br/>
            </w:r>
            <w:r>
              <w:rPr>
                <w:szCs w:val="22"/>
              </w:rPr>
              <w:t>2 335.00</w:t>
            </w:r>
          </w:p>
        </w:tc>
      </w:tr>
      <w:tr>
        <w:tc>
          <w:tcPr>
            <w:tcW w:w="588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00" w:type="dxa"/>
          </w:tcPr>
          <w:p>
            <w:pPr>
              <w:pStyle w:val="yTableNAm"/>
              <w:ind w:right="118"/>
              <w:jc w:val="right"/>
            </w:pPr>
            <w:r>
              <w:br/>
            </w:r>
            <w:r>
              <w:br/>
            </w:r>
            <w:r>
              <w:br/>
            </w:r>
            <w:r>
              <w:rPr>
                <w:szCs w:val="22"/>
              </w:rPr>
              <w:t>305.00</w:t>
            </w:r>
          </w:p>
        </w:tc>
      </w:tr>
      <w:tr>
        <w:tc>
          <w:tcPr>
            <w:tcW w:w="5880" w:type="dxa"/>
          </w:tcPr>
          <w:p>
            <w:pPr>
              <w:pStyle w:val="yTableNAm"/>
              <w:tabs>
                <w:tab w:val="left" w:pos="1092"/>
              </w:tabs>
              <w:ind w:left="1092" w:hanging="1092"/>
            </w:pPr>
            <w:r>
              <w:tab/>
              <w:t>(c)</w:t>
            </w:r>
            <w:r>
              <w:tab/>
              <w:t xml:space="preserve">to the CEO, for one of the purposes provided by section 7(3)(b), (c), (d), (e), or (f) </w:t>
            </w:r>
          </w:p>
        </w:tc>
        <w:tc>
          <w:tcPr>
            <w:tcW w:w="1200" w:type="dxa"/>
          </w:tcPr>
          <w:p>
            <w:pPr>
              <w:pStyle w:val="yTableNAm"/>
              <w:ind w:right="118"/>
              <w:jc w:val="right"/>
            </w:pPr>
            <w:r>
              <w:br/>
            </w:r>
            <w:r>
              <w:rPr>
                <w:szCs w:val="22"/>
              </w:rPr>
              <w:t>1 231.00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33.00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33.00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t>20.00</w:t>
            </w:r>
          </w:p>
        </w:tc>
      </w:tr>
    </w:tbl>
    <w:p>
      <w:pPr>
        <w:pStyle w:val="yFootnotesection"/>
      </w:pPr>
      <w:r>
        <w:tab/>
        <w:t>[Part 1 inserted in Gazette 9 Jun 2009 p. 1912; amended in Gazette 6 May 2011 p. 1609</w:t>
      </w:r>
      <w:r>
        <w:noBreakHyphen/>
        <w:t>10.]</w:t>
      </w:r>
    </w:p>
    <w:p>
      <w:pPr>
        <w:pStyle w:val="yHeading2"/>
        <w:keepLines/>
      </w:pPr>
      <w:bookmarkStart w:id="1168" w:name="_Toc339626069"/>
      <w:bookmarkStart w:id="1169" w:name="_Toc342397821"/>
      <w:bookmarkStart w:id="1170" w:name="_Toc343520078"/>
      <w:bookmarkStart w:id="1171" w:name="_Toc343520535"/>
      <w:bookmarkStart w:id="1172" w:name="_Toc344712100"/>
      <w:bookmarkStart w:id="1173" w:name="_Toc344712616"/>
      <w:bookmarkStart w:id="1174" w:name="_Toc347307884"/>
      <w:bookmarkStart w:id="1175" w:name="_Toc349822797"/>
      <w:bookmarkStart w:id="1176" w:name="_Toc349823217"/>
      <w:bookmarkStart w:id="1177" w:name="_Toc349831199"/>
      <w:bookmarkStart w:id="1178" w:name="_Toc359248991"/>
      <w:bookmarkStart w:id="1179" w:name="_Toc359316948"/>
      <w:r>
        <w:rPr>
          <w:rStyle w:val="CharSDivNo"/>
          <w:sz w:val="28"/>
        </w:rPr>
        <w:t>Part 2</w:t>
      </w:r>
      <w:r>
        <w:t> — </w:t>
      </w:r>
      <w:r>
        <w:rPr>
          <w:rStyle w:val="CharSDivText"/>
          <w:sz w:val="28"/>
        </w:rPr>
        <w:t>Application fees</w:t>
      </w:r>
      <w:bookmarkEnd w:id="1168"/>
      <w:bookmarkEnd w:id="1169"/>
      <w:bookmarkEnd w:id="1170"/>
      <w:bookmarkEnd w:id="1171"/>
      <w:bookmarkEnd w:id="1172"/>
      <w:bookmarkEnd w:id="1173"/>
      <w:bookmarkEnd w:id="1174"/>
      <w:bookmarkEnd w:id="1175"/>
      <w:bookmarkEnd w:id="1176"/>
      <w:bookmarkEnd w:id="1177"/>
      <w:bookmarkEnd w:id="1178"/>
      <w:bookmarkEnd w:id="1179"/>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87.00</w:t>
            </w:r>
          </w:p>
        </w:tc>
      </w:tr>
      <w:tr>
        <w:tc>
          <w:tcPr>
            <w:tcW w:w="5760" w:type="dxa"/>
          </w:tcPr>
          <w:p>
            <w:pPr>
              <w:pStyle w:val="yTableNAm"/>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87.00</w:t>
            </w:r>
          </w:p>
        </w:tc>
      </w:tr>
      <w:tr>
        <w:tc>
          <w:tcPr>
            <w:tcW w:w="5760" w:type="dxa"/>
          </w:tcPr>
          <w:p>
            <w:pPr>
              <w:pStyle w:val="yTableNAm"/>
              <w:tabs>
                <w:tab w:val="left" w:pos="1092"/>
              </w:tabs>
              <w:ind w:left="1092" w:hanging="1092"/>
              <w:rPr>
                <w:i/>
                <w:iCs/>
              </w:rPr>
            </w:pPr>
            <w:r>
              <w:rPr>
                <w:i/>
                <w:iCs/>
              </w:rPr>
              <w:t>[4.</w:t>
            </w:r>
            <w:r>
              <w:rPr>
                <w:i/>
                <w:iCs/>
              </w:rPr>
              <w:tab/>
              <w:t>deleted]</w:t>
            </w:r>
          </w:p>
        </w:tc>
        <w:tc>
          <w:tcPr>
            <w:tcW w:w="1320" w:type="dxa"/>
          </w:tcPr>
          <w:p>
            <w:pPr>
              <w:pStyle w:val="yTableNAm"/>
              <w:ind w:right="238"/>
              <w:jc w:val="right"/>
            </w:pPr>
            <w:r>
              <w:tab/>
            </w:r>
          </w:p>
        </w:tc>
      </w:tr>
      <w:tr>
        <w:tc>
          <w:tcPr>
            <w:tcW w:w="5760" w:type="dxa"/>
          </w:tcPr>
          <w:p>
            <w:pPr>
              <w:pStyle w:val="yTableNAm"/>
            </w:pPr>
            <w:r>
              <w:t>5.</w:t>
            </w:r>
            <w:r>
              <w:tab/>
              <w:t xml:space="preserve">Rock lobster pot licence, grant or renewal (reg. 126)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327.00</w:t>
            </w:r>
          </w:p>
        </w:tc>
      </w:tr>
      <w:t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91.00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544.00</w:t>
            </w:r>
          </w:p>
        </w:tc>
      </w:tr>
      <w:t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544.00</w:t>
            </w:r>
          </w:p>
        </w:tc>
      </w:tr>
      <w:tr>
        <w:trPr>
          <w:cantSpli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544.00</w:t>
            </w:r>
          </w:p>
        </w:tc>
      </w:tr>
      <w:t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2 461.00</w:t>
            </w:r>
          </w:p>
        </w:tc>
      </w:tr>
      <w:tr>
        <w:tc>
          <w:tcPr>
            <w:tcW w:w="5760" w:type="dxa"/>
          </w:tcPr>
          <w:p>
            <w:pPr>
              <w:pStyle w:val="yTableNAm"/>
              <w:tabs>
                <w:tab w:val="clear" w:pos="567"/>
                <w:tab w:val="left" w:pos="598"/>
              </w:tabs>
              <w:ind w:left="612" w:hanging="612"/>
            </w:pPr>
            <w:r>
              <w:t>11.</w:t>
            </w:r>
            <w:r>
              <w:tab/>
              <w:t xml:space="preserve">Aquaculture licence under section 92 of the Act — </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329.00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153.00</w:t>
            </w:r>
          </w:p>
        </w:tc>
      </w:tr>
      <w:t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153.00</w:t>
            </w:r>
          </w:p>
        </w:tc>
      </w:tr>
      <w:t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153.00</w:t>
            </w:r>
          </w:p>
        </w:tc>
      </w:tr>
      <w:t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153.00</w:t>
            </w:r>
          </w:p>
        </w:tc>
      </w:tr>
      <w:t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153.00</w:t>
            </w:r>
          </w:p>
        </w:tc>
      </w:tr>
      <w:t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771.00</w:t>
            </w:r>
          </w:p>
        </w:tc>
      </w:tr>
      <w:tr>
        <w:tc>
          <w:tcPr>
            <w:tcW w:w="5760" w:type="dxa"/>
          </w:tcPr>
          <w:p>
            <w:pPr>
              <w:pStyle w:val="yTableNAm"/>
              <w:tabs>
                <w:tab w:val="clear" w:pos="567"/>
                <w:tab w:val="left" w:pos="598"/>
              </w:tabs>
              <w:ind w:left="612" w:hanging="612"/>
            </w:pPr>
            <w:r>
              <w:t>19.</w:t>
            </w:r>
            <w:r>
              <w:tab/>
              <w:t>Aquatic eco</w:t>
            </w:r>
            <w:r>
              <w:noBreakHyphen/>
              <w:t xml:space="preserve">tourism operator’s licence (reg. 128B) or restricted fishing tour operator’s licence (reg. 128J) </w:t>
            </w:r>
          </w:p>
        </w:tc>
        <w:tc>
          <w:tcPr>
            <w:tcW w:w="1320" w:type="dxa"/>
          </w:tcPr>
          <w:p>
            <w:pPr>
              <w:pStyle w:val="yTableNAm"/>
              <w:ind w:right="238"/>
              <w:jc w:val="right"/>
            </w:pPr>
            <w:r>
              <w:br/>
            </w: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bl>
    <w:p>
      <w:pPr>
        <w:pStyle w:val="yFootnotesection"/>
      </w:pPr>
      <w:r>
        <w:tab/>
        <w:t>[Part 2 inserted in Gazette 9 Jun 2009 p. 1913</w:t>
      </w:r>
      <w:r>
        <w:noBreakHyphen/>
        <w:t>14; amended in Gazette 12 Feb 2010 p. 586; 6 May 2011 p. 1610</w:t>
      </w:r>
      <w:r>
        <w:noBreakHyphen/>
        <w:t>11.]</w:t>
      </w:r>
    </w:p>
    <w:p>
      <w:pPr>
        <w:pStyle w:val="yHeading2"/>
        <w:keepLines/>
      </w:pPr>
      <w:bookmarkStart w:id="1180" w:name="_Toc339626070"/>
      <w:bookmarkStart w:id="1181" w:name="_Toc342397822"/>
      <w:bookmarkStart w:id="1182" w:name="_Toc343520079"/>
      <w:bookmarkStart w:id="1183" w:name="_Toc343520536"/>
      <w:bookmarkStart w:id="1184" w:name="_Toc344712101"/>
      <w:bookmarkStart w:id="1185" w:name="_Toc344712617"/>
      <w:bookmarkStart w:id="1186" w:name="_Toc347307885"/>
      <w:bookmarkStart w:id="1187" w:name="_Toc349822798"/>
      <w:bookmarkStart w:id="1188" w:name="_Toc349823218"/>
      <w:bookmarkStart w:id="1189" w:name="_Toc349831200"/>
      <w:bookmarkStart w:id="1190" w:name="_Toc359248992"/>
      <w:bookmarkStart w:id="1191" w:name="_Toc359316949"/>
      <w:r>
        <w:rPr>
          <w:rStyle w:val="CharSDivNo"/>
          <w:sz w:val="28"/>
        </w:rPr>
        <w:t>Part 3</w:t>
      </w:r>
      <w:r>
        <w:t> — </w:t>
      </w:r>
      <w:r>
        <w:rPr>
          <w:rStyle w:val="CharSDivText"/>
          <w:sz w:val="28"/>
        </w:rPr>
        <w:t>Fees for the grant or renewal of authorisations</w:t>
      </w:r>
      <w:bookmarkEnd w:id="1180"/>
      <w:bookmarkEnd w:id="1181"/>
      <w:bookmarkEnd w:id="1182"/>
      <w:bookmarkEnd w:id="1183"/>
      <w:bookmarkEnd w:id="1184"/>
      <w:bookmarkEnd w:id="1185"/>
      <w:bookmarkEnd w:id="1186"/>
      <w:bookmarkEnd w:id="1187"/>
      <w:bookmarkEnd w:id="1188"/>
      <w:bookmarkEnd w:id="1189"/>
      <w:bookmarkEnd w:id="1190"/>
      <w:bookmarkEnd w:id="1191"/>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118"/>
              <w:jc w:val="center"/>
              <w:rPr>
                <w:b/>
                <w:bCs/>
              </w:rPr>
            </w:pPr>
            <w:r>
              <w:rPr>
                <w:b/>
                <w:bCs/>
              </w:rPr>
              <w:t>$</w:t>
            </w:r>
          </w:p>
        </w:tc>
      </w:tr>
      <w:tr>
        <w:tc>
          <w:tcPr>
            <w:tcW w:w="5760" w:type="dxa"/>
          </w:tcPr>
          <w:p>
            <w:pPr>
              <w:pStyle w:val="yTableNAm"/>
              <w:keepNext/>
              <w:tabs>
                <w:tab w:val="clear" w:pos="567"/>
                <w:tab w:val="left" w:pos="598"/>
              </w:tabs>
              <w:ind w:left="612" w:hanging="612"/>
            </w:pPr>
            <w:r>
              <w:t>1.</w:t>
            </w:r>
            <w:r>
              <w:tab/>
              <w:t>Fish processor’s licence</w:t>
            </w:r>
          </w:p>
          <w:p>
            <w:pPr>
              <w:pStyle w:val="yTableNAm"/>
              <w:keepNext/>
              <w:tabs>
                <w:tab w:val="clear" w:pos="567"/>
                <w:tab w:val="left" w:pos="598"/>
              </w:tabs>
              <w:ind w:left="612" w:hanging="612"/>
            </w:pPr>
            <w:r>
              <w:tab/>
              <w:t>Types of processing establishments — </w:t>
            </w:r>
          </w:p>
        </w:tc>
        <w:tc>
          <w:tcPr>
            <w:tcW w:w="1320" w:type="dxa"/>
          </w:tcPr>
          <w:p>
            <w:pPr>
              <w:pStyle w:val="yTableNAm"/>
              <w:keepNext/>
              <w:ind w:right="118"/>
              <w:jc w:val="right"/>
            </w:pPr>
          </w:p>
        </w:tc>
      </w:tr>
      <w:tr>
        <w:trPr>
          <w:cantSplit/>
        </w:trPr>
        <w:tc>
          <w:tcPr>
            <w:tcW w:w="5760" w:type="dxa"/>
          </w:tcPr>
          <w:p>
            <w:pPr>
              <w:pStyle w:val="yTableNAm"/>
              <w:tabs>
                <w:tab w:val="left" w:pos="1092"/>
              </w:tabs>
              <w:ind w:left="1092" w:hanging="1092"/>
            </w:pPr>
            <w:r>
              <w:tab/>
              <w:t>(a)</w:t>
            </w:r>
            <w:r>
              <w:tab/>
              <w:t xml:space="preserve">processing establishment that is erected on land and that is used for processing either rock lobsters or prawns </w:t>
            </w:r>
          </w:p>
        </w:tc>
        <w:tc>
          <w:tcPr>
            <w:tcW w:w="1320" w:type="dxa"/>
          </w:tcPr>
          <w:p>
            <w:pPr>
              <w:pStyle w:val="yTableNAm"/>
              <w:ind w:right="118"/>
              <w:jc w:val="right"/>
            </w:pPr>
            <w:r>
              <w:br/>
            </w:r>
            <w:r>
              <w:br/>
            </w:r>
            <w:r>
              <w:rPr>
                <w:szCs w:val="22"/>
              </w:rPr>
              <w:t>862.00</w:t>
            </w:r>
          </w:p>
        </w:tc>
      </w:tr>
      <w:tr>
        <w:tc>
          <w:tcPr>
            <w:tcW w:w="5760" w:type="dxa"/>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p>
        </w:tc>
        <w:tc>
          <w:tcPr>
            <w:tcW w:w="1320" w:type="dxa"/>
          </w:tcPr>
          <w:p>
            <w:pPr>
              <w:pStyle w:val="yTableNAm"/>
              <w:ind w:right="118"/>
              <w:jc w:val="right"/>
            </w:pPr>
            <w:r>
              <w:br/>
            </w:r>
            <w:r>
              <w:br/>
            </w:r>
            <w:r>
              <w:rPr>
                <w:szCs w:val="22"/>
              </w:rPr>
              <w:t>1 581.00</w:t>
            </w:r>
          </w:p>
        </w:tc>
      </w:tr>
      <w:tr>
        <w:tc>
          <w:tcPr>
            <w:tcW w:w="5760" w:type="dxa"/>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p>
        </w:tc>
        <w:tc>
          <w:tcPr>
            <w:tcW w:w="1320" w:type="dxa"/>
          </w:tcPr>
          <w:p>
            <w:pPr>
              <w:pStyle w:val="yTableNAm"/>
              <w:ind w:right="118"/>
              <w:jc w:val="right"/>
            </w:pPr>
            <w:r>
              <w:br/>
            </w:r>
            <w:r>
              <w:br/>
            </w:r>
            <w:r>
              <w:rPr>
                <w:szCs w:val="22"/>
              </w:rPr>
              <w:t>2 125.00</w:t>
            </w:r>
          </w:p>
        </w:tc>
      </w:tr>
      <w:tr>
        <w:tc>
          <w:tcPr>
            <w:tcW w:w="5760" w:type="dxa"/>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p>
        </w:tc>
        <w:tc>
          <w:tcPr>
            <w:tcW w:w="1320" w:type="dxa"/>
          </w:tcPr>
          <w:p>
            <w:pPr>
              <w:pStyle w:val="yTableNAm"/>
              <w:ind w:right="118"/>
              <w:jc w:val="right"/>
            </w:pPr>
            <w:r>
              <w:br/>
            </w:r>
            <w:r>
              <w:br/>
            </w:r>
            <w:r>
              <w:rPr>
                <w:szCs w:val="22"/>
              </w:rPr>
              <w:t>1 280.00</w:t>
            </w:r>
          </w:p>
        </w:tc>
      </w:tr>
      <w:tr>
        <w:tc>
          <w:tcPr>
            <w:tcW w:w="5760" w:type="dxa"/>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(f)</w:t>
            </w:r>
            <w:r>
              <w:tab/>
              <w:t xml:space="preserve">seagoing processing establishment that is used solely for processing fish including rock lobsters and prawns taken by it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p>
        </w:tc>
        <w:tc>
          <w:tcPr>
            <w:tcW w:w="1320" w:type="dxa"/>
          </w:tcPr>
          <w:p>
            <w:pPr>
              <w:pStyle w:val="yTableNAm"/>
              <w:ind w:right="118"/>
              <w:jc w:val="right"/>
            </w:pPr>
            <w:r>
              <w:br/>
            </w:r>
            <w:r>
              <w:br/>
            </w:r>
            <w:r>
              <w:rPr>
                <w:szCs w:val="22"/>
              </w:rPr>
              <w:t>420.00</w:t>
            </w:r>
          </w:p>
        </w:tc>
      </w:tr>
      <w:tr>
        <w:tc>
          <w:tcPr>
            <w:tcW w:w="5760" w:type="dxa"/>
          </w:tcPr>
          <w:p>
            <w:pPr>
              <w:pStyle w:val="yTableNAm"/>
              <w:tabs>
                <w:tab w:val="clear" w:pos="567"/>
                <w:tab w:val="left" w:pos="598"/>
              </w:tabs>
              <w:ind w:left="612" w:hanging="612"/>
            </w:pPr>
            <w:r>
              <w:t>2.</w:t>
            </w:r>
            <w:r>
              <w:tab/>
              <w:t>Aquaculture licence</w:t>
            </w:r>
          </w:p>
        </w:tc>
        <w:tc>
          <w:tcPr>
            <w:tcW w:w="1320" w:type="dxa"/>
          </w:tcPr>
          <w:p>
            <w:pPr>
              <w:pStyle w:val="yTableNAm"/>
              <w:ind w:right="118"/>
              <w:jc w:val="right"/>
            </w:pPr>
          </w:p>
        </w:tc>
      </w:tr>
      <w:tr>
        <w:tc>
          <w:tcPr>
            <w:tcW w:w="5760" w:type="dxa"/>
          </w:tcPr>
          <w:p>
            <w:pPr>
              <w:pStyle w:val="yTableNAm"/>
              <w:tabs>
                <w:tab w:val="left" w:pos="1092"/>
              </w:tabs>
              <w:ind w:left="1092" w:hanging="1092"/>
            </w:pPr>
            <w:r>
              <w:tab/>
              <w:t>(a)</w:t>
            </w:r>
            <w:r>
              <w:tab/>
              <w:t xml:space="preserve">any licence other than a licence referred to in paragraph (b) </w:t>
            </w:r>
          </w:p>
        </w:tc>
        <w:tc>
          <w:tcPr>
            <w:tcW w:w="1320" w:type="dxa"/>
          </w:tcPr>
          <w:p>
            <w:pPr>
              <w:pStyle w:val="yTableNAm"/>
              <w:ind w:right="118"/>
              <w:jc w:val="right"/>
            </w:pPr>
            <w:r>
              <w:br/>
            </w:r>
            <w:r>
              <w:rPr>
                <w:szCs w:val="22"/>
              </w:rPr>
              <w:t>363.00</w:t>
            </w:r>
          </w:p>
        </w:tc>
      </w:tr>
      <w:tr>
        <w:tc>
          <w:tcPr>
            <w:tcW w:w="5760" w:type="dxa"/>
          </w:tcPr>
          <w:p>
            <w:pPr>
              <w:pStyle w:val="yTableNAm"/>
              <w:tabs>
                <w:tab w:val="left" w:pos="1092"/>
              </w:tabs>
              <w:ind w:left="1092" w:hanging="1092"/>
            </w:pPr>
            <w:r>
              <w:tab/>
              <w:t>(b)</w:t>
            </w:r>
            <w:r>
              <w:tab/>
              <w:t>a licence that authorises the aquaculture of marron only and is subject to the condition that the sale of the marron is prohibited unless the marron —</w:t>
            </w:r>
          </w:p>
          <w:p>
            <w:pPr>
              <w:pStyle w:val="yTableNAm"/>
              <w:tabs>
                <w:tab w:val="clear" w:pos="567"/>
                <w:tab w:val="left" w:pos="1092"/>
                <w:tab w:val="left" w:pos="1666"/>
              </w:tabs>
              <w:ind w:left="1666" w:hanging="1666"/>
              <w:rPr>
                <w:rFonts w:ascii="Times" w:hAnsi="Times"/>
              </w:rPr>
            </w:pPr>
            <w:r>
              <w:tab/>
              <w:t>(i)</w:t>
            </w:r>
            <w:r>
              <w:tab/>
            </w:r>
            <w:r>
              <w:rPr>
                <w:rFonts w:ascii="Times" w:hAnsi="Times"/>
              </w:rPr>
              <w:t>are of a length not less than 76 mm; and</w:t>
            </w:r>
          </w:p>
          <w:p>
            <w:pPr>
              <w:pStyle w:val="yTableNAm"/>
              <w:tabs>
                <w:tab w:val="clear" w:pos="567"/>
                <w:tab w:val="left" w:pos="1092"/>
                <w:tab w:val="left" w:pos="1666"/>
              </w:tabs>
              <w:ind w:left="1666" w:hanging="1666"/>
            </w:pPr>
            <w:r>
              <w:rPr>
                <w:rFonts w:ascii="Times" w:hAnsi="Times"/>
              </w:rPr>
              <w:tab/>
              <w:t>(ii)</w:t>
            </w:r>
            <w:r>
              <w:rPr>
                <w:rFonts w:ascii="Times" w:hAnsi="Times"/>
              </w:rPr>
              <w:tab/>
              <w:t>are sold to a person who holds an aquaculture licence or fish processor’s</w:t>
            </w:r>
            <w:r>
              <w:t xml:space="preserve"> licence</w:t>
            </w:r>
          </w:p>
        </w:tc>
        <w:tc>
          <w:tcPr>
            <w:tcW w:w="1320" w:type="dxa"/>
          </w:tcPr>
          <w:p>
            <w:pPr>
              <w:pStyle w:val="yTableNAm"/>
              <w:ind w:right="118"/>
              <w:jc w:val="right"/>
            </w:pPr>
            <w:r>
              <w:br/>
            </w:r>
            <w:r>
              <w:br/>
            </w:r>
            <w:r>
              <w:br/>
            </w:r>
            <w:r>
              <w:br/>
            </w:r>
            <w:r>
              <w:br/>
            </w:r>
            <w:r>
              <w:br/>
            </w:r>
            <w:r>
              <w:br/>
              <w:t>No fee</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3.</w:t>
            </w:r>
            <w:r>
              <w:tab/>
              <w:t>Managed fishery licence fees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t xml:space="preserve">for greenlip abalone, per kg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5.73</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brownlip abalone, per kg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5.73</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r>
            <w:r>
              <w:rPr>
                <w:rFonts w:ascii="Times" w:hAnsi="Times"/>
              </w:rPr>
              <w:t>for</w:t>
            </w:r>
            <w:r>
              <w:t xml:space="preserve"> Roe’s abalone, per kg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1.38</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w:t>
            </w:r>
            <w:r>
              <w:tab/>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and Mid West Trawl Managed Fishery, per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26 215.00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(3)</w:t>
            </w:r>
            <w:r>
              <w:tab/>
              <w:t xml:space="preserve">Broome Prawn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(4)</w:t>
            </w:r>
            <w:r>
              <w:tab/>
              <w:t xml:space="preserve">Cockburn Sound (Crab) Managed Fishery, per pot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11.14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(5)</w:t>
            </w:r>
            <w:r>
              <w:tab/>
              <w:t xml:space="preserve">Cockburn Sound (Fish Net)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6 010.00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(6)</w:t>
            </w:r>
            <w:r>
              <w:tab/>
              <w:t xml:space="preserve">Cockburn Sound (Line and Pot)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289.00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(7)</w:t>
            </w:r>
            <w:r>
              <w:tab/>
              <w:t xml:space="preserve">Cockburn Sound (Mussel)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122.00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(8)</w:t>
            </w:r>
            <w:r>
              <w:tab/>
              <w:t xml:space="preserve">Esperance Rock Lobster Managed Fishery, per pot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63.14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(9)</w:t>
            </w:r>
            <w:r>
              <w:tab/>
            </w:r>
            <w:smartTag w:uri="urn:schemas-microsoft-com:office:smarttags" w:element="place">
              <w:smartTag w:uri="urn:schemas-microsoft-com:office:smarttags" w:element="PlaceName">
                <w:r>
                  <w:t>Exmouth</w:t>
                </w:r>
              </w:smartTag>
              <w:r>
                <w:t xml:space="preserve"> </w:t>
              </w:r>
              <w:smartTag w:uri="urn:schemas-microsoft-com:office:smarttags" w:element="PlaceType">
                <w:r>
                  <w:t>Gulf</w:t>
                </w:r>
              </w:smartTag>
            </w:smartTag>
            <w:r>
              <w:t xml:space="preserve"> Prawn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29 833.00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(10)</w:t>
            </w:r>
            <w:r>
              <w:tab/>
              <w:t>Gascoyne Demersal Scalefish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17.26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(11)</w:t>
            </w:r>
            <w:r>
              <w:tab/>
              <w:t xml:space="preserve">Kimberley Gillnet and Barramundi Managed Fishery, per boat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7 298.00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(12)</w:t>
            </w:r>
            <w:r>
              <w:tab/>
            </w:r>
            <w:smartTag w:uri="urn:schemas-microsoft-com:office:smarttags" w:element="place">
              <w:smartTag w:uri="urn:schemas-microsoft-com:office:smarttags" w:element="City">
                <w:r>
                  <w:t>Kimberley</w:t>
                </w:r>
              </w:smartTag>
            </w:smartTag>
            <w:r>
              <w:t xml:space="preserve">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a Class 1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704.00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a Class 2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704.00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r>
            <w:r>
              <w:rPr>
                <w:rFonts w:ascii="Times" w:hAnsi="Times"/>
              </w:rPr>
              <w:t>for</w:t>
            </w:r>
            <w:r>
              <w:t xml:space="preserve"> a Class 3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5 000.00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br w:type="page"/>
              <w:t>(13)</w:t>
            </w:r>
            <w:r>
              <w:tab/>
              <w:t>Marine Aquarium Fish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an individual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955.00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a body corporate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955.00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(14)</w:t>
            </w:r>
            <w:r>
              <w:tab/>
            </w:r>
            <w:smartTag w:uri="urn:schemas-microsoft-com:office:smarttags" w:element="place">
              <w:smartTag w:uri="urn:schemas-microsoft-com:office:smarttags" w:element="PlaceName">
                <w:r>
                  <w:t>Nickol</w:t>
                </w:r>
              </w:smartTag>
              <w:r>
                <w:t xml:space="preserve"> </w:t>
              </w:r>
              <w:smartTag w:uri="urn:schemas-microsoft-com:office:smarttags" w:element="PlaceType">
                <w:r>
                  <w:t>Bay</w:t>
                </w:r>
              </w:smartTag>
            </w:smartTag>
            <w:r>
              <w:t xml:space="preserve"> Prawn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2 517.00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(15)</w:t>
            </w:r>
            <w:r>
              <w:tab/>
              <w:t xml:space="preserve">Northern Demersal Scalefish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an “A” class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136.00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a “B” class licence, per unit of entitlement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182.17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(16)</w:t>
            </w:r>
            <w:r>
              <w:tab/>
              <w:t>Onslow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t xml:space="preserve">for an “A” class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3 877.00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a “B” class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r>
            <w:r>
              <w:rPr>
                <w:rFonts w:ascii="Times" w:hAnsi="Times"/>
              </w:rPr>
              <w:t>for</w:t>
            </w:r>
            <w:r>
              <w:t xml:space="preserve"> a “C” class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(d)</w:t>
            </w:r>
            <w:r>
              <w:tab/>
            </w:r>
            <w:r>
              <w:rPr>
                <w:rFonts w:ascii="Times" w:hAnsi="Times"/>
              </w:rPr>
              <w:t>for</w:t>
            </w:r>
            <w:r>
              <w:t xml:space="preserve"> a “D” class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(17)</w:t>
            </w:r>
            <w:r>
              <w:tab/>
              <w:t xml:space="preserve">Pilbara Fish Trawl Interim Managed Fishery, per fish trawl unit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7.49</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(18)</w:t>
            </w:r>
            <w:r>
              <w:tab/>
              <w:t xml:space="preserve">Pilbara Trap Managed Fishery, per trap unit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21.14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(19)</w:t>
            </w:r>
            <w:r>
              <w:tab/>
            </w:r>
            <w:smartTag w:uri="urn:schemas-microsoft-com:office:smarttags" w:element="PlaceName">
              <w:r>
                <w:t>Shark</w:t>
              </w:r>
            </w:smartTag>
            <w:r>
              <w:t xml:space="preserve"> </w:t>
            </w:r>
            <w:smartTag w:uri="urn:schemas-microsoft-com:office:smarttags" w:element="PlaceType">
              <w:r>
                <w:t>Bay</w:t>
              </w:r>
            </w:smartTag>
            <w:r>
              <w:t xml:space="preserve"> </w:t>
            </w:r>
            <w:smartTag w:uri="urn:schemas-microsoft-com:office:smarttags" w:element="PlaceType">
              <w:r>
                <w:t>Beach</w:t>
              </w:r>
            </w:smartTag>
            <w:r>
              <w:t xml:space="preserve"> </w:t>
            </w:r>
            <w:smartTag w:uri="urn:schemas-microsoft-com:office:smarttags" w:element="place">
              <w:r>
                <w:t>Seine</w:t>
              </w:r>
            </w:smartTag>
            <w:r>
              <w:t xml:space="preserve"> and Mesh Net Managed Fishery, per fishing unit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5 165.00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(20)</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Prawn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45 663.00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(21)</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Scallop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a class A boat, per boat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26 297.00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a class B boat, per boat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6 887.00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(22)</w:t>
            </w:r>
            <w:r>
              <w:tab/>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Estuarine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2 369.00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zone 1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123.53</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zone 2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202.89</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r>
            <w:r>
              <w:rPr>
                <w:rFonts w:ascii="Times" w:hAnsi="Times"/>
              </w:rPr>
              <w:t>for</w:t>
            </w:r>
            <w:r>
              <w:t xml:space="preserve"> zone 3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113.97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(d)</w:t>
            </w:r>
            <w:r>
              <w:tab/>
            </w:r>
            <w:r>
              <w:rPr>
                <w:rFonts w:ascii="Times" w:hAnsi="Times"/>
              </w:rPr>
              <w:t>for</w:t>
            </w:r>
            <w:r>
              <w:t xml:space="preserve"> zone 4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120.60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(24)</w:t>
            </w:r>
            <w:r>
              <w:tab/>
              <w:t>South Coast Salmon Managed Fishery, per team</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391.00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(25)</w:t>
            </w:r>
            <w:r>
              <w:tab/>
              <w:t xml:space="preserve">South West Coast Salmon Managed Fishery, per team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781.00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(26)</w:t>
            </w:r>
            <w:r>
              <w:tab/>
              <w:t>South West Trawl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zone A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zone B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t xml:space="preserve">for zone A and B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(d)</w:t>
            </w:r>
            <w:r>
              <w:tab/>
              <w:t xml:space="preserve">for zone B and C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(e)</w:t>
            </w:r>
            <w:r>
              <w:tab/>
              <w:t xml:space="preserve">for zone B and D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(27)</w:t>
            </w:r>
            <w:r>
              <w:tab/>
              <w:t xml:space="preserve">Specimen Shell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1 030.00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(28)</w:t>
            </w:r>
            <w:r>
              <w:tab/>
              <w:t xml:space="preserve">Warnbro Sound (Crab)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1 083.00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(29)</w:t>
            </w:r>
            <w:r>
              <w:tab/>
              <w:t xml:space="preserve">West Coast (Beach Bait Fish Net)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420.00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1092"/>
              </w:tabs>
              <w:ind w:left="1092" w:hanging="1092"/>
            </w:pPr>
            <w:r>
              <w:tab/>
            </w:r>
            <w:r>
              <w:br w:type="page"/>
              <w:t>(30A)</w:t>
            </w:r>
            <w:r>
              <w:tab/>
            </w:r>
            <w:smartTag w:uri="urn:schemas-microsoft-com:office:smarttags" w:element="place">
              <w:smartTag w:uri="urn:schemas-microsoft-com:office:smarttags" w:element="PlaceName">
                <w:r>
                  <w:t>West Coast</w:t>
                </w:r>
              </w:smartTag>
              <w:r>
                <w:t xml:space="preserve"> </w:t>
              </w:r>
              <w:smartTag w:uri="urn:schemas-microsoft-com:office:smarttags" w:element="PlaceName">
                <w:r>
                  <w:t>Deep</w:t>
                </w:r>
              </w:smartTag>
              <w:r>
                <w:t xml:space="preserve"> </w:t>
              </w:r>
              <w:smartTag w:uri="urn:schemas-microsoft-com:office:smarttags" w:element="PlaceType">
                <w:r>
                  <w:t>Sea</w:t>
                </w:r>
              </w:smartTag>
            </w:smartTag>
            <w:r>
              <w:t xml:space="preserve"> Crustacean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t>for class 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14.44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t>for class 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rPr>
                <w:szCs w:val="22"/>
              </w:rPr>
            </w:pPr>
            <w:r>
              <w:rPr>
                <w:szCs w:val="22"/>
              </w:rPr>
              <w:t>3.15</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(30)</w:t>
            </w:r>
            <w:r>
              <w:tab/>
              <w:t>West Coast Demersal Gillnet and Demersal Longline Interim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4.20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(31)</w:t>
            </w:r>
            <w:r>
              <w:tab/>
              <w:t xml:space="preserve">West Coast Purse </w:t>
            </w:r>
            <w:smartTag w:uri="urn:schemas-microsoft-com:office:smarttags" w:element="place">
              <w:r>
                <w:t>Seine</w:t>
              </w:r>
            </w:smartTag>
            <w:r>
              <w:t xml:space="preserve"> Managed Fishery</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227.00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br w:type="page"/>
              <w:t>(32)</w:t>
            </w:r>
            <w:r>
              <w:tab/>
              <w:t xml:space="preserve">West Coast Rock Lobster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zone 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zone 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t>for zone C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(33)</w:t>
            </w:r>
            <w:r>
              <w:tab/>
              <w:t>Windy Harbour</w:t>
            </w:r>
            <w:r>
              <w:noBreakHyphen/>
              <w:t xml:space="preserve">Augusta Rock Lobster Managed Fishery, per pot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5.97</w:t>
            </w:r>
          </w:p>
        </w:tc>
      </w:tr>
      <w:tr>
        <w:tc>
          <w:tcPr>
            <w:tcW w:w="5760" w:type="dxa"/>
          </w:tcPr>
          <w:p>
            <w:pPr>
              <w:pStyle w:val="yTableNAm"/>
              <w:tabs>
                <w:tab w:val="clear" w:pos="567"/>
                <w:tab w:val="left" w:pos="598"/>
              </w:tabs>
              <w:ind w:left="612" w:hanging="612"/>
            </w:pPr>
            <w:r>
              <w:t>4.</w:t>
            </w:r>
            <w:r>
              <w:tab/>
              <w:t>Aquatic eco</w:t>
            </w:r>
            <w:r>
              <w:noBreakHyphen/>
              <w:t>tourism operator’s licence or restricted fishing tour operator’s licence</w:t>
            </w:r>
          </w:p>
          <w:p>
            <w:pPr>
              <w:pStyle w:val="yTableNAm"/>
              <w:tabs>
                <w:tab w:val="clear" w:pos="567"/>
                <w:tab w:val="left" w:pos="598"/>
              </w:tabs>
              <w:ind w:left="612" w:hanging="612"/>
            </w:pPr>
            <w:r>
              <w:tab/>
              <w:t>Types of operation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20" w:hanging="1220"/>
            </w:pPr>
            <w:r>
              <w:tab/>
              <w:t>(1)(a)</w:t>
            </w:r>
            <w:r>
              <w:tab/>
              <w:t>Using —</w:t>
            </w:r>
          </w:p>
          <w:p>
            <w:pPr>
              <w:pStyle w:val="yTableNAm"/>
              <w:tabs>
                <w:tab w:val="clear" w:pos="567"/>
                <w:tab w:val="left" w:pos="1220"/>
                <w:tab w:val="left" w:pos="1700"/>
              </w:tabs>
              <w:ind w:left="1700" w:hanging="1700"/>
            </w:pPr>
            <w:r>
              <w:tab/>
              <w:t>(i)</w:t>
            </w:r>
            <w:r>
              <w:tab/>
              <w:t>one boat with a surveyed length of more than 7.5 m and an open water passenger capacity of 20 persons or less and an associated power boat with a length of 4.5 m or more but 7.5 m or less, in one zone; or</w:t>
            </w:r>
          </w:p>
          <w:p>
            <w:pPr>
              <w:pStyle w:val="yTableNAm"/>
              <w:tabs>
                <w:tab w:val="clear" w:pos="567"/>
                <w:tab w:val="left" w:pos="1220"/>
                <w:tab w:val="left" w:pos="1700"/>
              </w:tabs>
              <w:ind w:left="1700" w:hanging="1700"/>
            </w:pPr>
            <w:r>
              <w:tab/>
              <w:t>(ii)</w:t>
            </w:r>
            <w:r>
              <w:tab/>
              <w:t>one or more boats with a surveyed length of 7.5 m or less and a combined open water passenger carrying capacity of 20 persons or less, in one zone</w:t>
            </w:r>
          </w:p>
        </w:tc>
        <w:tc>
          <w:tcPr>
            <w:tcW w:w="1320" w:type="dxa"/>
          </w:tcPr>
          <w:p>
            <w:pPr>
              <w:pStyle w:val="yTableNAm"/>
              <w:keepNext/>
              <w:ind w:right="118"/>
              <w:jc w:val="right"/>
            </w:pPr>
            <w:r>
              <w:br/>
            </w:r>
            <w:r>
              <w:br/>
            </w:r>
            <w:r>
              <w:br/>
            </w:r>
            <w:r>
              <w:br/>
            </w:r>
            <w:r>
              <w:br/>
            </w:r>
            <w:r>
              <w:br/>
            </w: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4(1)(a)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for each additional 10 passengers or part thereof</w:t>
            </w:r>
            <w:r>
              <w:rPr>
                <w:rFonts w:ascii="Times" w:hAnsi="Times"/>
                <w:spacing w:val="-4"/>
              </w:rPr>
              <w:t xml:space="preserv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c>
          <w:tcPr>
            <w:tcW w:w="5760" w:type="dxa"/>
          </w:tcPr>
          <w:p>
            <w:pPr>
              <w:pStyle w:val="yTableNAm"/>
              <w:tabs>
                <w:tab w:val="clear" w:pos="567"/>
                <w:tab w:val="left" w:pos="1220"/>
                <w:tab w:val="left" w:pos="1700"/>
              </w:tabs>
              <w:ind w:left="1700" w:hanging="1700"/>
            </w:pPr>
            <w:r>
              <w:tab/>
              <w:t>(iii)</w:t>
            </w:r>
            <w:r>
              <w:tab/>
              <w:t>for a licence to operate the boat in more than one zone, for each additional zone</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(iv)</w:t>
            </w:r>
            <w:r>
              <w:tab/>
              <w:t xml:space="preserve">for each additional boat specified in the licence with a surveyed length of more than 7.5 m and an open water passenger capacity of 20 persons or less </w:t>
            </w:r>
          </w:p>
        </w:tc>
        <w:tc>
          <w:tcPr>
            <w:tcW w:w="1320" w:type="dxa"/>
          </w:tcPr>
          <w:p>
            <w:pPr>
              <w:pStyle w:val="yTableNAm"/>
              <w:ind w:right="118"/>
              <w:jc w:val="right"/>
            </w:pPr>
            <w:r>
              <w:br/>
            </w:r>
            <w:r>
              <w:br/>
            </w:r>
            <w:r>
              <w:br/>
            </w:r>
            <w:r>
              <w:rPr>
                <w:szCs w:val="22"/>
              </w:rPr>
              <w:t>273.00</w:t>
            </w:r>
          </w:p>
        </w:tc>
      </w:tr>
      <w:t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not more than 20 tourists taking part in the tour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4(2)(a)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w:t>
            </w:r>
          </w:p>
        </w:tc>
        <w:tc>
          <w:tcPr>
            <w:tcW w:w="1320" w:type="dxa"/>
          </w:tcPr>
          <w:p>
            <w:pPr>
              <w:pStyle w:val="yTableNAm"/>
              <w:ind w:right="118"/>
              <w:jc w:val="right"/>
            </w:pP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320" w:type="dxa"/>
          </w:tcPr>
          <w:p>
            <w:pPr>
              <w:pStyle w:val="yTableNAm"/>
              <w:ind w:right="118"/>
              <w:jc w:val="right"/>
            </w:pP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4(3)(a)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or part thereof </w:t>
            </w:r>
          </w:p>
        </w:tc>
        <w:tc>
          <w:tcPr>
            <w:tcW w:w="1320" w:type="dxa"/>
          </w:tcPr>
          <w:p>
            <w:pPr>
              <w:pStyle w:val="yTableNAm"/>
              <w:ind w:right="118"/>
              <w:jc w:val="right"/>
            </w:pPr>
            <w:r>
              <w:br/>
            </w:r>
            <w:r>
              <w:rPr>
                <w:szCs w:val="22"/>
              </w:rPr>
              <w:t>136.00</w:t>
            </w:r>
          </w:p>
        </w:tc>
      </w:tr>
      <w:tr>
        <w:trPr>
          <w:cantSplit/>
        </w:trP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rPr>
          <w:cantSplit/>
        </w:trP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keepNext/>
              <w:keepLines/>
              <w:tabs>
                <w:tab w:val="clear" w:pos="567"/>
                <w:tab w:val="left" w:pos="598"/>
              </w:tabs>
              <w:ind w:left="612" w:hanging="612"/>
            </w:pPr>
            <w:r>
              <w:t>5.</w:t>
            </w:r>
            <w:r>
              <w:tab/>
              <w:t>Fishing tour operator’s licence</w:t>
            </w:r>
          </w:p>
          <w:p>
            <w:pPr>
              <w:pStyle w:val="yTableNAm"/>
              <w:keepNext/>
              <w:keepLines/>
              <w:tabs>
                <w:tab w:val="clear" w:pos="567"/>
                <w:tab w:val="left" w:pos="598"/>
              </w:tabs>
              <w:ind w:left="612" w:hanging="612"/>
            </w:pPr>
            <w:r>
              <w:tab/>
              <w:t>Types of operation —</w:t>
            </w:r>
          </w:p>
        </w:tc>
        <w:tc>
          <w:tcPr>
            <w:tcW w:w="1320" w:type="dxa"/>
          </w:tcPr>
          <w:p>
            <w:pPr>
              <w:pStyle w:val="yTableNAm"/>
              <w:keepNext/>
              <w:keepLines/>
              <w:ind w:right="118"/>
              <w:jc w:val="right"/>
            </w:pPr>
          </w:p>
        </w:tc>
      </w:tr>
      <w:tr>
        <w:tc>
          <w:tcPr>
            <w:tcW w:w="5760" w:type="dxa"/>
          </w:tcPr>
          <w:p>
            <w:pPr>
              <w:pStyle w:val="yTableNAm"/>
              <w:tabs>
                <w:tab w:val="clear" w:pos="567"/>
                <w:tab w:val="left" w:pos="598"/>
                <w:tab w:val="left" w:pos="1220"/>
              </w:tabs>
              <w:ind w:left="1220" w:hanging="1220"/>
            </w:pPr>
            <w:r>
              <w:tab/>
              <w:t>(1)(a)</w:t>
            </w:r>
            <w:r>
              <w:tab/>
              <w:t>Using a boat with a surveyed length of more than 7.5 m and an open water passenger capacity of 10 persons or less and an associated power boat with a length of 4.5 m or more but 7.5 m or less, in one zone</w:t>
            </w:r>
          </w:p>
        </w:tc>
        <w:tc>
          <w:tcPr>
            <w:tcW w:w="1320" w:type="dxa"/>
          </w:tcPr>
          <w:p>
            <w:pPr>
              <w:pStyle w:val="yTableNAm"/>
              <w:ind w:right="118"/>
              <w:jc w:val="right"/>
            </w:pPr>
            <w:r>
              <w:br/>
            </w:r>
            <w:r>
              <w:br/>
            </w:r>
            <w:r>
              <w:br/>
            </w:r>
            <w:r>
              <w:br/>
            </w:r>
            <w:r>
              <w:rPr>
                <w:szCs w:val="22"/>
              </w:rPr>
              <w:t>1 840.00</w:t>
            </w:r>
          </w:p>
        </w:tc>
      </w:tr>
      <w:tr>
        <w:tc>
          <w:tcPr>
            <w:tcW w:w="5760" w:type="dxa"/>
          </w:tcPr>
          <w:p>
            <w:pPr>
              <w:pStyle w:val="yTableNAm"/>
              <w:keepNext/>
              <w:tabs>
                <w:tab w:val="clear" w:pos="567"/>
                <w:tab w:val="left" w:pos="844"/>
                <w:tab w:val="left" w:pos="1220"/>
              </w:tabs>
              <w:ind w:left="1220" w:hanging="1220"/>
            </w:pPr>
            <w:r>
              <w:tab/>
              <w:t>(b)</w:t>
            </w:r>
            <w:r>
              <w:tab/>
              <w:t>In addition to the fee specified in item 5(1)(a)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for each additional associated power boat with a surveyed length of more than 7.5 m and a maximum passenger carrying capacity of 10 passengers or less</w:t>
            </w:r>
          </w:p>
        </w:tc>
        <w:tc>
          <w:tcPr>
            <w:tcW w:w="1320" w:type="dxa"/>
          </w:tcPr>
          <w:p>
            <w:pPr>
              <w:pStyle w:val="yTableNAm"/>
              <w:ind w:right="118"/>
              <w:jc w:val="right"/>
            </w:pPr>
            <w:r>
              <w:br/>
            </w:r>
            <w:r>
              <w:br/>
            </w:r>
            <w:r>
              <w:br/>
            </w:r>
            <w:r>
              <w:rPr>
                <w:szCs w:val="22"/>
              </w:rPr>
              <w:t>1 840.00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more than 4.5 m but less than 7.5 m </w:t>
            </w:r>
          </w:p>
        </w:tc>
        <w:tc>
          <w:tcPr>
            <w:tcW w:w="1320" w:type="dxa"/>
          </w:tcPr>
          <w:p>
            <w:pPr>
              <w:pStyle w:val="yTableNAm"/>
              <w:ind w:right="118"/>
              <w:jc w:val="right"/>
            </w:pPr>
            <w:r>
              <w:br/>
            </w:r>
            <w:r>
              <w:br/>
            </w:r>
            <w:r>
              <w:rPr>
                <w:szCs w:val="22"/>
              </w:rPr>
              <w:t>329.00</w:t>
            </w:r>
          </w:p>
        </w:tc>
      </w:tr>
      <w:tr>
        <w:tc>
          <w:tcPr>
            <w:tcW w:w="5760" w:type="dxa"/>
          </w:tcPr>
          <w:p>
            <w:pPr>
              <w:pStyle w:val="yTableNAm"/>
              <w:tabs>
                <w:tab w:val="clear" w:pos="567"/>
                <w:tab w:val="left" w:pos="1220"/>
                <w:tab w:val="left" w:pos="1700"/>
              </w:tabs>
              <w:ind w:left="1700" w:hanging="1700"/>
            </w:pPr>
            <w:r>
              <w:tab/>
              <w:t>(iii)</w:t>
            </w:r>
            <w:r>
              <w:tab/>
              <w:t>for a licence to operate with a passenger carrying capacity of more than 10 passengers</w:t>
            </w:r>
          </w:p>
        </w:tc>
        <w:tc>
          <w:tcPr>
            <w:tcW w:w="1320" w:type="dxa"/>
          </w:tcPr>
          <w:p>
            <w:pPr>
              <w:pStyle w:val="yTableNAm"/>
              <w:ind w:right="118"/>
              <w:jc w:val="right"/>
            </w:pPr>
            <w:r>
              <w:br/>
            </w:r>
            <w:r>
              <w:br/>
            </w:r>
            <w:r>
              <w:rPr>
                <w:szCs w:val="22"/>
              </w:rPr>
              <w:t>1 185.00</w:t>
            </w:r>
          </w:p>
        </w:tc>
      </w:tr>
      <w:tr>
        <w:tc>
          <w:tcPr>
            <w:tcW w:w="5760" w:type="dxa"/>
          </w:tcPr>
          <w:p>
            <w:pPr>
              <w:pStyle w:val="yTableNAm"/>
              <w:tabs>
                <w:tab w:val="clear" w:pos="567"/>
                <w:tab w:val="left" w:pos="1220"/>
                <w:tab w:val="left" w:pos="1700"/>
              </w:tabs>
              <w:ind w:left="1700" w:hanging="1700"/>
            </w:pPr>
            <w:r>
              <w:tab/>
              <w:t>(iv)</w:t>
            </w:r>
            <w:r>
              <w:tab/>
              <w:t xml:space="preserve">for a licence to operate in more than one zone, for each additional zone </w:t>
            </w:r>
          </w:p>
        </w:tc>
        <w:tc>
          <w:tcPr>
            <w:tcW w:w="1320" w:type="dxa"/>
          </w:tcPr>
          <w:p>
            <w:pPr>
              <w:pStyle w:val="yTableNAm"/>
              <w:ind w:right="118"/>
              <w:jc w:val="right"/>
            </w:pPr>
            <w:r>
              <w:br/>
            </w:r>
            <w:r>
              <w:rPr>
                <w:szCs w:val="22"/>
              </w:rPr>
              <w:t>669.00</w:t>
            </w:r>
          </w:p>
        </w:tc>
      </w:tr>
      <w:tr>
        <w:trPr>
          <w:cantSplit/>
        </w:trP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a maximum capacity of 20 passengers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5(2)(a)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10 passengers carrying capacity or part thereof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rPr>
          <w:cantSplit/>
        </w:trPr>
        <w:tc>
          <w:tcPr>
            <w:tcW w:w="5760" w:type="dxa"/>
          </w:tcPr>
          <w:p>
            <w:pPr>
              <w:pStyle w:val="yTableNAm"/>
              <w:tabs>
                <w:tab w:val="clear" w:pos="567"/>
                <w:tab w:val="left" w:pos="598"/>
                <w:tab w:val="left" w:pos="1220"/>
              </w:tabs>
              <w:ind w:left="1220" w:hanging="1220"/>
            </w:pPr>
            <w:r>
              <w:tab/>
              <w:t>(3)(a)</w:t>
            </w:r>
            <w:r>
              <w:tab/>
              <w:t>A combination of boat and land or boat and aircraft operations with a total passenger carrying capacity of 10 persons or less, authorised to operate in one zone and a maximum of 2 boats with a surveyed length of 4.5 m or more but 7.5 m or less</w:t>
            </w:r>
          </w:p>
        </w:tc>
        <w:tc>
          <w:tcPr>
            <w:tcW w:w="1320" w:type="dxa"/>
          </w:tcPr>
          <w:p>
            <w:pPr>
              <w:pStyle w:val="yTableNAm"/>
              <w:ind w:right="118"/>
              <w:jc w:val="right"/>
            </w:pPr>
            <w:r>
              <w:br/>
            </w:r>
            <w:r>
              <w:br/>
            </w:r>
            <w:r>
              <w:br/>
            </w:r>
            <w:r>
              <w:br/>
            </w:r>
            <w:r>
              <w:br/>
            </w:r>
            <w:r>
              <w:rPr>
                <w:szCs w:val="22"/>
              </w:rPr>
              <w:t>1 840.00</w:t>
            </w:r>
          </w:p>
        </w:tc>
      </w:tr>
      <w:tr>
        <w:tc>
          <w:tcPr>
            <w:tcW w:w="5760" w:type="dxa"/>
          </w:tcPr>
          <w:p>
            <w:pPr>
              <w:pStyle w:val="yTableNAm"/>
              <w:keepNext/>
              <w:tabs>
                <w:tab w:val="clear" w:pos="567"/>
                <w:tab w:val="left" w:pos="844"/>
                <w:tab w:val="left" w:pos="1220"/>
              </w:tabs>
              <w:ind w:left="1220" w:hanging="1220"/>
            </w:pPr>
            <w:r>
              <w:tab/>
              <w:t>(b)</w:t>
            </w:r>
            <w:r>
              <w:tab/>
              <w:t>In addition to the fee specified in item 5(3)(a)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for a licence to operate with a passenger carrying capacity of more than 10 passengers</w:t>
            </w:r>
          </w:p>
        </w:tc>
        <w:tc>
          <w:tcPr>
            <w:tcW w:w="1320" w:type="dxa"/>
          </w:tcPr>
          <w:p>
            <w:pPr>
              <w:pStyle w:val="yTableNAm"/>
              <w:ind w:right="118"/>
              <w:jc w:val="right"/>
            </w:pPr>
            <w:r>
              <w:br/>
            </w:r>
            <w:r>
              <w:br/>
            </w:r>
            <w:r>
              <w:rPr>
                <w:szCs w:val="22"/>
              </w:rPr>
              <w:t>1 185.00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329.00</w:t>
            </w:r>
          </w:p>
        </w:tc>
      </w:tr>
      <w:t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669.00</w:t>
            </w:r>
          </w:p>
        </w:tc>
      </w:tr>
      <w:tr>
        <w:tc>
          <w:tcPr>
            <w:tcW w:w="5760"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19" w:hanging="1219"/>
            </w:pPr>
            <w:r>
              <w:tab/>
              <w:t>(1)</w:t>
            </w:r>
            <w:r>
              <w:tab/>
              <w:t xml:space="preserve">a boat 6.5 m or longer </w:t>
            </w:r>
          </w:p>
        </w:tc>
        <w:tc>
          <w:tcPr>
            <w:tcW w:w="1320" w:type="dxa"/>
          </w:tcPr>
          <w:p>
            <w:pPr>
              <w:pStyle w:val="yTableNAm"/>
              <w:ind w:right="118"/>
              <w:jc w:val="right"/>
            </w:pPr>
            <w:r>
              <w:t>315.00</w:t>
            </w:r>
          </w:p>
        </w:tc>
      </w:tr>
      <w:tr>
        <w:tc>
          <w:tcPr>
            <w:tcW w:w="5760" w:type="dxa"/>
          </w:tcPr>
          <w:p>
            <w:pPr>
              <w:pStyle w:val="yTableNAm"/>
              <w:tabs>
                <w:tab w:val="clear" w:pos="567"/>
                <w:tab w:val="left" w:pos="598"/>
                <w:tab w:val="left" w:pos="1220"/>
              </w:tabs>
              <w:ind w:left="1220" w:hanging="1220"/>
            </w:pPr>
            <w:r>
              <w:tab/>
              <w:t>(2)</w:t>
            </w:r>
            <w:r>
              <w:tab/>
              <w:t xml:space="preserve">a boat shorter than 6.5 m </w:t>
            </w:r>
          </w:p>
        </w:tc>
        <w:tc>
          <w:tcPr>
            <w:tcW w:w="1320" w:type="dxa"/>
          </w:tcPr>
          <w:p>
            <w:pPr>
              <w:pStyle w:val="yTableNAm"/>
              <w:ind w:right="118"/>
              <w:jc w:val="right"/>
            </w:pPr>
            <w:r>
              <w:t>85.00</w:t>
            </w:r>
          </w:p>
        </w:tc>
      </w:tr>
      <w:tr>
        <w:trPr>
          <w:cantSplit/>
        </w:trPr>
        <w:tc>
          <w:tcPr>
            <w:tcW w:w="5760" w:type="dxa"/>
            <w:vAlign w:val="bottom"/>
          </w:tcPr>
          <w:p>
            <w:pPr>
              <w:pStyle w:val="yTableNAm"/>
              <w:tabs>
                <w:tab w:val="clear" w:pos="567"/>
                <w:tab w:val="left" w:pos="598"/>
              </w:tabs>
              <w:ind w:left="612" w:hanging="612"/>
            </w:pPr>
            <w:r>
              <w:t>7.</w:t>
            </w:r>
            <w:r>
              <w:tab/>
              <w:t xml:space="preserve">Tag authorising the possession of one pink snapper in the Freycinet Estuary </w:t>
            </w:r>
          </w:p>
        </w:tc>
        <w:tc>
          <w:tcPr>
            <w:tcW w:w="1320" w:type="dxa"/>
          </w:tcPr>
          <w:p>
            <w:pPr>
              <w:pStyle w:val="yTableNAm"/>
              <w:ind w:right="118"/>
              <w:jc w:val="right"/>
            </w:pPr>
            <w:r>
              <w:br/>
              <w:t>10.00</w:t>
            </w:r>
          </w:p>
        </w:tc>
      </w:tr>
      <w:tr>
        <w:tc>
          <w:tcPr>
            <w:tcW w:w="5760" w:type="dxa"/>
            <w:vAlign w:val="bottom"/>
          </w:tcPr>
          <w:p>
            <w:pPr>
              <w:pStyle w:val="yTableNAm"/>
              <w:tabs>
                <w:tab w:val="clear" w:pos="567"/>
                <w:tab w:val="left" w:pos="598"/>
              </w:tabs>
              <w:ind w:left="612" w:hanging="612"/>
            </w:pPr>
            <w:r>
              <w:t>8.</w:t>
            </w:r>
            <w:r>
              <w:tab/>
              <w:t>Recreational fishing licence (r. 124) —</w:t>
            </w:r>
          </w:p>
        </w:tc>
        <w:tc>
          <w:tcPr>
            <w:tcW w:w="1320" w:type="dxa"/>
            <w:vAlign w:val="bottom"/>
          </w:tcPr>
          <w:p>
            <w:pPr>
              <w:pStyle w:val="yTableNAm"/>
              <w:ind w:right="118"/>
              <w:jc w:val="right"/>
            </w:pPr>
          </w:p>
        </w:tc>
      </w:tr>
      <w:tr>
        <w:tc>
          <w:tcPr>
            <w:tcW w:w="5760" w:type="dxa"/>
            <w:vAlign w:val="bottom"/>
          </w:tcPr>
          <w:p>
            <w:pPr>
              <w:pStyle w:val="zyTableNAm"/>
              <w:tabs>
                <w:tab w:val="left" w:pos="1168"/>
              </w:tabs>
              <w:ind w:left="1168" w:hanging="1168"/>
            </w:pPr>
            <w:r>
              <w:tab/>
              <w:t>(a)</w:t>
            </w:r>
            <w:r>
              <w:tab/>
              <w:t>fishing for rock lobster</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(b)</w:t>
            </w:r>
            <w:r>
              <w:tab/>
              <w:t>fishing for marron</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(c)</w:t>
            </w:r>
            <w:r>
              <w:tab/>
              <w:t xml:space="preserve">fishing for abalone </w:t>
            </w:r>
          </w:p>
        </w:tc>
        <w:tc>
          <w:tcPr>
            <w:tcW w:w="1320" w:type="dxa"/>
            <w:vAlign w:val="bottom"/>
          </w:tcPr>
          <w:p>
            <w:pPr>
              <w:pStyle w:val="yTableNAm"/>
              <w:ind w:right="118"/>
              <w:jc w:val="right"/>
            </w:pPr>
            <w:r>
              <w:t>40.00</w:t>
            </w:r>
          </w:p>
        </w:tc>
      </w:tr>
      <w:tr>
        <w:trPr>
          <w:cantSplit/>
        </w:trPr>
        <w:tc>
          <w:tcPr>
            <w:tcW w:w="5760" w:type="dxa"/>
            <w:vAlign w:val="bottom"/>
          </w:tcPr>
          <w:p>
            <w:pPr>
              <w:pStyle w:val="zyTableNAm"/>
              <w:tabs>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320" w:type="dxa"/>
            <w:vAlign w:val="bottom"/>
          </w:tcPr>
          <w:p>
            <w:pPr>
              <w:pStyle w:val="yTableNAm"/>
              <w:ind w:right="119"/>
              <w:jc w:val="right"/>
            </w:pPr>
            <w:r>
              <w:br/>
            </w:r>
            <w:r>
              <w:br/>
            </w:r>
            <w:r>
              <w:br/>
              <w:t>40.00</w:t>
            </w:r>
          </w:p>
        </w:tc>
      </w:tr>
      <w:tr>
        <w:tc>
          <w:tcPr>
            <w:tcW w:w="5760" w:type="dxa"/>
            <w:vAlign w:val="bottom"/>
          </w:tcPr>
          <w:p>
            <w:pPr>
              <w:pStyle w:val="zyTableNAm"/>
              <w:tabs>
                <w:tab w:val="left" w:pos="1168"/>
              </w:tabs>
              <w:ind w:left="1168" w:hanging="1168"/>
            </w:pPr>
            <w:r>
              <w:tab/>
              <w:t>(e)</w:t>
            </w:r>
            <w:r>
              <w:tab/>
              <w:t xml:space="preserve">fishing by means of a fishing net </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9.</w:t>
            </w:r>
            <w:r>
              <w:tab/>
              <w:t>Recreational (boat) fishing licence (r. 124C)</w:t>
            </w:r>
          </w:p>
        </w:tc>
        <w:tc>
          <w:tcPr>
            <w:tcW w:w="1320" w:type="dxa"/>
            <w:vAlign w:val="bottom"/>
          </w:tcPr>
          <w:p>
            <w:pPr>
              <w:pStyle w:val="yTableNAm"/>
              <w:ind w:right="118"/>
              <w:jc w:val="right"/>
            </w:pPr>
            <w:r>
              <w:t>30.00</w:t>
            </w:r>
          </w:p>
        </w:tc>
      </w:tr>
    </w:tbl>
    <w:p>
      <w:pPr>
        <w:pStyle w:val="yFootnotesection"/>
      </w:pPr>
      <w:r>
        <w:tab/>
        <w:t>[Part 3 inserted in Gazette 9 Jun 2009 p. 1915</w:t>
      </w:r>
      <w:r>
        <w:noBreakHyphen/>
        <w:t>20; amended in Gazette 10 Sep 2009 p. 3539; 12 Feb 2010 p. 586</w:t>
      </w:r>
      <w:r>
        <w:noBreakHyphen/>
        <w:t>7; 28 May 2010 p. 2384-5; 27 Aug 2010 p. 4106; 10 Sep 2010 p. 4347; 2 Dec 2010 p. 6031-4; 6 May 2011 p. 1611</w:t>
      </w:r>
      <w:r>
        <w:noBreakHyphen/>
        <w:t>12; 24 Aug 2011 p. 3406-8; 9 Sep 2011 p. 3683; 17 Oct 2012 p. 4979-80; 19 Oct 2012 p. 5017</w:t>
      </w:r>
      <w:r>
        <w:noBreakHyphen/>
        <w:t>20; 2 Nov 2012 p. 5277-8; 18 Dec 2012 p. 6593.]</w:t>
      </w:r>
    </w:p>
    <w:p>
      <w:pPr>
        <w:pStyle w:val="yScheduleHeading"/>
      </w:pPr>
      <w:bookmarkStart w:id="1192" w:name="_Toc339626071"/>
      <w:bookmarkStart w:id="1193" w:name="_Toc342397823"/>
      <w:bookmarkStart w:id="1194" w:name="_Toc343520080"/>
      <w:bookmarkStart w:id="1195" w:name="_Toc343520537"/>
      <w:bookmarkStart w:id="1196" w:name="_Toc344712102"/>
      <w:bookmarkStart w:id="1197" w:name="_Toc344712618"/>
      <w:bookmarkStart w:id="1198" w:name="_Toc347307886"/>
      <w:bookmarkStart w:id="1199" w:name="_Toc349822799"/>
      <w:bookmarkStart w:id="1200" w:name="_Toc349823219"/>
      <w:bookmarkStart w:id="1201" w:name="_Toc349831201"/>
      <w:bookmarkStart w:id="1202" w:name="_Toc359248993"/>
      <w:bookmarkStart w:id="1203" w:name="_Toc359316950"/>
      <w:r>
        <w:rPr>
          <w:rStyle w:val="CharSchNo"/>
        </w:rPr>
        <w:t>Schedule 2</w:t>
      </w:r>
      <w:r>
        <w:t> — </w:t>
      </w:r>
      <w:r>
        <w:rPr>
          <w:rStyle w:val="CharSchText"/>
        </w:rPr>
        <w:t>Protected fish</w:t>
      </w:r>
      <w:bookmarkEnd w:id="1192"/>
      <w:bookmarkEnd w:id="1193"/>
      <w:bookmarkEnd w:id="1194"/>
      <w:bookmarkEnd w:id="1195"/>
      <w:bookmarkEnd w:id="1196"/>
      <w:bookmarkEnd w:id="1197"/>
      <w:bookmarkEnd w:id="1198"/>
      <w:bookmarkEnd w:id="1199"/>
      <w:bookmarkEnd w:id="1200"/>
      <w:bookmarkEnd w:id="1201"/>
      <w:bookmarkEnd w:id="1202"/>
      <w:bookmarkEnd w:id="1203"/>
    </w:p>
    <w:p>
      <w:pPr>
        <w:pStyle w:val="yShoulderClause"/>
      </w:pPr>
      <w:r>
        <w:t>[s. 46, 47 and 48A and r. 10]</w:t>
      </w:r>
    </w:p>
    <w:p>
      <w:pPr>
        <w:pStyle w:val="yFootnoteheading"/>
      </w:pPr>
      <w:r>
        <w:tab/>
        <w:t>[Heading inserted in Gazette 14 Sep 2012 p. 4375.]</w:t>
      </w:r>
    </w:p>
    <w:p>
      <w:pPr>
        <w:pStyle w:val="yHeading2"/>
      </w:pPr>
      <w:bookmarkStart w:id="1204" w:name="_Toc339626072"/>
      <w:bookmarkStart w:id="1205" w:name="_Toc342397824"/>
      <w:bookmarkStart w:id="1206" w:name="_Toc343520081"/>
      <w:bookmarkStart w:id="1207" w:name="_Toc343520538"/>
      <w:bookmarkStart w:id="1208" w:name="_Toc344712103"/>
      <w:bookmarkStart w:id="1209" w:name="_Toc344712619"/>
      <w:bookmarkStart w:id="1210" w:name="_Toc347307887"/>
      <w:bookmarkStart w:id="1211" w:name="_Toc349822800"/>
      <w:bookmarkStart w:id="1212" w:name="_Toc349823220"/>
      <w:bookmarkStart w:id="1213" w:name="_Toc349831202"/>
      <w:bookmarkStart w:id="1214" w:name="_Toc359248994"/>
      <w:bookmarkStart w:id="1215" w:name="_Toc359316951"/>
      <w:r>
        <w:rPr>
          <w:rStyle w:val="CharSDivNo"/>
          <w:sz w:val="28"/>
        </w:rPr>
        <w:t>Part 1</w:t>
      </w:r>
      <w:r>
        <w:t> — </w:t>
      </w:r>
      <w:r>
        <w:rPr>
          <w:rStyle w:val="CharSDivText"/>
          <w:sz w:val="28"/>
        </w:rPr>
        <w:t>Commercially protected fish</w:t>
      </w:r>
      <w:bookmarkEnd w:id="1204"/>
      <w:bookmarkEnd w:id="1205"/>
      <w:bookmarkEnd w:id="1206"/>
      <w:bookmarkEnd w:id="1207"/>
      <w:bookmarkEnd w:id="1208"/>
      <w:bookmarkEnd w:id="1209"/>
      <w:bookmarkEnd w:id="1210"/>
      <w:bookmarkEnd w:id="1211"/>
      <w:bookmarkEnd w:id="1212"/>
      <w:bookmarkEnd w:id="1213"/>
      <w:bookmarkEnd w:id="1214"/>
      <w:bookmarkEnd w:id="1215"/>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Subsection"/>
        <w:rPr>
          <w:sz w:val="22"/>
          <w:szCs w:val="22"/>
        </w:rPr>
      </w:pPr>
      <w:r>
        <w:tab/>
      </w:r>
      <w:r>
        <w:tab/>
      </w:r>
      <w:r>
        <w:rPr>
          <w:sz w:val="22"/>
          <w:szCs w:val="22"/>
        </w:rPr>
        <w:t>Western rock lobster less than 77 mm in length.</w:t>
      </w:r>
    </w:p>
    <w:p>
      <w:pPr>
        <w:pStyle w:val="yFootnotesection"/>
      </w:pPr>
      <w:r>
        <w:tab/>
        <w:t>[Part 1 amended in Gazette 12 Sep 1997 p. 5154; 5 Dec 1997 p. 7123; 1 Oct 2003 p. 4344; 10 Nov 2006 p. 4709; 4 Sep 2007 p. 4520; 18 Nov 2011 p. 4810.]</w:t>
      </w:r>
    </w:p>
    <w:p>
      <w:pPr>
        <w:pStyle w:val="yHeading2"/>
      </w:pPr>
      <w:bookmarkStart w:id="1216" w:name="_Toc339626073"/>
      <w:bookmarkStart w:id="1217" w:name="_Toc342397825"/>
      <w:bookmarkStart w:id="1218" w:name="_Toc343520082"/>
      <w:bookmarkStart w:id="1219" w:name="_Toc343520539"/>
      <w:bookmarkStart w:id="1220" w:name="_Toc344712104"/>
      <w:bookmarkStart w:id="1221" w:name="_Toc344712620"/>
      <w:bookmarkStart w:id="1222" w:name="_Toc347307888"/>
      <w:bookmarkStart w:id="1223" w:name="_Toc349822801"/>
      <w:bookmarkStart w:id="1224" w:name="_Toc349823221"/>
      <w:bookmarkStart w:id="1225" w:name="_Toc349831203"/>
      <w:bookmarkStart w:id="1226" w:name="_Toc359248995"/>
      <w:bookmarkStart w:id="1227" w:name="_Toc359316952"/>
      <w:r>
        <w:rPr>
          <w:rStyle w:val="CharSDivNo"/>
          <w:sz w:val="28"/>
        </w:rPr>
        <w:t>Part 2</w:t>
      </w:r>
      <w:r>
        <w:t> — </w:t>
      </w:r>
      <w:r>
        <w:rPr>
          <w:rStyle w:val="CharSDivText"/>
          <w:sz w:val="28"/>
        </w:rPr>
        <w:t>Totally protected fish</w:t>
      </w:r>
      <w:bookmarkEnd w:id="1216"/>
      <w:bookmarkEnd w:id="1217"/>
      <w:bookmarkEnd w:id="1218"/>
      <w:bookmarkEnd w:id="1219"/>
      <w:bookmarkEnd w:id="1220"/>
      <w:bookmarkEnd w:id="1221"/>
      <w:bookmarkEnd w:id="1222"/>
      <w:bookmarkEnd w:id="1223"/>
      <w:bookmarkEnd w:id="1224"/>
      <w:bookmarkEnd w:id="1225"/>
      <w:bookmarkEnd w:id="1226"/>
      <w:bookmarkEnd w:id="1227"/>
    </w:p>
    <w:p>
      <w:pPr>
        <w:pStyle w:val="yHeading3"/>
      </w:pPr>
      <w:bookmarkStart w:id="1228" w:name="_Toc339626074"/>
      <w:bookmarkStart w:id="1229" w:name="_Toc342397826"/>
      <w:bookmarkStart w:id="1230" w:name="_Toc343520083"/>
      <w:bookmarkStart w:id="1231" w:name="_Toc343520540"/>
      <w:bookmarkStart w:id="1232" w:name="_Toc344712105"/>
      <w:bookmarkStart w:id="1233" w:name="_Toc344712621"/>
      <w:bookmarkStart w:id="1234" w:name="_Toc347307889"/>
      <w:bookmarkStart w:id="1235" w:name="_Toc349822802"/>
      <w:bookmarkStart w:id="1236" w:name="_Toc349823222"/>
      <w:bookmarkStart w:id="1237" w:name="_Toc349831204"/>
      <w:bookmarkStart w:id="1238" w:name="_Toc359248996"/>
      <w:bookmarkStart w:id="1239" w:name="_Toc359316953"/>
      <w:r>
        <w:t>Division 1 — Certain reproducing crustaceans</w:t>
      </w:r>
      <w:bookmarkEnd w:id="1228"/>
      <w:bookmarkEnd w:id="1229"/>
      <w:bookmarkEnd w:id="1230"/>
      <w:bookmarkEnd w:id="1231"/>
      <w:bookmarkEnd w:id="1232"/>
      <w:bookmarkEnd w:id="1233"/>
      <w:bookmarkEnd w:id="1234"/>
      <w:bookmarkEnd w:id="1235"/>
      <w:bookmarkEnd w:id="1236"/>
      <w:bookmarkEnd w:id="1237"/>
      <w:bookmarkEnd w:id="1238"/>
      <w:bookmarkEnd w:id="1239"/>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1240" w:name="_Toc339626075"/>
      <w:bookmarkStart w:id="1241" w:name="_Toc342397827"/>
      <w:bookmarkStart w:id="1242" w:name="_Toc343520084"/>
      <w:bookmarkStart w:id="1243" w:name="_Toc343520541"/>
      <w:bookmarkStart w:id="1244" w:name="_Toc344712106"/>
      <w:bookmarkStart w:id="1245" w:name="_Toc344712622"/>
      <w:bookmarkStart w:id="1246" w:name="_Toc347307890"/>
      <w:bookmarkStart w:id="1247" w:name="_Toc349822803"/>
      <w:bookmarkStart w:id="1248" w:name="_Toc349823223"/>
      <w:bookmarkStart w:id="1249" w:name="_Toc349831205"/>
      <w:bookmarkStart w:id="1250" w:name="_Toc359248997"/>
      <w:bookmarkStart w:id="1251" w:name="_Toc359316954"/>
      <w:r>
        <w:t>Division 2 — Miscellaneous</w:t>
      </w:r>
      <w:bookmarkEnd w:id="1240"/>
      <w:bookmarkEnd w:id="1241"/>
      <w:bookmarkEnd w:id="1242"/>
      <w:bookmarkEnd w:id="1243"/>
      <w:bookmarkEnd w:id="1244"/>
      <w:bookmarkEnd w:id="1245"/>
      <w:bookmarkEnd w:id="1246"/>
      <w:bookmarkEnd w:id="1247"/>
      <w:bookmarkEnd w:id="1248"/>
      <w:bookmarkEnd w:id="1249"/>
      <w:bookmarkEnd w:id="1250"/>
      <w:bookmarkEnd w:id="1251"/>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rPr>
          <w:snapToGrid w:val="0"/>
        </w:rPr>
      </w:pPr>
      <w:r>
        <w:rPr>
          <w:snapToGrid w:val="0"/>
        </w:rPr>
        <w:tab/>
        <w:t xml:space="preserve">Cod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w:t>
      </w:r>
      <w:smartTag w:uri="urn:schemas-microsoft-com:office:smarttags" w:element="Street">
        <w:smartTag w:uri="urn:schemas-microsoft-com:office:smarttags" w:element="address">
          <w:r>
            <w:rPr>
              <w:snapToGrid w:val="0"/>
            </w:rPr>
            <w:t>Port Street</w:t>
          </w:r>
        </w:smartTag>
      </w:smartTag>
      <w:r>
        <w:rPr>
          <w:snapToGrid w:val="0"/>
        </w:rPr>
        <w:t xml:space="preserve">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Great White Shark.</w:t>
      </w:r>
    </w:p>
    <w:p>
      <w:pPr>
        <w:pStyle w:val="yNumberedItem"/>
        <w:rPr>
          <w:snapToGrid w:val="0"/>
        </w:rPr>
      </w:pPr>
      <w:r>
        <w:rPr>
          <w:snapToGrid w:val="0"/>
        </w:rPr>
        <w:tab/>
        <w:t xml:space="preserve">Groper, </w:t>
      </w:r>
      <w:smartTag w:uri="urn:schemas-microsoft-com:office:smarttags" w:element="place">
        <w:smartTag w:uri="urn:schemas-microsoft-com:office:smarttags" w:element="State">
          <w:r>
            <w:rPr>
              <w:snapToGrid w:val="0"/>
            </w:rPr>
            <w:t>Queensland</w:t>
          </w:r>
        </w:smartTag>
      </w:smartTag>
      <w:r>
        <w:rPr>
          <w:snapToGrid w:val="0"/>
        </w:rPr>
        <w:t>.</w:t>
      </w:r>
    </w:p>
    <w:p>
      <w:pPr>
        <w:pStyle w:val="yNumberedItem"/>
        <w:keepNext/>
        <w:rPr>
          <w:snapToGrid w:val="0"/>
        </w:rPr>
      </w:pPr>
      <w:r>
        <w:rPr>
          <w:snapToGrid w:val="0"/>
        </w:rPr>
        <w:tab/>
        <w:t>Humphead Maori Wrasse.</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 xml:space="preserve">Molluscs, other than cuttlefish, squid and octopus,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Potato Cod.</w:t>
      </w:r>
    </w:p>
    <w:p>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pPr>
        <w:pStyle w:val="yNumberedItem"/>
        <w:keepNext/>
        <w:keepLines/>
        <w:rPr>
          <w:snapToGrid w:val="0"/>
        </w:rPr>
      </w:pPr>
      <w:r>
        <w:rPr>
          <w:snapToGrid w:val="0"/>
        </w:rPr>
        <w:tab/>
        <w:t>Rock Lobster tail weighing less than 140 g.</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Shark, Whaler —</w:t>
      </w:r>
    </w:p>
    <w:p>
      <w:pPr>
        <w:pStyle w:val="yIndenta"/>
        <w:rPr>
          <w:snapToGrid w:val="0"/>
        </w:rPr>
      </w:pPr>
      <w:r>
        <w:tab/>
        <w:t>(a)</w:t>
      </w:r>
      <w:r>
        <w:tab/>
      </w:r>
      <w:r>
        <w:rPr>
          <w:snapToGrid w:val="0"/>
        </w:rPr>
        <w:t>taken from the waters of —</w:t>
      </w:r>
    </w:p>
    <w:p>
      <w:pPr>
        <w:pStyle w:val="yIndenti0"/>
      </w:pPr>
      <w:r>
        <w:tab/>
        <w:t>(i)</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rPr>
          <w:szCs w:val="22"/>
        </w:rPr>
      </w:pPr>
      <w:r>
        <w:rPr>
          <w:snapToGrid w:val="0"/>
        </w:rPr>
        <w:tab/>
      </w:r>
      <w:r>
        <w:rPr>
          <w:szCs w:val="22"/>
        </w:rPr>
        <w:t>Weedy Seadragon.</w:t>
      </w:r>
    </w:p>
    <w:p>
      <w:pPr>
        <w:pStyle w:val="yNumberedItem"/>
        <w:rPr>
          <w:snapToGrid w:val="0"/>
        </w:rPr>
      </w:pPr>
      <w:r>
        <w:rPr>
          <w:szCs w:val="22"/>
        </w:rPr>
        <w:tab/>
      </w:r>
      <w:r>
        <w:rPr>
          <w:snapToGrid w:val="0"/>
        </w:rPr>
        <w:t>Whale Shark.</w:t>
      </w:r>
    </w:p>
    <w:p>
      <w:pPr>
        <w:pStyle w:val="yNumberedItem"/>
        <w:keepNext/>
        <w:rPr>
          <w:snapToGrid w:val="0"/>
        </w:rPr>
      </w:pPr>
      <w:r>
        <w:rPr>
          <w:snapToGrid w:val="0"/>
        </w:rPr>
        <w:tab/>
        <w:t xml:space="preserve">Wrasse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w:t>
      </w: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Footnotesection"/>
      </w:pPr>
      <w:r>
        <w:tab/>
        <w:t>[Division 2 amended in Gazette 5 Dec 1997 p. 7123; 19 Jun 1998 p. 3264; 13 Aug 1999 p. 3827; 28 Nov 2003 p. 4776; 22 Dec 2005 p. 6228; 13 Feb 2009 p. 299; 24 Aug 2011 p. 3408; 24 Feb 2012 p. 802.]</w:t>
      </w:r>
    </w:p>
    <w:p>
      <w:pPr>
        <w:pStyle w:val="yHeading3"/>
      </w:pPr>
      <w:bookmarkStart w:id="1252" w:name="_Toc339626076"/>
      <w:bookmarkStart w:id="1253" w:name="_Toc342397828"/>
      <w:bookmarkStart w:id="1254" w:name="_Toc343520085"/>
      <w:bookmarkStart w:id="1255" w:name="_Toc343520542"/>
      <w:bookmarkStart w:id="1256" w:name="_Toc344712107"/>
      <w:bookmarkStart w:id="1257" w:name="_Toc344712623"/>
      <w:bookmarkStart w:id="1258" w:name="_Toc347307891"/>
      <w:bookmarkStart w:id="1259" w:name="_Toc349822804"/>
      <w:bookmarkStart w:id="1260" w:name="_Toc349823224"/>
      <w:bookmarkStart w:id="1261" w:name="_Toc349831206"/>
      <w:bookmarkStart w:id="1262" w:name="_Toc359248998"/>
      <w:bookmarkStart w:id="1263" w:name="_Toc359316955"/>
      <w:r>
        <w:t>Division 3 — Marine or fluvio</w:t>
      </w:r>
      <w:r>
        <w:noBreakHyphen/>
        <w:t>marine fish</w:t>
      </w:r>
      <w:bookmarkEnd w:id="1252"/>
      <w:bookmarkEnd w:id="1253"/>
      <w:bookmarkEnd w:id="1254"/>
      <w:bookmarkEnd w:id="1255"/>
      <w:bookmarkEnd w:id="1256"/>
      <w:bookmarkEnd w:id="1257"/>
      <w:bookmarkEnd w:id="1258"/>
      <w:bookmarkEnd w:id="1259"/>
      <w:bookmarkEnd w:id="1260"/>
      <w:bookmarkEnd w:id="1261"/>
      <w:bookmarkEnd w:id="1262"/>
      <w:bookmarkEnd w:id="1263"/>
    </w:p>
    <w:p>
      <w:pPr>
        <w:pStyle w:val="yHeading4"/>
      </w:pPr>
      <w:bookmarkStart w:id="1264" w:name="_Toc339626077"/>
      <w:bookmarkStart w:id="1265" w:name="_Toc342397829"/>
      <w:bookmarkStart w:id="1266" w:name="_Toc343520086"/>
      <w:bookmarkStart w:id="1267" w:name="_Toc343520543"/>
      <w:bookmarkStart w:id="1268" w:name="_Toc344712108"/>
      <w:bookmarkStart w:id="1269" w:name="_Toc344712624"/>
      <w:bookmarkStart w:id="1270" w:name="_Toc347307892"/>
      <w:bookmarkStart w:id="1271" w:name="_Toc349822805"/>
      <w:bookmarkStart w:id="1272" w:name="_Toc349823225"/>
      <w:bookmarkStart w:id="1273" w:name="_Toc349831207"/>
      <w:bookmarkStart w:id="1274" w:name="_Toc359248999"/>
      <w:bookmarkStart w:id="1275" w:name="_Toc359316956"/>
      <w:r>
        <w:t>Subdivision 1 — Protected by reference to species, area and period</w:t>
      </w:r>
      <w:bookmarkEnd w:id="1264"/>
      <w:bookmarkEnd w:id="1265"/>
      <w:bookmarkEnd w:id="1266"/>
      <w:bookmarkEnd w:id="1267"/>
      <w:bookmarkEnd w:id="1268"/>
      <w:bookmarkEnd w:id="1269"/>
      <w:bookmarkEnd w:id="1270"/>
      <w:bookmarkEnd w:id="1271"/>
      <w:bookmarkEnd w:id="1272"/>
      <w:bookmarkEnd w:id="1273"/>
      <w:bookmarkEnd w:id="1274"/>
      <w:bookmarkEnd w:id="1275"/>
    </w:p>
    <w:p>
      <w:pPr>
        <w:pStyle w:val="yFootnoteheading"/>
      </w:pPr>
      <w:r>
        <w:tab/>
        <w:t>[Heading inserted in Gazette 28 Feb 2003 p. 662.]</w:t>
      </w:r>
    </w:p>
    <w:p>
      <w:pPr>
        <w:pStyle w:val="yHeading5"/>
        <w:outlineLvl w:val="9"/>
      </w:pPr>
      <w:bookmarkStart w:id="1276" w:name="_Toc359316957"/>
      <w:r>
        <w:t>1.</w:t>
      </w:r>
      <w:r>
        <w:tab/>
        <w:t>Pink Snapper</w:t>
      </w:r>
      <w:bookmarkEnd w:id="1276"/>
    </w:p>
    <w:p>
      <w:pPr>
        <w:pStyle w:val="ySubsection"/>
      </w:pPr>
      <w:r>
        <w:tab/>
      </w:r>
      <w:r>
        <w:tab/>
        <w:t>Pink Snapper —</w:t>
      </w:r>
    </w:p>
    <w:p>
      <w:pPr>
        <w:pStyle w:val="yIndenta"/>
      </w:pPr>
      <w:r>
        <w:tab/>
        <w:t>(a)</w:t>
      </w:r>
      <w:r>
        <w:tab/>
        <w:t>taken or brought onto land from the waters of the Shark Bay eastern gulf during the period beginning on 1 May in a year and ending on 31 July in that year; or</w:t>
      </w:r>
    </w:p>
    <w:p>
      <w:pPr>
        <w:pStyle w:val="yIndenta"/>
        <w:keepNext/>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outlineLvl w:val="9"/>
      </w:pPr>
      <w:bookmarkStart w:id="1277" w:name="_Toc359316958"/>
      <w:r>
        <w:rPr>
          <w:rStyle w:val="CharSClsNo"/>
        </w:rPr>
        <w:t>2</w:t>
      </w:r>
      <w:r>
        <w:t>.</w:t>
      </w:r>
      <w:r>
        <w:tab/>
        <w:t>Baldchin Groper</w:t>
      </w:r>
      <w:bookmarkEnd w:id="1277"/>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Subsection"/>
        <w:keepNext/>
        <w:spacing w:before="120"/>
      </w:pPr>
      <w:r>
        <w:tab/>
        <w:t>(2)</w:t>
      </w:r>
      <w:r>
        <w:tab/>
        <w:t>In subclause (1) —</w:t>
      </w:r>
    </w:p>
    <w:p>
      <w:pPr>
        <w:pStyle w:val="yDefstart"/>
        <w:keepNext/>
      </w:pPr>
      <w:r>
        <w:rPr>
          <w:b/>
        </w:rPr>
        <w:tab/>
      </w:r>
      <w:r>
        <w:rPr>
          <w:rStyle w:val="CharDefText"/>
        </w:rPr>
        <w:t>Abrolhos Islands Fish Habitat Protection Area</w:t>
      </w:r>
      <w:r>
        <w:t xml:space="preserve"> means the area of WA waters adjacent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from the high water mark to the seaward limits of the coastal waters of the State.</w:t>
      </w:r>
    </w:p>
    <w:p>
      <w:pPr>
        <w:pStyle w:val="yFootnotesection"/>
      </w:pPr>
      <w:r>
        <w:tab/>
        <w:t>[Clause 2 inserted in Gazette 1 Oct 2003 p. 4329; amended in Gazette 4 Nov 2005 p. 5313; 29 May 2008 p. 2058; 19 Dec 2008 p. 5363.]</w:t>
      </w:r>
    </w:p>
    <w:p>
      <w:pPr>
        <w:pStyle w:val="yHeading5"/>
        <w:outlineLvl w:val="9"/>
      </w:pPr>
      <w:bookmarkStart w:id="1278" w:name="_Toc359316959"/>
      <w:r>
        <w:t>3.</w:t>
      </w:r>
      <w:r>
        <w:tab/>
        <w:t>Cobbler</w:t>
      </w:r>
      <w:bookmarkEnd w:id="1278"/>
    </w:p>
    <w:p>
      <w:pPr>
        <w:pStyle w:val="ySubsection"/>
      </w:pPr>
      <w:r>
        <w:tab/>
      </w:r>
      <w:r>
        <w:tab/>
        <w:t xml:space="preserve">Cobbler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on or before 30 June 2017.</w:t>
      </w:r>
    </w:p>
    <w:p>
      <w:pPr>
        <w:pStyle w:val="yFootnotesection"/>
      </w:pPr>
      <w:r>
        <w:tab/>
        <w:t>[Clause 3 inserted in Gazette 6 Jul 2007 p. 3388.]</w:t>
      </w:r>
    </w:p>
    <w:p>
      <w:pPr>
        <w:pStyle w:val="yHeading5"/>
        <w:outlineLvl w:val="9"/>
      </w:pPr>
      <w:bookmarkStart w:id="1279" w:name="_Toc359316960"/>
      <w:r>
        <w:t>4.</w:t>
      </w:r>
      <w:r>
        <w:tab/>
        <w:t>Blue Groper</w:t>
      </w:r>
      <w:bookmarkEnd w:id="1279"/>
    </w:p>
    <w:p>
      <w:pPr>
        <w:pStyle w:val="ySubsection"/>
      </w:pPr>
      <w:r>
        <w:tab/>
        <w:t>(1)</w:t>
      </w:r>
      <w:r>
        <w:tab/>
        <w:t>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In subclause (1) —</w:t>
      </w:r>
    </w:p>
    <w:p>
      <w:pPr>
        <w:pStyle w:val="yDefstart"/>
      </w:pPr>
      <w:r>
        <w:rPr>
          <w:b/>
        </w:rPr>
        <w:tab/>
      </w:r>
      <w:r>
        <w:rPr>
          <w:rStyle w:val="CharDefText"/>
        </w:rPr>
        <w:t>Rottnest Island Reserve</w:t>
      </w:r>
      <w:r>
        <w:t xml:space="preserve"> has the meaning given in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 </w:t>
      </w:r>
      <w:r>
        <w:t>section 4.</w:t>
      </w:r>
    </w:p>
    <w:p>
      <w:pPr>
        <w:pStyle w:val="yFootnotesection"/>
      </w:pPr>
      <w:r>
        <w:tab/>
        <w:t>[Clause 4 inserted in Gazette 29 May 2008 p. 2058</w:t>
      </w:r>
      <w:r>
        <w:noBreakHyphen/>
        <w:t>9.]</w:t>
      </w:r>
    </w:p>
    <w:p>
      <w:pPr>
        <w:pStyle w:val="yHeading4"/>
      </w:pPr>
      <w:bookmarkStart w:id="1280" w:name="_Toc339626082"/>
      <w:bookmarkStart w:id="1281" w:name="_Toc342397834"/>
      <w:bookmarkStart w:id="1282" w:name="_Toc343520091"/>
      <w:bookmarkStart w:id="1283" w:name="_Toc343520548"/>
      <w:bookmarkStart w:id="1284" w:name="_Toc344712113"/>
      <w:bookmarkStart w:id="1285" w:name="_Toc344712629"/>
      <w:bookmarkStart w:id="1286" w:name="_Toc347307897"/>
      <w:bookmarkStart w:id="1287" w:name="_Toc349822810"/>
      <w:bookmarkStart w:id="1288" w:name="_Toc349823230"/>
      <w:bookmarkStart w:id="1289" w:name="_Toc349831212"/>
      <w:bookmarkStart w:id="1290" w:name="_Toc359249004"/>
      <w:bookmarkStart w:id="1291" w:name="_Toc359316961"/>
      <w:r>
        <w:t>Subdivision 2 — Protected by reference to species length or other factors</w:t>
      </w:r>
      <w:bookmarkEnd w:id="1280"/>
      <w:bookmarkEnd w:id="1281"/>
      <w:bookmarkEnd w:id="1282"/>
      <w:bookmarkEnd w:id="1283"/>
      <w:bookmarkEnd w:id="1284"/>
      <w:bookmarkEnd w:id="1285"/>
      <w:bookmarkEnd w:id="1286"/>
      <w:bookmarkEnd w:id="1287"/>
      <w:bookmarkEnd w:id="1288"/>
      <w:bookmarkEnd w:id="1289"/>
      <w:bookmarkEnd w:id="1290"/>
      <w:bookmarkEnd w:id="1291"/>
    </w:p>
    <w:p>
      <w:pPr>
        <w:pStyle w:val="yFootnoteheading"/>
        <w:keepNext/>
        <w:keepLines/>
        <w:spacing w:after="120"/>
        <w:rPr>
          <w:snapToGrid w:val="0"/>
        </w:rPr>
      </w:pPr>
      <w:r>
        <w:rPr>
          <w:snapToGrid w:val="0"/>
        </w:rPr>
        <w:tab/>
        <w:t xml:space="preserve">[Heading </w:t>
      </w:r>
      <w:r>
        <w:t>inserted in Gazette 28 Feb 2003 p. 662;</w:t>
      </w:r>
      <w:r>
        <w:rPr>
          <w:snapToGrid w:val="0"/>
        </w:rPr>
        <w:t xml:space="preserve"> amended in Gazette 1 Oct 2003 p. 4329.]</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396" w:type="dxa"/>
            <w:tcBorders>
              <w:top w:val="single" w:sz="8" w:space="0" w:color="auto"/>
              <w:bottom w:val="single" w:sz="8" w:space="0" w:color="auto"/>
            </w:tcBorders>
            <w:tcMar>
              <w:left w:w="85" w:type="dxa"/>
              <w:right w:w="113" w:type="dxa"/>
            </w:tcMar>
            <w:vAlign w:val="center"/>
          </w:tcPr>
          <w:p>
            <w:pPr>
              <w:pStyle w:val="yTableNAm"/>
              <w:keepNext/>
              <w:spacing w:before="0"/>
              <w:rPr>
                <w:b/>
                <w:bCs/>
                <w:lang w:val="en-U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Amberjack </w:t>
            </w:r>
            <w:r>
              <w:tab/>
            </w:r>
          </w:p>
        </w:tc>
        <w:tc>
          <w:tcPr>
            <w:tcW w:w="1928" w:type="dxa"/>
            <w:tcMar>
              <w:left w:w="85" w:type="dxa"/>
              <w:right w:w="113" w:type="dxa"/>
            </w:tcMar>
          </w:tcPr>
          <w:p>
            <w:pPr>
              <w:pStyle w:val="yTableNAm"/>
              <w:keepNext/>
              <w:spacing w:before="0"/>
            </w:pPr>
            <w:r>
              <w:t>600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Barramundi </w:t>
            </w:r>
            <w:r>
              <w:tab/>
            </w:r>
          </w:p>
        </w:tc>
        <w:tc>
          <w:tcPr>
            <w:tcW w:w="1928" w:type="dxa"/>
            <w:tcMar>
              <w:left w:w="85" w:type="dxa"/>
              <w:right w:w="113" w:type="dxa"/>
            </w:tcMar>
          </w:tcPr>
          <w:p>
            <w:pPr>
              <w:pStyle w:val="yTableNAm"/>
              <w:keepNext/>
              <w:spacing w:before="0"/>
            </w:pPr>
            <w:r>
              <w:t>550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Black </w:t>
            </w:r>
            <w:r>
              <w:tab/>
            </w:r>
          </w:p>
        </w:tc>
        <w:tc>
          <w:tcPr>
            <w:tcW w:w="1928" w:type="dxa"/>
            <w:tcMar>
              <w:left w:w="85" w:type="dxa"/>
              <w:right w:w="113" w:type="dxa"/>
            </w:tcMar>
          </w:tcPr>
          <w:p>
            <w:pPr>
              <w:pStyle w:val="yTableNAm"/>
              <w:keepNext/>
              <w:spacing w:before="0"/>
            </w:pPr>
            <w:r>
              <w:t>250</w:t>
            </w:r>
          </w:p>
        </w:tc>
      </w:tr>
      <w:tr>
        <w:tc>
          <w:tcPr>
            <w:tcW w:w="5396" w:type="dxa"/>
            <w:tcMar>
              <w:left w:w="85" w:type="dxa"/>
              <w:right w:w="113" w:type="dxa"/>
            </w:tcMar>
          </w:tcPr>
          <w:p>
            <w:pPr>
              <w:pStyle w:val="yTableNAm"/>
              <w:keepNext/>
              <w:tabs>
                <w:tab w:val="left" w:pos="227"/>
                <w:tab w:val="right" w:leader="dot" w:pos="5047"/>
              </w:tabs>
              <w:spacing w:before="0"/>
            </w:pPr>
            <w:r>
              <w:t xml:space="preserve">Bream, Fingermark </w:t>
            </w:r>
            <w:r>
              <w:tab/>
            </w:r>
          </w:p>
        </w:tc>
        <w:tc>
          <w:tcPr>
            <w:tcW w:w="1928" w:type="dxa"/>
            <w:tcMar>
              <w:left w:w="85" w:type="dxa"/>
              <w:right w:w="113" w:type="dxa"/>
            </w:tcMar>
          </w:tcPr>
          <w:p>
            <w:pPr>
              <w:pStyle w:val="yTableNAm"/>
              <w:keepNext/>
              <w:spacing w:before="0"/>
            </w:pPr>
            <w:r>
              <w:t>300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Northwest Black </w:t>
            </w:r>
            <w:r>
              <w:tab/>
            </w:r>
          </w:p>
        </w:tc>
        <w:tc>
          <w:tcPr>
            <w:tcW w:w="1928" w:type="dxa"/>
            <w:tcMar>
              <w:left w:w="85" w:type="dxa"/>
              <w:right w:w="113" w:type="dxa"/>
            </w:tcMar>
          </w:tcPr>
          <w:p>
            <w:pPr>
              <w:pStyle w:val="yTableNAm"/>
              <w:keepNext/>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Bream, Yellowfin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116"/>
              </w:tabs>
              <w:spacing w:before="0"/>
              <w:ind w:left="236" w:hanging="236"/>
            </w:pPr>
            <w:r>
              <w:t>Cobbler (Estuary Catfish) when taken or brought onto land other than from waters, and before the date, referred to in Subdivision 1 item 3 — </w:t>
            </w:r>
          </w:p>
        </w:tc>
        <w:tc>
          <w:tcPr>
            <w:tcW w:w="1928" w:type="dxa"/>
            <w:tcMar>
              <w:left w:w="85" w:type="dxa"/>
              <w:right w:w="113" w:type="dxa"/>
            </w:tcMar>
          </w:tcPr>
          <w:p>
            <w:pPr>
              <w:pStyle w:val="yTableNAm"/>
              <w:spacing w:before="0"/>
            </w:pP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(a)</w:t>
            </w:r>
            <w:r>
              <w:tab/>
              <w:t xml:space="preserve">when taken by the holder of a commercial fishing licence (partial length) </w:t>
            </w:r>
            <w:r>
              <w:tab/>
            </w:r>
          </w:p>
        </w:tc>
        <w:tc>
          <w:tcPr>
            <w:tcW w:w="1928" w:type="dxa"/>
            <w:tcMar>
              <w:left w:w="85" w:type="dxa"/>
              <w:right w:w="113" w:type="dxa"/>
            </w:tcMar>
          </w:tcPr>
          <w:p>
            <w:pPr>
              <w:pStyle w:val="yTableNAm"/>
              <w:spacing w:before="0"/>
            </w:pPr>
          </w:p>
          <w:p>
            <w:pPr>
              <w:pStyle w:val="yTableNAm"/>
              <w:spacing w:before="0"/>
            </w:pPr>
            <w:r>
              <w:t>320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in any other case (total length) </w:t>
            </w:r>
            <w:r>
              <w:tab/>
            </w:r>
          </w:p>
        </w:tc>
        <w:tc>
          <w:tcPr>
            <w:tcW w:w="1928" w:type="dxa"/>
            <w:tcMar>
              <w:left w:w="85" w:type="dxa"/>
              <w:right w:w="113" w:type="dxa"/>
            </w:tcMar>
          </w:tcPr>
          <w:p>
            <w:pPr>
              <w:pStyle w:val="yTableNAm"/>
              <w:spacing w:before="0"/>
            </w:pPr>
            <w:r>
              <w:t>430</w:t>
            </w:r>
          </w:p>
        </w:tc>
      </w:tr>
      <w:tr>
        <w:tc>
          <w:tcPr>
            <w:tcW w:w="5396" w:type="dxa"/>
            <w:tcMar>
              <w:left w:w="85" w:type="dxa"/>
              <w:right w:w="113" w:type="dxa"/>
            </w:tcMar>
          </w:tcPr>
          <w:p>
            <w:pPr>
              <w:pStyle w:val="yTableNAm"/>
              <w:tabs>
                <w:tab w:val="clear" w:pos="567"/>
                <w:tab w:val="left" w:pos="227"/>
                <w:tab w:val="right" w:leader="dot" w:pos="5047"/>
              </w:tabs>
              <w:spacing w:before="0"/>
            </w:pPr>
            <w:r>
              <w:t xml:space="preserve">Cobia </w:t>
            </w:r>
            <w:r>
              <w:tab/>
            </w:r>
          </w:p>
        </w:tc>
        <w:tc>
          <w:tcPr>
            <w:tcW w:w="1928" w:type="dxa"/>
            <w:tcMar>
              <w:left w:w="85" w:type="dxa"/>
              <w:right w:w="113" w:type="dxa"/>
            </w:tcMar>
          </w:tcPr>
          <w:p>
            <w:pPr>
              <w:pStyle w:val="yTableNAm"/>
              <w:spacing w:before="0"/>
            </w:pPr>
            <w:r>
              <w:t>750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Cod, Breaksea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Cod, Estuary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Coral Trout </w:t>
            </w:r>
            <w:r>
              <w:tab/>
            </w:r>
          </w:p>
        </w:tc>
        <w:tc>
          <w:tcPr>
            <w:tcW w:w="1928" w:type="dxa"/>
            <w:tcMar>
              <w:left w:w="85" w:type="dxa"/>
              <w:right w:w="113" w:type="dxa"/>
            </w:tcMar>
          </w:tcPr>
          <w:p>
            <w:pPr>
              <w:pStyle w:val="yTableNAm"/>
              <w:spacing w:before="0"/>
            </w:pPr>
            <w:r>
              <w:t>450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Dhufish, West Australian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Dolphinfish (Mahi Mahi)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Emperor, Blue</w:t>
            </w:r>
            <w:r>
              <w:noBreakHyphen/>
              <w:t xml:space="preserve">lined </w:t>
            </w:r>
            <w:r>
              <w:tab/>
            </w:r>
          </w:p>
        </w:tc>
        <w:tc>
          <w:tcPr>
            <w:tcW w:w="1928" w:type="dxa"/>
            <w:tcMar>
              <w:left w:w="85" w:type="dxa"/>
              <w:right w:w="113" w:type="dxa"/>
            </w:tcMar>
          </w:tcPr>
          <w:p>
            <w:pPr>
              <w:pStyle w:val="yTableNAm"/>
              <w:spacing w:before="0"/>
            </w:pPr>
            <w:r>
              <w:t>320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Emperor, Red (Government Bream)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Emperor, Spangled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Bar</w:t>
            </w:r>
            <w:r>
              <w:noBreakHyphen/>
              <w:t xml:space="preserve">tailed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Blue</w:t>
            </w:r>
            <w:r>
              <w:noBreakHyphen/>
              <w:t xml:space="preserve">spotted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Long</w:t>
            </w:r>
            <w:r>
              <w:noBreakHyphen/>
              <w:t xml:space="preserve">spined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Flathead, Marbled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Flounder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Groper, Baldchin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Groper, Blue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left" w:pos="227"/>
                <w:tab w:val="right" w:leader="dot" w:pos="5047"/>
              </w:tabs>
              <w:spacing w:before="0"/>
              <w:ind w:left="578" w:hanging="578"/>
            </w:pPr>
            <w:r>
              <w:t xml:space="preserve">Javelinfish and Sweetlips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Kingfish (Yellowtail) </w:t>
            </w:r>
            <w:r>
              <w:tab/>
            </w:r>
          </w:p>
        </w:tc>
        <w:tc>
          <w:tcPr>
            <w:tcW w:w="1928" w:type="dxa"/>
            <w:tcMar>
              <w:left w:w="85" w:type="dxa"/>
              <w:right w:w="113" w:type="dxa"/>
            </w:tcMar>
          </w:tcPr>
          <w:p>
            <w:pPr>
              <w:pStyle w:val="yTableNAm"/>
              <w:spacing w:before="0"/>
            </w:pPr>
            <w:r>
              <w:t>600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Leatherjacket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Australian Spotted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Mackerel, Broad</w:t>
            </w:r>
            <w:r>
              <w:noBreakHyphen/>
              <w:t xml:space="preserve">barred Spanish </w:t>
            </w:r>
            <w:r>
              <w:tab/>
            </w:r>
          </w:p>
        </w:tc>
        <w:tc>
          <w:tcPr>
            <w:tcW w:w="1928" w:type="dxa"/>
            <w:tcMar>
              <w:left w:w="85" w:type="dxa"/>
              <w:right w:w="113" w:type="dxa"/>
            </w:tcMar>
          </w:tcPr>
          <w:p>
            <w:pPr>
              <w:pStyle w:val="yTableNAm"/>
              <w:spacing w:before="0"/>
            </w:pPr>
            <w:r>
              <w:t>750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Mackerel, Narrow</w:t>
            </w:r>
            <w:r>
              <w:noBreakHyphen/>
              <w:t xml:space="preserve">barred Spanish </w:t>
            </w:r>
            <w:r>
              <w:tab/>
            </w:r>
          </w:p>
        </w:tc>
        <w:tc>
          <w:tcPr>
            <w:tcW w:w="1928" w:type="dxa"/>
            <w:tcMar>
              <w:left w:w="85" w:type="dxa"/>
              <w:right w:w="113" w:type="dxa"/>
            </w:tcMar>
          </w:tcPr>
          <w:p>
            <w:pPr>
              <w:pStyle w:val="yTableNAm"/>
              <w:spacing w:before="0"/>
            </w:pPr>
            <w:r>
              <w:t>900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Shark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Wahoo </w:t>
            </w:r>
            <w:r>
              <w:tab/>
            </w:r>
          </w:p>
        </w:tc>
        <w:tc>
          <w:tcPr>
            <w:tcW w:w="1928" w:type="dxa"/>
            <w:tcMar>
              <w:left w:w="85" w:type="dxa"/>
              <w:right w:w="113" w:type="dxa"/>
            </w:tcMar>
          </w:tcPr>
          <w:p>
            <w:pPr>
              <w:pStyle w:val="yTableNAm"/>
              <w:spacing w:before="0"/>
            </w:pPr>
            <w:r>
              <w:t>900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Mangrove Jack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Mulloway, Northern </w:t>
            </w:r>
            <w:r>
              <w:tab/>
            </w:r>
          </w:p>
        </w:tc>
        <w:tc>
          <w:tcPr>
            <w:tcW w:w="1928" w:type="dxa"/>
            <w:tcMar>
              <w:left w:w="85" w:type="dxa"/>
              <w:right w:w="113" w:type="dxa"/>
            </w:tcMar>
          </w:tcPr>
          <w:p>
            <w:pPr>
              <w:pStyle w:val="yTableNAm"/>
              <w:spacing w:before="0"/>
            </w:pPr>
            <w:r>
              <w:t>700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Mulloway (River Kingfish)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Pike, Long</w:t>
            </w:r>
            <w:r>
              <w:noBreakHyphen/>
              <w:t xml:space="preserve">finned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Salmon, Australian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Samson Fish (Sea Kingfish) </w:t>
            </w:r>
            <w:r>
              <w:tab/>
            </w:r>
          </w:p>
        </w:tc>
        <w:tc>
          <w:tcPr>
            <w:tcW w:w="1928" w:type="dxa"/>
            <w:tcMar>
              <w:left w:w="85" w:type="dxa"/>
              <w:right w:w="113" w:type="dxa"/>
            </w:tcMar>
          </w:tcPr>
          <w:p>
            <w:pPr>
              <w:pStyle w:val="yTableNAm"/>
              <w:spacing w:before="0"/>
            </w:pPr>
            <w:r>
              <w:t>600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Sea Perch, Stripey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Northwest </w:t>
            </w:r>
            <w:r>
              <w:tab/>
            </w:r>
          </w:p>
        </w:tc>
        <w:tc>
          <w:tcPr>
            <w:tcW w:w="1928" w:type="dxa"/>
            <w:tcMar>
              <w:left w:w="85" w:type="dxa"/>
              <w:right w:w="113" w:type="dxa"/>
            </w:tcMar>
          </w:tcPr>
          <w:p>
            <w:pPr>
              <w:pStyle w:val="yTableNAm"/>
              <w:spacing w:before="0"/>
            </w:pPr>
            <w:r>
              <w:t>280</w:t>
            </w:r>
          </w:p>
        </w:tc>
      </w:tr>
      <w:tr>
        <w:tc>
          <w:tcPr>
            <w:tcW w:w="5396" w:type="dxa"/>
            <w:tcMar>
              <w:left w:w="85" w:type="dxa"/>
              <w:right w:w="113" w:type="dxa"/>
            </w:tcMar>
          </w:tcPr>
          <w:p>
            <w:pPr>
              <w:pStyle w:val="yTableNAm"/>
              <w:tabs>
                <w:tab w:val="clear" w:pos="567"/>
                <w:tab w:val="left" w:pos="227"/>
                <w:tab w:val="right" w:leader="dot" w:pos="6237"/>
              </w:tabs>
              <w:spacing w:before="0"/>
              <w:ind w:left="236" w:hanging="236"/>
            </w:pPr>
            <w:r>
              <w:t>Snapper, Pink — </w:t>
            </w:r>
          </w:p>
        </w:tc>
        <w:tc>
          <w:tcPr>
            <w:tcW w:w="1928" w:type="dxa"/>
            <w:tcMar>
              <w:left w:w="85" w:type="dxa"/>
              <w:right w:w="113" w:type="dxa"/>
            </w:tcMar>
          </w:tcPr>
          <w:p>
            <w:pPr>
              <w:pStyle w:val="yTableNAm"/>
              <w:keepNext/>
              <w:spacing w:before="0"/>
            </w:pPr>
          </w:p>
        </w:tc>
      </w:tr>
      <w:tr>
        <w:tc>
          <w:tcPr>
            <w:tcW w:w="5396" w:type="dxa"/>
            <w:tcMar>
              <w:left w:w="85" w:type="dxa"/>
              <w:right w:w="113" w:type="dxa"/>
            </w:tcMar>
          </w:tcPr>
          <w:p>
            <w:pPr>
              <w:pStyle w:val="yTableNAm"/>
              <w:tabs>
                <w:tab w:val="left" w:pos="227"/>
                <w:tab w:val="right" w:leader="dot" w:pos="5047"/>
              </w:tabs>
              <w:spacing w:before="0"/>
              <w:ind w:left="578" w:hanging="578"/>
            </w:pPr>
            <w:r>
              <w:tab/>
              <w:t>(a)</w:t>
            </w:r>
            <w:r>
              <w:tab/>
              <w:t>when taken or brought onto land from the waters of the West Coast Region that are south of 31° 00′ south latitude</w:t>
            </w:r>
            <w:r>
              <w:tab/>
            </w:r>
          </w:p>
        </w:tc>
        <w:tc>
          <w:tcPr>
            <w:tcW w:w="1928" w:type="dxa"/>
            <w:tcMar>
              <w:left w:w="85" w:type="dxa"/>
              <w:right w:w="113" w:type="dxa"/>
            </w:tcMar>
          </w:tcPr>
          <w:p>
            <w:pPr>
              <w:pStyle w:val="yTableNAm"/>
              <w:keepNext/>
              <w:spacing w:before="0"/>
            </w:pPr>
          </w:p>
          <w:p>
            <w:pPr>
              <w:pStyle w:val="yTableNAm"/>
              <w:keepNext/>
              <w:spacing w:before="0"/>
            </w:pPr>
          </w:p>
          <w:p>
            <w:pPr>
              <w:pStyle w:val="yTableNAm"/>
              <w:spacing w:before="0"/>
            </w:pPr>
            <w:r>
              <w:t>500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when taken or brought onto land from 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other than in an area and during a period referred to in Subdivision 1 item 1(a) or in the waters of the Freycinet Estuary </w:t>
            </w:r>
            <w:r>
              <w:tab/>
            </w:r>
          </w:p>
        </w:tc>
        <w:tc>
          <w:tcPr>
            <w:tcW w:w="1928" w:type="dxa"/>
            <w:tcMar>
              <w:left w:w="85" w:type="dxa"/>
              <w:right w:w="113" w:type="dxa"/>
            </w:tcMar>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500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(c)</w:t>
            </w:r>
            <w:r>
              <w:tab/>
              <w:t xml:space="preserve">in any other case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Queen (Blue Morwong)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Red (Redfish)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Snook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Swallowtail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Tailor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Tarwhine (Silver Bream)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Threadfin, Giant </w:t>
            </w:r>
            <w:r>
              <w:tab/>
            </w:r>
          </w:p>
        </w:tc>
        <w:tc>
          <w:tcPr>
            <w:tcW w:w="1928" w:type="dxa"/>
            <w:tcMar>
              <w:left w:w="85" w:type="dxa"/>
              <w:right w:w="113" w:type="dxa"/>
            </w:tcMar>
          </w:tcPr>
          <w:p>
            <w:pPr>
              <w:pStyle w:val="yTableNAm"/>
              <w:spacing w:before="0"/>
            </w:pPr>
            <w:r>
              <w:t>450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Trevally, Silver (Skipjack)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Tripletail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Tuskfish, Blackspot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Tuskfish, Blue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Whiting, King George (Spotted) </w:t>
            </w:r>
            <w:r>
              <w:tab/>
            </w:r>
          </w:p>
        </w:tc>
        <w:tc>
          <w:tcPr>
            <w:tcW w:w="1928" w:type="dxa"/>
            <w:tcMar>
              <w:left w:w="85" w:type="dxa"/>
              <w:right w:w="113" w:type="dxa"/>
            </w:tcMar>
          </w:tcPr>
          <w:p>
            <w:pPr>
              <w:pStyle w:val="yTableNAm"/>
              <w:spacing w:before="0"/>
            </w:pPr>
            <w:r>
              <w:t>280</w:t>
            </w:r>
          </w:p>
        </w:tc>
      </w:tr>
    </w:tbl>
    <w:p>
      <w:pPr>
        <w:spacing w:before="120"/>
        <w:rPr>
          <w:snapToGrid w:val="0"/>
        </w:rPr>
      </w:pPr>
    </w:p>
    <w:tbl>
      <w:tblPr>
        <w:tblW w:w="7080" w:type="dxa"/>
        <w:tblInd w:w="85" w:type="dxa"/>
        <w:tblLayout w:type="fixed"/>
        <w:tblCellMar>
          <w:left w:w="113" w:type="dxa"/>
          <w:right w:w="113" w:type="dxa"/>
        </w:tblCellMar>
        <w:tblLook w:val="0000" w:firstRow="0" w:lastRow="0" w:firstColumn="0" w:lastColumn="0" w:noHBand="0" w:noVBand="0"/>
      </w:tblPr>
      <w:tblGrid>
        <w:gridCol w:w="5180"/>
        <w:gridCol w:w="1900"/>
      </w:tblGrid>
      <w:tr>
        <w:trPr>
          <w:tblHeader/>
        </w:trPr>
        <w:tc>
          <w:tcPr>
            <w:tcW w:w="5180"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Class of fish</w:t>
            </w:r>
          </w:p>
        </w:tc>
        <w:tc>
          <w:tcPr>
            <w:tcW w:w="1900"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If of a length greater than the length specified (mm)</w:t>
            </w:r>
          </w:p>
        </w:tc>
      </w:tr>
      <w:tr>
        <w:trPr>
          <w:tblHeader/>
        </w:trPr>
        <w:tc>
          <w:tcPr>
            <w:tcW w:w="5180" w:type="dxa"/>
            <w:tcBorders>
              <w:top w:val="single" w:sz="8" w:space="0" w:color="auto"/>
              <w:bottom w:val="single" w:sz="8" w:space="0" w:color="auto"/>
            </w:tcBorders>
            <w:tcMar>
              <w:left w:w="85" w:type="dxa"/>
              <w:right w:w="113" w:type="dxa"/>
            </w:tcMar>
            <w:vAlign w:val="center"/>
          </w:tcPr>
          <w:p>
            <w:pPr>
              <w:pStyle w:val="yTableNAm"/>
              <w:keepLines/>
              <w:spacing w:before="0"/>
              <w:rPr>
                <w:bCs/>
              </w:rPr>
            </w:pPr>
            <w:r>
              <w:rPr>
                <w:bCs/>
              </w:rPr>
              <w:t xml:space="preserve">Snapper, Pink, when taken or brought onto land from the waters of </w:t>
            </w:r>
            <w:smartTag w:uri="urn:schemas-microsoft-com:office:smarttags" w:element="place">
              <w:smartTag w:uri="urn:schemas-microsoft-com:office:smarttags" w:element="PlaceName">
                <w:r>
                  <w:rPr>
                    <w:bCs/>
                  </w:rPr>
                  <w:t>Shark</w:t>
                </w:r>
              </w:smartTag>
              <w:r>
                <w:rPr>
                  <w:bCs/>
                </w:rPr>
                <w:t xml:space="preserve"> </w:t>
              </w:r>
              <w:smartTag w:uri="urn:schemas-microsoft-com:office:smarttags" w:element="PlaceType">
                <w:r>
                  <w:rPr>
                    <w:bCs/>
                  </w:rPr>
                  <w:t>Bay</w:t>
                </w:r>
              </w:smartTag>
            </w:smartTag>
            <w:r>
              <w:rPr>
                <w:bCs/>
              </w:rPr>
              <w:t xml:space="preserve">, other than in an area and during a period referred to in Subdivision 1 paragraph (a) or in the waters of the Freycinet Estuary </w:t>
            </w:r>
          </w:p>
        </w:tc>
        <w:tc>
          <w:tcPr>
            <w:tcW w:w="1900" w:type="dxa"/>
            <w:tcBorders>
              <w:top w:val="single" w:sz="8" w:space="0" w:color="auto"/>
              <w:bottom w:val="single" w:sz="8" w:space="0" w:color="auto"/>
            </w:tcBorders>
            <w:tcMar>
              <w:left w:w="85" w:type="dxa"/>
              <w:right w:w="113" w:type="dxa"/>
            </w:tcMar>
            <w:vAlign w:val="center"/>
          </w:tcPr>
          <w:p>
            <w:pPr>
              <w:pStyle w:val="yTableNAm"/>
              <w:keepLines/>
              <w:spacing w:before="0"/>
              <w:rPr>
                <w:bCs/>
              </w:rPr>
            </w:pPr>
            <w:r>
              <w:rPr>
                <w:bCs/>
              </w:rPr>
              <w:br/>
            </w:r>
            <w:r>
              <w:rPr>
                <w:bCs/>
              </w:rPr>
              <w:br/>
            </w:r>
            <w:r>
              <w:rPr>
                <w:bCs/>
              </w:rPr>
              <w:br/>
              <w:t>700</w:t>
            </w:r>
          </w:p>
        </w:tc>
      </w:tr>
    </w:tbl>
    <w:p>
      <w:pPr>
        <w:pStyle w:val="yFootnotesection"/>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 29 Mar 2011 p. 1151</w:t>
      </w:r>
      <w:r>
        <w:noBreakHyphen/>
        <w:t>3; 29 Jan 2013 p. 312.]</w:t>
      </w:r>
    </w:p>
    <w:p>
      <w:pPr>
        <w:pStyle w:val="yHeading3"/>
        <w:spacing w:after="120"/>
      </w:pPr>
      <w:bookmarkStart w:id="1292" w:name="_Toc339626083"/>
      <w:bookmarkStart w:id="1293" w:name="_Toc342397835"/>
      <w:bookmarkStart w:id="1294" w:name="_Toc343520092"/>
      <w:bookmarkStart w:id="1295" w:name="_Toc343520549"/>
      <w:bookmarkStart w:id="1296" w:name="_Toc344712114"/>
      <w:bookmarkStart w:id="1297" w:name="_Toc344712630"/>
      <w:bookmarkStart w:id="1298" w:name="_Toc347307898"/>
      <w:bookmarkStart w:id="1299" w:name="_Toc349822811"/>
      <w:bookmarkStart w:id="1300" w:name="_Toc349823231"/>
      <w:bookmarkStart w:id="1301" w:name="_Toc349831213"/>
      <w:bookmarkStart w:id="1302" w:name="_Toc359249005"/>
      <w:bookmarkStart w:id="1303" w:name="_Toc359316962"/>
      <w:r>
        <w:t>Division 4 — Freshwater fish</w:t>
      </w:r>
      <w:bookmarkEnd w:id="1292"/>
      <w:bookmarkEnd w:id="1293"/>
      <w:bookmarkEnd w:id="1294"/>
      <w:bookmarkEnd w:id="1295"/>
      <w:bookmarkEnd w:id="1296"/>
      <w:bookmarkEnd w:id="1297"/>
      <w:bookmarkEnd w:id="1298"/>
      <w:bookmarkEnd w:id="1299"/>
      <w:bookmarkEnd w:id="1300"/>
      <w:bookmarkEnd w:id="1301"/>
      <w:bookmarkEnd w:id="1302"/>
      <w:bookmarkEnd w:id="1303"/>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Next/>
              <w:keepLines/>
              <w:spacing w:before="0"/>
            </w:pPr>
            <w:r>
              <w:t>250</w:t>
            </w:r>
          </w:p>
        </w:tc>
      </w:tr>
      <w:tr>
        <w:tc>
          <w:tcPr>
            <w:tcW w:w="5250" w:type="dxa"/>
            <w:tcMar>
              <w:left w:w="85" w:type="dxa"/>
              <w:right w:w="113" w:type="dxa"/>
            </w:tcMar>
          </w:tcPr>
          <w:p>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keepNext/>
              <w:spacing w:before="0"/>
            </w:pPr>
            <w:r>
              <w:t>300</w:t>
            </w:r>
          </w:p>
        </w:tc>
      </w:tr>
      <w:tr>
        <w:tc>
          <w:tcPr>
            <w:tcW w:w="5250" w:type="dxa"/>
            <w:tcBorders>
              <w:bottom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spacing w:before="0"/>
            </w:pPr>
            <w:r>
              <w:t>300</w:t>
            </w:r>
          </w:p>
        </w:tc>
      </w:tr>
    </w:tbl>
    <w:p>
      <w:pPr>
        <w:pStyle w:val="yFootnotesection"/>
        <w:keepLines w:val="0"/>
      </w:pPr>
      <w:r>
        <w:tab/>
        <w:t>[Division 4 amended in Gazette 22 Dec 2005 p. 6229.]</w:t>
      </w:r>
    </w:p>
    <w:p>
      <w:pPr>
        <w:pStyle w:val="yHeading3"/>
        <w:spacing w:after="120"/>
      </w:pPr>
      <w:bookmarkStart w:id="1304" w:name="_Toc339626084"/>
      <w:bookmarkStart w:id="1305" w:name="_Toc342397836"/>
      <w:bookmarkStart w:id="1306" w:name="_Toc343520093"/>
      <w:bookmarkStart w:id="1307" w:name="_Toc343520550"/>
      <w:bookmarkStart w:id="1308" w:name="_Toc344712115"/>
      <w:bookmarkStart w:id="1309" w:name="_Toc344712631"/>
      <w:bookmarkStart w:id="1310" w:name="_Toc347307899"/>
      <w:bookmarkStart w:id="1311" w:name="_Toc349822812"/>
      <w:bookmarkStart w:id="1312" w:name="_Toc349823232"/>
      <w:bookmarkStart w:id="1313" w:name="_Toc349831214"/>
      <w:bookmarkStart w:id="1314" w:name="_Toc359249006"/>
      <w:bookmarkStart w:id="1315" w:name="_Toc359316963"/>
      <w:r>
        <w:t>Division 5 — Crustaceans, other than those listed in Division 1</w:t>
      </w:r>
      <w:bookmarkEnd w:id="1304"/>
      <w:bookmarkEnd w:id="1305"/>
      <w:bookmarkEnd w:id="1306"/>
      <w:bookmarkEnd w:id="1307"/>
      <w:bookmarkEnd w:id="1308"/>
      <w:bookmarkEnd w:id="1309"/>
      <w:bookmarkEnd w:id="1310"/>
      <w:bookmarkEnd w:id="1311"/>
      <w:bookmarkEnd w:id="1312"/>
      <w:bookmarkEnd w:id="1313"/>
      <w:bookmarkEnd w:id="1314"/>
      <w:bookmarkEnd w:id="1315"/>
      <w:r>
        <w:t xml:space="preserve"> </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9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161" w:type="dxa"/>
            <w:tcMar>
              <w:left w:w="85" w:type="dxa"/>
              <w:right w:w="113" w:type="dxa"/>
            </w:tcMar>
          </w:tcPr>
          <w:p>
            <w:pPr>
              <w:pStyle w:val="yTableNAm"/>
              <w:tabs>
                <w:tab w:val="clear" w:pos="567"/>
                <w:tab w:val="left" w:pos="227"/>
                <w:tab w:val="right" w:leader="dot" w:pos="6237"/>
              </w:tabs>
              <w:spacing w:before="0"/>
              <w:ind w:left="236" w:right="237" w:hanging="236"/>
            </w:pPr>
            <w:r>
              <w:t>Crab, Blue Manna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1891" w:type="dxa"/>
            <w:tcMar>
              <w:left w:w="85" w:type="dxa"/>
              <w:right w:w="113" w:type="dxa"/>
            </w:tcMar>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keepNext/>
              <w:keepLines/>
              <w:spacing w:before="0"/>
            </w:pPr>
            <w:r>
              <w:t>127</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w:t>
            </w:r>
            <w:smartTag w:uri="urn:schemas-microsoft-com:office:smarttags" w:element="place">
              <w:smartTag w:uri="urn:schemas-microsoft-com:office:smarttags" w:element="State">
                <w:r>
                  <w:t>Champagne</w:t>
                </w:r>
              </w:smartTag>
            </w:smartTag>
            <w:r>
              <w:t xml:space="preserve"> </w:t>
            </w:r>
            <w:r>
              <w:tab/>
            </w:r>
          </w:p>
        </w:tc>
        <w:tc>
          <w:tcPr>
            <w:tcW w:w="1891" w:type="dxa"/>
            <w:tcMar>
              <w:left w:w="85" w:type="dxa"/>
              <w:right w:w="113" w:type="dxa"/>
            </w:tcMar>
          </w:tcPr>
          <w:p>
            <w:pPr>
              <w:pStyle w:val="yTableNAm"/>
              <w:keepNext/>
              <w:keepLines/>
              <w:spacing w:before="0"/>
            </w:pPr>
            <w:r>
              <w:t>92</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Crystal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Giant </w:t>
            </w:r>
            <w:r>
              <w:tab/>
            </w:r>
          </w:p>
        </w:tc>
        <w:tc>
          <w:tcPr>
            <w:tcW w:w="1891" w:type="dxa"/>
            <w:tcMar>
              <w:left w:w="85" w:type="dxa"/>
              <w:right w:w="113" w:type="dxa"/>
            </w:tcMar>
          </w:tcPr>
          <w:p>
            <w:pPr>
              <w:pStyle w:val="yTableNAm"/>
              <w:keepNext/>
              <w:keepLines/>
              <w:spacing w:before="0"/>
            </w:pPr>
            <w:r>
              <w:t>140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(Brown)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(Green) </w:t>
            </w:r>
            <w:r>
              <w:tab/>
            </w:r>
          </w:p>
        </w:tc>
        <w:tc>
          <w:tcPr>
            <w:tcW w:w="1891" w:type="dxa"/>
            <w:tcMar>
              <w:left w:w="85" w:type="dxa"/>
              <w:right w:w="113" w:type="dxa"/>
            </w:tcMar>
          </w:tcPr>
          <w:p>
            <w:pPr>
              <w:pStyle w:val="yTableNAm"/>
              <w:spacing w:before="0"/>
            </w:pPr>
            <w:r>
              <w:t>150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Marron —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 xml:space="preserve">when taken from marron trophy waters </w:t>
            </w:r>
            <w:r>
              <w:tab/>
            </w:r>
          </w:p>
        </w:tc>
        <w:tc>
          <w:tcPr>
            <w:tcW w:w="1891" w:type="dxa"/>
            <w:tcMar>
              <w:left w:w="85" w:type="dxa"/>
              <w:right w:w="113" w:type="dxa"/>
            </w:tcMar>
          </w:tcPr>
          <w:p>
            <w:pPr>
              <w:pStyle w:val="yTableNAm"/>
              <w:spacing w:before="0"/>
            </w:pPr>
            <w:r>
              <w:t>90</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spacing w:before="0"/>
            </w:pPr>
            <w:r>
              <w:t>80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Southern </w:t>
            </w:r>
            <w:r>
              <w:tab/>
            </w:r>
          </w:p>
        </w:tc>
        <w:tc>
          <w:tcPr>
            <w:tcW w:w="1891" w:type="dxa"/>
            <w:tcMar>
              <w:left w:w="85" w:type="dxa"/>
              <w:right w:w="113" w:type="dxa"/>
            </w:tcMar>
          </w:tcPr>
          <w:p>
            <w:pPr>
              <w:pStyle w:val="yTableNAm"/>
              <w:spacing w:before="0"/>
            </w:pPr>
            <w:r>
              <w:t>98.5</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Tropical </w:t>
            </w:r>
            <w:r>
              <w:tab/>
            </w:r>
          </w:p>
        </w:tc>
        <w:tc>
          <w:tcPr>
            <w:tcW w:w="1891" w:type="dxa"/>
            <w:tcMar>
              <w:left w:w="85" w:type="dxa"/>
              <w:right w:w="113" w:type="dxa"/>
            </w:tcMar>
          </w:tcPr>
          <w:p>
            <w:pPr>
              <w:pStyle w:val="yTableNAm"/>
              <w:spacing w:before="0"/>
            </w:pPr>
            <w:r>
              <w:t>76</w:t>
            </w:r>
          </w:p>
        </w:tc>
      </w:tr>
      <w:tr>
        <w:tc>
          <w:tcPr>
            <w:tcW w:w="5161" w:type="dxa"/>
            <w:tcMar>
              <w:left w:w="85" w:type="dxa"/>
              <w:right w:w="113" w:type="dxa"/>
            </w:tcMar>
          </w:tcPr>
          <w:p>
            <w:pPr>
              <w:pStyle w:val="yTableNAm"/>
              <w:tabs>
                <w:tab w:val="left" w:pos="938"/>
                <w:tab w:val="right" w:leader="dot" w:pos="4963"/>
              </w:tabs>
              <w:spacing w:before="0"/>
              <w:ind w:left="938" w:right="237" w:hanging="938"/>
            </w:pPr>
            <w:r>
              <w:t xml:space="preserve">Rock Lobster, Western </w:t>
            </w:r>
            <w:r>
              <w:tab/>
            </w:r>
          </w:p>
        </w:tc>
        <w:tc>
          <w:tcPr>
            <w:tcW w:w="1891" w:type="dxa"/>
            <w:tcMar>
              <w:left w:w="85" w:type="dxa"/>
              <w:right w:w="113" w:type="dxa"/>
            </w:tcMar>
          </w:tcPr>
          <w:p>
            <w:pPr>
              <w:pStyle w:val="yTableNAm"/>
              <w:keepNext/>
              <w:spacing w:before="0"/>
            </w:pPr>
            <w:r>
              <w:rPr>
                <w:szCs w:val="22"/>
              </w:rPr>
              <w:t>76</w:t>
            </w:r>
          </w:p>
        </w:tc>
      </w:tr>
    </w:tbl>
    <w:p/>
    <w:tbl>
      <w:tblPr>
        <w:tblW w:w="7080" w:type="dxa"/>
        <w:tblInd w:w="113" w:type="dxa"/>
        <w:tblLayout w:type="fixed"/>
        <w:tblCellMar>
          <w:left w:w="113" w:type="dxa"/>
          <w:right w:w="113" w:type="dxa"/>
        </w:tblCellMar>
        <w:tblLook w:val="0000" w:firstRow="0" w:lastRow="0" w:firstColumn="0" w:lastColumn="0" w:noHBand="0" w:noVBand="0"/>
      </w:tblPr>
      <w:tblGrid>
        <w:gridCol w:w="5400"/>
        <w:gridCol w:w="1652"/>
        <w:gridCol w:w="28"/>
      </w:tblGrid>
      <w:tr>
        <w:trPr>
          <w:tblHeader/>
        </w:trPr>
        <w:tc>
          <w:tcPr>
            <w:tcW w:w="5400" w:type="dxa"/>
            <w:tcBorders>
              <w:top w:val="single" w:sz="8" w:space="0" w:color="auto"/>
              <w:bottom w:val="single" w:sz="8" w:space="0" w:color="auto"/>
            </w:tcBorders>
            <w:tcMar>
              <w:left w:w="85" w:type="dxa"/>
              <w:right w:w="113" w:type="dxa"/>
            </w:tcMar>
            <w:vAlign w:val="center"/>
          </w:tcPr>
          <w:p>
            <w:pPr>
              <w:pStyle w:val="yTableNAm"/>
              <w:tabs>
                <w:tab w:val="left" w:pos="1058"/>
                <w:tab w:val="left" w:pos="1418"/>
              </w:tabs>
              <w:spacing w:before="0"/>
              <w:ind w:left="1058" w:hanging="1058"/>
              <w:rPr>
                <w:b/>
                <w:bCs/>
              </w:rPr>
            </w:pPr>
            <w:r>
              <w:rPr>
                <w:b/>
                <w:bCs/>
              </w:rPr>
              <w:t>Class of fish</w:t>
            </w:r>
          </w:p>
        </w:tc>
        <w:tc>
          <w:tcPr>
            <w:tcW w:w="1680" w:type="dxa"/>
            <w:gridSpan w:val="2"/>
            <w:tcBorders>
              <w:top w:val="single" w:sz="8" w:space="0" w:color="auto"/>
              <w:bottom w:val="single" w:sz="8" w:space="0" w:color="auto"/>
            </w:tcBorders>
            <w:tcMar>
              <w:left w:w="85" w:type="dxa"/>
              <w:right w:w="57" w:type="dxa"/>
            </w:tcMar>
            <w:vAlign w:val="center"/>
          </w:tcPr>
          <w:p>
            <w:pPr>
              <w:pStyle w:val="yTableNAm"/>
              <w:tabs>
                <w:tab w:val="clear" w:pos="567"/>
              </w:tabs>
              <w:spacing w:before="0"/>
              <w:rPr>
                <w:b/>
                <w:bCs/>
              </w:rPr>
            </w:pPr>
            <w:r>
              <w:rPr>
                <w:b/>
                <w:bCs/>
              </w:rPr>
              <w:t>If of a length greater than the length specified in respect of each class of fish (mm)</w:t>
            </w:r>
          </w:p>
        </w:tc>
      </w:tr>
      <w:tr>
        <w:tc>
          <w:tcPr>
            <w:tcW w:w="5400" w:type="dxa"/>
            <w:tcMar>
              <w:left w:w="85" w:type="dxa"/>
              <w:right w:w="113" w:type="dxa"/>
            </w:tcMar>
          </w:tcPr>
          <w:p>
            <w:pPr>
              <w:pStyle w:val="yTableNAm"/>
              <w:tabs>
                <w:tab w:val="left" w:pos="1058"/>
                <w:tab w:val="left" w:pos="1418"/>
              </w:tabs>
              <w:spacing w:before="0"/>
              <w:ind w:left="1058" w:hanging="1058"/>
            </w:pPr>
            <w:r>
              <w:t>Rock Lobster, Western, female — </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(b)</w:t>
            </w:r>
            <w:r>
              <w:tab/>
              <w:t>in the possession of, or consigned by, a person on a boat on; or</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clear" w:pos="567"/>
                <w:tab w:val="left" w:pos="227"/>
                <w:tab w:val="right" w:leader="dot" w:pos="5167"/>
              </w:tabs>
              <w:spacing w:before="0"/>
              <w:ind w:left="236" w:right="237" w:hanging="236"/>
            </w:pPr>
            <w:r>
              <w:tab/>
              <w:t xml:space="preserve">the waters between 30° and 34° 24′ south latitude but excluding all waters on the south coast which are east of 115° 08.091′ east longitude </w:t>
            </w:r>
            <w:r>
              <w:tab/>
            </w:r>
          </w:p>
        </w:tc>
        <w:tc>
          <w:tcPr>
            <w:tcW w:w="1680" w:type="dxa"/>
            <w:gridSpan w:val="2"/>
            <w:tcMar>
              <w:left w:w="85" w:type="dxa"/>
              <w:right w:w="113" w:type="dxa"/>
            </w:tcMar>
          </w:tcPr>
          <w:p>
            <w:pPr>
              <w:pStyle w:val="yTableNAm"/>
              <w:tabs>
                <w:tab w:val="left" w:pos="1058"/>
                <w:tab w:val="left" w:pos="1418"/>
              </w:tabs>
              <w:spacing w:before="0"/>
              <w:ind w:left="1058" w:hanging="1058"/>
              <w:jc w:val="both"/>
            </w:pPr>
            <w:r>
              <w:br/>
            </w:r>
          </w:p>
          <w:p>
            <w:pPr>
              <w:pStyle w:val="yTableNAm"/>
              <w:tabs>
                <w:tab w:val="left" w:pos="1058"/>
                <w:tab w:val="left" w:pos="1418"/>
              </w:tabs>
              <w:spacing w:before="0"/>
              <w:ind w:left="1058" w:hanging="1058"/>
            </w:pPr>
            <w:r>
              <w:t>105</w:t>
            </w:r>
          </w:p>
        </w:tc>
      </w:tr>
      <w:tr>
        <w:trPr>
          <w:gridAfter w:val="1"/>
          <w:wAfter w:w="28" w:type="dxa"/>
        </w:trPr>
        <w:tc>
          <w:tcPr>
            <w:tcW w:w="5400" w:type="dxa"/>
            <w:tcMar>
              <w:left w:w="85" w:type="dxa"/>
              <w:right w:w="113" w:type="dxa"/>
            </w:tcMar>
          </w:tcPr>
          <w:p>
            <w:pPr>
              <w:pStyle w:val="yTableNAm"/>
              <w:tabs>
                <w:tab w:val="clear" w:pos="567"/>
                <w:tab w:val="left" w:pos="227"/>
                <w:tab w:val="right" w:leader="dot" w:pos="6237"/>
              </w:tabs>
              <w:spacing w:before="0"/>
              <w:ind w:left="236" w:right="237" w:hanging="236"/>
            </w:pPr>
            <w:r>
              <w:t xml:space="preserve">Rock Lobster, Western, female — </w:t>
            </w:r>
          </w:p>
        </w:tc>
        <w:tc>
          <w:tcPr>
            <w:tcW w:w="1652" w:type="dxa"/>
            <w:tcMar>
              <w:left w:w="85" w:type="dxa"/>
              <w:right w:w="113" w:type="dxa"/>
            </w:tcMar>
          </w:tcPr>
          <w:p>
            <w:pPr>
              <w:pStyle w:val="yTableNAm"/>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p>
            <w:pPr>
              <w:pStyle w:val="yTableNAm"/>
              <w:keepNext/>
              <w:tabs>
                <w:tab w:val="left" w:pos="227"/>
                <w:tab w:val="right" w:leader="dot" w:pos="6237"/>
              </w:tabs>
              <w:spacing w:before="0"/>
              <w:ind w:left="578" w:right="237" w:hanging="578"/>
            </w:pPr>
            <w:r>
              <w:tab/>
              <w:t>(b)</w:t>
            </w:r>
            <w:r>
              <w:tab/>
              <w:t xml:space="preserve">in the possession of a person on a boat moored or anchored in; or </w:t>
            </w:r>
          </w:p>
        </w:tc>
        <w:tc>
          <w:tcPr>
            <w:tcW w:w="1652" w:type="dxa"/>
            <w:tcMar>
              <w:left w:w="85" w:type="dxa"/>
              <w:right w:w="113" w:type="dxa"/>
            </w:tcMar>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p>
            <w:pPr>
              <w:pStyle w:val="yTableNAm"/>
              <w:tabs>
                <w:tab w:val="left" w:pos="227"/>
                <w:tab w:val="right" w:leader="dot" w:pos="5202"/>
              </w:tabs>
              <w:spacing w:before="0"/>
              <w:ind w:left="578" w:right="237" w:hanging="578"/>
            </w:pPr>
            <w:r>
              <w:tab/>
              <w:t xml:space="preserve">the waters between 21° 44′ and 30° south latitude </w:t>
            </w:r>
            <w:r>
              <w:tab/>
            </w:r>
          </w:p>
        </w:tc>
        <w:tc>
          <w:tcPr>
            <w:tcW w:w="1652" w:type="dxa"/>
            <w:tcMar>
              <w:left w:w="85" w:type="dxa"/>
              <w:right w:w="113" w:type="dxa"/>
            </w:tcMar>
          </w:tcPr>
          <w:p>
            <w:pPr>
              <w:pStyle w:val="yTableNAm"/>
              <w:tabs>
                <w:tab w:val="clear" w:pos="567"/>
              </w:tabs>
              <w:spacing w:before="0"/>
              <w:ind w:left="12" w:firstLine="22"/>
            </w:pPr>
            <w:r>
              <w:br/>
              <w:t>95</w:t>
            </w:r>
          </w:p>
        </w:tc>
      </w:tr>
      <w:tr>
        <w:trPr>
          <w:gridAfter w:val="1"/>
          <w:wAfter w:w="28" w:type="dxa"/>
        </w:trPr>
        <w:tc>
          <w:tcPr>
            <w:tcW w:w="5400" w:type="dxa"/>
            <w:tcMar>
              <w:left w:w="85" w:type="dxa"/>
              <w:right w:w="113" w:type="dxa"/>
            </w:tcMar>
          </w:tcPr>
          <w:p>
            <w:pPr>
              <w:pStyle w:val="yTableNAm"/>
              <w:keepNext/>
              <w:keepLines/>
              <w:tabs>
                <w:tab w:val="clear" w:pos="567"/>
                <w:tab w:val="left" w:pos="227"/>
                <w:tab w:val="right" w:leader="dot" w:pos="6237"/>
              </w:tabs>
              <w:spacing w:before="0"/>
              <w:ind w:left="236" w:right="237" w:hanging="236"/>
            </w:pPr>
            <w:r>
              <w:t>Rock Lobster, Western, female —</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keepNext/>
              <w:keepLines/>
              <w:tabs>
                <w:tab w:val="left" w:pos="227"/>
                <w:tab w:val="right" w:leader="dot" w:pos="6237"/>
              </w:tabs>
              <w:spacing w:before="0"/>
              <w:ind w:left="578" w:right="237" w:hanging="578"/>
            </w:pPr>
            <w:r>
              <w:tab/>
              <w:t>(a)</w:t>
            </w:r>
            <w:r>
              <w:tab/>
              <w:t>taken; or</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keepNext/>
              <w:keepLines/>
              <w:tabs>
                <w:tab w:val="left" w:pos="227"/>
                <w:tab w:val="right" w:leader="dot" w:pos="6237"/>
              </w:tabs>
              <w:spacing w:before="0"/>
              <w:ind w:left="578" w:right="237" w:hanging="578"/>
            </w:pPr>
            <w:r>
              <w:tab/>
              <w:t>(b)</w:t>
            </w:r>
            <w:r>
              <w:tab/>
              <w:t>brought ashore,</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Borders>
              <w:bottom w:val="single" w:sz="4" w:space="0" w:color="auto"/>
            </w:tcBorders>
            <w:tcMar>
              <w:left w:w="85" w:type="dxa"/>
              <w:right w:w="113" w:type="dxa"/>
            </w:tcMar>
          </w:tcPr>
          <w:p>
            <w:pPr>
              <w:pStyle w:val="yTableNAm"/>
              <w:keepNext/>
              <w:keepLines/>
              <w:tabs>
                <w:tab w:val="clear" w:pos="567"/>
                <w:tab w:val="left" w:pos="227"/>
                <w:tab w:val="right" w:leader="dot" w:pos="5167"/>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1652" w:type="dxa"/>
            <w:tcBorders>
              <w:bottom w:val="single" w:sz="4" w:space="0" w:color="auto"/>
            </w:tcBorders>
            <w:tcMar>
              <w:left w:w="85" w:type="dxa"/>
              <w:right w:w="113" w:type="dxa"/>
            </w:tcMar>
          </w:tcPr>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r>
              <w:t>115</w:t>
            </w:r>
          </w:p>
        </w:tc>
      </w:tr>
    </w:tbl>
    <w:p>
      <w:pPr>
        <w:pStyle w:val="yFootnotesection"/>
      </w:pPr>
      <w:r>
        <w:tab/>
        <w:t>[</w:t>
      </w:r>
      <w:r>
        <w:rPr>
          <w:spacing w:val="-2"/>
        </w:rPr>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rPr>
          <w:spacing w:val="-2"/>
        </w:rPr>
        <w:noBreakHyphen/>
        <w:t>1; 5 Nov 2009 p. 4413; 18 Nov 2011 p. 4810; 24 Feb 2012 p. 802.]</w:t>
      </w:r>
    </w:p>
    <w:p>
      <w:pPr>
        <w:pStyle w:val="yHeading3"/>
        <w:spacing w:before="160" w:after="120"/>
      </w:pPr>
      <w:bookmarkStart w:id="1316" w:name="_Toc339626085"/>
      <w:bookmarkStart w:id="1317" w:name="_Toc342397837"/>
      <w:bookmarkStart w:id="1318" w:name="_Toc343520094"/>
      <w:bookmarkStart w:id="1319" w:name="_Toc343520551"/>
      <w:bookmarkStart w:id="1320" w:name="_Toc344712116"/>
      <w:bookmarkStart w:id="1321" w:name="_Toc344712632"/>
      <w:bookmarkStart w:id="1322" w:name="_Toc347307900"/>
      <w:bookmarkStart w:id="1323" w:name="_Toc349822813"/>
      <w:bookmarkStart w:id="1324" w:name="_Toc349823233"/>
      <w:bookmarkStart w:id="1325" w:name="_Toc349831215"/>
      <w:bookmarkStart w:id="1326" w:name="_Toc359249007"/>
      <w:bookmarkStart w:id="1327" w:name="_Toc359316964"/>
      <w:r>
        <w:t>Division 6 — Molluscs</w:t>
      </w:r>
      <w:bookmarkEnd w:id="1316"/>
      <w:bookmarkEnd w:id="1317"/>
      <w:bookmarkEnd w:id="1318"/>
      <w:bookmarkEnd w:id="1319"/>
      <w:bookmarkEnd w:id="1320"/>
      <w:bookmarkEnd w:id="1321"/>
      <w:bookmarkEnd w:id="1322"/>
      <w:bookmarkEnd w:id="1323"/>
      <w:bookmarkEnd w:id="1324"/>
      <w:bookmarkEnd w:id="1325"/>
      <w:bookmarkEnd w:id="1326"/>
      <w:bookmarkEnd w:id="1327"/>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214"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214" w:type="dxa"/>
            <w:tcMar>
              <w:left w:w="85" w:type="dxa"/>
              <w:right w:w="113" w:type="dxa"/>
            </w:tcMar>
          </w:tcPr>
          <w:p>
            <w:pPr>
              <w:pStyle w:val="yTableNAm"/>
              <w:keepNext/>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pPr>
              <w:pStyle w:val="yTableNAm"/>
              <w:keepNext/>
              <w:spacing w:before="0"/>
            </w:pPr>
            <w:r>
              <w:t>140</w:t>
            </w:r>
          </w:p>
        </w:tc>
      </w:tr>
      <w:tr>
        <w:tc>
          <w:tcPr>
            <w:tcW w:w="5214" w:type="dxa"/>
            <w:tcMar>
              <w:left w:w="85" w:type="dxa"/>
              <w:right w:w="113" w:type="dxa"/>
            </w:tcMar>
          </w:tcPr>
          <w:p>
            <w:pPr>
              <w:pStyle w:val="yTableNAm"/>
              <w:keepNext/>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pPr>
              <w:pStyle w:val="yTableNAm"/>
              <w:keepNext/>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pPr>
              <w:pStyle w:val="yTableNAm"/>
              <w:spacing w:before="0"/>
            </w:pPr>
            <w:r>
              <w:t>60</w:t>
            </w:r>
          </w:p>
        </w:tc>
      </w:tr>
      <w:tr>
        <w:tc>
          <w:tcPr>
            <w:tcW w:w="5214"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pPr>
              <w:pStyle w:val="yTableNAm"/>
              <w:spacing w:before="0"/>
            </w:pPr>
            <w:r>
              <w:t>65</w:t>
            </w:r>
          </w:p>
        </w:tc>
      </w:tr>
    </w:tbl>
    <w:p>
      <w:pPr>
        <w:pStyle w:val="yHeading2"/>
      </w:pPr>
      <w:bookmarkStart w:id="1328" w:name="_Toc339626086"/>
      <w:bookmarkStart w:id="1329" w:name="_Toc342397838"/>
      <w:bookmarkStart w:id="1330" w:name="_Toc343520095"/>
      <w:bookmarkStart w:id="1331" w:name="_Toc343520552"/>
      <w:bookmarkStart w:id="1332" w:name="_Toc344712117"/>
      <w:bookmarkStart w:id="1333" w:name="_Toc344712633"/>
      <w:bookmarkStart w:id="1334" w:name="_Toc347307901"/>
      <w:bookmarkStart w:id="1335" w:name="_Toc349822814"/>
      <w:bookmarkStart w:id="1336" w:name="_Toc349823234"/>
      <w:bookmarkStart w:id="1337" w:name="_Toc349831216"/>
      <w:bookmarkStart w:id="1338" w:name="_Toc359249008"/>
      <w:bookmarkStart w:id="1339" w:name="_Toc359316965"/>
      <w:r>
        <w:rPr>
          <w:rStyle w:val="CharSDivNo"/>
          <w:sz w:val="28"/>
          <w:szCs w:val="28"/>
        </w:rPr>
        <w:t>Part 3</w:t>
      </w:r>
      <w:r>
        <w:t> — </w:t>
      </w:r>
      <w:r>
        <w:rPr>
          <w:rStyle w:val="CharSDivText"/>
          <w:sz w:val="28"/>
          <w:szCs w:val="28"/>
        </w:rPr>
        <w:t>Recreationally protected fish</w:t>
      </w:r>
      <w:bookmarkEnd w:id="1328"/>
      <w:bookmarkEnd w:id="1329"/>
      <w:bookmarkEnd w:id="1330"/>
      <w:bookmarkEnd w:id="1331"/>
      <w:bookmarkEnd w:id="1332"/>
      <w:bookmarkEnd w:id="1333"/>
      <w:bookmarkEnd w:id="1334"/>
      <w:bookmarkEnd w:id="1335"/>
      <w:bookmarkEnd w:id="1336"/>
      <w:bookmarkEnd w:id="1337"/>
      <w:bookmarkEnd w:id="1338"/>
      <w:bookmarkEnd w:id="1339"/>
    </w:p>
    <w:p>
      <w:pPr>
        <w:pStyle w:val="yFootnoteheading"/>
      </w:pPr>
      <w:r>
        <w:tab/>
        <w:t>[Heading inserted in Gazette 14 Sep 2012 p. 4375.]</w:t>
      </w:r>
    </w:p>
    <w:p>
      <w:pPr>
        <w:pStyle w:val="Subsection"/>
      </w:pPr>
      <w:r>
        <w:t>Barramundi in excess of 800 mm in length.</w:t>
      </w:r>
    </w:p>
    <w:p>
      <w:pPr>
        <w:pStyle w:val="yMiscellaneousBody"/>
      </w:pPr>
      <w:r>
        <w:t>Estuary cod in excess of 30 kg weight or 1000 mm in length.</w:t>
      </w:r>
    </w:p>
    <w:p>
      <w:pPr>
        <w:pStyle w:val="yMiscellaneousBody"/>
      </w:pPr>
      <w:r>
        <w:t>Malabar cod in excess of 30 kg weight or 1000 mm in length.</w:t>
      </w:r>
    </w:p>
    <w:p>
      <w:pPr>
        <w:pStyle w:val="yFootnotesection"/>
      </w:pPr>
      <w:r>
        <w:tab/>
        <w:t>[Part 3 inserted in Gazette 14 Sep 2012 p. 4375; amended in Gazette 29 Jan 2013 p. 312.]</w:t>
      </w:r>
    </w:p>
    <w:p>
      <w:pPr>
        <w:pStyle w:val="yScheduleHeading"/>
      </w:pPr>
      <w:bookmarkStart w:id="1340" w:name="_Toc347307902"/>
      <w:bookmarkStart w:id="1341" w:name="_Toc349822815"/>
      <w:bookmarkStart w:id="1342" w:name="_Toc349823235"/>
      <w:bookmarkStart w:id="1343" w:name="_Toc349831217"/>
      <w:bookmarkStart w:id="1344" w:name="_Toc359249009"/>
      <w:bookmarkStart w:id="1345" w:name="_Toc359316966"/>
      <w:bookmarkStart w:id="1346" w:name="_Toc339626087"/>
      <w:bookmarkStart w:id="1347" w:name="_Toc342397839"/>
      <w:bookmarkStart w:id="1348" w:name="_Toc343520096"/>
      <w:bookmarkStart w:id="1349" w:name="_Toc343520553"/>
      <w:bookmarkStart w:id="1350" w:name="_Toc344712118"/>
      <w:bookmarkStart w:id="1351" w:name="_Toc344712634"/>
      <w:r>
        <w:rPr>
          <w:rStyle w:val="CharSchNo"/>
        </w:rPr>
        <w:t>Schedule 3</w:t>
      </w:r>
      <w:bookmarkEnd w:id="1340"/>
      <w:bookmarkEnd w:id="1341"/>
      <w:bookmarkEnd w:id="1342"/>
      <w:bookmarkEnd w:id="1343"/>
      <w:bookmarkEnd w:id="1344"/>
      <w:bookmarkEnd w:id="1345"/>
    </w:p>
    <w:p>
      <w:pPr>
        <w:pStyle w:val="yShoulderClause"/>
      </w:pPr>
      <w:r>
        <w:t>[Pt. 4B]</w:t>
      </w:r>
    </w:p>
    <w:p>
      <w:pPr>
        <w:pStyle w:val="yFootnoteheading"/>
        <w:spacing w:after="60"/>
      </w:pPr>
      <w:r>
        <w:tab/>
        <w:t>[Heading inserted in Gazette 29 Jan 2013 p. 313.]</w:t>
      </w:r>
    </w:p>
    <w:p>
      <w:pPr>
        <w:pStyle w:val="yHeading2"/>
      </w:pPr>
      <w:bookmarkStart w:id="1352" w:name="_Toc347307903"/>
      <w:bookmarkStart w:id="1353" w:name="_Toc349822816"/>
      <w:bookmarkStart w:id="1354" w:name="_Toc349823236"/>
      <w:bookmarkStart w:id="1355" w:name="_Toc349831218"/>
      <w:bookmarkStart w:id="1356" w:name="_Toc359249010"/>
      <w:bookmarkStart w:id="1357" w:name="_Toc359316967"/>
      <w:r>
        <w:rPr>
          <w:rStyle w:val="CharSchText"/>
        </w:rPr>
        <w:t>Bag limits</w:t>
      </w:r>
      <w:bookmarkEnd w:id="1352"/>
      <w:bookmarkEnd w:id="1353"/>
      <w:bookmarkEnd w:id="1354"/>
      <w:bookmarkEnd w:id="1355"/>
      <w:bookmarkEnd w:id="1356"/>
      <w:bookmarkEnd w:id="1357"/>
    </w:p>
    <w:p>
      <w:pPr>
        <w:pStyle w:val="yFootnoteheading"/>
        <w:spacing w:after="60"/>
      </w:pPr>
      <w:r>
        <w:tab/>
        <w:t>[Heading inserted in Gazette 29 Jan 2013 p. 313.]</w:t>
      </w:r>
    </w:p>
    <w:p>
      <w:pPr>
        <w:pStyle w:val="yHeading2"/>
      </w:pPr>
      <w:bookmarkStart w:id="1358" w:name="_Toc347307904"/>
      <w:bookmarkStart w:id="1359" w:name="_Toc349822817"/>
      <w:bookmarkStart w:id="1360" w:name="_Toc349823237"/>
      <w:bookmarkStart w:id="1361" w:name="_Toc349831219"/>
      <w:bookmarkStart w:id="1362" w:name="_Toc359249011"/>
      <w:bookmarkStart w:id="1363" w:name="_Toc359316968"/>
      <w:r>
        <w:rPr>
          <w:rStyle w:val="CharSDivNo"/>
          <w:bCs/>
          <w:sz w:val="28"/>
        </w:rPr>
        <w:t>Part 1</w:t>
      </w:r>
      <w:r>
        <w:t> — </w:t>
      </w:r>
      <w:r>
        <w:rPr>
          <w:rStyle w:val="CharSDivText"/>
          <w:bCs/>
          <w:sz w:val="28"/>
        </w:rPr>
        <w:t>Bag limits — demersal finfish</w:t>
      </w:r>
      <w:bookmarkEnd w:id="1358"/>
      <w:bookmarkEnd w:id="1359"/>
      <w:bookmarkEnd w:id="1360"/>
      <w:bookmarkEnd w:id="1361"/>
      <w:bookmarkEnd w:id="1362"/>
      <w:bookmarkEnd w:id="1363"/>
    </w:p>
    <w:p>
      <w:pPr>
        <w:pStyle w:val="yFootnoteheading"/>
        <w:spacing w:after="60"/>
      </w:pPr>
      <w:r>
        <w:tab/>
        <w:t>[Heading inserted in Gazette 29 Jan 2013 p. 313.]</w:t>
      </w:r>
    </w:p>
    <w:p>
      <w:pPr>
        <w:pStyle w:val="yHeading3"/>
      </w:pPr>
      <w:bookmarkStart w:id="1364" w:name="_Toc347307905"/>
      <w:bookmarkStart w:id="1365" w:name="_Toc349822818"/>
      <w:bookmarkStart w:id="1366" w:name="_Toc349823238"/>
      <w:bookmarkStart w:id="1367" w:name="_Toc349831220"/>
      <w:bookmarkStart w:id="1368" w:name="_Toc359249012"/>
      <w:bookmarkStart w:id="1369" w:name="_Toc359316969"/>
      <w:r>
        <w:t>Division 1 — Regions other than West Coast region</w:t>
      </w:r>
      <w:bookmarkEnd w:id="1364"/>
      <w:bookmarkEnd w:id="1365"/>
      <w:bookmarkEnd w:id="1366"/>
      <w:bookmarkEnd w:id="1367"/>
      <w:bookmarkEnd w:id="1368"/>
      <w:bookmarkEnd w:id="1369"/>
    </w:p>
    <w:p>
      <w:pPr>
        <w:pStyle w:val="yShoulderClause"/>
        <w:spacing w:after="120"/>
      </w:pPr>
      <w:r>
        <w:t>[r. 65A]</w:t>
      </w:r>
    </w:p>
    <w:p>
      <w:pPr>
        <w:pStyle w:val="yFootnoteheading"/>
        <w:spacing w:after="60"/>
      </w:pPr>
      <w:r>
        <w:tab/>
        <w:t>[Heading inserted in Gazette 29 Jan 2013 p. 313.]</w:t>
      </w:r>
    </w:p>
    <w:tbl>
      <w:tblPr>
        <w:tblW w:w="7171"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954"/>
      </w:tblGrid>
      <w:tr>
        <w:trPr>
          <w:cantSplit/>
          <w:tblHeader/>
        </w:trPr>
        <w:tc>
          <w:tcPr>
            <w:tcW w:w="4292" w:type="dxa"/>
            <w:tcMar>
              <w:left w:w="85" w:type="dxa"/>
            </w:tcMar>
            <w:vAlign w:val="center"/>
          </w:tcPr>
          <w:p>
            <w:pPr>
              <w:pStyle w:val="yTableNAm"/>
              <w:rPr>
                <w:b/>
              </w:rPr>
            </w:pPr>
            <w:r>
              <w:rPr>
                <w:b/>
              </w:rPr>
              <w:t>Fish</w:t>
            </w:r>
          </w:p>
        </w:tc>
        <w:tc>
          <w:tcPr>
            <w:tcW w:w="925" w:type="dxa"/>
            <w:tcMar>
              <w:left w:w="85" w:type="dxa"/>
            </w:tcMar>
            <w:vAlign w:val="center"/>
          </w:tcPr>
          <w:p>
            <w:pPr>
              <w:pStyle w:val="yTableNAm"/>
              <w:jc w:val="center"/>
              <w:rPr>
                <w:b/>
              </w:rPr>
            </w:pPr>
            <w:r>
              <w:rPr>
                <w:b/>
              </w:rPr>
              <w:t>Species bag limit for one day</w:t>
            </w:r>
          </w:p>
        </w:tc>
        <w:tc>
          <w:tcPr>
            <w:tcW w:w="1954"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clear" w:pos="567"/>
                <w:tab w:val="right" w:leader="dot" w:pos="3998"/>
              </w:tabs>
              <w:spacing w:before="0"/>
            </w:pPr>
            <w:r>
              <w:t xml:space="preserve">Barramundi cod </w:t>
            </w:r>
            <w:r>
              <w:tab/>
            </w:r>
          </w:p>
        </w:tc>
        <w:tc>
          <w:tcPr>
            <w:tcW w:w="925" w:type="dxa"/>
            <w:tcMar>
              <w:left w:w="85" w:type="dxa"/>
            </w:tcMar>
          </w:tcPr>
          <w:p>
            <w:pPr>
              <w:pStyle w:val="yTableNAm"/>
              <w:spacing w:before="0"/>
              <w:jc w:val="center"/>
            </w:pPr>
            <w:r>
              <w:t>3</w:t>
            </w:r>
          </w:p>
        </w:tc>
        <w:tc>
          <w:tcPr>
            <w:tcW w:w="1954" w:type="dxa"/>
            <w:vMerge w:val="restart"/>
            <w:tcMar>
              <w:left w:w="85" w:type="dxa"/>
            </w:tcMar>
            <w:vAlign w:val="center"/>
          </w:tcPr>
          <w:p>
            <w:pPr>
              <w:pStyle w:val="yTableNAm"/>
              <w:jc w:val="center"/>
            </w:pPr>
            <w:r>
              <w:t xml:space="preserve">5 (excluding 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tc>
      </w:tr>
      <w:tr>
        <w:trPr>
          <w:cantSplit/>
        </w:trPr>
        <w:tc>
          <w:tcPr>
            <w:tcW w:w="4292" w:type="dxa"/>
            <w:tcMar>
              <w:left w:w="85" w:type="dxa"/>
            </w:tcMar>
          </w:tcPr>
          <w:p>
            <w:pPr>
              <w:pStyle w:val="yTableNAm"/>
              <w:tabs>
                <w:tab w:val="clear" w:pos="567"/>
                <w:tab w:val="right" w:leader="dot" w:pos="3998"/>
              </w:tabs>
              <w:spacing w:before="0"/>
            </w:pPr>
            <w:r>
              <w:t>Boarfish</w:t>
            </w:r>
            <w:r>
              <w:tab/>
            </w:r>
          </w:p>
        </w:tc>
        <w:tc>
          <w:tcPr>
            <w:tcW w:w="925" w:type="dxa"/>
            <w:tcMar>
              <w:left w:w="85" w:type="dxa"/>
            </w:tcMar>
          </w:tcPr>
          <w:p>
            <w:pPr>
              <w:pStyle w:val="yTableNAm"/>
              <w:spacing w:before="0"/>
              <w:jc w:val="center"/>
            </w:pPr>
            <w:r>
              <w:t>3</w:t>
            </w:r>
          </w:p>
        </w:tc>
        <w:tc>
          <w:tcPr>
            <w:tcW w:w="1954"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3998"/>
              </w:tabs>
              <w:spacing w:before="0"/>
            </w:pPr>
            <w:r>
              <w:t>Cod, all species except Chinaman Cod, Coral Trout and Coronation Trout</w:t>
            </w:r>
            <w:r>
              <w:tab/>
            </w:r>
          </w:p>
        </w:tc>
        <w:tc>
          <w:tcPr>
            <w:tcW w:w="925" w:type="dxa"/>
            <w:tcMar>
              <w:left w:w="85" w:type="dxa"/>
            </w:tcMar>
          </w:tcPr>
          <w:p>
            <w:pPr>
              <w:pStyle w:val="yTableNAm"/>
              <w:spacing w:before="0"/>
              <w:jc w:val="center"/>
            </w:pPr>
            <w:r>
              <w:br/>
              <w:t>3</w:t>
            </w:r>
          </w:p>
        </w:tc>
        <w:tc>
          <w:tcPr>
            <w:tcW w:w="1954"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3998"/>
              </w:tabs>
              <w:spacing w:before="0"/>
            </w:pPr>
            <w:r>
              <w:t xml:space="preserve">Coral Trout </w:t>
            </w:r>
            <w:r>
              <w:tab/>
            </w:r>
          </w:p>
        </w:tc>
        <w:tc>
          <w:tcPr>
            <w:tcW w:w="925" w:type="dxa"/>
            <w:tcMar>
              <w:left w:w="85" w:type="dxa"/>
            </w:tcMar>
          </w:tcPr>
          <w:p>
            <w:pPr>
              <w:pStyle w:val="yTableNAm"/>
              <w:spacing w:before="0"/>
              <w:jc w:val="center"/>
            </w:pPr>
            <w:r>
              <w:t>1</w:t>
            </w:r>
          </w:p>
        </w:tc>
        <w:tc>
          <w:tcPr>
            <w:tcW w:w="1954"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3998"/>
              </w:tabs>
              <w:spacing w:before="0"/>
            </w:pPr>
            <w:r>
              <w:t xml:space="preserve">Coronation Trout </w:t>
            </w:r>
            <w:r>
              <w:tab/>
            </w:r>
          </w:p>
        </w:tc>
        <w:tc>
          <w:tcPr>
            <w:tcW w:w="925" w:type="dxa"/>
            <w:tcMar>
              <w:left w:w="85" w:type="dxa"/>
            </w:tcMar>
          </w:tcPr>
          <w:p>
            <w:pPr>
              <w:pStyle w:val="yTableNAm"/>
              <w:spacing w:before="0"/>
              <w:jc w:val="center"/>
            </w:pPr>
            <w:r>
              <w:t>1</w:t>
            </w:r>
          </w:p>
        </w:tc>
        <w:tc>
          <w:tcPr>
            <w:tcW w:w="1954"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3998"/>
              </w:tabs>
              <w:spacing w:before="0"/>
            </w:pPr>
            <w:r>
              <w:t>Dhufish, West Australian</w:t>
            </w:r>
            <w:r>
              <w:tab/>
            </w:r>
          </w:p>
        </w:tc>
        <w:tc>
          <w:tcPr>
            <w:tcW w:w="925" w:type="dxa"/>
            <w:tcMar>
              <w:left w:w="85" w:type="dxa"/>
            </w:tcMar>
          </w:tcPr>
          <w:p>
            <w:pPr>
              <w:pStyle w:val="yTableNAm"/>
              <w:spacing w:before="0"/>
              <w:jc w:val="center"/>
            </w:pPr>
            <w:r>
              <w:t>1</w:t>
            </w:r>
          </w:p>
        </w:tc>
        <w:tc>
          <w:tcPr>
            <w:tcW w:w="1954"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3998"/>
              </w:tabs>
              <w:spacing w:before="0"/>
            </w:pPr>
            <w:r>
              <w:t>Dory, John and Mirror</w:t>
            </w:r>
            <w:r>
              <w:tab/>
            </w:r>
          </w:p>
        </w:tc>
        <w:tc>
          <w:tcPr>
            <w:tcW w:w="925" w:type="dxa"/>
            <w:tcMar>
              <w:left w:w="85" w:type="dxa"/>
            </w:tcMar>
          </w:tcPr>
          <w:p>
            <w:pPr>
              <w:pStyle w:val="yTableNAm"/>
              <w:spacing w:before="0"/>
              <w:jc w:val="center"/>
            </w:pPr>
            <w:r>
              <w:t>3</w:t>
            </w:r>
          </w:p>
        </w:tc>
        <w:tc>
          <w:tcPr>
            <w:tcW w:w="1954"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3998"/>
              </w:tabs>
              <w:spacing w:before="0"/>
            </w:pPr>
            <w:r>
              <w:t>Emperor and Seabream, all species except Emperor, Blue</w:t>
            </w:r>
            <w:r>
              <w:noBreakHyphen/>
              <w:t xml:space="preserve">lined </w:t>
            </w:r>
            <w:r>
              <w:tab/>
            </w:r>
          </w:p>
        </w:tc>
        <w:tc>
          <w:tcPr>
            <w:tcW w:w="925" w:type="dxa"/>
            <w:tcMar>
              <w:left w:w="85" w:type="dxa"/>
            </w:tcMar>
          </w:tcPr>
          <w:p>
            <w:pPr>
              <w:pStyle w:val="yTableNAm"/>
              <w:spacing w:before="0"/>
              <w:jc w:val="center"/>
            </w:pPr>
            <w:r>
              <w:br/>
              <w:t>3</w:t>
            </w:r>
          </w:p>
        </w:tc>
        <w:tc>
          <w:tcPr>
            <w:tcW w:w="1954"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3998"/>
              </w:tabs>
              <w:spacing w:before="0"/>
            </w:pPr>
            <w:r>
              <w:t>Emperor, Blue</w:t>
            </w:r>
            <w:r>
              <w:noBreakHyphen/>
              <w:t xml:space="preserve">lined </w:t>
            </w:r>
            <w:r>
              <w:tab/>
            </w:r>
          </w:p>
        </w:tc>
        <w:tc>
          <w:tcPr>
            <w:tcW w:w="925" w:type="dxa"/>
            <w:tcMar>
              <w:left w:w="85" w:type="dxa"/>
            </w:tcMar>
          </w:tcPr>
          <w:p>
            <w:pPr>
              <w:pStyle w:val="yTableNAm"/>
              <w:spacing w:before="0"/>
              <w:jc w:val="center"/>
            </w:pPr>
            <w:r>
              <w:t>5</w:t>
            </w:r>
          </w:p>
        </w:tc>
        <w:tc>
          <w:tcPr>
            <w:tcW w:w="1954"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3998"/>
              </w:tabs>
              <w:spacing w:before="0"/>
            </w:pPr>
            <w:r>
              <w:t xml:space="preserve">Foxtail, Western and Pigfish </w:t>
            </w:r>
            <w:r>
              <w:tab/>
            </w:r>
          </w:p>
        </w:tc>
        <w:tc>
          <w:tcPr>
            <w:tcW w:w="925" w:type="dxa"/>
            <w:tcMar>
              <w:left w:w="85" w:type="dxa"/>
            </w:tcMar>
          </w:tcPr>
          <w:p>
            <w:pPr>
              <w:pStyle w:val="yTableNAm"/>
              <w:spacing w:before="0"/>
              <w:jc w:val="center"/>
            </w:pPr>
            <w:r>
              <w:t>3</w:t>
            </w:r>
          </w:p>
        </w:tc>
        <w:tc>
          <w:tcPr>
            <w:tcW w:w="1954" w:type="dxa"/>
            <w:vMerge/>
            <w:tcMar>
              <w:left w:w="85" w:type="dxa"/>
            </w:tcMar>
          </w:tcPr>
          <w:p>
            <w:pPr>
              <w:pStyle w:val="yTableNAm"/>
            </w:pPr>
          </w:p>
        </w:tc>
      </w:tr>
      <w:tr>
        <w:trPr>
          <w:cantSplit/>
        </w:trPr>
        <w:tc>
          <w:tcPr>
            <w:tcW w:w="4292" w:type="dxa"/>
            <w:tcBorders>
              <w:bottom w:val="single" w:sz="4" w:space="0" w:color="auto"/>
            </w:tcBorders>
            <w:tcMar>
              <w:left w:w="85" w:type="dxa"/>
            </w:tcMar>
          </w:tcPr>
          <w:p>
            <w:pPr>
              <w:pStyle w:val="yTableNAm"/>
              <w:tabs>
                <w:tab w:val="clear" w:pos="567"/>
                <w:tab w:val="right" w:leader="dot" w:pos="3998"/>
              </w:tabs>
              <w:spacing w:before="0"/>
            </w:pPr>
            <w:r>
              <w:t xml:space="preserve">Groper, Baldchin and Tuskfish </w:t>
            </w:r>
            <w:r>
              <w:tab/>
            </w:r>
          </w:p>
        </w:tc>
        <w:tc>
          <w:tcPr>
            <w:tcW w:w="925" w:type="dxa"/>
            <w:tcBorders>
              <w:bottom w:val="single" w:sz="4" w:space="0" w:color="auto"/>
            </w:tcBorders>
            <w:tcMar>
              <w:left w:w="85" w:type="dxa"/>
            </w:tcMar>
          </w:tcPr>
          <w:p>
            <w:pPr>
              <w:pStyle w:val="yTableNAm"/>
              <w:spacing w:before="0"/>
              <w:jc w:val="center"/>
            </w:pPr>
            <w:r>
              <w:t>3</w:t>
            </w:r>
          </w:p>
        </w:tc>
        <w:tc>
          <w:tcPr>
            <w:tcW w:w="1954" w:type="dxa"/>
            <w:vMerge/>
            <w:tcBorders>
              <w:bottom w:val="single" w:sz="4" w:space="0" w:color="auto"/>
            </w:tcBorders>
            <w:tcMar>
              <w:left w:w="85" w:type="dxa"/>
            </w:tcMar>
          </w:tcPr>
          <w:p>
            <w:pPr>
              <w:pStyle w:val="yTableNAm"/>
            </w:pPr>
          </w:p>
        </w:tc>
      </w:tr>
      <w:tr>
        <w:trPr>
          <w:cantSplit/>
        </w:trPr>
        <w:tc>
          <w:tcPr>
            <w:tcW w:w="4292" w:type="dxa"/>
            <w:tcMar>
              <w:left w:w="85" w:type="dxa"/>
            </w:tcMar>
          </w:tcPr>
          <w:p>
            <w:pPr>
              <w:pStyle w:val="yTableNAm"/>
              <w:tabs>
                <w:tab w:val="clear" w:pos="567"/>
                <w:tab w:val="right" w:leader="dot" w:pos="3998"/>
              </w:tabs>
              <w:spacing w:before="0"/>
            </w:pPr>
            <w:r>
              <w:t xml:space="preserve">Groper, Western Blue </w:t>
            </w:r>
            <w:r>
              <w:tab/>
            </w:r>
          </w:p>
        </w:tc>
        <w:tc>
          <w:tcPr>
            <w:tcW w:w="925" w:type="dxa"/>
            <w:tcMar>
              <w:left w:w="85" w:type="dxa"/>
            </w:tcMar>
          </w:tcPr>
          <w:p>
            <w:pPr>
              <w:pStyle w:val="yTableNAm"/>
              <w:spacing w:before="0"/>
              <w:jc w:val="center"/>
            </w:pPr>
            <w:r>
              <w:t>1</w:t>
            </w:r>
          </w:p>
        </w:tc>
        <w:tc>
          <w:tcPr>
            <w:tcW w:w="1954"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3998"/>
              </w:tabs>
              <w:spacing w:before="0"/>
            </w:pPr>
            <w:r>
              <w:t xml:space="preserve">Hapuka, Bass Groper and Trevalla </w:t>
            </w:r>
            <w:r>
              <w:tab/>
            </w:r>
          </w:p>
        </w:tc>
        <w:tc>
          <w:tcPr>
            <w:tcW w:w="925" w:type="dxa"/>
            <w:tcMar>
              <w:left w:w="85" w:type="dxa"/>
            </w:tcMar>
          </w:tcPr>
          <w:p>
            <w:pPr>
              <w:pStyle w:val="yTableNAm"/>
              <w:spacing w:before="0"/>
              <w:jc w:val="center"/>
            </w:pPr>
            <w:r>
              <w:t>3</w:t>
            </w:r>
          </w:p>
        </w:tc>
        <w:tc>
          <w:tcPr>
            <w:tcW w:w="1954"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3998"/>
              </w:tabs>
              <w:spacing w:before="0"/>
            </w:pPr>
            <w:r>
              <w:t xml:space="preserve">Pearl Perch </w:t>
            </w:r>
            <w:r>
              <w:tab/>
            </w:r>
          </w:p>
        </w:tc>
        <w:tc>
          <w:tcPr>
            <w:tcW w:w="925" w:type="dxa"/>
            <w:tcMar>
              <w:left w:w="85" w:type="dxa"/>
            </w:tcMar>
          </w:tcPr>
          <w:p>
            <w:pPr>
              <w:pStyle w:val="yTableNAm"/>
              <w:spacing w:before="0"/>
              <w:jc w:val="center"/>
            </w:pPr>
            <w:r>
              <w:t>3</w:t>
            </w:r>
          </w:p>
        </w:tc>
        <w:tc>
          <w:tcPr>
            <w:tcW w:w="1954"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3998"/>
              </w:tabs>
              <w:spacing w:before="0"/>
            </w:pPr>
            <w:r>
              <w:t xml:space="preserve">Sea Perch, Tropical, and Goldband Snapper, all species except Mangrove Jack, Fingermark bream and Stripey Seaperch </w:t>
            </w:r>
            <w:r>
              <w:tab/>
            </w:r>
          </w:p>
        </w:tc>
        <w:tc>
          <w:tcPr>
            <w:tcW w:w="925" w:type="dxa"/>
            <w:tcMar>
              <w:left w:w="85" w:type="dxa"/>
            </w:tcMar>
          </w:tcPr>
          <w:p>
            <w:pPr>
              <w:pStyle w:val="yTableNAm"/>
              <w:spacing w:before="0"/>
              <w:jc w:val="center"/>
            </w:pPr>
            <w:r>
              <w:br/>
            </w:r>
            <w:r>
              <w:br/>
              <w:t>3</w:t>
            </w:r>
          </w:p>
        </w:tc>
        <w:tc>
          <w:tcPr>
            <w:tcW w:w="1954"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3998"/>
              </w:tabs>
              <w:spacing w:before="0"/>
            </w:pPr>
            <w:r>
              <w:t xml:space="preserve">Snapper, Pink, except in the waters of </w:t>
            </w:r>
            <w:smartTag w:uri="urn:schemas-microsoft-com:office:smarttags" w:element="place">
              <w:smartTag w:uri="urn:schemas-microsoft-com:office:smarttags" w:element="PlaceName">
                <w:r>
                  <w:t>Shark</w:t>
                </w:r>
              </w:smartTag>
              <w:r>
                <w:t> </w:t>
              </w:r>
              <w:smartTag w:uri="urn:schemas-microsoft-com:office:smarttags" w:element="PlaceType">
                <w:r>
                  <w:t>Bay</w:t>
                </w:r>
              </w:smartTag>
            </w:smartTag>
            <w:r>
              <w:tab/>
            </w:r>
          </w:p>
        </w:tc>
        <w:tc>
          <w:tcPr>
            <w:tcW w:w="925" w:type="dxa"/>
            <w:tcMar>
              <w:left w:w="85" w:type="dxa"/>
            </w:tcMar>
          </w:tcPr>
          <w:p>
            <w:pPr>
              <w:pStyle w:val="yTableNAm"/>
              <w:spacing w:before="0"/>
              <w:jc w:val="center"/>
            </w:pPr>
            <w:r>
              <w:br/>
              <w:t>3</w:t>
            </w:r>
          </w:p>
        </w:tc>
        <w:tc>
          <w:tcPr>
            <w:tcW w:w="1954"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3998"/>
              </w:tabs>
              <w:spacing w:before="0"/>
            </w:pPr>
            <w:r>
              <w:t xml:space="preserve">Snapper, Pink, in the waters of the </w:t>
            </w:r>
            <w:smartTag w:uri="urn:schemas-microsoft-com:office:smarttags" w:element="place">
              <w:smartTag w:uri="urn:schemas-microsoft-com:office:smarttags" w:element="PlaceName">
                <w:r>
                  <w:t>Shark</w:t>
                </w:r>
              </w:smartTag>
              <w:r>
                <w:t xml:space="preserve"> </w:t>
              </w:r>
              <w:r>
                <w:br/>
              </w:r>
              <w:smartTag w:uri="urn:schemas-microsoft-com:office:smarttags" w:element="PlaceType">
                <w:r>
                  <w:t>Bay</w:t>
                </w:r>
              </w:smartTag>
            </w:smartTag>
            <w:r>
              <w:t xml:space="preserve"> </w:t>
            </w:r>
            <w:r>
              <w:tab/>
            </w:r>
          </w:p>
        </w:tc>
        <w:tc>
          <w:tcPr>
            <w:tcW w:w="925" w:type="dxa"/>
            <w:tcMar>
              <w:left w:w="85" w:type="dxa"/>
            </w:tcMar>
          </w:tcPr>
          <w:p>
            <w:pPr>
              <w:pStyle w:val="yTableNAm"/>
              <w:spacing w:before="0"/>
              <w:jc w:val="center"/>
            </w:pPr>
            <w:r>
              <w:br/>
              <w:t>2</w:t>
            </w:r>
          </w:p>
        </w:tc>
        <w:tc>
          <w:tcPr>
            <w:tcW w:w="1954"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3998"/>
              </w:tabs>
              <w:spacing w:before="0"/>
            </w:pPr>
            <w:r>
              <w:t xml:space="preserve">Snapper, Queen </w:t>
            </w:r>
            <w:r>
              <w:tab/>
            </w:r>
          </w:p>
        </w:tc>
        <w:tc>
          <w:tcPr>
            <w:tcW w:w="925" w:type="dxa"/>
            <w:tcMar>
              <w:left w:w="85" w:type="dxa"/>
            </w:tcMar>
          </w:tcPr>
          <w:p>
            <w:pPr>
              <w:pStyle w:val="yTableNAm"/>
              <w:spacing w:before="0"/>
              <w:jc w:val="center"/>
            </w:pPr>
            <w:r>
              <w:t>3</w:t>
            </w:r>
          </w:p>
        </w:tc>
        <w:tc>
          <w:tcPr>
            <w:tcW w:w="1954"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3998"/>
              </w:tabs>
              <w:spacing w:before="0"/>
            </w:pPr>
            <w:r>
              <w:t xml:space="preserve">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r>
              <w:tab/>
            </w:r>
          </w:p>
        </w:tc>
        <w:tc>
          <w:tcPr>
            <w:tcW w:w="925" w:type="dxa"/>
            <w:tcMar>
              <w:left w:w="85" w:type="dxa"/>
            </w:tcMar>
          </w:tcPr>
          <w:p>
            <w:pPr>
              <w:pStyle w:val="yTableNAm"/>
              <w:spacing w:before="0"/>
              <w:jc w:val="center"/>
            </w:pPr>
            <w:r>
              <w:br/>
              <w:t>8</w:t>
            </w:r>
          </w:p>
        </w:tc>
        <w:tc>
          <w:tcPr>
            <w:tcW w:w="1954" w:type="dxa"/>
            <w:tcMar>
              <w:left w:w="85" w:type="dxa"/>
            </w:tcMar>
          </w:tcPr>
          <w:p>
            <w:pPr>
              <w:pStyle w:val="yTableNAm"/>
            </w:pPr>
          </w:p>
        </w:tc>
      </w:tr>
    </w:tbl>
    <w:p>
      <w:pPr>
        <w:pStyle w:val="yFootnotesection"/>
      </w:pPr>
      <w:r>
        <w:tab/>
        <w:t>[Division 1 inserted in Gazette 29 Jan 2013 p. 313</w:t>
      </w:r>
      <w:r>
        <w:noBreakHyphen/>
        <w:t>14.]</w:t>
      </w:r>
    </w:p>
    <w:p>
      <w:pPr>
        <w:pStyle w:val="zyHeading3"/>
        <w:keepLines/>
      </w:pPr>
      <w:bookmarkStart w:id="1370" w:name="_Toc347307906"/>
      <w:bookmarkStart w:id="1371" w:name="_Toc349822819"/>
      <w:bookmarkStart w:id="1372" w:name="_Toc349823239"/>
      <w:bookmarkStart w:id="1373" w:name="_Toc349831221"/>
      <w:bookmarkStart w:id="1374" w:name="_Toc359249013"/>
      <w:bookmarkStart w:id="1375" w:name="_Toc359316970"/>
      <w:r>
        <w:t>Division 2 — West Coast region</w:t>
      </w:r>
      <w:bookmarkEnd w:id="1370"/>
      <w:bookmarkEnd w:id="1371"/>
      <w:bookmarkEnd w:id="1372"/>
      <w:bookmarkEnd w:id="1373"/>
      <w:bookmarkEnd w:id="1374"/>
      <w:bookmarkEnd w:id="1375"/>
    </w:p>
    <w:p>
      <w:pPr>
        <w:pStyle w:val="zyShoulderClause"/>
        <w:keepNext/>
        <w:keepLines/>
      </w:pPr>
      <w:r>
        <w:t>[r. 65B]</w:t>
      </w:r>
    </w:p>
    <w:p>
      <w:pPr>
        <w:pStyle w:val="yFootnoteheading"/>
        <w:spacing w:after="60"/>
      </w:pPr>
      <w:r>
        <w:tab/>
        <w:t>[Heading inserted in Gazette 29 Jan 2013 p. 314.]</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1067"/>
        <w:gridCol w:w="1701"/>
      </w:tblGrid>
      <w:tr>
        <w:trPr>
          <w:cantSplit/>
          <w:tblHeader/>
        </w:trPr>
        <w:tc>
          <w:tcPr>
            <w:tcW w:w="4292" w:type="dxa"/>
            <w:tcMar>
              <w:left w:w="85" w:type="dxa"/>
            </w:tcMar>
            <w:vAlign w:val="center"/>
          </w:tcPr>
          <w:p>
            <w:pPr>
              <w:pStyle w:val="yTableNAm"/>
              <w:keepNext/>
              <w:keepLines/>
              <w:spacing w:before="0"/>
              <w:rPr>
                <w:b/>
              </w:rPr>
            </w:pPr>
            <w:r>
              <w:rPr>
                <w:b/>
              </w:rPr>
              <w:t>Fish</w:t>
            </w:r>
          </w:p>
        </w:tc>
        <w:tc>
          <w:tcPr>
            <w:tcW w:w="1067" w:type="dxa"/>
            <w:tcMar>
              <w:left w:w="85" w:type="dxa"/>
            </w:tcMar>
            <w:vAlign w:val="center"/>
          </w:tcPr>
          <w:p>
            <w:pPr>
              <w:pStyle w:val="yTableNAm"/>
              <w:keepNext/>
              <w:keepLines/>
              <w:spacing w:before="0"/>
              <w:jc w:val="center"/>
              <w:rPr>
                <w:b/>
              </w:rPr>
            </w:pPr>
            <w:r>
              <w:rPr>
                <w:b/>
              </w:rPr>
              <w:t>Species bag limit for one day</w:t>
            </w:r>
          </w:p>
        </w:tc>
        <w:tc>
          <w:tcPr>
            <w:tcW w:w="1701" w:type="dxa"/>
            <w:tcMar>
              <w:left w:w="85" w:type="dxa"/>
            </w:tcMar>
            <w:vAlign w:val="center"/>
          </w:tcPr>
          <w:p>
            <w:pPr>
              <w:pStyle w:val="yTableNAm"/>
              <w:keepNext/>
              <w:keepLines/>
              <w:spacing w:before="0"/>
              <w:rPr>
                <w:b/>
              </w:rPr>
            </w:pPr>
            <w:r>
              <w:rPr>
                <w:b/>
              </w:rPr>
              <w:t>Grouped bag limit of all species of demersal finfish for one day</w:t>
            </w:r>
          </w:p>
        </w:tc>
      </w:tr>
      <w:tr>
        <w:trPr>
          <w:cantSplit/>
        </w:trPr>
        <w:tc>
          <w:tcPr>
            <w:tcW w:w="4292" w:type="dxa"/>
            <w:tcMar>
              <w:left w:w="85" w:type="dxa"/>
            </w:tcMar>
          </w:tcPr>
          <w:p>
            <w:pPr>
              <w:pStyle w:val="yTableNAm"/>
              <w:keepNext/>
              <w:keepLines/>
              <w:tabs>
                <w:tab w:val="clear" w:pos="567"/>
                <w:tab w:val="right" w:leader="dot" w:pos="3969"/>
              </w:tabs>
              <w:spacing w:before="0"/>
            </w:pPr>
            <w:r>
              <w:t>Boarfish</w:t>
            </w:r>
          </w:p>
        </w:tc>
        <w:tc>
          <w:tcPr>
            <w:tcW w:w="1067" w:type="dxa"/>
            <w:tcMar>
              <w:left w:w="85" w:type="dxa"/>
            </w:tcMar>
          </w:tcPr>
          <w:p>
            <w:pPr>
              <w:pStyle w:val="yTableNAm"/>
              <w:keepNext/>
              <w:keepLines/>
              <w:spacing w:before="0"/>
              <w:jc w:val="center"/>
            </w:pPr>
            <w:r>
              <w:t>2</w:t>
            </w:r>
          </w:p>
        </w:tc>
        <w:tc>
          <w:tcPr>
            <w:tcW w:w="1701" w:type="dxa"/>
            <w:vMerge w:val="restart"/>
            <w:tcMar>
              <w:left w:w="85" w:type="dxa"/>
            </w:tcMar>
            <w:vAlign w:val="center"/>
          </w:tcPr>
          <w:p>
            <w:pPr>
              <w:pStyle w:val="yTableNAm"/>
              <w:keepNext/>
              <w:keepLines/>
              <w:spacing w:before="0"/>
              <w:jc w:val="center"/>
            </w:pPr>
            <w:r>
              <w:t>2</w:t>
            </w:r>
          </w:p>
        </w:tc>
      </w:tr>
      <w:tr>
        <w:trPr>
          <w:cantSplit/>
        </w:trPr>
        <w:tc>
          <w:tcPr>
            <w:tcW w:w="4292" w:type="dxa"/>
            <w:tcMar>
              <w:left w:w="85" w:type="dxa"/>
            </w:tcMar>
          </w:tcPr>
          <w:p>
            <w:pPr>
              <w:pStyle w:val="yTableNAm"/>
              <w:keepNext/>
              <w:keepLines/>
              <w:tabs>
                <w:tab w:val="clear" w:pos="567"/>
                <w:tab w:val="right" w:leader="dot" w:pos="3969"/>
              </w:tabs>
              <w:spacing w:before="0"/>
            </w:pPr>
            <w:r>
              <w:t xml:space="preserve">Cod, all species except Coral Trout and Coronation Trout </w:t>
            </w:r>
            <w:r>
              <w:tab/>
            </w:r>
          </w:p>
        </w:tc>
        <w:tc>
          <w:tcPr>
            <w:tcW w:w="1067" w:type="dxa"/>
            <w:tcMar>
              <w:left w:w="85" w:type="dxa"/>
            </w:tcMar>
          </w:tcPr>
          <w:p>
            <w:pPr>
              <w:pStyle w:val="yTableNAm"/>
              <w:keepNext/>
              <w:keepLines/>
              <w:spacing w:before="0"/>
              <w:jc w:val="center"/>
            </w:pPr>
            <w:r>
              <w:br/>
              <w:t>2</w:t>
            </w:r>
          </w:p>
        </w:tc>
        <w:tc>
          <w:tcPr>
            <w:tcW w:w="1701" w:type="dxa"/>
            <w:vMerge/>
            <w:tcMar>
              <w:left w:w="85" w:type="dxa"/>
            </w:tcMar>
            <w:vAlign w:val="center"/>
          </w:tcPr>
          <w:p>
            <w:pPr>
              <w:pStyle w:val="yTableNAm"/>
              <w:keepNext/>
              <w:keepLines/>
              <w:spacing w:before="0"/>
              <w:jc w:val="center"/>
            </w:pPr>
          </w:p>
        </w:tc>
      </w:tr>
      <w:tr>
        <w:trPr>
          <w:cantSplit/>
        </w:trPr>
        <w:tc>
          <w:tcPr>
            <w:tcW w:w="4292" w:type="dxa"/>
            <w:tcMar>
              <w:left w:w="85" w:type="dxa"/>
            </w:tcMar>
          </w:tcPr>
          <w:p>
            <w:pPr>
              <w:pStyle w:val="yTableNAm"/>
              <w:tabs>
                <w:tab w:val="clear" w:pos="567"/>
                <w:tab w:val="right" w:leader="dot" w:pos="3969"/>
              </w:tabs>
              <w:spacing w:before="0"/>
            </w:pPr>
            <w:r>
              <w:t xml:space="preserve">Coral Trout and Coronation Trout </w:t>
            </w:r>
            <w:r>
              <w:tab/>
            </w:r>
          </w:p>
        </w:tc>
        <w:tc>
          <w:tcPr>
            <w:tcW w:w="1067" w:type="dxa"/>
            <w:tcMar>
              <w:left w:w="85" w:type="dxa"/>
            </w:tcMar>
          </w:tcPr>
          <w:p>
            <w:pPr>
              <w:pStyle w:val="yTableNAm"/>
              <w:spacing w:before="0"/>
              <w:jc w:val="center"/>
            </w:pPr>
            <w:r>
              <w:t>1</w:t>
            </w:r>
          </w:p>
        </w:tc>
        <w:tc>
          <w:tcPr>
            <w:tcW w:w="1701"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3969"/>
              </w:tabs>
              <w:spacing w:before="0"/>
            </w:pPr>
            <w:r>
              <w:t>Dhufish, West Australian</w:t>
            </w:r>
            <w:r>
              <w:tab/>
            </w:r>
          </w:p>
        </w:tc>
        <w:tc>
          <w:tcPr>
            <w:tcW w:w="1067" w:type="dxa"/>
            <w:tcMar>
              <w:left w:w="85" w:type="dxa"/>
            </w:tcMar>
          </w:tcPr>
          <w:p>
            <w:pPr>
              <w:pStyle w:val="yTableNAm"/>
              <w:spacing w:before="0"/>
              <w:jc w:val="center"/>
            </w:pPr>
            <w:r>
              <w:t>1</w:t>
            </w:r>
          </w:p>
        </w:tc>
        <w:tc>
          <w:tcPr>
            <w:tcW w:w="1701"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3969"/>
              </w:tabs>
              <w:spacing w:before="0"/>
            </w:pPr>
            <w:r>
              <w:t>Dory, John and Mirror</w:t>
            </w:r>
          </w:p>
        </w:tc>
        <w:tc>
          <w:tcPr>
            <w:tcW w:w="1067" w:type="dxa"/>
            <w:tcMar>
              <w:left w:w="85" w:type="dxa"/>
            </w:tcMar>
          </w:tcPr>
          <w:p>
            <w:pPr>
              <w:pStyle w:val="yTableNAm"/>
              <w:spacing w:before="0"/>
              <w:jc w:val="center"/>
            </w:pPr>
            <w:r>
              <w:t>2</w:t>
            </w:r>
          </w:p>
        </w:tc>
        <w:tc>
          <w:tcPr>
            <w:tcW w:w="1701"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3969"/>
              </w:tabs>
              <w:spacing w:before="0"/>
            </w:pPr>
            <w:r>
              <w:t xml:space="preserve">Emperor and Seabream, all species </w:t>
            </w:r>
            <w:r>
              <w:tab/>
            </w:r>
          </w:p>
        </w:tc>
        <w:tc>
          <w:tcPr>
            <w:tcW w:w="1067" w:type="dxa"/>
            <w:tcMar>
              <w:left w:w="85" w:type="dxa"/>
            </w:tcMar>
          </w:tcPr>
          <w:p>
            <w:pPr>
              <w:pStyle w:val="yTableNAm"/>
              <w:spacing w:before="0"/>
              <w:jc w:val="center"/>
            </w:pPr>
            <w:r>
              <w:t>2</w:t>
            </w:r>
          </w:p>
        </w:tc>
        <w:tc>
          <w:tcPr>
            <w:tcW w:w="1701"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3969"/>
              </w:tabs>
              <w:spacing w:before="0"/>
            </w:pPr>
            <w:r>
              <w:t xml:space="preserve">Foxtail, Western and Pigfish </w:t>
            </w:r>
            <w:r>
              <w:tab/>
            </w:r>
          </w:p>
        </w:tc>
        <w:tc>
          <w:tcPr>
            <w:tcW w:w="1067" w:type="dxa"/>
            <w:tcMar>
              <w:left w:w="85" w:type="dxa"/>
            </w:tcMar>
          </w:tcPr>
          <w:p>
            <w:pPr>
              <w:pStyle w:val="yTableNAm"/>
              <w:spacing w:before="0"/>
              <w:jc w:val="center"/>
            </w:pPr>
            <w:r>
              <w:t>2</w:t>
            </w:r>
          </w:p>
        </w:tc>
        <w:tc>
          <w:tcPr>
            <w:tcW w:w="1701"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3969"/>
              </w:tabs>
              <w:spacing w:before="0"/>
            </w:pPr>
            <w:r>
              <w:t xml:space="preserve">Groper, Baldchin and Tuskfish </w:t>
            </w:r>
            <w:r>
              <w:tab/>
            </w:r>
          </w:p>
        </w:tc>
        <w:tc>
          <w:tcPr>
            <w:tcW w:w="1067" w:type="dxa"/>
            <w:tcMar>
              <w:left w:w="85" w:type="dxa"/>
            </w:tcMar>
          </w:tcPr>
          <w:p>
            <w:pPr>
              <w:pStyle w:val="yTableNAm"/>
              <w:spacing w:before="0"/>
              <w:jc w:val="center"/>
            </w:pPr>
            <w:r>
              <w:t>2</w:t>
            </w:r>
          </w:p>
        </w:tc>
        <w:tc>
          <w:tcPr>
            <w:tcW w:w="1701"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3969"/>
              </w:tabs>
              <w:spacing w:before="0"/>
            </w:pPr>
            <w:r>
              <w:t xml:space="preserve">Groper, Blue </w:t>
            </w:r>
            <w:r>
              <w:tab/>
            </w:r>
          </w:p>
        </w:tc>
        <w:tc>
          <w:tcPr>
            <w:tcW w:w="1067" w:type="dxa"/>
            <w:tcMar>
              <w:left w:w="85" w:type="dxa"/>
            </w:tcMar>
          </w:tcPr>
          <w:p>
            <w:pPr>
              <w:pStyle w:val="yTableNAm"/>
              <w:spacing w:before="0"/>
              <w:jc w:val="center"/>
            </w:pPr>
            <w:r>
              <w:t>1</w:t>
            </w:r>
          </w:p>
        </w:tc>
        <w:tc>
          <w:tcPr>
            <w:tcW w:w="1701"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3969"/>
              </w:tabs>
              <w:spacing w:before="0"/>
            </w:pPr>
            <w:r>
              <w:t xml:space="preserve">Hapuka, Trevalla, Bass Groper and Grey Banded Rock Cod </w:t>
            </w:r>
            <w:r>
              <w:tab/>
            </w:r>
          </w:p>
        </w:tc>
        <w:tc>
          <w:tcPr>
            <w:tcW w:w="1067" w:type="dxa"/>
            <w:tcMar>
              <w:left w:w="85" w:type="dxa"/>
            </w:tcMar>
          </w:tcPr>
          <w:p>
            <w:pPr>
              <w:pStyle w:val="yTableNAm"/>
              <w:spacing w:before="0"/>
              <w:jc w:val="center"/>
            </w:pPr>
            <w:r>
              <w:br/>
              <w:t>2</w:t>
            </w:r>
          </w:p>
        </w:tc>
        <w:tc>
          <w:tcPr>
            <w:tcW w:w="1701"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3969"/>
              </w:tabs>
              <w:spacing w:before="0"/>
            </w:pPr>
            <w:r>
              <w:t>Sea Perch, Tropical, all species except Mangrove Jack</w:t>
            </w:r>
            <w:r>
              <w:tab/>
            </w:r>
          </w:p>
        </w:tc>
        <w:tc>
          <w:tcPr>
            <w:tcW w:w="1067" w:type="dxa"/>
            <w:tcMar>
              <w:left w:w="85" w:type="dxa"/>
            </w:tcMar>
          </w:tcPr>
          <w:p>
            <w:pPr>
              <w:pStyle w:val="yTableNAm"/>
              <w:spacing w:before="0"/>
              <w:jc w:val="center"/>
            </w:pPr>
            <w:r>
              <w:br/>
              <w:t>2</w:t>
            </w:r>
          </w:p>
        </w:tc>
        <w:tc>
          <w:tcPr>
            <w:tcW w:w="1701"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3969"/>
              </w:tabs>
              <w:spacing w:before="0"/>
            </w:pPr>
            <w:r>
              <w:t xml:space="preserve">Snapper, Pink, </w:t>
            </w:r>
            <w:r>
              <w:tab/>
            </w:r>
          </w:p>
        </w:tc>
        <w:tc>
          <w:tcPr>
            <w:tcW w:w="1067" w:type="dxa"/>
            <w:tcMar>
              <w:left w:w="85" w:type="dxa"/>
            </w:tcMar>
          </w:tcPr>
          <w:p>
            <w:pPr>
              <w:pStyle w:val="yTableNAm"/>
              <w:spacing w:before="0"/>
              <w:jc w:val="center"/>
            </w:pPr>
            <w:r>
              <w:t>2</w:t>
            </w:r>
          </w:p>
        </w:tc>
        <w:tc>
          <w:tcPr>
            <w:tcW w:w="1701"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3969"/>
              </w:tabs>
              <w:spacing w:before="0"/>
            </w:pPr>
            <w:r>
              <w:t xml:space="preserve">Snapper, Queen </w:t>
            </w:r>
            <w:r>
              <w:tab/>
            </w:r>
          </w:p>
        </w:tc>
        <w:tc>
          <w:tcPr>
            <w:tcW w:w="1067" w:type="dxa"/>
            <w:tcMar>
              <w:left w:w="85" w:type="dxa"/>
            </w:tcMar>
          </w:tcPr>
          <w:p>
            <w:pPr>
              <w:pStyle w:val="yTableNAm"/>
              <w:spacing w:before="0"/>
              <w:jc w:val="center"/>
            </w:pPr>
            <w:r>
              <w:t>2</w:t>
            </w:r>
          </w:p>
        </w:tc>
        <w:tc>
          <w:tcPr>
            <w:tcW w:w="1701"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3969"/>
              </w:tabs>
              <w:spacing w:before="0"/>
            </w:pPr>
            <w:r>
              <w:t>Snapper, Red (Redfish) and Swallowtail</w:t>
            </w:r>
            <w:r>
              <w:tab/>
            </w:r>
          </w:p>
        </w:tc>
        <w:tc>
          <w:tcPr>
            <w:tcW w:w="1067" w:type="dxa"/>
            <w:tcMar>
              <w:left w:w="85" w:type="dxa"/>
            </w:tcMar>
          </w:tcPr>
          <w:p>
            <w:pPr>
              <w:pStyle w:val="yTableNAm"/>
              <w:spacing w:before="0"/>
              <w:jc w:val="center"/>
            </w:pPr>
            <w:r>
              <w:t>2</w:t>
            </w:r>
          </w:p>
        </w:tc>
        <w:tc>
          <w:tcPr>
            <w:tcW w:w="1701" w:type="dxa"/>
            <w:vMerge/>
            <w:tcMar>
              <w:left w:w="85" w:type="dxa"/>
            </w:tcMar>
          </w:tcPr>
          <w:p>
            <w:pPr>
              <w:pStyle w:val="yTableNAm"/>
              <w:spacing w:before="0"/>
            </w:pPr>
          </w:p>
        </w:tc>
      </w:tr>
    </w:tbl>
    <w:p>
      <w:pPr>
        <w:pStyle w:val="yFootnotesection"/>
      </w:pPr>
      <w:r>
        <w:tab/>
        <w:t>[Division 2 inserted in Gazette 29 Jan 2013 p. 314.]</w:t>
      </w:r>
    </w:p>
    <w:p>
      <w:pPr>
        <w:pStyle w:val="yHeading2"/>
      </w:pPr>
      <w:bookmarkStart w:id="1376" w:name="_Toc347307907"/>
      <w:bookmarkStart w:id="1377" w:name="_Toc349822820"/>
      <w:bookmarkStart w:id="1378" w:name="_Toc349823240"/>
      <w:bookmarkStart w:id="1379" w:name="_Toc349831222"/>
      <w:bookmarkStart w:id="1380" w:name="_Toc359249014"/>
      <w:bookmarkStart w:id="1381" w:name="_Toc359316971"/>
      <w:r>
        <w:rPr>
          <w:rStyle w:val="CharSDivNo"/>
          <w:bCs/>
          <w:sz w:val="28"/>
        </w:rPr>
        <w:t>Part 2</w:t>
      </w:r>
      <w:r>
        <w:t> — </w:t>
      </w:r>
      <w:r>
        <w:rPr>
          <w:rStyle w:val="CharSDivText"/>
          <w:bCs/>
          <w:sz w:val="28"/>
        </w:rPr>
        <w:t>Bag limits — Large pelagic fish</w:t>
      </w:r>
      <w:bookmarkEnd w:id="1376"/>
      <w:bookmarkEnd w:id="1377"/>
      <w:bookmarkEnd w:id="1378"/>
      <w:bookmarkEnd w:id="1379"/>
      <w:bookmarkEnd w:id="1380"/>
      <w:bookmarkEnd w:id="1381"/>
    </w:p>
    <w:p>
      <w:pPr>
        <w:pStyle w:val="zyShoulderClause"/>
        <w:keepNext/>
        <w:keepLines/>
      </w:pPr>
      <w:r>
        <w:t>[r. 65C]</w:t>
      </w:r>
    </w:p>
    <w:p>
      <w:pPr>
        <w:pStyle w:val="yFootnoteheading"/>
        <w:spacing w:after="60"/>
      </w:pPr>
      <w:r>
        <w:tab/>
        <w:t>[Heading inserted inserted in Gazette 29 Jan 2013 p. 315.]</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842"/>
      </w:tblGrid>
      <w:tr>
        <w:trPr>
          <w:cantSplit/>
          <w:tblHeader/>
        </w:trPr>
        <w:tc>
          <w:tcPr>
            <w:tcW w:w="4292" w:type="dxa"/>
            <w:tcBorders>
              <w:top w:val="single" w:sz="4" w:space="0" w:color="auto"/>
            </w:tcBorders>
            <w:tcMar>
              <w:left w:w="85" w:type="dxa"/>
            </w:tcMar>
            <w:vAlign w:val="center"/>
          </w:tcPr>
          <w:p>
            <w:pPr>
              <w:pStyle w:val="yTableNAm"/>
              <w:keepNext/>
              <w:keepLines/>
              <w:spacing w:before="0"/>
              <w:rPr>
                <w:b/>
              </w:rPr>
            </w:pPr>
            <w:r>
              <w:rPr>
                <w:b/>
              </w:rPr>
              <w:t>Fish</w:t>
            </w:r>
          </w:p>
        </w:tc>
        <w:tc>
          <w:tcPr>
            <w:tcW w:w="926" w:type="dxa"/>
            <w:tcBorders>
              <w:top w:val="single" w:sz="4" w:space="0" w:color="auto"/>
            </w:tcBorders>
            <w:tcMar>
              <w:left w:w="85" w:type="dxa"/>
            </w:tcMar>
            <w:vAlign w:val="center"/>
          </w:tcPr>
          <w:p>
            <w:pPr>
              <w:pStyle w:val="yTableNAm"/>
              <w:keepNext/>
              <w:keepLines/>
              <w:spacing w:before="0"/>
              <w:rPr>
                <w:b/>
              </w:rPr>
            </w:pPr>
            <w:r>
              <w:rPr>
                <w:b/>
              </w:rPr>
              <w:t>Species bag limit for one day</w:t>
            </w:r>
          </w:p>
        </w:tc>
        <w:tc>
          <w:tcPr>
            <w:tcW w:w="1842" w:type="dxa"/>
            <w:tcBorders>
              <w:top w:val="single" w:sz="4" w:space="0" w:color="auto"/>
            </w:tcBorders>
            <w:tcMar>
              <w:left w:w="85" w:type="dxa"/>
            </w:tcMar>
            <w:vAlign w:val="center"/>
          </w:tcPr>
          <w:p>
            <w:pPr>
              <w:pStyle w:val="yTableNAm"/>
              <w:keepNext/>
              <w:keepLines/>
              <w:spacing w:before="0"/>
              <w:rPr>
                <w:b/>
              </w:rPr>
            </w:pPr>
            <w:r>
              <w:rPr>
                <w:b/>
              </w:rPr>
              <w:t>Grouped bag limit of all species of large pelagic finfish for one day</w:t>
            </w:r>
          </w:p>
        </w:tc>
      </w:tr>
      <w:tr>
        <w:trPr>
          <w:cantSplit/>
        </w:trPr>
        <w:tc>
          <w:tcPr>
            <w:tcW w:w="4292" w:type="dxa"/>
            <w:tcMar>
              <w:left w:w="85" w:type="dxa"/>
            </w:tcMar>
          </w:tcPr>
          <w:p>
            <w:pPr>
              <w:pStyle w:val="yTableNAm"/>
              <w:keepNext/>
              <w:keepLines/>
              <w:tabs>
                <w:tab w:val="right" w:leader="dot" w:pos="3969"/>
              </w:tabs>
              <w:spacing w:before="0"/>
            </w:pPr>
            <w:r>
              <w:t xml:space="preserve">Amberjack, Samson Fish and Yellowtail Kingfish </w:t>
            </w:r>
            <w:r>
              <w:tab/>
            </w:r>
          </w:p>
        </w:tc>
        <w:tc>
          <w:tcPr>
            <w:tcW w:w="926" w:type="dxa"/>
            <w:tcMar>
              <w:left w:w="85" w:type="dxa"/>
            </w:tcMar>
          </w:tcPr>
          <w:p>
            <w:pPr>
              <w:pStyle w:val="yTableNAm"/>
              <w:keepNext/>
              <w:keepLines/>
              <w:spacing w:before="0"/>
              <w:jc w:val="center"/>
            </w:pPr>
            <w:r>
              <w:br/>
              <w:t>3</w:t>
            </w:r>
          </w:p>
        </w:tc>
        <w:tc>
          <w:tcPr>
            <w:tcW w:w="1842" w:type="dxa"/>
            <w:vMerge w:val="restart"/>
            <w:tcMar>
              <w:left w:w="85" w:type="dxa"/>
            </w:tcMar>
            <w:vAlign w:val="center"/>
          </w:tcPr>
          <w:p>
            <w:pPr>
              <w:pStyle w:val="yTableNAm"/>
              <w:keepNext/>
              <w:keepLines/>
              <w:spacing w:before="0"/>
              <w:jc w:val="center"/>
            </w:pPr>
            <w:r>
              <w:t>3</w:t>
            </w:r>
          </w:p>
        </w:tc>
      </w:tr>
      <w:tr>
        <w:trPr>
          <w:cantSplit/>
        </w:trPr>
        <w:tc>
          <w:tcPr>
            <w:tcW w:w="4292" w:type="dxa"/>
            <w:tcMar>
              <w:left w:w="85" w:type="dxa"/>
            </w:tcMar>
          </w:tcPr>
          <w:p>
            <w:pPr>
              <w:pStyle w:val="yTableNAm"/>
              <w:keepLines/>
              <w:tabs>
                <w:tab w:val="right" w:leader="dot" w:pos="3969"/>
              </w:tabs>
              <w:spacing w:before="0"/>
            </w:pPr>
            <w:r>
              <w:t xml:space="preserve">Barracouta (Gemfish) </w:t>
            </w:r>
            <w:r>
              <w:tab/>
            </w:r>
          </w:p>
        </w:tc>
        <w:tc>
          <w:tcPr>
            <w:tcW w:w="926" w:type="dxa"/>
            <w:tcMar>
              <w:left w:w="85" w:type="dxa"/>
            </w:tcMar>
          </w:tcPr>
          <w:p>
            <w:pPr>
              <w:pStyle w:val="yTableNAm"/>
              <w:keepLines/>
              <w:spacing w:before="0"/>
              <w:jc w:val="cente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3969"/>
              </w:tabs>
              <w:spacing w:before="0"/>
            </w:pPr>
            <w:r>
              <w:t xml:space="preserve">Barracuda </w:t>
            </w:r>
            <w:r>
              <w:tab/>
            </w:r>
          </w:p>
        </w:tc>
        <w:tc>
          <w:tcPr>
            <w:tcW w:w="926" w:type="dxa"/>
            <w:tcMar>
              <w:left w:w="85" w:type="dxa"/>
            </w:tcMar>
          </w:tcPr>
          <w:p>
            <w:pPr>
              <w:pStyle w:val="yTableNAm"/>
              <w:keepLines/>
              <w:spacing w:before="0"/>
              <w:jc w:val="cente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3969"/>
              </w:tabs>
              <w:spacing w:before="0"/>
            </w:pPr>
            <w:r>
              <w:t xml:space="preserve">Billfish (Marlin, Sailfish) and Swordfish </w:t>
            </w:r>
            <w:r>
              <w:tab/>
            </w:r>
          </w:p>
        </w:tc>
        <w:tc>
          <w:tcPr>
            <w:tcW w:w="926" w:type="dxa"/>
            <w:tcMar>
              <w:left w:w="85" w:type="dxa"/>
            </w:tcMar>
          </w:tcPr>
          <w:p>
            <w:pPr>
              <w:pStyle w:val="yTableNAm"/>
              <w:keepLines/>
              <w:spacing w:before="0"/>
              <w:jc w:val="center"/>
            </w:pPr>
            <w:r>
              <w:t>1</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3969"/>
              </w:tabs>
              <w:spacing w:before="0"/>
            </w:pPr>
            <w:r>
              <w:t xml:space="preserve">Cobia  </w:t>
            </w:r>
            <w:r>
              <w:tab/>
            </w:r>
          </w:p>
        </w:tc>
        <w:tc>
          <w:tcPr>
            <w:tcW w:w="926" w:type="dxa"/>
            <w:tcMar>
              <w:left w:w="85" w:type="dxa"/>
            </w:tcMar>
          </w:tcPr>
          <w:p>
            <w:pPr>
              <w:pStyle w:val="yTableNAm"/>
              <w:keepLines/>
              <w:spacing w:before="0"/>
              <w:jc w:val="cente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3969"/>
              </w:tabs>
              <w:spacing w:before="0"/>
            </w:pPr>
            <w:r>
              <w:t xml:space="preserve">Dolphinfish (Mahi Mahi) </w:t>
            </w:r>
            <w:r>
              <w:tab/>
            </w:r>
          </w:p>
        </w:tc>
        <w:tc>
          <w:tcPr>
            <w:tcW w:w="926" w:type="dxa"/>
            <w:tcMar>
              <w:left w:w="85" w:type="dxa"/>
            </w:tcMar>
          </w:tcPr>
          <w:p>
            <w:pPr>
              <w:pStyle w:val="yTableNAm"/>
              <w:keepLines/>
              <w:spacing w:before="0"/>
              <w:jc w:val="cente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3969"/>
              </w:tabs>
              <w:spacing w:before="0"/>
            </w:pPr>
            <w:r>
              <w:t>Mackerel (Broad</w:t>
            </w:r>
            <w:r>
              <w:noBreakHyphen/>
              <w:t xml:space="preserve">barred Spanish,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Shark, Australian Spotted, Narrow</w:t>
            </w:r>
            <w:r>
              <w:noBreakHyphen/>
              <w:t xml:space="preserve">barred Spanish and Wahoo </w:t>
            </w:r>
            <w:r>
              <w:tab/>
            </w:r>
          </w:p>
        </w:tc>
        <w:tc>
          <w:tcPr>
            <w:tcW w:w="926" w:type="dxa"/>
            <w:tcMar>
              <w:left w:w="85" w:type="dxa"/>
            </w:tcMar>
          </w:tcPr>
          <w:p>
            <w:pPr>
              <w:pStyle w:val="yTableNAm"/>
              <w:keepLines/>
              <w:spacing w:before="0"/>
              <w:jc w:val="center"/>
            </w:pPr>
            <w:r>
              <w:br/>
            </w:r>
            <w:r>
              <w:b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3969"/>
              </w:tabs>
              <w:spacing w:before="0"/>
            </w:pPr>
            <w:r>
              <w:t xml:space="preserve">Sharks and rays </w:t>
            </w:r>
            <w:r>
              <w:tab/>
            </w:r>
          </w:p>
        </w:tc>
        <w:tc>
          <w:tcPr>
            <w:tcW w:w="926" w:type="dxa"/>
            <w:tcMar>
              <w:left w:w="85" w:type="dxa"/>
            </w:tcMar>
          </w:tcPr>
          <w:p>
            <w:pPr>
              <w:pStyle w:val="yTableNAm"/>
              <w:keepLines/>
              <w:spacing w:before="0"/>
              <w:jc w:val="cente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Trevally, Giant and Golden </w:t>
            </w:r>
            <w:r>
              <w:tab/>
            </w:r>
          </w:p>
        </w:tc>
        <w:tc>
          <w:tcPr>
            <w:tcW w:w="926" w:type="dxa"/>
            <w:tcMar>
              <w:left w:w="85" w:type="dxa"/>
            </w:tcMar>
          </w:tcPr>
          <w:p>
            <w:pPr>
              <w:pStyle w:val="yTableNAm"/>
              <w:spacing w:before="0"/>
              <w:jc w:val="cente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Tuna (Bigeye, Mackerel, Northern Bluefin, Skipjack, </w:t>
            </w:r>
            <w:smartTag w:uri="urn:schemas-microsoft-com:office:smarttags" w:element="place">
              <w:r>
                <w:t>Southern Bluefin</w:t>
              </w:r>
            </w:smartTag>
            <w:r>
              <w:t xml:space="preserve">, Yellowfin and Dogtooth </w:t>
            </w:r>
            <w:r>
              <w:tab/>
            </w:r>
          </w:p>
        </w:tc>
        <w:tc>
          <w:tcPr>
            <w:tcW w:w="926" w:type="dxa"/>
            <w:tcMar>
              <w:left w:w="85" w:type="dxa"/>
            </w:tcMar>
          </w:tcPr>
          <w:p>
            <w:pPr>
              <w:pStyle w:val="yTableNAm"/>
              <w:spacing w:before="0"/>
              <w:jc w:val="center"/>
            </w:pPr>
            <w:r>
              <w:br/>
            </w:r>
            <w:r>
              <w:br/>
              <w:t>3</w:t>
            </w:r>
          </w:p>
        </w:tc>
        <w:tc>
          <w:tcPr>
            <w:tcW w:w="1842" w:type="dxa"/>
            <w:vMerge/>
            <w:tcMar>
              <w:left w:w="85" w:type="dxa"/>
            </w:tcMar>
          </w:tcPr>
          <w:p>
            <w:pPr>
              <w:pStyle w:val="yTableNAm"/>
              <w:keepLines/>
              <w:spacing w:before="0"/>
            </w:pPr>
          </w:p>
        </w:tc>
      </w:tr>
    </w:tbl>
    <w:p>
      <w:pPr>
        <w:pStyle w:val="yFootnotesection"/>
      </w:pPr>
      <w:r>
        <w:tab/>
        <w:t>[Part 2 inserted in Gazette 29 Jan 2013 p. 315.]</w:t>
      </w:r>
    </w:p>
    <w:p>
      <w:pPr>
        <w:pStyle w:val="yHeading2"/>
      </w:pPr>
      <w:bookmarkStart w:id="1382" w:name="_Toc347307908"/>
      <w:bookmarkStart w:id="1383" w:name="_Toc349822821"/>
      <w:bookmarkStart w:id="1384" w:name="_Toc349823241"/>
      <w:bookmarkStart w:id="1385" w:name="_Toc349831223"/>
      <w:bookmarkStart w:id="1386" w:name="_Toc359249015"/>
      <w:bookmarkStart w:id="1387" w:name="_Toc359316972"/>
      <w:r>
        <w:rPr>
          <w:rStyle w:val="CharSDivNo"/>
          <w:bCs/>
          <w:sz w:val="28"/>
        </w:rPr>
        <w:t>Part 3</w:t>
      </w:r>
      <w:r>
        <w:t> — </w:t>
      </w:r>
      <w:r>
        <w:rPr>
          <w:rStyle w:val="CharSDivText"/>
          <w:bCs/>
          <w:sz w:val="28"/>
        </w:rPr>
        <w:t>Bag limits — Nearshore or estuarine finfish</w:t>
      </w:r>
      <w:bookmarkEnd w:id="1382"/>
      <w:bookmarkEnd w:id="1383"/>
      <w:bookmarkEnd w:id="1384"/>
      <w:bookmarkEnd w:id="1385"/>
      <w:bookmarkEnd w:id="1386"/>
      <w:bookmarkEnd w:id="1387"/>
    </w:p>
    <w:p>
      <w:pPr>
        <w:pStyle w:val="yShoulderClause"/>
      </w:pPr>
      <w:r>
        <w:t>[r. 65D]</w:t>
      </w:r>
    </w:p>
    <w:p>
      <w:pPr>
        <w:pStyle w:val="yFootnoteheading"/>
        <w:spacing w:after="60"/>
      </w:pPr>
      <w:r>
        <w:tab/>
        <w:t>[Heading inserted in Gazette 29 Jan 2013 p. 315.]</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083"/>
        <w:gridCol w:w="1418"/>
        <w:gridCol w:w="1559"/>
      </w:tblGrid>
      <w:tr>
        <w:trPr>
          <w:cantSplit/>
          <w:tblHeader/>
        </w:trPr>
        <w:tc>
          <w:tcPr>
            <w:tcW w:w="4083" w:type="dxa"/>
            <w:tcMar>
              <w:left w:w="85" w:type="dxa"/>
            </w:tcMar>
            <w:vAlign w:val="center"/>
          </w:tcPr>
          <w:p>
            <w:pPr>
              <w:pStyle w:val="yTableNAm"/>
              <w:tabs>
                <w:tab w:val="right" w:leader="dot" w:pos="3969"/>
              </w:tabs>
              <w:spacing w:before="0"/>
              <w:rPr>
                <w:b/>
                <w:bCs/>
              </w:rPr>
            </w:pPr>
            <w:r>
              <w:rPr>
                <w:b/>
                <w:bCs/>
              </w:rPr>
              <w:t>Fish</w:t>
            </w:r>
          </w:p>
        </w:tc>
        <w:tc>
          <w:tcPr>
            <w:tcW w:w="1418" w:type="dxa"/>
            <w:tcMar>
              <w:left w:w="85" w:type="dxa"/>
            </w:tcMar>
            <w:vAlign w:val="center"/>
          </w:tcPr>
          <w:p>
            <w:pPr>
              <w:pStyle w:val="yTableNAm"/>
              <w:spacing w:before="0"/>
              <w:rPr>
                <w:b/>
                <w:bCs/>
              </w:rPr>
            </w:pPr>
            <w:r>
              <w:rPr>
                <w:b/>
                <w:bCs/>
              </w:rPr>
              <w:t>Species bag limit for one day</w:t>
            </w:r>
          </w:p>
        </w:tc>
        <w:tc>
          <w:tcPr>
            <w:tcW w:w="1559" w:type="dxa"/>
            <w:tcMar>
              <w:left w:w="85" w:type="dxa"/>
            </w:tcMar>
            <w:vAlign w:val="center"/>
          </w:tcPr>
          <w:p>
            <w:pPr>
              <w:pStyle w:val="yTableNAm"/>
              <w:spacing w:before="0"/>
              <w:rPr>
                <w:b/>
                <w:bCs/>
              </w:rPr>
            </w:pPr>
            <w:r>
              <w:rPr>
                <w:b/>
                <w:bCs/>
              </w:rPr>
              <w:t>Grouped bag limit of all species of nearshore or estuarine</w:t>
            </w:r>
            <w:r>
              <w:rPr>
                <w:rStyle w:val="CharSDivText"/>
                <w:b/>
                <w:bCs/>
                <w:sz w:val="28"/>
                <w:szCs w:val="28"/>
              </w:rPr>
              <w:t xml:space="preserve"> </w:t>
            </w:r>
            <w:r>
              <w:rPr>
                <w:b/>
                <w:bCs/>
              </w:rPr>
              <w:t>finfish for one day</w:t>
            </w:r>
          </w:p>
        </w:tc>
      </w:tr>
      <w:tr>
        <w:trPr>
          <w:cantSplit/>
        </w:trPr>
        <w:tc>
          <w:tcPr>
            <w:tcW w:w="4083" w:type="dxa"/>
            <w:tcMar>
              <w:left w:w="85" w:type="dxa"/>
            </w:tcMar>
          </w:tcPr>
          <w:p>
            <w:pPr>
              <w:pStyle w:val="yTableNAm"/>
              <w:tabs>
                <w:tab w:val="right" w:leader="dot" w:pos="3969"/>
              </w:tabs>
              <w:spacing w:before="0"/>
              <w:rPr>
                <w:bCs/>
              </w:rPr>
            </w:pPr>
            <w:r>
              <w:rPr>
                <w:bCs/>
              </w:rPr>
              <w:t xml:space="preserve">Barramundi </w:t>
            </w:r>
            <w:r>
              <w:rPr>
                <w:bCs/>
              </w:rPr>
              <w:tab/>
            </w:r>
          </w:p>
        </w:tc>
        <w:tc>
          <w:tcPr>
            <w:tcW w:w="1418" w:type="dxa"/>
            <w:tcMar>
              <w:left w:w="85" w:type="dxa"/>
            </w:tcMar>
          </w:tcPr>
          <w:p>
            <w:pPr>
              <w:pStyle w:val="yTableNAm"/>
              <w:spacing w:before="0"/>
              <w:jc w:val="center"/>
              <w:rPr>
                <w:bCs/>
              </w:rPr>
            </w:pPr>
            <w:r>
              <w:rPr>
                <w:bCs/>
              </w:rPr>
              <w:t>2</w:t>
            </w:r>
          </w:p>
        </w:tc>
        <w:tc>
          <w:tcPr>
            <w:tcW w:w="1559" w:type="dxa"/>
            <w:vMerge w:val="restart"/>
            <w:tcMar>
              <w:left w:w="85" w:type="dxa"/>
            </w:tcMar>
          </w:tcPr>
          <w:p>
            <w:pPr>
              <w:pStyle w:val="yTableNAm"/>
              <w:spacing w:before="240"/>
              <w:jc w:val="center"/>
              <w:rPr>
                <w:bCs/>
              </w:rPr>
            </w:pPr>
            <w:r>
              <w:rPr>
                <w:bCs/>
              </w:rPr>
              <w:t>16</w:t>
            </w:r>
          </w:p>
        </w:tc>
      </w:tr>
      <w:tr>
        <w:trPr>
          <w:cantSplit/>
        </w:trPr>
        <w:tc>
          <w:tcPr>
            <w:tcW w:w="4083" w:type="dxa"/>
            <w:tcMar>
              <w:left w:w="85" w:type="dxa"/>
            </w:tcMar>
          </w:tcPr>
          <w:p>
            <w:pPr>
              <w:pStyle w:val="yTableNAm"/>
              <w:tabs>
                <w:tab w:val="right" w:leader="dot" w:pos="3969"/>
              </w:tabs>
              <w:spacing w:before="0"/>
              <w:rPr>
                <w:bCs/>
              </w:rPr>
            </w:pPr>
            <w:r>
              <w:rPr>
                <w:bCs/>
              </w:rPr>
              <w:t xml:space="preserve">Bonitos, all species and Tuna, Albacore </w:t>
            </w:r>
            <w:r>
              <w:rPr>
                <w:bCs/>
              </w:rPr>
              <w:tab/>
            </w:r>
          </w:p>
        </w:tc>
        <w:tc>
          <w:tcPr>
            <w:tcW w:w="1418" w:type="dxa"/>
            <w:tcMar>
              <w:left w:w="85" w:type="dxa"/>
            </w:tcMar>
          </w:tcPr>
          <w:p>
            <w:pPr>
              <w:pStyle w:val="yTableNAm"/>
              <w:spacing w:before="0"/>
              <w:jc w:val="center"/>
              <w:rPr>
                <w:bCs/>
              </w:rPr>
            </w:pPr>
            <w:r>
              <w:rPr>
                <w:bCs/>
              </w:rPr>
              <w:t>8</w:t>
            </w:r>
          </w:p>
        </w:tc>
        <w:tc>
          <w:tcPr>
            <w:tcW w:w="1559" w:type="dxa"/>
            <w:vMerge/>
            <w:tcMar>
              <w:left w:w="85" w:type="dxa"/>
            </w:tcMar>
            <w:vAlign w:val="center"/>
          </w:tcPr>
          <w:p>
            <w:pPr>
              <w:pStyle w:val="yTableNAm"/>
              <w:spacing w:before="0"/>
              <w:jc w:val="center"/>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Bream, Black, Silver (Tarwhine), Northwest Black and Yellowfin </w:t>
            </w:r>
            <w:r>
              <w:rPr>
                <w:bCs/>
              </w:rPr>
              <w:tab/>
            </w:r>
          </w:p>
        </w:tc>
        <w:tc>
          <w:tcPr>
            <w:tcW w:w="1418" w:type="dxa"/>
            <w:tcMar>
              <w:left w:w="85" w:type="dxa"/>
            </w:tcMar>
          </w:tcPr>
          <w:p>
            <w:pPr>
              <w:pStyle w:val="yTableNAm"/>
              <w:spacing w:before="0"/>
              <w:rPr>
                <w:bCs/>
              </w:rPr>
            </w:pPr>
            <w:r>
              <w:rPr>
                <w:bCs/>
              </w:rPr>
              <w:br/>
              <w:t>6 (only 2 Black Bream taken from the waters of the Swan and Canning Rivers may be over 400 mm in length)</w:t>
            </w:r>
          </w:p>
        </w:tc>
        <w:tc>
          <w:tcPr>
            <w:tcW w:w="1559" w:type="dxa"/>
            <w:vMerge/>
            <w:tcMar>
              <w:left w:w="85" w:type="dxa"/>
            </w:tcMar>
          </w:tcPr>
          <w:p>
            <w:pPr>
              <w:pStyle w:val="yTableNAm"/>
              <w:spacing w:before="0"/>
              <w:rPr>
                <w:b/>
                <w:bCs/>
              </w:rPr>
            </w:pPr>
          </w:p>
        </w:tc>
      </w:tr>
      <w:tr>
        <w:trPr>
          <w:cantSplit/>
        </w:trPr>
        <w:tc>
          <w:tcPr>
            <w:tcW w:w="4083" w:type="dxa"/>
            <w:tcMar>
              <w:left w:w="85" w:type="dxa"/>
            </w:tcMar>
          </w:tcPr>
          <w:p>
            <w:pPr>
              <w:pStyle w:val="yTableNAm"/>
              <w:keepNext/>
              <w:keepLines/>
              <w:tabs>
                <w:tab w:val="right" w:leader="dot" w:pos="3969"/>
              </w:tabs>
              <w:spacing w:before="0"/>
              <w:rPr>
                <w:bCs/>
              </w:rPr>
            </w:pPr>
            <w:r>
              <w:rPr>
                <w:bCs/>
              </w:rPr>
              <w:t xml:space="preserve">Catfish and Cobbler </w:t>
            </w:r>
            <w:r>
              <w:rPr>
                <w:bCs/>
              </w:rPr>
              <w:tab/>
            </w:r>
          </w:p>
        </w:tc>
        <w:tc>
          <w:tcPr>
            <w:tcW w:w="1418" w:type="dxa"/>
            <w:tcMar>
              <w:left w:w="85" w:type="dxa"/>
            </w:tcMar>
          </w:tcPr>
          <w:p>
            <w:pPr>
              <w:pStyle w:val="yTableNAm"/>
              <w:keepNext/>
              <w:keepLines/>
              <w:spacing w:before="0"/>
              <w:jc w:val="center"/>
              <w:rPr>
                <w:bCs/>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keepNext/>
              <w:keepLines/>
              <w:tabs>
                <w:tab w:val="right" w:leader="dot" w:pos="3969"/>
              </w:tabs>
              <w:spacing w:before="0"/>
              <w:rPr>
                <w:bCs/>
              </w:rPr>
            </w:pPr>
            <w:r>
              <w:rPr>
                <w:bCs/>
              </w:rPr>
              <w:t>Cod, Chinaman (</w:t>
            </w:r>
            <w:smartTag w:uri="urn:schemas-microsoft-com:office:smarttags" w:element="Street">
              <w:smartTag w:uri="urn:schemas-microsoft-com:office:smarttags" w:element="address">
                <w:r>
                  <w:rPr>
                    <w:bCs/>
                  </w:rPr>
                  <w:t>Charlie Court</w:t>
                </w:r>
              </w:smartTag>
            </w:smartTag>
            <w:r>
              <w:rPr>
                <w:bCs/>
              </w:rPr>
              <w:t xml:space="preserve">) </w:t>
            </w:r>
            <w:r>
              <w:rPr>
                <w:bCs/>
              </w:rPr>
              <w:tab/>
            </w:r>
          </w:p>
        </w:tc>
        <w:tc>
          <w:tcPr>
            <w:tcW w:w="1418" w:type="dxa"/>
            <w:tcMar>
              <w:left w:w="85" w:type="dxa"/>
            </w:tcMar>
          </w:tcPr>
          <w:p>
            <w:pPr>
              <w:pStyle w:val="yTableNAm"/>
              <w:keepNext/>
              <w:keepLines/>
              <w:spacing w:before="0"/>
              <w:jc w:val="center"/>
              <w:rPr>
                <w:bCs/>
              </w:rPr>
            </w:pPr>
            <w:r>
              <w:rPr>
                <w:bCs/>
              </w:rPr>
              <w:t>4</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keepNext/>
              <w:keepLines/>
              <w:tabs>
                <w:tab w:val="clear" w:pos="567"/>
                <w:tab w:val="right" w:leader="dot" w:pos="3969"/>
              </w:tabs>
              <w:spacing w:before="0"/>
              <w:rPr>
                <w:bCs/>
              </w:rPr>
            </w:pPr>
            <w:r>
              <w:rPr>
                <w:bCs/>
              </w:rPr>
              <w:t xml:space="preserve">Dart </w:t>
            </w:r>
            <w:r>
              <w:rPr>
                <w:bCs/>
              </w:rPr>
              <w:tab/>
            </w:r>
          </w:p>
        </w:tc>
        <w:tc>
          <w:tcPr>
            <w:tcW w:w="1418" w:type="dxa"/>
            <w:tcMar>
              <w:left w:w="85" w:type="dxa"/>
            </w:tcMar>
          </w:tcPr>
          <w:p>
            <w:pPr>
              <w:pStyle w:val="yTableNAm"/>
              <w:keepNext/>
              <w:keepLines/>
              <w:spacing w:before="0"/>
              <w:jc w:val="center"/>
              <w:rPr>
                <w:bCs/>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Flathead </w:t>
            </w:r>
            <w:r>
              <w:rPr>
                <w:bCs/>
              </w:rPr>
              <w:tab/>
            </w:r>
          </w:p>
        </w:tc>
        <w:tc>
          <w:tcPr>
            <w:tcW w:w="1418" w:type="dxa"/>
            <w:tcMar>
              <w:left w:w="85" w:type="dxa"/>
            </w:tcMar>
          </w:tcPr>
          <w:p>
            <w:pPr>
              <w:pStyle w:val="yTableNAm"/>
              <w:spacing w:before="0"/>
              <w:jc w:val="center"/>
              <w:rPr>
                <w:bCs/>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Flounder </w:t>
            </w:r>
            <w:r>
              <w:rPr>
                <w:bCs/>
              </w:rPr>
              <w:tab/>
            </w:r>
          </w:p>
        </w:tc>
        <w:tc>
          <w:tcPr>
            <w:tcW w:w="1418" w:type="dxa"/>
            <w:tcMar>
              <w:left w:w="85" w:type="dxa"/>
            </w:tcMar>
          </w:tcPr>
          <w:p>
            <w:pPr>
              <w:pStyle w:val="yTableNAm"/>
              <w:spacing w:before="0"/>
              <w:jc w:val="center"/>
              <w:rPr>
                <w:bCs/>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Javelinfish and Sweetlips </w:t>
            </w:r>
            <w:r>
              <w:rPr>
                <w:bCs/>
              </w:rPr>
              <w:tab/>
            </w:r>
          </w:p>
        </w:tc>
        <w:tc>
          <w:tcPr>
            <w:tcW w:w="1418" w:type="dxa"/>
            <w:tcMar>
              <w:left w:w="85" w:type="dxa"/>
            </w:tcMar>
          </w:tcPr>
          <w:p>
            <w:pPr>
              <w:pStyle w:val="yTableNAm"/>
              <w:spacing w:before="0"/>
              <w:jc w:val="center"/>
              <w:rPr>
                <w:bCs/>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Leatherjacket </w:t>
            </w:r>
            <w:r>
              <w:rPr>
                <w:bCs/>
              </w:rPr>
              <w:tab/>
            </w:r>
          </w:p>
        </w:tc>
        <w:tc>
          <w:tcPr>
            <w:tcW w:w="1418" w:type="dxa"/>
            <w:tcMar>
              <w:left w:w="85" w:type="dxa"/>
            </w:tcMar>
          </w:tcPr>
          <w:p>
            <w:pPr>
              <w:pStyle w:val="yTableNAm"/>
              <w:spacing w:before="0"/>
              <w:jc w:val="center"/>
              <w:rPr>
                <w:bCs/>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Mangrove Jack</w:t>
            </w:r>
            <w:r>
              <w:rPr>
                <w:bCs/>
              </w:rPr>
              <w:tab/>
            </w:r>
          </w:p>
        </w:tc>
        <w:tc>
          <w:tcPr>
            <w:tcW w:w="1418" w:type="dxa"/>
            <w:tcMar>
              <w:left w:w="85" w:type="dxa"/>
            </w:tcMar>
          </w:tcPr>
          <w:p>
            <w:pPr>
              <w:pStyle w:val="yTableNAm"/>
              <w:spacing w:before="0"/>
              <w:jc w:val="center"/>
              <w:rPr>
                <w:bCs/>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(River Kingfish) </w:t>
            </w:r>
            <w:r>
              <w:rPr>
                <w:bCs/>
              </w:rPr>
              <w:tab/>
            </w:r>
          </w:p>
        </w:tc>
        <w:tc>
          <w:tcPr>
            <w:tcW w:w="1418" w:type="dxa"/>
            <w:tcMar>
              <w:left w:w="85" w:type="dxa"/>
            </w:tcMar>
          </w:tcPr>
          <w:p>
            <w:pPr>
              <w:pStyle w:val="yTableNAm"/>
              <w:spacing w:before="0"/>
              <w:jc w:val="center"/>
              <w:rPr>
                <w:bCs/>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Northern </w:t>
            </w:r>
            <w:r>
              <w:rPr>
                <w:bCs/>
              </w:rPr>
              <w:tab/>
            </w:r>
          </w:p>
        </w:tc>
        <w:tc>
          <w:tcPr>
            <w:tcW w:w="1418" w:type="dxa"/>
            <w:tcMar>
              <w:left w:w="85" w:type="dxa"/>
            </w:tcMar>
          </w:tcPr>
          <w:p>
            <w:pPr>
              <w:pStyle w:val="yTableNAm"/>
              <w:spacing w:before="0"/>
              <w:jc w:val="center"/>
              <w:rPr>
                <w:bCs/>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Pike, Long</w:t>
            </w:r>
            <w:r>
              <w:rPr>
                <w:bCs/>
              </w:rPr>
              <w:noBreakHyphen/>
              <w:t xml:space="preserve">finned </w:t>
            </w:r>
            <w:r>
              <w:rPr>
                <w:bCs/>
              </w:rPr>
              <w:tab/>
            </w:r>
          </w:p>
        </w:tc>
        <w:tc>
          <w:tcPr>
            <w:tcW w:w="1418" w:type="dxa"/>
            <w:tcMar>
              <w:left w:w="85" w:type="dxa"/>
            </w:tcMar>
          </w:tcPr>
          <w:p>
            <w:pPr>
              <w:pStyle w:val="yTableNAm"/>
              <w:spacing w:before="0"/>
              <w:jc w:val="center"/>
              <w:rPr>
                <w:bCs/>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Salmon, Australian </w:t>
            </w:r>
            <w:r>
              <w:rPr>
                <w:bCs/>
              </w:rPr>
              <w:tab/>
            </w:r>
          </w:p>
        </w:tc>
        <w:tc>
          <w:tcPr>
            <w:tcW w:w="1418" w:type="dxa"/>
            <w:tcMar>
              <w:left w:w="85" w:type="dxa"/>
            </w:tcMar>
          </w:tcPr>
          <w:p>
            <w:pPr>
              <w:pStyle w:val="yTableNAm"/>
              <w:spacing w:before="0"/>
              <w:jc w:val="center"/>
              <w:rPr>
                <w:bCs/>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Sea Perch, Stripey and Bream, Fingermark </w:t>
            </w:r>
            <w:r>
              <w:rPr>
                <w:bCs/>
              </w:rPr>
              <w:tab/>
            </w:r>
          </w:p>
        </w:tc>
        <w:tc>
          <w:tcPr>
            <w:tcW w:w="1418" w:type="dxa"/>
            <w:tcMar>
              <w:left w:w="85" w:type="dxa"/>
            </w:tcMar>
          </w:tcPr>
          <w:p>
            <w:pPr>
              <w:pStyle w:val="yTableNAm"/>
              <w:spacing w:before="0"/>
              <w:jc w:val="center"/>
              <w:rPr>
                <w:bCs/>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Snook and Pike, Striped Sea </w:t>
            </w:r>
            <w:r>
              <w:rPr>
                <w:bCs/>
              </w:rPr>
              <w:tab/>
            </w:r>
          </w:p>
        </w:tc>
        <w:tc>
          <w:tcPr>
            <w:tcW w:w="1418" w:type="dxa"/>
            <w:tcMar>
              <w:left w:w="85" w:type="dxa"/>
            </w:tcMar>
          </w:tcPr>
          <w:p>
            <w:pPr>
              <w:pStyle w:val="yTableNAm"/>
              <w:spacing w:before="0"/>
              <w:jc w:val="center"/>
              <w:rPr>
                <w:bCs/>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Sweep, Sea </w:t>
            </w:r>
            <w:r>
              <w:rPr>
                <w:bCs/>
              </w:rPr>
              <w:tab/>
            </w:r>
          </w:p>
        </w:tc>
        <w:tc>
          <w:tcPr>
            <w:tcW w:w="1418" w:type="dxa"/>
            <w:tcMar>
              <w:left w:w="85" w:type="dxa"/>
            </w:tcMar>
          </w:tcPr>
          <w:p>
            <w:pPr>
              <w:pStyle w:val="yTableNAm"/>
              <w:spacing w:before="0"/>
              <w:jc w:val="center"/>
              <w:rPr>
                <w:bCs/>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Tailor </w:t>
            </w:r>
            <w:r>
              <w:rPr>
                <w:bCs/>
              </w:rPr>
              <w:tab/>
            </w:r>
          </w:p>
        </w:tc>
        <w:tc>
          <w:tcPr>
            <w:tcW w:w="1418" w:type="dxa"/>
            <w:tcMar>
              <w:left w:w="85" w:type="dxa"/>
            </w:tcMar>
          </w:tcPr>
          <w:p>
            <w:pPr>
              <w:pStyle w:val="yTableNAm"/>
              <w:spacing w:before="0"/>
              <w:rPr>
                <w:bCs/>
              </w:rPr>
            </w:pPr>
            <w:r>
              <w:rPr>
                <w:bCs/>
              </w:rPr>
              <w:t>8 (only 2 of which may be over 500 mm in length)</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Giant </w:t>
            </w:r>
            <w:r>
              <w:rPr>
                <w:bCs/>
              </w:rPr>
              <w:tab/>
            </w:r>
          </w:p>
        </w:tc>
        <w:tc>
          <w:tcPr>
            <w:tcW w:w="1418" w:type="dxa"/>
            <w:tcMar>
              <w:left w:w="85" w:type="dxa"/>
            </w:tcMar>
          </w:tcPr>
          <w:p>
            <w:pPr>
              <w:pStyle w:val="yTableNAm"/>
              <w:spacing w:before="0"/>
              <w:jc w:val="center"/>
              <w:rPr>
                <w:bCs/>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other species </w:t>
            </w:r>
            <w:r>
              <w:rPr>
                <w:bCs/>
              </w:rPr>
              <w:tab/>
            </w:r>
          </w:p>
        </w:tc>
        <w:tc>
          <w:tcPr>
            <w:tcW w:w="1418" w:type="dxa"/>
            <w:tcMar>
              <w:left w:w="85" w:type="dxa"/>
            </w:tcMar>
          </w:tcPr>
          <w:p>
            <w:pPr>
              <w:pStyle w:val="yTableNAm"/>
              <w:spacing w:before="0"/>
              <w:jc w:val="center"/>
              <w:rPr>
                <w:bCs/>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Trevally and Queenfish, all species except Giant and Golden Trevally, Needleskin Queenfish, and Yellowtail Scad </w:t>
            </w:r>
            <w:r>
              <w:rPr>
                <w:bCs/>
              </w:rPr>
              <w:tab/>
            </w:r>
          </w:p>
        </w:tc>
        <w:tc>
          <w:tcPr>
            <w:tcW w:w="1418" w:type="dxa"/>
            <w:tcMar>
              <w:left w:w="85" w:type="dxa"/>
            </w:tcMar>
          </w:tcPr>
          <w:p>
            <w:pPr>
              <w:pStyle w:val="yTableNAm"/>
              <w:spacing w:before="0"/>
              <w:jc w:val="center"/>
              <w:rPr>
                <w:bCs/>
              </w:rPr>
            </w:pPr>
            <w:r>
              <w:rPr>
                <w:bCs/>
              </w:rPr>
              <w:br/>
            </w:r>
            <w:r>
              <w:rPr>
                <w:bCs/>
              </w:rPr>
              <w:b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Tripletail </w:t>
            </w:r>
            <w:r>
              <w:rPr>
                <w:bCs/>
              </w:rPr>
              <w:tab/>
            </w:r>
          </w:p>
        </w:tc>
        <w:tc>
          <w:tcPr>
            <w:tcW w:w="1418" w:type="dxa"/>
            <w:tcMar>
              <w:left w:w="85" w:type="dxa"/>
            </w:tcMar>
          </w:tcPr>
          <w:p>
            <w:pPr>
              <w:pStyle w:val="yTableNAm"/>
              <w:spacing w:before="0"/>
              <w:jc w:val="center"/>
              <w:rPr>
                <w:bCs/>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Whiting, King George (Spotted) </w:t>
            </w:r>
            <w:r>
              <w:rPr>
                <w:bCs/>
              </w:rPr>
              <w:tab/>
            </w:r>
          </w:p>
        </w:tc>
        <w:tc>
          <w:tcPr>
            <w:tcW w:w="1418" w:type="dxa"/>
            <w:tcMar>
              <w:left w:w="85" w:type="dxa"/>
            </w:tcMar>
          </w:tcPr>
          <w:p>
            <w:pPr>
              <w:pStyle w:val="yTableNAm"/>
              <w:spacing w:before="0"/>
              <w:jc w:val="center"/>
              <w:rPr>
                <w:bCs/>
              </w:rPr>
            </w:pPr>
            <w:r>
              <w:rPr>
                <w:bCs/>
              </w:rPr>
              <w:t>12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Wrasse and Parrot Fish </w:t>
            </w:r>
            <w:r>
              <w:rPr>
                <w:bCs/>
              </w:rPr>
              <w:tab/>
            </w:r>
          </w:p>
        </w:tc>
        <w:tc>
          <w:tcPr>
            <w:tcW w:w="1418" w:type="dxa"/>
            <w:tcMar>
              <w:left w:w="85" w:type="dxa"/>
            </w:tcMar>
          </w:tcPr>
          <w:p>
            <w:pPr>
              <w:pStyle w:val="yTableNAm"/>
              <w:spacing w:before="0"/>
              <w:jc w:val="center"/>
              <w:rPr>
                <w:bCs/>
              </w:rPr>
            </w:pPr>
            <w:r>
              <w:rPr>
                <w:bCs/>
              </w:rPr>
              <w:t>8</w:t>
            </w:r>
          </w:p>
        </w:tc>
        <w:tc>
          <w:tcPr>
            <w:tcW w:w="1559" w:type="dxa"/>
            <w:vMerge/>
            <w:tcMar>
              <w:left w:w="85" w:type="dxa"/>
            </w:tcMar>
          </w:tcPr>
          <w:p>
            <w:pPr>
              <w:pStyle w:val="yTableNAm"/>
              <w:spacing w:before="0"/>
              <w:rPr>
                <w:bCs/>
              </w:rPr>
            </w:pPr>
          </w:p>
        </w:tc>
      </w:tr>
    </w:tbl>
    <w:p>
      <w:pPr>
        <w:pStyle w:val="yFootnotesection"/>
      </w:pPr>
      <w:r>
        <w:tab/>
        <w:t>[Part 3 inserted in Gazette 29 Jan 2013 p. 315</w:t>
      </w:r>
      <w:r>
        <w:noBreakHyphen/>
        <w:t>17.]</w:t>
      </w:r>
    </w:p>
    <w:p>
      <w:pPr>
        <w:pStyle w:val="yHeading2"/>
      </w:pPr>
      <w:bookmarkStart w:id="1388" w:name="_Toc347307909"/>
      <w:bookmarkStart w:id="1389" w:name="_Toc349822822"/>
      <w:bookmarkStart w:id="1390" w:name="_Toc349823242"/>
      <w:bookmarkStart w:id="1391" w:name="_Toc349831224"/>
      <w:bookmarkStart w:id="1392" w:name="_Toc359249016"/>
      <w:bookmarkStart w:id="1393" w:name="_Toc359316973"/>
      <w:r>
        <w:rPr>
          <w:rStyle w:val="CharSDivNo"/>
          <w:bCs/>
          <w:sz w:val="28"/>
        </w:rPr>
        <w:t>Part 4</w:t>
      </w:r>
      <w:r>
        <w:t> — </w:t>
      </w:r>
      <w:r>
        <w:rPr>
          <w:rStyle w:val="CharSDivText"/>
          <w:bCs/>
          <w:sz w:val="28"/>
        </w:rPr>
        <w:t>Bag limits — Freshwater finfish</w:t>
      </w:r>
      <w:bookmarkEnd w:id="1388"/>
      <w:bookmarkEnd w:id="1389"/>
      <w:bookmarkEnd w:id="1390"/>
      <w:bookmarkEnd w:id="1391"/>
      <w:bookmarkEnd w:id="1392"/>
      <w:bookmarkEnd w:id="1393"/>
    </w:p>
    <w:p>
      <w:pPr>
        <w:pStyle w:val="zyShoulderClause"/>
      </w:pPr>
      <w:r>
        <w:t>[r. 65E]</w:t>
      </w:r>
    </w:p>
    <w:p>
      <w:pPr>
        <w:pStyle w:val="yFootnoteheading"/>
        <w:spacing w:after="60"/>
      </w:pPr>
      <w:r>
        <w:tab/>
        <w:t>[Heading inserted in Gazette 29 Jan 2013 p. 317.]</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2268" w:type="dxa"/>
            <w:tcBorders>
              <w:top w:val="single" w:sz="8" w:space="0" w:color="auto"/>
              <w:bottom w:val="single" w:sz="8" w:space="0" w:color="auto"/>
            </w:tcBorders>
          </w:tcPr>
          <w:p>
            <w:pPr>
              <w:pStyle w:val="yTableNAm"/>
              <w:spacing w:before="0"/>
              <w:rPr>
                <w:b/>
                <w:bCs/>
              </w:rPr>
            </w:pPr>
            <w:r>
              <w:rPr>
                <w:b/>
                <w:bCs/>
              </w:rPr>
              <w:t>Species bag limit for one day</w:t>
            </w:r>
          </w:p>
        </w:tc>
      </w:tr>
      <w:tr>
        <w:trPr>
          <w:cantSplit/>
        </w:trPr>
        <w:tc>
          <w:tcPr>
            <w:tcW w:w="4792" w:type="dxa"/>
            <w:tcMar>
              <w:left w:w="85" w:type="dxa"/>
              <w:right w:w="113" w:type="dxa"/>
            </w:tcMar>
          </w:tcPr>
          <w:p>
            <w:pPr>
              <w:pStyle w:val="yTableNAm"/>
              <w:tabs>
                <w:tab w:val="clear" w:pos="567"/>
                <w:tab w:val="right" w:leader="dot" w:pos="4253"/>
              </w:tabs>
              <w:spacing w:before="0"/>
            </w:pPr>
            <w:r>
              <w:t xml:space="preserve">Catfish </w:t>
            </w:r>
            <w:r>
              <w:tab/>
            </w:r>
          </w:p>
        </w:tc>
        <w:tc>
          <w:tcPr>
            <w:tcW w:w="2268" w:type="dxa"/>
          </w:tcPr>
          <w:p>
            <w:pPr>
              <w:pStyle w:val="yTableNAm"/>
              <w:spacing w:before="0"/>
            </w:pPr>
            <w:r>
              <w:t>4</w:t>
            </w:r>
          </w:p>
        </w:tc>
      </w:tr>
      <w:tr>
        <w:trPr>
          <w:cantSplit/>
        </w:trPr>
        <w:tc>
          <w:tcPr>
            <w:tcW w:w="4792" w:type="dxa"/>
            <w:tcMar>
              <w:left w:w="85" w:type="dxa"/>
              <w:right w:w="113" w:type="dxa"/>
            </w:tcMar>
          </w:tcPr>
          <w:p>
            <w:pPr>
              <w:pStyle w:val="yTableNAm"/>
              <w:tabs>
                <w:tab w:val="clear" w:pos="567"/>
                <w:tab w:val="right" w:leader="dot" w:pos="4253"/>
              </w:tabs>
              <w:spacing w:before="0"/>
            </w:pPr>
            <w:r>
              <w:t xml:space="preserve">Grunter </w:t>
            </w:r>
            <w:r>
              <w:tab/>
            </w:r>
          </w:p>
        </w:tc>
        <w:tc>
          <w:tcPr>
            <w:tcW w:w="2268" w:type="dxa"/>
          </w:tcPr>
          <w:p>
            <w:pPr>
              <w:pStyle w:val="yTableNAm"/>
              <w:spacing w:before="0"/>
            </w:pPr>
            <w:r>
              <w:t>4</w:t>
            </w:r>
          </w:p>
        </w:tc>
      </w:tr>
      <w:tr>
        <w:trPr>
          <w:cantSplit/>
        </w:trPr>
        <w:tc>
          <w:tcPr>
            <w:tcW w:w="4792" w:type="dxa"/>
            <w:tcBorders>
              <w:bottom w:val="single" w:sz="4" w:space="0" w:color="auto"/>
            </w:tcBorders>
            <w:tcMar>
              <w:left w:w="85" w:type="dxa"/>
              <w:right w:w="113" w:type="dxa"/>
            </w:tcMar>
          </w:tcPr>
          <w:p>
            <w:pPr>
              <w:pStyle w:val="yTableNAm"/>
              <w:tabs>
                <w:tab w:val="clear" w:pos="567"/>
                <w:tab w:val="right" w:leader="dot" w:pos="4253"/>
              </w:tabs>
              <w:spacing w:before="0"/>
            </w:pPr>
            <w:r>
              <w:t>Trout, Brown and Rainbow</w:t>
            </w:r>
            <w:r>
              <w:tab/>
            </w:r>
          </w:p>
        </w:tc>
        <w:tc>
          <w:tcPr>
            <w:tcW w:w="2268" w:type="dxa"/>
            <w:tcBorders>
              <w:bottom w:val="single" w:sz="4" w:space="0" w:color="auto"/>
            </w:tcBorders>
          </w:tcPr>
          <w:p>
            <w:pPr>
              <w:pStyle w:val="yTableNAm"/>
              <w:spacing w:before="0"/>
            </w:pPr>
            <w:r>
              <w:t>4</w:t>
            </w:r>
          </w:p>
        </w:tc>
      </w:tr>
    </w:tbl>
    <w:p>
      <w:pPr>
        <w:pStyle w:val="yFootnotesection"/>
      </w:pPr>
      <w:r>
        <w:tab/>
        <w:t>[Part 4 inserted in Gazette 29 Jan 2013 p. 317.]</w:t>
      </w:r>
    </w:p>
    <w:p>
      <w:pPr>
        <w:pStyle w:val="yHeading2"/>
      </w:pPr>
      <w:bookmarkStart w:id="1394" w:name="_Toc347307910"/>
      <w:bookmarkStart w:id="1395" w:name="_Toc349822823"/>
      <w:bookmarkStart w:id="1396" w:name="_Toc349823243"/>
      <w:bookmarkStart w:id="1397" w:name="_Toc349831225"/>
      <w:bookmarkStart w:id="1398" w:name="_Toc359249017"/>
      <w:bookmarkStart w:id="1399" w:name="_Toc359316974"/>
      <w:r>
        <w:rPr>
          <w:rStyle w:val="CharSDivNo"/>
          <w:bCs/>
          <w:sz w:val="28"/>
        </w:rPr>
        <w:t>Part 5</w:t>
      </w:r>
      <w:r>
        <w:t> — </w:t>
      </w:r>
      <w:r>
        <w:rPr>
          <w:rStyle w:val="CharSDivText"/>
          <w:bCs/>
          <w:sz w:val="28"/>
        </w:rPr>
        <w:t>Bag limits — Crustaceans</w:t>
      </w:r>
      <w:bookmarkEnd w:id="1394"/>
      <w:bookmarkEnd w:id="1395"/>
      <w:bookmarkEnd w:id="1396"/>
      <w:bookmarkEnd w:id="1397"/>
      <w:bookmarkEnd w:id="1398"/>
      <w:bookmarkEnd w:id="1399"/>
    </w:p>
    <w:p>
      <w:pPr>
        <w:pStyle w:val="zyShoulderClause"/>
      </w:pPr>
      <w:r>
        <w:t>[r. 65G]</w:t>
      </w:r>
    </w:p>
    <w:p>
      <w:pPr>
        <w:pStyle w:val="yFootnoteheading"/>
        <w:spacing w:after="60"/>
      </w:pPr>
      <w:r>
        <w:tab/>
        <w:t>[Heading inserted in Gazette 29 Jan 2013 p. 317.]</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2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bag limit for one day</w:t>
            </w:r>
          </w:p>
        </w:tc>
      </w:tr>
      <w:tr>
        <w:trPr>
          <w:cantSplit/>
        </w:trPr>
        <w:tc>
          <w:tcPr>
            <w:tcW w:w="4792" w:type="dxa"/>
            <w:tcMar>
              <w:left w:w="85" w:type="dxa"/>
              <w:right w:w="113" w:type="dxa"/>
            </w:tcMar>
          </w:tcPr>
          <w:p>
            <w:pPr>
              <w:pStyle w:val="yTableNAm"/>
              <w:tabs>
                <w:tab w:val="right" w:leader="dot" w:pos="4253"/>
              </w:tabs>
              <w:spacing w:before="0"/>
            </w:pPr>
            <w:r>
              <w:t xml:space="preserve">Cherabin </w:t>
            </w:r>
            <w:r>
              <w:tab/>
            </w:r>
          </w:p>
        </w:tc>
        <w:tc>
          <w:tcPr>
            <w:tcW w:w="2268" w:type="dxa"/>
            <w:tcMar>
              <w:left w:w="85" w:type="dxa"/>
              <w:right w:w="113" w:type="dxa"/>
            </w:tcMar>
          </w:tcPr>
          <w:p>
            <w:pPr>
              <w:pStyle w:val="yTableNAm"/>
              <w:spacing w:before="0"/>
            </w:pPr>
            <w:r>
              <w:t>9 litres</w:t>
            </w:r>
          </w:p>
        </w:tc>
      </w:tr>
      <w:tr>
        <w:trPr>
          <w:cantSplit/>
        </w:trPr>
        <w:tc>
          <w:tcPr>
            <w:tcW w:w="4792" w:type="dxa"/>
            <w:tcMar>
              <w:left w:w="85" w:type="dxa"/>
              <w:right w:w="113" w:type="dxa"/>
            </w:tcMar>
          </w:tcPr>
          <w:p>
            <w:pPr>
              <w:pStyle w:val="yTableNAm"/>
              <w:tabs>
                <w:tab w:val="right" w:leader="dot" w:pos="4253"/>
              </w:tabs>
              <w:spacing w:before="0"/>
            </w:pPr>
            <w:r>
              <w:t xml:space="preserve">Crab, Blue Swimmer </w:t>
            </w:r>
            <w:r>
              <w:tab/>
            </w:r>
          </w:p>
        </w:tc>
        <w:tc>
          <w:tcPr>
            <w:tcW w:w="2268" w:type="dxa"/>
            <w:tcMar>
              <w:left w:w="85" w:type="dxa"/>
              <w:right w:w="113" w:type="dxa"/>
            </w:tcMar>
          </w:tcPr>
          <w:p>
            <w:pPr>
              <w:pStyle w:val="yTableNAm"/>
              <w:spacing w:before="0"/>
            </w:pPr>
            <w:r>
              <w:t>10 (in West Coast region)</w:t>
            </w:r>
          </w:p>
          <w:p>
            <w:pPr>
              <w:pStyle w:val="yTableNAm"/>
              <w:spacing w:before="0"/>
            </w:pPr>
            <w:r>
              <w:t>20 (in other regions)</w:t>
            </w:r>
          </w:p>
        </w:tc>
      </w:tr>
      <w:tr>
        <w:trPr>
          <w:cantSplit/>
        </w:trPr>
        <w:tc>
          <w:tcPr>
            <w:tcW w:w="4792" w:type="dxa"/>
            <w:tcMar>
              <w:left w:w="85" w:type="dxa"/>
              <w:right w:w="113" w:type="dxa"/>
            </w:tcMar>
          </w:tcPr>
          <w:p>
            <w:pPr>
              <w:pStyle w:val="yTableNAm"/>
              <w:tabs>
                <w:tab w:val="right" w:leader="dot" w:pos="4253"/>
              </w:tabs>
              <w:spacing w:before="0"/>
            </w:pPr>
            <w:r>
              <w:t xml:space="preserve">Crab, Mud, all species </w:t>
            </w:r>
            <w:r>
              <w:tab/>
            </w:r>
          </w:p>
        </w:tc>
        <w:tc>
          <w:tcPr>
            <w:tcW w:w="2268" w:type="dxa"/>
            <w:tcMar>
              <w:left w:w="85" w:type="dxa"/>
              <w:right w:w="113" w:type="dxa"/>
            </w:tcMar>
          </w:tcPr>
          <w:p>
            <w:pPr>
              <w:pStyle w:val="yTableNAm"/>
              <w:spacing w:before="0"/>
            </w:pPr>
            <w:r>
              <w:t>5</w:t>
            </w:r>
          </w:p>
        </w:tc>
      </w:tr>
      <w:tr>
        <w:trPr>
          <w:cantSplit/>
        </w:trPr>
        <w:tc>
          <w:tcPr>
            <w:tcW w:w="4792" w:type="dxa"/>
            <w:tcMar>
              <w:left w:w="85" w:type="dxa"/>
              <w:right w:w="113" w:type="dxa"/>
            </w:tcMar>
          </w:tcPr>
          <w:p>
            <w:pPr>
              <w:pStyle w:val="yTableNAm"/>
              <w:tabs>
                <w:tab w:val="right" w:leader="dot" w:pos="4253"/>
              </w:tabs>
              <w:spacing w:before="0"/>
            </w:pPr>
            <w:r>
              <w:t xml:space="preserve">Marron </w:t>
            </w:r>
            <w:r>
              <w:tab/>
            </w:r>
          </w:p>
        </w:tc>
        <w:tc>
          <w:tcPr>
            <w:tcW w:w="2268" w:type="dxa"/>
            <w:tcMar>
              <w:left w:w="85" w:type="dxa"/>
              <w:right w:w="113" w:type="dxa"/>
            </w:tcMar>
          </w:tcPr>
          <w:p>
            <w:pPr>
              <w:pStyle w:val="yTableNAm"/>
              <w:spacing w:before="0"/>
            </w:pPr>
            <w:r>
              <w:t>5 (in marron trophy water)</w:t>
            </w:r>
          </w:p>
          <w:p>
            <w:pPr>
              <w:pStyle w:val="yTableNAm"/>
              <w:spacing w:before="0"/>
            </w:pPr>
            <w:r>
              <w:t>8 (in other waters)</w:t>
            </w:r>
          </w:p>
        </w:tc>
      </w:tr>
      <w:tr>
        <w:trPr>
          <w:cantSplit/>
        </w:trPr>
        <w:tc>
          <w:tcPr>
            <w:tcW w:w="4792" w:type="dxa"/>
            <w:tcMar>
              <w:left w:w="85" w:type="dxa"/>
              <w:right w:w="113" w:type="dxa"/>
            </w:tcMar>
          </w:tcPr>
          <w:p>
            <w:pPr>
              <w:pStyle w:val="yTableNAm"/>
              <w:tabs>
                <w:tab w:val="right" w:leader="dot" w:pos="4253"/>
              </w:tabs>
              <w:spacing w:before="0"/>
            </w:pPr>
            <w:r>
              <w:t xml:space="preserve">Prawns,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and Western King </w:t>
            </w:r>
            <w:r>
              <w:tab/>
            </w:r>
          </w:p>
        </w:tc>
        <w:tc>
          <w:tcPr>
            <w:tcW w:w="2268" w:type="dxa"/>
            <w:tcMar>
              <w:left w:w="85" w:type="dxa"/>
              <w:right w:w="113" w:type="dxa"/>
            </w:tcMar>
          </w:tcPr>
          <w:p>
            <w:pPr>
              <w:pStyle w:val="yTableNAm"/>
              <w:spacing w:before="0"/>
            </w:pPr>
            <w:r>
              <w:t>9 litres</w:t>
            </w:r>
          </w:p>
        </w:tc>
      </w:tr>
      <w:tr>
        <w:trPr>
          <w:cantSplit/>
        </w:trPr>
        <w:tc>
          <w:tcPr>
            <w:tcW w:w="4792" w:type="dxa"/>
            <w:tcMar>
              <w:left w:w="85" w:type="dxa"/>
              <w:right w:w="113" w:type="dxa"/>
            </w:tcMar>
          </w:tcPr>
          <w:p>
            <w:pPr>
              <w:pStyle w:val="yTableNAm"/>
              <w:tabs>
                <w:tab w:val="right" w:leader="dot" w:pos="4253"/>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2268" w:type="dxa"/>
            <w:tcMar>
              <w:left w:w="85" w:type="dxa"/>
              <w:right w:w="113" w:type="dxa"/>
            </w:tcMar>
          </w:tcPr>
          <w:p>
            <w:pPr>
              <w:pStyle w:val="yTableNAm"/>
              <w:spacing w:before="0"/>
            </w:pPr>
            <w:r>
              <w:t>N/A</w:t>
            </w:r>
          </w:p>
        </w:tc>
      </w:tr>
      <w:tr>
        <w:trPr>
          <w:cantSplit/>
        </w:trPr>
        <w:tc>
          <w:tcPr>
            <w:tcW w:w="4792" w:type="dxa"/>
            <w:tcMar>
              <w:left w:w="85" w:type="dxa"/>
              <w:right w:w="113" w:type="dxa"/>
            </w:tcMar>
          </w:tcPr>
          <w:p>
            <w:pPr>
              <w:pStyle w:val="yTableNAm"/>
              <w:tabs>
                <w:tab w:val="right" w:leader="dot" w:pos="4253"/>
              </w:tabs>
              <w:spacing w:before="0"/>
            </w:pPr>
            <w:r>
              <w:t xml:space="preserve">Rock Lobster, all species </w:t>
            </w:r>
            <w:r>
              <w:tab/>
            </w:r>
          </w:p>
        </w:tc>
        <w:tc>
          <w:tcPr>
            <w:tcW w:w="2268" w:type="dxa"/>
            <w:tcMar>
              <w:left w:w="85" w:type="dxa"/>
              <w:right w:w="113" w:type="dxa"/>
            </w:tcMar>
          </w:tcPr>
          <w:p>
            <w:pPr>
              <w:pStyle w:val="yTableNAm"/>
              <w:spacing w:before="0"/>
            </w:pPr>
            <w:r>
              <w:t>8</w:t>
            </w:r>
          </w:p>
        </w:tc>
      </w:tr>
      <w:tr>
        <w:trPr>
          <w:cantSplit/>
        </w:trPr>
        <w:tc>
          <w:tcPr>
            <w:tcW w:w="4792" w:type="dxa"/>
            <w:tcBorders>
              <w:bottom w:val="single" w:sz="4" w:space="0" w:color="auto"/>
            </w:tcBorders>
            <w:tcMar>
              <w:left w:w="85" w:type="dxa"/>
              <w:right w:w="113" w:type="dxa"/>
            </w:tcMar>
          </w:tcPr>
          <w:p>
            <w:pPr>
              <w:pStyle w:val="yTableNAm"/>
              <w:tabs>
                <w:tab w:val="right" w:leader="dot" w:pos="4253"/>
              </w:tabs>
              <w:spacing w:before="0"/>
            </w:pPr>
            <w:r>
              <w:t xml:space="preserve">Other crustacean species not specified above </w:t>
            </w:r>
            <w:r>
              <w:tab/>
            </w:r>
          </w:p>
        </w:tc>
        <w:tc>
          <w:tcPr>
            <w:tcW w:w="2268" w:type="dxa"/>
            <w:tcBorders>
              <w:bottom w:val="single" w:sz="4" w:space="0" w:color="auto"/>
            </w:tcBorders>
            <w:tcMar>
              <w:left w:w="85" w:type="dxa"/>
              <w:right w:w="113" w:type="dxa"/>
            </w:tcMar>
          </w:tcPr>
          <w:p>
            <w:pPr>
              <w:pStyle w:val="yTableNAm"/>
              <w:spacing w:before="0"/>
            </w:pPr>
            <w:r>
              <w:t>10</w:t>
            </w:r>
          </w:p>
        </w:tc>
      </w:tr>
    </w:tbl>
    <w:p>
      <w:pPr>
        <w:pStyle w:val="yFootnotesection"/>
      </w:pPr>
      <w:r>
        <w:tab/>
        <w:t>[Part 5 inserted in Gazette 29 Jan 2013 p. 317.]</w:t>
      </w:r>
    </w:p>
    <w:p>
      <w:pPr>
        <w:pStyle w:val="yHeading2"/>
      </w:pPr>
      <w:bookmarkStart w:id="1400" w:name="_Toc347307911"/>
      <w:bookmarkStart w:id="1401" w:name="_Toc349822824"/>
      <w:bookmarkStart w:id="1402" w:name="_Toc349823244"/>
      <w:bookmarkStart w:id="1403" w:name="_Toc349831226"/>
      <w:bookmarkStart w:id="1404" w:name="_Toc359249018"/>
      <w:bookmarkStart w:id="1405" w:name="_Toc359316975"/>
      <w:r>
        <w:rPr>
          <w:rStyle w:val="CharSDivNo"/>
          <w:bCs/>
          <w:sz w:val="28"/>
        </w:rPr>
        <w:t>Part 6</w:t>
      </w:r>
      <w:r>
        <w:t> — </w:t>
      </w:r>
      <w:r>
        <w:rPr>
          <w:rStyle w:val="CharSDivText"/>
          <w:bCs/>
          <w:sz w:val="28"/>
        </w:rPr>
        <w:t>Bag limits — Molluscs and other invertebrates</w:t>
      </w:r>
      <w:bookmarkEnd w:id="1400"/>
      <w:bookmarkEnd w:id="1401"/>
      <w:bookmarkEnd w:id="1402"/>
      <w:bookmarkEnd w:id="1403"/>
      <w:bookmarkEnd w:id="1404"/>
      <w:bookmarkEnd w:id="1405"/>
    </w:p>
    <w:p>
      <w:pPr>
        <w:pStyle w:val="zyShoulderClause"/>
      </w:pPr>
      <w:r>
        <w:t>[r. 65H]</w:t>
      </w:r>
    </w:p>
    <w:p>
      <w:pPr>
        <w:pStyle w:val="yFootnoteheading"/>
        <w:spacing w:after="60"/>
      </w:pPr>
      <w:r>
        <w:tab/>
        <w:t>[Heading inserted in Gazette 29 Jan 2013 p. 318.]</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2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bag limit for one day</w:t>
            </w:r>
          </w:p>
        </w:tc>
      </w:tr>
      <w:tr>
        <w:trPr>
          <w:cantSplit/>
        </w:trPr>
        <w:tc>
          <w:tcPr>
            <w:tcW w:w="4792" w:type="dxa"/>
            <w:tcMar>
              <w:left w:w="85" w:type="dxa"/>
              <w:right w:w="113" w:type="dxa"/>
            </w:tcMar>
          </w:tcPr>
          <w:p>
            <w:pPr>
              <w:pStyle w:val="yTableNAm"/>
              <w:tabs>
                <w:tab w:val="right" w:leader="dot" w:pos="4253"/>
              </w:tabs>
              <w:spacing w:before="0"/>
            </w:pPr>
            <w:r>
              <w:t xml:space="preserve">Abalone, Greenlip and Brownlip </w:t>
            </w:r>
            <w:r>
              <w:tab/>
            </w:r>
          </w:p>
        </w:tc>
        <w:tc>
          <w:tcPr>
            <w:tcW w:w="2268" w:type="dxa"/>
            <w:tcMar>
              <w:left w:w="85" w:type="dxa"/>
              <w:right w:w="113" w:type="dxa"/>
            </w:tcMar>
          </w:tcPr>
          <w:p>
            <w:pPr>
              <w:pStyle w:val="yTableNAm"/>
              <w:spacing w:before="0"/>
            </w:pPr>
            <w:r>
              <w:t>5</w:t>
            </w:r>
          </w:p>
        </w:tc>
      </w:tr>
      <w:tr>
        <w:trPr>
          <w:cantSplit/>
        </w:trPr>
        <w:tc>
          <w:tcPr>
            <w:tcW w:w="4792" w:type="dxa"/>
            <w:tcMar>
              <w:left w:w="85" w:type="dxa"/>
              <w:right w:w="113" w:type="dxa"/>
            </w:tcMar>
          </w:tcPr>
          <w:p>
            <w:pPr>
              <w:pStyle w:val="yTableNAm"/>
              <w:tabs>
                <w:tab w:val="right" w:leader="dot" w:pos="4253"/>
              </w:tabs>
              <w:spacing w:before="0"/>
            </w:pPr>
            <w:r>
              <w:t xml:space="preserve">Abalone, Roe’s </w:t>
            </w:r>
            <w:r>
              <w:tab/>
            </w:r>
          </w:p>
        </w:tc>
        <w:tc>
          <w:tcPr>
            <w:tcW w:w="2268" w:type="dxa"/>
            <w:tcMar>
              <w:left w:w="85" w:type="dxa"/>
              <w:right w:w="113" w:type="dxa"/>
            </w:tcMar>
          </w:tcPr>
          <w:p>
            <w:pPr>
              <w:pStyle w:val="yTableNAm"/>
              <w:spacing w:before="0"/>
            </w:pPr>
            <w:r>
              <w:t>20</w:t>
            </w:r>
          </w:p>
        </w:tc>
      </w:tr>
      <w:tr>
        <w:trPr>
          <w:cantSplit/>
        </w:trPr>
        <w:tc>
          <w:tcPr>
            <w:tcW w:w="4792" w:type="dxa"/>
            <w:tcMar>
              <w:left w:w="85" w:type="dxa"/>
              <w:right w:w="113" w:type="dxa"/>
            </w:tcMar>
          </w:tcPr>
          <w:p>
            <w:pPr>
              <w:pStyle w:val="yTableNAm"/>
              <w:tabs>
                <w:tab w:val="right" w:leader="dot" w:pos="4253"/>
              </w:tabs>
              <w:spacing w:before="0"/>
            </w:pPr>
            <w:smartTag w:uri="urn:schemas-microsoft-com:office:smarttags" w:element="place">
              <w:smartTag w:uri="urn:schemas-microsoft-com:office:smarttags" w:element="State">
                <w:r>
                  <w:t>Ark</w:t>
                </w:r>
              </w:smartTag>
            </w:smartTag>
            <w:r>
              <w:t xml:space="preserve"> Shell, Cockle and Pipis </w:t>
            </w:r>
            <w:r>
              <w:tab/>
            </w:r>
          </w:p>
        </w:tc>
        <w:tc>
          <w:tcPr>
            <w:tcW w:w="2268" w:type="dxa"/>
            <w:tcMar>
              <w:left w:w="85" w:type="dxa"/>
              <w:right w:w="113" w:type="dxa"/>
            </w:tcMar>
          </w:tcPr>
          <w:p>
            <w:pPr>
              <w:pStyle w:val="yTableNAm"/>
              <w:spacing w:before="0"/>
            </w:pPr>
            <w:r>
              <w:t>2 litres</w:t>
            </w:r>
          </w:p>
        </w:tc>
      </w:tr>
      <w:tr>
        <w:trPr>
          <w:cantSplit/>
        </w:trPr>
        <w:tc>
          <w:tcPr>
            <w:tcW w:w="4792" w:type="dxa"/>
            <w:tcMar>
              <w:left w:w="85" w:type="dxa"/>
              <w:right w:w="113" w:type="dxa"/>
            </w:tcMar>
          </w:tcPr>
          <w:p>
            <w:pPr>
              <w:pStyle w:val="yTableNAm"/>
              <w:tabs>
                <w:tab w:val="right" w:leader="dot" w:pos="4253"/>
              </w:tabs>
              <w:spacing w:before="0"/>
            </w:pPr>
            <w:r>
              <w:t xml:space="preserve">Bloodworm </w:t>
            </w:r>
            <w:r>
              <w:tab/>
            </w:r>
          </w:p>
        </w:tc>
        <w:tc>
          <w:tcPr>
            <w:tcW w:w="2268" w:type="dxa"/>
            <w:tcMar>
              <w:left w:w="85" w:type="dxa"/>
              <w:right w:w="113" w:type="dxa"/>
            </w:tcMar>
          </w:tcPr>
          <w:p>
            <w:pPr>
              <w:pStyle w:val="yTableNAm"/>
              <w:spacing w:before="0"/>
            </w:pPr>
            <w:r>
              <w:t>1 litre</w:t>
            </w:r>
          </w:p>
        </w:tc>
      </w:tr>
      <w:tr>
        <w:trPr>
          <w:cantSplit/>
        </w:trPr>
        <w:tc>
          <w:tcPr>
            <w:tcW w:w="4792" w:type="dxa"/>
            <w:tcMar>
              <w:left w:w="85" w:type="dxa"/>
              <w:right w:w="113" w:type="dxa"/>
            </w:tcMar>
          </w:tcPr>
          <w:p>
            <w:pPr>
              <w:pStyle w:val="yTableNAm"/>
              <w:tabs>
                <w:tab w:val="right" w:leader="dot" w:pos="4253"/>
              </w:tabs>
              <w:spacing w:before="0"/>
            </w:pPr>
            <w:r>
              <w:t>Clam, Venus</w:t>
            </w:r>
            <w:r>
              <w:tab/>
            </w:r>
          </w:p>
        </w:tc>
        <w:tc>
          <w:tcPr>
            <w:tcW w:w="2268" w:type="dxa"/>
            <w:tcMar>
              <w:left w:w="85" w:type="dxa"/>
              <w:right w:w="113" w:type="dxa"/>
            </w:tcMar>
          </w:tcPr>
          <w:p>
            <w:pPr>
              <w:pStyle w:val="yTableNAm"/>
              <w:spacing w:before="0"/>
            </w:pPr>
            <w:r>
              <w:t>2</w:t>
            </w:r>
          </w:p>
        </w:tc>
      </w:tr>
      <w:tr>
        <w:trPr>
          <w:cantSplit/>
        </w:trPr>
        <w:tc>
          <w:tcPr>
            <w:tcW w:w="4792" w:type="dxa"/>
            <w:tcMar>
              <w:left w:w="85" w:type="dxa"/>
              <w:right w:w="113" w:type="dxa"/>
            </w:tcMar>
          </w:tcPr>
          <w:p>
            <w:pPr>
              <w:pStyle w:val="yTableNAm"/>
              <w:tabs>
                <w:tab w:val="right" w:leader="dot" w:pos="4253"/>
              </w:tabs>
              <w:spacing w:before="0"/>
            </w:pPr>
            <w:r>
              <w:t xml:space="preserve">Mussel </w:t>
            </w:r>
            <w:r>
              <w:tab/>
            </w:r>
          </w:p>
        </w:tc>
        <w:tc>
          <w:tcPr>
            <w:tcW w:w="2268" w:type="dxa"/>
            <w:tcMar>
              <w:left w:w="85" w:type="dxa"/>
              <w:right w:w="113" w:type="dxa"/>
            </w:tcMar>
          </w:tcPr>
          <w:p>
            <w:pPr>
              <w:pStyle w:val="yTableNAm"/>
              <w:spacing w:before="0"/>
            </w:pPr>
            <w:r>
              <w:t>9 litres (shell on)</w:t>
            </w:r>
          </w:p>
        </w:tc>
      </w:tr>
      <w:tr>
        <w:trPr>
          <w:cantSplit/>
        </w:trPr>
        <w:tc>
          <w:tcPr>
            <w:tcW w:w="4792" w:type="dxa"/>
            <w:tcMar>
              <w:left w:w="85" w:type="dxa"/>
              <w:right w:w="113" w:type="dxa"/>
            </w:tcMar>
          </w:tcPr>
          <w:p>
            <w:pPr>
              <w:pStyle w:val="yTableNAm"/>
              <w:tabs>
                <w:tab w:val="right" w:leader="dot" w:pos="4253"/>
              </w:tabs>
              <w:spacing w:before="0"/>
            </w:pPr>
            <w:r>
              <w:t xml:space="preserve">Oyster </w:t>
            </w:r>
            <w:r>
              <w:tab/>
            </w:r>
          </w:p>
        </w:tc>
        <w:tc>
          <w:tcPr>
            <w:tcW w:w="2268" w:type="dxa"/>
            <w:tcMar>
              <w:left w:w="85" w:type="dxa"/>
              <w:right w:w="113" w:type="dxa"/>
            </w:tcMar>
          </w:tcPr>
          <w:p>
            <w:pPr>
              <w:pStyle w:val="yTableNAm"/>
              <w:spacing w:before="0"/>
            </w:pPr>
            <w:r>
              <w:t>20</w:t>
            </w:r>
          </w:p>
        </w:tc>
      </w:tr>
      <w:tr>
        <w:trPr>
          <w:cantSplit/>
        </w:trPr>
        <w:tc>
          <w:tcPr>
            <w:tcW w:w="4792" w:type="dxa"/>
            <w:tcMar>
              <w:left w:w="85" w:type="dxa"/>
              <w:right w:w="113" w:type="dxa"/>
            </w:tcMar>
          </w:tcPr>
          <w:p>
            <w:pPr>
              <w:pStyle w:val="yTableNAm"/>
              <w:tabs>
                <w:tab w:val="right" w:leader="dot" w:pos="4253"/>
              </w:tabs>
              <w:spacing w:before="0"/>
            </w:pPr>
            <w:r>
              <w:t xml:space="preserve">Razor shell </w:t>
            </w:r>
            <w:r>
              <w:tab/>
            </w:r>
          </w:p>
        </w:tc>
        <w:tc>
          <w:tcPr>
            <w:tcW w:w="2268" w:type="dxa"/>
            <w:tcMar>
              <w:left w:w="85" w:type="dxa"/>
              <w:right w:w="113" w:type="dxa"/>
            </w:tcMar>
          </w:tcPr>
          <w:p>
            <w:pPr>
              <w:pStyle w:val="yTableNAm"/>
              <w:spacing w:before="0"/>
            </w:pPr>
            <w:r>
              <w:t>20</w:t>
            </w:r>
          </w:p>
        </w:tc>
      </w:tr>
      <w:tr>
        <w:trPr>
          <w:cantSplit/>
        </w:trPr>
        <w:tc>
          <w:tcPr>
            <w:tcW w:w="4792" w:type="dxa"/>
            <w:tcMar>
              <w:left w:w="85" w:type="dxa"/>
              <w:right w:w="113" w:type="dxa"/>
            </w:tcMar>
          </w:tcPr>
          <w:p>
            <w:pPr>
              <w:pStyle w:val="yTableNAm"/>
              <w:tabs>
                <w:tab w:val="right" w:leader="dot" w:pos="4253"/>
              </w:tabs>
              <w:spacing w:before="0"/>
            </w:pPr>
            <w:r>
              <w:t xml:space="preserve">Scallop </w:t>
            </w:r>
            <w:r>
              <w:tab/>
            </w:r>
          </w:p>
        </w:tc>
        <w:tc>
          <w:tcPr>
            <w:tcW w:w="2268" w:type="dxa"/>
            <w:tcMar>
              <w:left w:w="85" w:type="dxa"/>
              <w:right w:w="113" w:type="dxa"/>
            </w:tcMar>
          </w:tcPr>
          <w:p>
            <w:pPr>
              <w:pStyle w:val="yTableNAm"/>
              <w:spacing w:before="0"/>
            </w:pPr>
            <w:r>
              <w:t>20</w:t>
            </w:r>
          </w:p>
        </w:tc>
      </w:tr>
      <w:tr>
        <w:trPr>
          <w:cantSplit/>
        </w:trPr>
        <w:tc>
          <w:tcPr>
            <w:tcW w:w="4792" w:type="dxa"/>
            <w:tcMar>
              <w:left w:w="85" w:type="dxa"/>
              <w:right w:w="113" w:type="dxa"/>
            </w:tcMar>
          </w:tcPr>
          <w:p>
            <w:pPr>
              <w:pStyle w:val="yTableNAm"/>
              <w:tabs>
                <w:tab w:val="right" w:leader="dot" w:pos="4253"/>
              </w:tabs>
              <w:spacing w:before="0"/>
            </w:pPr>
            <w:r>
              <w:t xml:space="preserve">Sea Urchin </w:t>
            </w:r>
            <w:r>
              <w:tab/>
            </w:r>
          </w:p>
        </w:tc>
        <w:tc>
          <w:tcPr>
            <w:tcW w:w="2268" w:type="dxa"/>
            <w:tcMar>
              <w:left w:w="85" w:type="dxa"/>
              <w:right w:w="113" w:type="dxa"/>
            </w:tcMar>
          </w:tcPr>
          <w:p>
            <w:pPr>
              <w:pStyle w:val="yTableNAm"/>
              <w:spacing w:before="0"/>
            </w:pPr>
            <w:r>
              <w:t>20</w:t>
            </w:r>
          </w:p>
        </w:tc>
      </w:tr>
      <w:tr>
        <w:trPr>
          <w:cantSplit/>
        </w:trPr>
        <w:tc>
          <w:tcPr>
            <w:tcW w:w="4792" w:type="dxa"/>
            <w:tcMar>
              <w:left w:w="85" w:type="dxa"/>
              <w:right w:w="113" w:type="dxa"/>
            </w:tcMar>
          </w:tcPr>
          <w:p>
            <w:pPr>
              <w:pStyle w:val="yTableNAm"/>
              <w:tabs>
                <w:tab w:val="right" w:leader="dot" w:pos="4253"/>
              </w:tabs>
              <w:spacing w:before="0"/>
            </w:pPr>
            <w:r>
              <w:t xml:space="preserve">Squid, Cuttlefish and Octopus </w:t>
            </w:r>
            <w:r>
              <w:tab/>
            </w:r>
          </w:p>
        </w:tc>
        <w:tc>
          <w:tcPr>
            <w:tcW w:w="2268" w:type="dxa"/>
            <w:tcMar>
              <w:left w:w="85" w:type="dxa"/>
              <w:right w:w="113" w:type="dxa"/>
            </w:tcMar>
          </w:tcPr>
          <w:p>
            <w:pPr>
              <w:pStyle w:val="yTableNAm"/>
              <w:spacing w:before="0"/>
            </w:pPr>
            <w:r>
              <w:t>15</w:t>
            </w:r>
          </w:p>
        </w:tc>
      </w:tr>
      <w:tr>
        <w:trPr>
          <w:cantSplit/>
        </w:trPr>
        <w:tc>
          <w:tcPr>
            <w:tcW w:w="4792" w:type="dxa"/>
            <w:tcMar>
              <w:left w:w="85" w:type="dxa"/>
              <w:right w:w="113" w:type="dxa"/>
            </w:tcMar>
          </w:tcPr>
          <w:p>
            <w:pPr>
              <w:pStyle w:val="yTableNAm"/>
              <w:tabs>
                <w:tab w:val="right" w:leader="dot" w:pos="4253"/>
              </w:tabs>
              <w:spacing w:before="0"/>
            </w:pPr>
            <w:r>
              <w:t xml:space="preserve">Zoila Cowry, Volute, Conch </w:t>
            </w:r>
            <w:r>
              <w:tab/>
            </w:r>
          </w:p>
        </w:tc>
        <w:tc>
          <w:tcPr>
            <w:tcW w:w="2268" w:type="dxa"/>
            <w:tcMar>
              <w:left w:w="85" w:type="dxa"/>
              <w:right w:w="113" w:type="dxa"/>
            </w:tcMar>
          </w:tcPr>
          <w:p>
            <w:pPr>
              <w:pStyle w:val="yTableNAm"/>
              <w:spacing w:before="0"/>
            </w:pPr>
            <w:r>
              <w:t>10</w:t>
            </w:r>
          </w:p>
        </w:tc>
      </w:tr>
      <w:tr>
        <w:trPr>
          <w:cantSplit/>
        </w:trPr>
        <w:tc>
          <w:tcPr>
            <w:tcW w:w="4792" w:type="dxa"/>
            <w:tcBorders>
              <w:bottom w:val="single" w:sz="4" w:space="0" w:color="auto"/>
            </w:tcBorders>
            <w:tcMar>
              <w:left w:w="85" w:type="dxa"/>
              <w:right w:w="113" w:type="dxa"/>
            </w:tcMar>
          </w:tcPr>
          <w:p>
            <w:pPr>
              <w:pStyle w:val="yTableNAm"/>
              <w:tabs>
                <w:tab w:val="right" w:leader="dot" w:pos="4253"/>
              </w:tabs>
              <w:spacing w:before="0"/>
            </w:pPr>
            <w:r>
              <w:t xml:space="preserve">Other molluscs and invertebrate species not specified </w:t>
            </w:r>
            <w:r>
              <w:tab/>
            </w:r>
          </w:p>
        </w:tc>
        <w:tc>
          <w:tcPr>
            <w:tcW w:w="2268" w:type="dxa"/>
            <w:tcBorders>
              <w:bottom w:val="single" w:sz="4" w:space="0" w:color="auto"/>
            </w:tcBorders>
            <w:tcMar>
              <w:left w:w="85" w:type="dxa"/>
              <w:right w:w="113" w:type="dxa"/>
            </w:tcMar>
          </w:tcPr>
          <w:p>
            <w:pPr>
              <w:pStyle w:val="yTableNAm"/>
              <w:spacing w:before="0"/>
            </w:pPr>
            <w:r>
              <w:br/>
              <w:t>10</w:t>
            </w:r>
          </w:p>
        </w:tc>
      </w:tr>
    </w:tbl>
    <w:p>
      <w:pPr>
        <w:pStyle w:val="yFootnotesection"/>
      </w:pPr>
      <w:r>
        <w:tab/>
        <w:t>[Part 6 inserted in Gazette 29 Jan 2013 p. 318.]</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1406" w:name="_Toc339626118"/>
      <w:bookmarkStart w:id="1407" w:name="_Toc342397870"/>
      <w:bookmarkStart w:id="1408" w:name="_Toc343520127"/>
      <w:bookmarkStart w:id="1409" w:name="_Toc343520584"/>
      <w:bookmarkStart w:id="1410" w:name="_Toc344712149"/>
      <w:bookmarkStart w:id="1411" w:name="_Toc344712665"/>
      <w:bookmarkStart w:id="1412" w:name="_Toc347307912"/>
      <w:bookmarkEnd w:id="1346"/>
      <w:bookmarkEnd w:id="1347"/>
      <w:bookmarkEnd w:id="1348"/>
      <w:bookmarkEnd w:id="1349"/>
      <w:bookmarkEnd w:id="1350"/>
      <w:bookmarkEnd w:id="1351"/>
    </w:p>
    <w:p>
      <w:pPr>
        <w:pStyle w:val="yScheduleHeading"/>
      </w:pPr>
      <w:bookmarkStart w:id="1413" w:name="_Toc349822825"/>
      <w:bookmarkStart w:id="1414" w:name="_Toc349823245"/>
      <w:bookmarkStart w:id="1415" w:name="_Toc349831227"/>
      <w:bookmarkStart w:id="1416" w:name="_Toc359249019"/>
      <w:bookmarkStart w:id="1417" w:name="_Toc359316976"/>
      <w:r>
        <w:rPr>
          <w:rStyle w:val="CharSchNo"/>
        </w:rPr>
        <w:t>Schedule 4</w:t>
      </w:r>
      <w:r>
        <w:t> — </w:t>
      </w:r>
      <w:r>
        <w:rPr>
          <w:rStyle w:val="CharSchText"/>
        </w:rPr>
        <w:t>Categories of fish</w:t>
      </w:r>
      <w:bookmarkEnd w:id="1406"/>
      <w:bookmarkEnd w:id="1407"/>
      <w:bookmarkEnd w:id="1408"/>
      <w:bookmarkEnd w:id="1409"/>
      <w:bookmarkEnd w:id="1410"/>
      <w:bookmarkEnd w:id="1411"/>
      <w:bookmarkEnd w:id="1412"/>
      <w:bookmarkEnd w:id="1413"/>
      <w:bookmarkEnd w:id="1414"/>
      <w:bookmarkEnd w:id="1415"/>
      <w:bookmarkEnd w:id="1416"/>
      <w:bookmarkEnd w:id="1417"/>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spacing w:before="0"/>
        <w:ind w:left="840" w:firstLine="0"/>
        <w:rPr>
          <w:snapToGrid w:val="0"/>
        </w:rPr>
      </w:pPr>
      <w:r>
        <w:rPr>
          <w:snapToGrid w:val="0"/>
        </w:rPr>
        <w:t>Abalone, Greenlip</w:t>
      </w:r>
    </w:p>
    <w:p>
      <w:pPr>
        <w:pStyle w:val="yNumberedItem"/>
        <w:spacing w:before="0"/>
        <w:ind w:left="840" w:firstLine="0"/>
        <w:rPr>
          <w:snapToGrid w:val="0"/>
        </w:rPr>
      </w:pPr>
      <w:r>
        <w:rPr>
          <w:snapToGrid w:val="0"/>
        </w:rPr>
        <w:t>Abalone, Roe’s</w:t>
      </w:r>
    </w:p>
    <w:p>
      <w:pPr>
        <w:pStyle w:val="yNumberedItem"/>
        <w:spacing w:before="0"/>
        <w:ind w:left="840" w:firstLine="0"/>
        <w:rPr>
          <w:snapToGrid w:val="0"/>
        </w:rPr>
      </w:pPr>
      <w:r>
        <w:rPr>
          <w:snapToGrid w:val="0"/>
        </w:rPr>
        <w:t>Amberjack</w:t>
      </w:r>
    </w:p>
    <w:p>
      <w:pPr>
        <w:pStyle w:val="yNumberedItem"/>
        <w:spacing w:before="0"/>
        <w:ind w:left="840" w:firstLine="0"/>
        <w:rPr>
          <w:snapToGrid w:val="0"/>
        </w:rPr>
      </w:pPr>
      <w:r>
        <w:rPr>
          <w:snapToGrid w:val="0"/>
        </w:rPr>
        <w:t>Barramundi</w:t>
      </w:r>
    </w:p>
    <w:p>
      <w:pPr>
        <w:pStyle w:val="yNumberedItem"/>
        <w:spacing w:before="0"/>
        <w:ind w:left="840" w:firstLine="0"/>
        <w:rPr>
          <w:snapToGrid w:val="0"/>
        </w:rPr>
      </w:pPr>
      <w:r>
        <w:rPr>
          <w:snapToGrid w:val="0"/>
        </w:rPr>
        <w:t>Billfish (Marlins, Sailfish and Spearfish) and Swordfish</w:t>
      </w:r>
    </w:p>
    <w:p>
      <w:pPr>
        <w:pStyle w:val="yNumberedItem"/>
        <w:spacing w:before="0"/>
        <w:ind w:left="840" w:firstLine="0"/>
        <w:rPr>
          <w:snapToGrid w:val="0"/>
        </w:rPr>
      </w:pPr>
      <w:r>
        <w:rPr>
          <w:snapToGrid w:val="0"/>
        </w:rPr>
        <w:t>Boarfish</w:t>
      </w:r>
    </w:p>
    <w:p>
      <w:pPr>
        <w:pStyle w:val="yNumberedItem"/>
        <w:spacing w:before="0"/>
        <w:ind w:left="840" w:firstLine="0"/>
        <w:rPr>
          <w:snapToGrid w:val="0"/>
        </w:rPr>
      </w:pPr>
      <w:r>
        <w:rPr>
          <w:snapToGrid w:val="0"/>
        </w:rPr>
        <w:t>Cobia</w:t>
      </w:r>
    </w:p>
    <w:p>
      <w:pPr>
        <w:pStyle w:val="yNumberedItem"/>
        <w:spacing w:before="0"/>
        <w:ind w:left="840" w:firstLine="0"/>
        <w:rPr>
          <w:snapToGrid w:val="0"/>
        </w:rPr>
      </w:pPr>
      <w:r>
        <w:rPr>
          <w:snapToGrid w:val="0"/>
        </w:rPr>
        <w:t>Cobbler (Estuary Catfish)</w:t>
      </w:r>
    </w:p>
    <w:p>
      <w:pPr>
        <w:pStyle w:val="yNumberedItem"/>
        <w:spacing w:before="0"/>
        <w:ind w:left="840" w:firstLine="0"/>
        <w:rPr>
          <w:snapToGrid w:val="0"/>
        </w:rPr>
      </w:pPr>
      <w:r>
        <w:rPr>
          <w:snapToGrid w:val="0"/>
        </w:rPr>
        <w:t>Cod</w:t>
      </w:r>
    </w:p>
    <w:p>
      <w:pPr>
        <w:pStyle w:val="yNumberedItem"/>
        <w:spacing w:before="0"/>
        <w:ind w:left="840" w:firstLine="0"/>
        <w:rPr>
          <w:snapToGrid w:val="0"/>
        </w:rPr>
      </w:pPr>
      <w:r>
        <w:rPr>
          <w:snapToGrid w:val="0"/>
        </w:rPr>
        <w:t>Cod, Potato</w:t>
      </w:r>
    </w:p>
    <w:p>
      <w:pPr>
        <w:pStyle w:val="yNumberedItem"/>
        <w:spacing w:before="0"/>
        <w:ind w:left="840" w:firstLine="0"/>
        <w:rPr>
          <w:snapToGrid w:val="0"/>
        </w:rPr>
      </w:pPr>
      <w:r>
        <w:rPr>
          <w:snapToGrid w:val="0"/>
        </w:rPr>
        <w:t>Coral Trout</w:t>
      </w:r>
    </w:p>
    <w:p>
      <w:pPr>
        <w:pStyle w:val="yNumberedItem"/>
        <w:spacing w:before="0"/>
        <w:ind w:left="840" w:firstLine="0"/>
        <w:rPr>
          <w:snapToGrid w:val="0"/>
        </w:rPr>
      </w:pPr>
      <w:r>
        <w:rPr>
          <w:snapToGrid w:val="0"/>
        </w:rPr>
        <w:t>Coral</w:t>
      </w:r>
    </w:p>
    <w:p>
      <w:pPr>
        <w:pStyle w:val="yNumberedItem"/>
        <w:spacing w:before="0"/>
        <w:ind w:left="840" w:firstLine="0"/>
        <w:rPr>
          <w:snapToGrid w:val="0"/>
        </w:rPr>
      </w:pPr>
      <w:r>
        <w:rPr>
          <w:snapToGrid w:val="0"/>
        </w:rPr>
        <w:t>Crab, Blue Manna (Blue Swimmer)</w:t>
      </w:r>
    </w:p>
    <w:p>
      <w:pPr>
        <w:pStyle w:val="yNumberedItem"/>
        <w:spacing w:before="0"/>
        <w:ind w:left="840" w:firstLine="0"/>
        <w:rPr>
          <w:snapToGrid w:val="0"/>
          <w:lang w:val="fr-FR"/>
        </w:rPr>
      </w:pPr>
      <w:r>
        <w:rPr>
          <w:snapToGrid w:val="0"/>
          <w:lang w:val="fr-FR"/>
        </w:rPr>
        <w:t>Crab, Champagne</w:t>
      </w:r>
    </w:p>
    <w:p>
      <w:pPr>
        <w:pStyle w:val="yNumberedItem"/>
        <w:spacing w:before="0"/>
        <w:ind w:left="840" w:firstLine="0"/>
        <w:rPr>
          <w:snapToGrid w:val="0"/>
          <w:lang w:val="fr-FR"/>
        </w:rPr>
      </w:pPr>
      <w:r>
        <w:rPr>
          <w:snapToGrid w:val="0"/>
          <w:lang w:val="fr-FR"/>
        </w:rPr>
        <w:t>Crab, Crystal</w:t>
      </w:r>
    </w:p>
    <w:p>
      <w:pPr>
        <w:pStyle w:val="yNumberedItem"/>
        <w:spacing w:before="0"/>
        <w:ind w:left="840" w:firstLine="0"/>
        <w:rPr>
          <w:snapToGrid w:val="0"/>
          <w:lang w:val="fr-FR"/>
        </w:rPr>
      </w:pPr>
      <w:r>
        <w:rPr>
          <w:snapToGrid w:val="0"/>
          <w:lang w:val="fr-FR"/>
        </w:rPr>
        <w:t>Crab, Giant</w:t>
      </w:r>
    </w:p>
    <w:p>
      <w:pPr>
        <w:pStyle w:val="yNumberedItem"/>
        <w:spacing w:before="0"/>
        <w:ind w:left="840" w:firstLine="0"/>
      </w:pPr>
      <w:r>
        <w:t>Crab, Mud (Brown)</w:t>
      </w:r>
    </w:p>
    <w:p>
      <w:pPr>
        <w:pStyle w:val="yNumberedItem"/>
        <w:spacing w:before="0"/>
        <w:ind w:left="840" w:firstLine="0"/>
      </w:pPr>
      <w:r>
        <w:t>Crab, Mud (Green)</w:t>
      </w:r>
    </w:p>
    <w:p>
      <w:pPr>
        <w:pStyle w:val="yNumberedItem"/>
        <w:spacing w:before="0"/>
        <w:ind w:left="840" w:firstLine="0"/>
        <w:rPr>
          <w:snapToGrid w:val="0"/>
        </w:rPr>
      </w:pPr>
      <w:r>
        <w:rPr>
          <w:snapToGrid w:val="0"/>
        </w:rPr>
        <w:t>Dhufish, West Australian</w:t>
      </w:r>
    </w:p>
    <w:p>
      <w:pPr>
        <w:pStyle w:val="yNumberedItem"/>
        <w:spacing w:before="0"/>
        <w:ind w:left="840" w:firstLine="0"/>
        <w:rPr>
          <w:snapToGrid w:val="0"/>
        </w:rPr>
      </w:pPr>
      <w:r>
        <w:rPr>
          <w:snapToGrid w:val="0"/>
        </w:rPr>
        <w:t>Dolphinfish (Mahi Mahi)</w:t>
      </w:r>
    </w:p>
    <w:p>
      <w:pPr>
        <w:pStyle w:val="yNumberedItem"/>
        <w:spacing w:before="0"/>
        <w:ind w:left="840" w:firstLine="0"/>
        <w:rPr>
          <w:snapToGrid w:val="0"/>
        </w:rPr>
      </w:pPr>
      <w:r>
        <w:rPr>
          <w:snapToGrid w:val="0"/>
        </w:rPr>
        <w:t>Emperor and Seabream</w:t>
      </w:r>
    </w:p>
    <w:p>
      <w:pPr>
        <w:pStyle w:val="yNumberedItem"/>
        <w:spacing w:before="0"/>
        <w:ind w:left="840" w:firstLine="0"/>
        <w:rPr>
          <w:snapToGrid w:val="0"/>
        </w:rPr>
      </w:pPr>
      <w:r>
        <w:rPr>
          <w:snapToGrid w:val="0"/>
        </w:rPr>
        <w:t>Foxfish, Western</w:t>
      </w:r>
    </w:p>
    <w:p>
      <w:pPr>
        <w:pStyle w:val="yNumberedItem"/>
        <w:spacing w:before="0"/>
        <w:ind w:left="840" w:firstLine="0"/>
        <w:rPr>
          <w:snapToGrid w:val="0"/>
        </w:rPr>
      </w:pPr>
      <w:r>
        <w:rPr>
          <w:snapToGrid w:val="0"/>
        </w:rPr>
        <w:t>Groper, Baldchin</w:t>
      </w:r>
    </w:p>
    <w:p>
      <w:pPr>
        <w:pStyle w:val="yNumberedItem"/>
        <w:spacing w:before="0"/>
        <w:ind w:left="840" w:firstLine="0"/>
        <w:rPr>
          <w:snapToGrid w:val="0"/>
        </w:rPr>
      </w:pPr>
      <w:r>
        <w:rPr>
          <w:snapToGrid w:val="0"/>
        </w:rPr>
        <w:t>Groper, Bass</w:t>
      </w:r>
    </w:p>
    <w:p>
      <w:pPr>
        <w:pStyle w:val="yNumberedItem"/>
        <w:spacing w:before="0"/>
        <w:ind w:left="840" w:firstLine="0"/>
        <w:rPr>
          <w:snapToGrid w:val="0"/>
        </w:rPr>
      </w:pPr>
      <w:r>
        <w:rPr>
          <w:snapToGrid w:val="0"/>
        </w:rPr>
        <w:t>Groper, Blue</w:t>
      </w:r>
    </w:p>
    <w:p>
      <w:pPr>
        <w:pStyle w:val="yNumberedItem"/>
        <w:spacing w:before="0"/>
        <w:ind w:left="840" w:firstLine="0"/>
        <w:rPr>
          <w:snapToGrid w:val="0"/>
        </w:rPr>
      </w:pPr>
      <w:r>
        <w:rPr>
          <w:snapToGrid w:val="0"/>
        </w:rPr>
        <w:t xml:space="preserve">Groper, </w:t>
      </w:r>
      <w:smartTag w:uri="urn:schemas-microsoft-com:office:smarttags" w:element="place">
        <w:smartTag w:uri="urn:schemas-microsoft-com:office:smarttags" w:element="State">
          <w:r>
            <w:rPr>
              <w:snapToGrid w:val="0"/>
            </w:rPr>
            <w:t>Queensland</w:t>
          </w:r>
        </w:smartTag>
      </w:smartTag>
    </w:p>
    <w:p>
      <w:pPr>
        <w:pStyle w:val="yNumberedItem"/>
        <w:spacing w:before="0"/>
        <w:ind w:left="840" w:firstLine="0"/>
        <w:rPr>
          <w:snapToGrid w:val="0"/>
        </w:rPr>
      </w:pPr>
      <w:r>
        <w:rPr>
          <w:snapToGrid w:val="0"/>
        </w:rPr>
        <w:t>Hapuku</w:t>
      </w:r>
    </w:p>
    <w:p>
      <w:pPr>
        <w:pStyle w:val="yNumberedItem"/>
        <w:spacing w:before="0"/>
        <w:ind w:left="840" w:firstLine="0"/>
        <w:rPr>
          <w:snapToGrid w:val="0"/>
        </w:rPr>
      </w:pPr>
      <w:r>
        <w:rPr>
          <w:snapToGrid w:val="0"/>
        </w:rPr>
        <w:t>Kingfish, Yellowtail</w:t>
      </w:r>
    </w:p>
    <w:p>
      <w:pPr>
        <w:pStyle w:val="yNumberedItem"/>
        <w:spacing w:before="0"/>
        <w:ind w:left="840" w:firstLine="0"/>
        <w:rPr>
          <w:snapToGrid w:val="0"/>
        </w:rPr>
      </w:pPr>
      <w:r>
        <w:rPr>
          <w:snapToGrid w:val="0"/>
        </w:rPr>
        <w:t>Leafy Seadragon</w:t>
      </w:r>
    </w:p>
    <w:p>
      <w:pPr>
        <w:pStyle w:val="yNumberedItem"/>
        <w:spacing w:before="0"/>
        <w:ind w:left="840" w:firstLine="0"/>
        <w:rPr>
          <w:snapToGrid w:val="0"/>
        </w:rPr>
      </w:pPr>
      <w:r>
        <w:rPr>
          <w:snapToGrid w:val="0"/>
        </w:rPr>
        <w:t>Live Rock</w:t>
      </w:r>
    </w:p>
    <w:p>
      <w:pPr>
        <w:pStyle w:val="yNumberedItem"/>
        <w:spacing w:before="0"/>
        <w:ind w:left="840" w:firstLine="0"/>
        <w:rPr>
          <w:snapToGrid w:val="0"/>
        </w:rPr>
      </w:pPr>
      <w:r>
        <w:rPr>
          <w:snapToGrid w:val="0"/>
        </w:rPr>
        <w:t>Mackerel, Broad</w:t>
      </w:r>
      <w:r>
        <w:rPr>
          <w:snapToGrid w:val="0"/>
        </w:rPr>
        <w:noBreakHyphen/>
        <w:t>barred</w:t>
      </w:r>
    </w:p>
    <w:p>
      <w:pPr>
        <w:pStyle w:val="yNumberedItem"/>
        <w:spacing w:before="0"/>
        <w:ind w:left="840" w:firstLine="0"/>
        <w:rPr>
          <w:snapToGrid w:val="0"/>
        </w:rPr>
      </w:pPr>
      <w:r>
        <w:rPr>
          <w:snapToGrid w:val="0"/>
        </w:rPr>
        <w:t>Mackerel, Narrow</w:t>
      </w:r>
      <w:r>
        <w:rPr>
          <w:snapToGrid w:val="0"/>
        </w:rPr>
        <w:noBreakHyphen/>
        <w:t>barred Spanish</w:t>
      </w:r>
    </w:p>
    <w:p>
      <w:pPr>
        <w:pStyle w:val="yNumberedItem"/>
        <w:spacing w:before="0"/>
        <w:ind w:left="840" w:firstLine="0"/>
        <w:rPr>
          <w:snapToGrid w:val="0"/>
        </w:rPr>
      </w:pPr>
      <w:r>
        <w:rPr>
          <w:snapToGrid w:val="0"/>
        </w:rPr>
        <w:t>Mackerel, Shark</w:t>
      </w:r>
    </w:p>
    <w:p>
      <w:pPr>
        <w:pStyle w:val="yNumberedItem"/>
        <w:spacing w:before="0"/>
        <w:ind w:left="840" w:firstLine="0"/>
        <w:rPr>
          <w:snapToGrid w:val="0"/>
        </w:rPr>
      </w:pPr>
      <w:r>
        <w:rPr>
          <w:snapToGrid w:val="0"/>
        </w:rPr>
        <w:t>Mackerel, Wahoo</w:t>
      </w:r>
    </w:p>
    <w:p>
      <w:pPr>
        <w:pStyle w:val="yNumberedItem"/>
        <w:spacing w:before="0"/>
        <w:ind w:left="840" w:firstLine="0"/>
        <w:rPr>
          <w:snapToGrid w:val="0"/>
        </w:rPr>
      </w:pPr>
      <w:r>
        <w:rPr>
          <w:snapToGrid w:val="0"/>
        </w:rPr>
        <w:t>Marron</w:t>
      </w:r>
    </w:p>
    <w:p>
      <w:pPr>
        <w:pStyle w:val="yNumberedItem"/>
        <w:spacing w:before="0"/>
        <w:ind w:left="840" w:firstLine="0"/>
        <w:rPr>
          <w:snapToGrid w:val="0"/>
        </w:rPr>
      </w:pPr>
      <w:r>
        <w:rPr>
          <w:snapToGrid w:val="0"/>
        </w:rPr>
        <w:t>Mulloway</w:t>
      </w:r>
    </w:p>
    <w:p>
      <w:pPr>
        <w:pStyle w:val="yNumberedItem"/>
        <w:spacing w:before="0"/>
        <w:ind w:left="840" w:firstLine="0"/>
        <w:rPr>
          <w:snapToGrid w:val="0"/>
        </w:rPr>
      </w:pPr>
      <w:r>
        <w:rPr>
          <w:snapToGrid w:val="0"/>
        </w:rPr>
        <w:t>Mulloway, Northern</w:t>
      </w:r>
    </w:p>
    <w:p>
      <w:pPr>
        <w:pStyle w:val="yNumberedItem"/>
        <w:spacing w:before="0"/>
        <w:ind w:left="840" w:firstLine="0"/>
        <w:rPr>
          <w:snapToGrid w:val="0"/>
        </w:rPr>
      </w:pPr>
      <w:r>
        <w:rPr>
          <w:snapToGrid w:val="0"/>
        </w:rPr>
        <w:t>Parrot Fish</w:t>
      </w:r>
    </w:p>
    <w:p>
      <w:pPr>
        <w:pStyle w:val="yNumberedItem"/>
        <w:spacing w:before="0"/>
        <w:ind w:left="840" w:firstLine="0"/>
        <w:rPr>
          <w:snapToGrid w:val="0"/>
        </w:rPr>
      </w:pPr>
      <w:r>
        <w:rPr>
          <w:snapToGrid w:val="0"/>
        </w:rPr>
        <w:t>Pearl Perch</w:t>
      </w:r>
    </w:p>
    <w:p>
      <w:pPr>
        <w:pStyle w:val="yNumberedItem"/>
        <w:spacing w:before="0"/>
        <w:ind w:left="840" w:firstLine="0"/>
        <w:rPr>
          <w:snapToGrid w:val="0"/>
        </w:rPr>
      </w:pPr>
      <w:r>
        <w:rPr>
          <w:snapToGrid w:val="0"/>
        </w:rPr>
        <w:t>Pigfish</w:t>
      </w:r>
    </w:p>
    <w:p>
      <w:pPr>
        <w:pStyle w:val="yNumberedItem"/>
        <w:spacing w:before="0"/>
        <w:ind w:left="840" w:firstLine="0"/>
        <w:rPr>
          <w:snapToGrid w:val="0"/>
        </w:rPr>
      </w:pPr>
      <w:r>
        <w:rPr>
          <w:snapToGrid w:val="0"/>
        </w:rPr>
        <w:t>Rays</w:t>
      </w:r>
    </w:p>
    <w:p>
      <w:pPr>
        <w:pStyle w:val="yNumberedItem"/>
        <w:spacing w:before="0"/>
        <w:ind w:left="840" w:firstLine="0"/>
        <w:rPr>
          <w:snapToGrid w:val="0"/>
        </w:rPr>
      </w:pPr>
      <w:r>
        <w:rPr>
          <w:snapToGrid w:val="0"/>
        </w:rPr>
        <w:t>Rock Lobster (all species)</w:t>
      </w:r>
    </w:p>
    <w:p>
      <w:pPr>
        <w:pStyle w:val="yNumberedItem"/>
        <w:spacing w:before="0"/>
        <w:ind w:left="840" w:firstLine="0"/>
        <w:rPr>
          <w:snapToGrid w:val="0"/>
        </w:rPr>
      </w:pPr>
      <w:r>
        <w:rPr>
          <w:snapToGrid w:val="0"/>
        </w:rPr>
        <w:t>Sawfish</w:t>
      </w:r>
    </w:p>
    <w:p>
      <w:pPr>
        <w:pStyle w:val="yNumberedItem"/>
        <w:spacing w:before="0"/>
        <w:ind w:left="840" w:firstLine="0"/>
        <w:rPr>
          <w:snapToGrid w:val="0"/>
        </w:rPr>
      </w:pPr>
      <w:r>
        <w:rPr>
          <w:snapToGrid w:val="0"/>
        </w:rPr>
        <w:t>Sea Perch, Tropical</w:t>
      </w:r>
    </w:p>
    <w:p>
      <w:pPr>
        <w:pStyle w:val="yNumberedItem"/>
        <w:spacing w:before="0"/>
        <w:ind w:left="840" w:firstLine="0"/>
        <w:rPr>
          <w:snapToGrid w:val="0"/>
        </w:rPr>
      </w:pPr>
      <w:r>
        <w:rPr>
          <w:snapToGrid w:val="0"/>
        </w:rPr>
        <w:t>Shark, Great White</w:t>
      </w:r>
    </w:p>
    <w:p>
      <w:pPr>
        <w:pStyle w:val="yNumberedItem"/>
        <w:spacing w:before="0"/>
        <w:ind w:left="840" w:firstLine="0"/>
        <w:rPr>
          <w:snapToGrid w:val="0"/>
        </w:rPr>
      </w:pPr>
      <w:r>
        <w:rPr>
          <w:snapToGrid w:val="0"/>
        </w:rPr>
        <w:t>Shark, Speartooth</w:t>
      </w:r>
    </w:p>
    <w:p>
      <w:pPr>
        <w:pStyle w:val="yNumberedItem"/>
        <w:spacing w:before="0"/>
        <w:ind w:left="840" w:firstLine="0"/>
        <w:rPr>
          <w:snapToGrid w:val="0"/>
        </w:rPr>
      </w:pPr>
      <w:r>
        <w:rPr>
          <w:snapToGrid w:val="0"/>
        </w:rPr>
        <w:t>Shark, Whale</w:t>
      </w:r>
    </w:p>
    <w:p>
      <w:pPr>
        <w:pStyle w:val="yNumberedItem"/>
        <w:spacing w:before="0"/>
        <w:ind w:left="840" w:firstLine="0"/>
        <w:rPr>
          <w:snapToGrid w:val="0"/>
        </w:rPr>
      </w:pPr>
      <w:r>
        <w:rPr>
          <w:snapToGrid w:val="0"/>
        </w:rPr>
        <w:t>Sharks</w:t>
      </w:r>
    </w:p>
    <w:p>
      <w:pPr>
        <w:pStyle w:val="yNumberedItem"/>
        <w:spacing w:before="0"/>
        <w:ind w:left="840" w:firstLine="0"/>
        <w:rPr>
          <w:snapToGrid w:val="0"/>
        </w:rPr>
      </w:pPr>
      <w:r>
        <w:rPr>
          <w:snapToGrid w:val="0"/>
        </w:rPr>
        <w:t>Snapper, Pink</w:t>
      </w:r>
    </w:p>
    <w:p>
      <w:pPr>
        <w:pStyle w:val="yNumberedItem"/>
        <w:spacing w:before="0"/>
        <w:ind w:left="840" w:firstLine="0"/>
        <w:rPr>
          <w:snapToGrid w:val="0"/>
        </w:rPr>
      </w:pPr>
      <w:r>
        <w:rPr>
          <w:snapToGrid w:val="0"/>
        </w:rPr>
        <w:t>Snapper, Queen (Blue Morwong)</w:t>
      </w:r>
    </w:p>
    <w:p>
      <w:pPr>
        <w:pStyle w:val="yNumberedItem"/>
        <w:spacing w:before="0"/>
        <w:ind w:left="840" w:firstLine="0"/>
        <w:rPr>
          <w:snapToGrid w:val="0"/>
        </w:rPr>
      </w:pPr>
      <w:r>
        <w:rPr>
          <w:snapToGrid w:val="0"/>
        </w:rPr>
        <w:t>Snapper, Red</w:t>
      </w:r>
    </w:p>
    <w:p>
      <w:pPr>
        <w:pStyle w:val="yNumberedItem"/>
        <w:spacing w:before="0"/>
        <w:ind w:left="840" w:firstLine="0"/>
        <w:rPr>
          <w:snapToGrid w:val="0"/>
        </w:rPr>
      </w:pPr>
      <w:r>
        <w:rPr>
          <w:snapToGrid w:val="0"/>
        </w:rPr>
        <w:t>Threadfin, Giant</w:t>
      </w:r>
    </w:p>
    <w:p>
      <w:pPr>
        <w:pStyle w:val="yNumberedItem"/>
        <w:spacing w:before="0"/>
        <w:ind w:left="840" w:firstLine="0"/>
        <w:rPr>
          <w:snapToGrid w:val="0"/>
        </w:rPr>
      </w:pPr>
      <w:r>
        <w:rPr>
          <w:snapToGrid w:val="0"/>
        </w:rPr>
        <w:t>Trevalla</w:t>
      </w:r>
    </w:p>
    <w:p>
      <w:pPr>
        <w:pStyle w:val="yNumberedItem"/>
        <w:spacing w:before="0"/>
        <w:ind w:left="840" w:firstLine="0"/>
        <w:rPr>
          <w:snapToGrid w:val="0"/>
        </w:rPr>
      </w:pPr>
      <w:r>
        <w:rPr>
          <w:snapToGrid w:val="0"/>
        </w:rPr>
        <w:t>Trevally, Giant</w:t>
      </w:r>
    </w:p>
    <w:p>
      <w:pPr>
        <w:pStyle w:val="yNumberedItem"/>
        <w:spacing w:before="0"/>
        <w:ind w:left="840" w:firstLine="0"/>
        <w:rPr>
          <w:snapToGrid w:val="0"/>
        </w:rPr>
      </w:pPr>
      <w:r>
        <w:rPr>
          <w:snapToGrid w:val="0"/>
        </w:rPr>
        <w:t>Trevally, Golden</w:t>
      </w:r>
    </w:p>
    <w:p>
      <w:pPr>
        <w:pStyle w:val="yNumberedItem"/>
        <w:spacing w:before="0"/>
        <w:ind w:left="840" w:firstLine="0"/>
        <w:rPr>
          <w:snapToGrid w:val="0"/>
        </w:rPr>
      </w:pPr>
      <w:r>
        <w:rPr>
          <w:snapToGrid w:val="0"/>
        </w:rPr>
        <w:t>Tripletail</w:t>
      </w:r>
    </w:p>
    <w:p>
      <w:pPr>
        <w:pStyle w:val="yNumberedItem"/>
        <w:spacing w:before="0"/>
        <w:ind w:left="840" w:firstLine="0"/>
        <w:rPr>
          <w:snapToGrid w:val="0"/>
        </w:rPr>
      </w:pPr>
      <w:r>
        <w:rPr>
          <w:snapToGrid w:val="0"/>
        </w:rPr>
        <w:t>Tuna, Bigeye</w:t>
      </w:r>
    </w:p>
    <w:p>
      <w:pPr>
        <w:pStyle w:val="yNumberedItem"/>
        <w:spacing w:before="0"/>
        <w:ind w:left="840" w:firstLine="0"/>
        <w:rPr>
          <w:snapToGrid w:val="0"/>
        </w:rPr>
      </w:pPr>
      <w:r>
        <w:rPr>
          <w:snapToGrid w:val="0"/>
        </w:rPr>
        <w:t>Tuna, Dogtooth</w:t>
      </w:r>
    </w:p>
    <w:p>
      <w:pPr>
        <w:pStyle w:val="yNumberedItem"/>
        <w:spacing w:before="0"/>
        <w:ind w:left="840" w:firstLine="0"/>
        <w:rPr>
          <w:snapToGrid w:val="0"/>
        </w:rPr>
      </w:pPr>
      <w:r>
        <w:rPr>
          <w:snapToGrid w:val="0"/>
        </w:rPr>
        <w:t>Tuna, Northern</w:t>
      </w:r>
    </w:p>
    <w:p>
      <w:pPr>
        <w:pStyle w:val="yNumberedItem"/>
        <w:spacing w:before="0"/>
        <w:ind w:left="840" w:firstLine="0"/>
        <w:rPr>
          <w:snapToGrid w:val="0"/>
        </w:rPr>
      </w:pPr>
      <w:r>
        <w:rPr>
          <w:snapToGrid w:val="0"/>
        </w:rPr>
        <w:t xml:space="preserve">Tuna, </w:t>
      </w:r>
      <w:smartTag w:uri="urn:schemas-microsoft-com:office:smarttags" w:element="place">
        <w:r>
          <w:rPr>
            <w:snapToGrid w:val="0"/>
          </w:rPr>
          <w:t>Southern Bluefin</w:t>
        </w:r>
      </w:smartTag>
    </w:p>
    <w:p>
      <w:pPr>
        <w:pStyle w:val="yNumberedItem"/>
        <w:spacing w:before="0"/>
        <w:ind w:left="840" w:firstLine="0"/>
        <w:rPr>
          <w:snapToGrid w:val="0"/>
        </w:rPr>
      </w:pPr>
      <w:r>
        <w:rPr>
          <w:snapToGrid w:val="0"/>
        </w:rPr>
        <w:t>Tuna, Yellowfin</w:t>
      </w:r>
    </w:p>
    <w:p>
      <w:pPr>
        <w:pStyle w:val="yNumberedItem"/>
        <w:spacing w:before="0"/>
        <w:ind w:left="840" w:firstLine="0"/>
        <w:rPr>
          <w:snapToGrid w:val="0"/>
        </w:rPr>
      </w:pPr>
      <w:r>
        <w:rPr>
          <w:snapToGrid w:val="0"/>
        </w:rPr>
        <w:t>Tuskfish</w:t>
      </w:r>
    </w:p>
    <w:p>
      <w:pPr>
        <w:pStyle w:val="yNumberedItem"/>
        <w:spacing w:before="0"/>
        <w:ind w:left="840" w:firstLine="0"/>
        <w:rPr>
          <w:snapToGrid w:val="0"/>
        </w:rPr>
      </w:pPr>
      <w:r>
        <w:rPr>
          <w:szCs w:val="22"/>
        </w:rPr>
        <w:t>Weedy Seadragon</w:t>
      </w:r>
    </w:p>
    <w:p>
      <w:pPr>
        <w:pStyle w:val="yNumberedItem"/>
        <w:spacing w:before="0"/>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spacing w:before="0"/>
        <w:ind w:left="839" w:firstLine="0"/>
        <w:rPr>
          <w:snapToGrid w:val="0"/>
        </w:rPr>
      </w:pPr>
      <w:r>
        <w:rPr>
          <w:snapToGrid w:val="0"/>
        </w:rPr>
        <w:t>Bonito</w:t>
      </w:r>
    </w:p>
    <w:p>
      <w:pPr>
        <w:pStyle w:val="yNumberedItem"/>
        <w:spacing w:before="0"/>
        <w:ind w:left="839" w:firstLine="0"/>
        <w:rPr>
          <w:snapToGrid w:val="0"/>
        </w:rPr>
      </w:pPr>
      <w:r>
        <w:rPr>
          <w:snapToGrid w:val="0"/>
        </w:rPr>
        <w:t>Bream, Black</w:t>
      </w:r>
    </w:p>
    <w:p>
      <w:pPr>
        <w:pStyle w:val="yNumberedItem"/>
        <w:spacing w:before="0"/>
        <w:ind w:left="839" w:firstLine="0"/>
        <w:rPr>
          <w:snapToGrid w:val="0"/>
        </w:rPr>
      </w:pPr>
      <w:r>
        <w:rPr>
          <w:snapToGrid w:val="0"/>
        </w:rPr>
        <w:t>Bream, Northwest</w:t>
      </w:r>
      <w:r>
        <w:rPr>
          <w:snapToGrid w:val="0"/>
        </w:rPr>
        <w:noBreakHyphen/>
        <w:t>Black</w:t>
      </w:r>
    </w:p>
    <w:p>
      <w:pPr>
        <w:pStyle w:val="yNumberedItem"/>
        <w:spacing w:before="0"/>
        <w:ind w:left="839" w:firstLine="0"/>
        <w:rPr>
          <w:snapToGrid w:val="0"/>
        </w:rPr>
      </w:pPr>
      <w:r>
        <w:rPr>
          <w:snapToGrid w:val="0"/>
        </w:rPr>
        <w:t>Bream, Yellowfin</w:t>
      </w:r>
    </w:p>
    <w:p>
      <w:pPr>
        <w:pStyle w:val="yNumberedItem"/>
        <w:spacing w:before="0"/>
        <w:ind w:left="839" w:firstLine="0"/>
        <w:rPr>
          <w:snapToGrid w:val="0"/>
        </w:rPr>
      </w:pPr>
      <w:r>
        <w:rPr>
          <w:snapToGrid w:val="0"/>
        </w:rPr>
        <w:t>Catfish</w:t>
      </w:r>
    </w:p>
    <w:p>
      <w:pPr>
        <w:pStyle w:val="yNumberedItem"/>
        <w:spacing w:before="0"/>
        <w:ind w:left="839" w:firstLine="0"/>
        <w:rPr>
          <w:snapToGrid w:val="0"/>
        </w:rPr>
      </w:pPr>
      <w:r>
        <w:rPr>
          <w:snapToGrid w:val="0"/>
        </w:rPr>
        <w:t>Cherabin</w:t>
      </w:r>
    </w:p>
    <w:p>
      <w:pPr>
        <w:pStyle w:val="yNumberedItem"/>
        <w:spacing w:before="0"/>
        <w:ind w:left="839" w:firstLine="0"/>
        <w:rPr>
          <w:snapToGrid w:val="0"/>
        </w:rPr>
      </w:pPr>
      <w:r>
        <w:rPr>
          <w:snapToGrid w:val="0"/>
        </w:rPr>
        <w:t>Cuttlefish</w:t>
      </w:r>
    </w:p>
    <w:p>
      <w:pPr>
        <w:pStyle w:val="yNumberedItem"/>
        <w:spacing w:before="0"/>
        <w:ind w:left="839" w:firstLine="0"/>
        <w:rPr>
          <w:snapToGrid w:val="0"/>
        </w:rPr>
      </w:pPr>
      <w:r>
        <w:rPr>
          <w:snapToGrid w:val="0"/>
        </w:rPr>
        <w:t>Dart</w:t>
      </w:r>
    </w:p>
    <w:p>
      <w:pPr>
        <w:pStyle w:val="yNumberedItem"/>
        <w:spacing w:before="0"/>
        <w:ind w:left="839" w:firstLine="0"/>
        <w:rPr>
          <w:snapToGrid w:val="0"/>
        </w:rPr>
      </w:pPr>
      <w:r>
        <w:rPr>
          <w:snapToGrid w:val="0"/>
        </w:rPr>
        <w:t>Flathead</w:t>
      </w:r>
    </w:p>
    <w:p>
      <w:pPr>
        <w:pStyle w:val="yNumberedItem"/>
        <w:spacing w:before="0"/>
        <w:ind w:left="839" w:firstLine="0"/>
        <w:rPr>
          <w:snapToGrid w:val="0"/>
        </w:rPr>
      </w:pPr>
      <w:r>
        <w:rPr>
          <w:snapToGrid w:val="0"/>
        </w:rPr>
        <w:t>Flounder</w:t>
      </w:r>
    </w:p>
    <w:p>
      <w:pPr>
        <w:pStyle w:val="yNumberedItem"/>
        <w:spacing w:before="0"/>
        <w:ind w:left="839" w:firstLine="0"/>
        <w:rPr>
          <w:snapToGrid w:val="0"/>
        </w:rPr>
      </w:pPr>
      <w:r>
        <w:rPr>
          <w:snapToGrid w:val="0"/>
        </w:rPr>
        <w:t>Freshwater Crayfish (all species)</w:t>
      </w:r>
    </w:p>
    <w:p>
      <w:pPr>
        <w:pStyle w:val="yNumberedItem"/>
        <w:spacing w:before="0"/>
        <w:ind w:left="839" w:firstLine="0"/>
        <w:rPr>
          <w:snapToGrid w:val="0"/>
        </w:rPr>
      </w:pPr>
      <w:r>
        <w:rPr>
          <w:snapToGrid w:val="0"/>
        </w:rPr>
        <w:t>Goatfish</w:t>
      </w:r>
    </w:p>
    <w:p>
      <w:pPr>
        <w:pStyle w:val="yNumberedItem"/>
        <w:spacing w:before="0"/>
        <w:ind w:left="839" w:firstLine="0"/>
        <w:rPr>
          <w:snapToGrid w:val="0"/>
        </w:rPr>
      </w:pPr>
      <w:r>
        <w:rPr>
          <w:snapToGrid w:val="0"/>
        </w:rPr>
        <w:t>Grunter, Sooty</w:t>
      </w:r>
    </w:p>
    <w:p>
      <w:pPr>
        <w:pStyle w:val="yNumberedItem"/>
        <w:spacing w:before="0"/>
        <w:ind w:left="839" w:firstLine="0"/>
        <w:rPr>
          <w:snapToGrid w:val="0"/>
        </w:rPr>
      </w:pPr>
      <w:r>
        <w:rPr>
          <w:snapToGrid w:val="0"/>
        </w:rPr>
        <w:t>Javelinfish and Sweetlips</w:t>
      </w:r>
    </w:p>
    <w:p>
      <w:pPr>
        <w:pStyle w:val="yNumberedItem"/>
        <w:spacing w:before="0"/>
        <w:ind w:left="839" w:firstLine="0"/>
        <w:rPr>
          <w:snapToGrid w:val="0"/>
        </w:rPr>
      </w:pPr>
      <w:r>
        <w:rPr>
          <w:snapToGrid w:val="0"/>
        </w:rPr>
        <w:t>John Dory</w:t>
      </w:r>
    </w:p>
    <w:p>
      <w:pPr>
        <w:pStyle w:val="yNumberedItem"/>
        <w:spacing w:before="0"/>
        <w:ind w:left="839" w:firstLine="0"/>
        <w:rPr>
          <w:snapToGrid w:val="0"/>
        </w:rPr>
      </w:pPr>
      <w:r>
        <w:rPr>
          <w:snapToGrid w:val="0"/>
        </w:rPr>
        <w:t>Leatherjacket</w:t>
      </w:r>
    </w:p>
    <w:p>
      <w:pPr>
        <w:pStyle w:val="yNumberedItem"/>
        <w:spacing w:before="0"/>
        <w:ind w:left="839" w:firstLine="0"/>
        <w:rPr>
          <w:snapToGrid w:val="0"/>
        </w:rPr>
      </w:pPr>
      <w:r>
        <w:rPr>
          <w:snapToGrid w:val="0"/>
        </w:rPr>
        <w:t>Octopus</w:t>
      </w:r>
    </w:p>
    <w:p>
      <w:pPr>
        <w:pStyle w:val="yNumberedItem"/>
        <w:spacing w:before="0"/>
        <w:ind w:left="839" w:firstLine="0"/>
        <w:rPr>
          <w:snapToGrid w:val="0"/>
        </w:rPr>
      </w:pPr>
      <w:r>
        <w:rPr>
          <w:snapToGrid w:val="0"/>
        </w:rPr>
        <w:t>Pike</w:t>
      </w:r>
    </w:p>
    <w:p>
      <w:pPr>
        <w:pStyle w:val="yNumberedItem"/>
        <w:spacing w:before="0"/>
        <w:ind w:left="839" w:firstLine="0"/>
        <w:rPr>
          <w:snapToGrid w:val="0"/>
        </w:rPr>
      </w:pPr>
      <w:r>
        <w:rPr>
          <w:snapToGrid w:val="0"/>
        </w:rPr>
        <w:t>Prawn, Tiger</w:t>
      </w:r>
    </w:p>
    <w:p>
      <w:pPr>
        <w:pStyle w:val="yNumberedItem"/>
        <w:spacing w:before="0"/>
        <w:ind w:left="839" w:firstLine="0"/>
        <w:rPr>
          <w:snapToGrid w:val="0"/>
        </w:rPr>
      </w:pPr>
      <w:r>
        <w:rPr>
          <w:snapToGrid w:val="0"/>
        </w:rPr>
        <w:t>Prawn, Western King</w:t>
      </w:r>
    </w:p>
    <w:p>
      <w:pPr>
        <w:pStyle w:val="yNumberedItem"/>
        <w:spacing w:before="0"/>
        <w:ind w:left="839" w:firstLine="0"/>
        <w:rPr>
          <w:snapToGrid w:val="0"/>
        </w:rPr>
      </w:pPr>
      <w:r>
        <w:rPr>
          <w:snapToGrid w:val="0"/>
        </w:rPr>
        <w:t xml:space="preserve">Prawn,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Type">
          <w:r>
            <w:rPr>
              <w:snapToGrid w:val="0"/>
            </w:rPr>
            <w:t>School</w:t>
          </w:r>
        </w:smartTag>
      </w:smartTag>
    </w:p>
    <w:p>
      <w:pPr>
        <w:pStyle w:val="yNumberedItem"/>
        <w:spacing w:before="0"/>
        <w:ind w:left="839" w:firstLine="0"/>
        <w:rPr>
          <w:snapToGrid w:val="0"/>
        </w:rPr>
      </w:pPr>
      <w:r>
        <w:rPr>
          <w:snapToGrid w:val="0"/>
        </w:rPr>
        <w:t>Queenfish</w:t>
      </w:r>
    </w:p>
    <w:p>
      <w:pPr>
        <w:pStyle w:val="yNumberedItem"/>
        <w:spacing w:before="0"/>
        <w:ind w:left="839" w:firstLine="0"/>
        <w:rPr>
          <w:snapToGrid w:val="0"/>
        </w:rPr>
      </w:pPr>
      <w:r>
        <w:rPr>
          <w:snapToGrid w:val="0"/>
        </w:rPr>
        <w:t>Razor shell</w:t>
      </w:r>
    </w:p>
    <w:p>
      <w:pPr>
        <w:pStyle w:val="yNumberedItem"/>
        <w:spacing w:before="0"/>
        <w:ind w:left="839" w:firstLine="0"/>
        <w:rPr>
          <w:snapToGrid w:val="0"/>
        </w:rPr>
      </w:pPr>
      <w:r>
        <w:rPr>
          <w:snapToGrid w:val="0"/>
        </w:rPr>
        <w:t>Salmon, Australian</w:t>
      </w:r>
    </w:p>
    <w:p>
      <w:pPr>
        <w:pStyle w:val="yNumberedItem"/>
        <w:spacing w:before="0"/>
        <w:ind w:left="839" w:firstLine="0"/>
        <w:rPr>
          <w:snapToGrid w:val="0"/>
        </w:rPr>
      </w:pPr>
      <w:r>
        <w:rPr>
          <w:snapToGrid w:val="0"/>
        </w:rPr>
        <w:t>Samson Fish</w:t>
      </w:r>
    </w:p>
    <w:p>
      <w:pPr>
        <w:pStyle w:val="yNumberedItem"/>
        <w:spacing w:before="0"/>
        <w:ind w:left="839" w:firstLine="0"/>
        <w:rPr>
          <w:snapToGrid w:val="0"/>
          <w:lang w:val="fr-FR"/>
        </w:rPr>
      </w:pPr>
      <w:r>
        <w:rPr>
          <w:snapToGrid w:val="0"/>
          <w:lang w:val="fr-FR"/>
        </w:rPr>
        <w:t>Scallops</w:t>
      </w:r>
    </w:p>
    <w:p>
      <w:pPr>
        <w:pStyle w:val="yNumberedItem"/>
        <w:spacing w:before="0"/>
        <w:ind w:left="839" w:firstLine="0"/>
        <w:rPr>
          <w:snapToGrid w:val="0"/>
          <w:lang w:val="fr-FR"/>
        </w:rPr>
      </w:pPr>
      <w:r>
        <w:rPr>
          <w:snapToGrid w:val="0"/>
          <w:lang w:val="fr-FR"/>
        </w:rPr>
        <w:t>Sea Cucumber (Beche</w:t>
      </w:r>
      <w:r>
        <w:rPr>
          <w:snapToGrid w:val="0"/>
          <w:lang w:val="fr-FR"/>
        </w:rPr>
        <w:noBreakHyphen/>
        <w:t>de</w:t>
      </w:r>
      <w:r>
        <w:rPr>
          <w:snapToGrid w:val="0"/>
          <w:lang w:val="fr-FR"/>
        </w:rPr>
        <w:noBreakHyphen/>
        <w:t>mer, Trepang)</w:t>
      </w:r>
    </w:p>
    <w:p>
      <w:pPr>
        <w:pStyle w:val="yNumberedItem"/>
        <w:spacing w:before="0"/>
        <w:ind w:left="839" w:firstLine="0"/>
        <w:rPr>
          <w:snapToGrid w:val="0"/>
        </w:rPr>
      </w:pPr>
      <w:r>
        <w:rPr>
          <w:snapToGrid w:val="0"/>
        </w:rPr>
        <w:t>Sea Urchins</w:t>
      </w:r>
    </w:p>
    <w:p>
      <w:pPr>
        <w:pStyle w:val="yNumberedItem"/>
        <w:spacing w:before="0"/>
        <w:ind w:left="839" w:firstLine="0"/>
        <w:rPr>
          <w:snapToGrid w:val="0"/>
        </w:rPr>
      </w:pPr>
      <w:r>
        <w:rPr>
          <w:snapToGrid w:val="0"/>
        </w:rPr>
        <w:t>Snook</w:t>
      </w:r>
    </w:p>
    <w:p>
      <w:pPr>
        <w:pStyle w:val="yNumberedItem"/>
        <w:spacing w:before="0"/>
        <w:ind w:left="839" w:firstLine="0"/>
        <w:rPr>
          <w:snapToGrid w:val="0"/>
        </w:rPr>
      </w:pPr>
      <w:r>
        <w:rPr>
          <w:snapToGrid w:val="0"/>
        </w:rPr>
        <w:t>Sole</w:t>
      </w:r>
    </w:p>
    <w:p>
      <w:pPr>
        <w:pStyle w:val="yNumberedItem"/>
        <w:spacing w:before="0"/>
        <w:ind w:left="839" w:firstLine="0"/>
        <w:rPr>
          <w:snapToGrid w:val="0"/>
        </w:rPr>
      </w:pPr>
      <w:r>
        <w:rPr>
          <w:snapToGrid w:val="0"/>
        </w:rPr>
        <w:t>Squid</w:t>
      </w:r>
    </w:p>
    <w:p>
      <w:pPr>
        <w:pStyle w:val="yNumberedItem"/>
        <w:spacing w:before="0"/>
        <w:ind w:left="839" w:firstLine="0"/>
        <w:rPr>
          <w:snapToGrid w:val="0"/>
        </w:rPr>
      </w:pPr>
      <w:r>
        <w:rPr>
          <w:snapToGrid w:val="0"/>
        </w:rPr>
        <w:t>Sweep, Banded</w:t>
      </w:r>
    </w:p>
    <w:p>
      <w:pPr>
        <w:pStyle w:val="yNumberedItem"/>
        <w:spacing w:before="0"/>
        <w:ind w:left="839" w:firstLine="0"/>
        <w:rPr>
          <w:snapToGrid w:val="0"/>
        </w:rPr>
      </w:pPr>
      <w:r>
        <w:rPr>
          <w:snapToGrid w:val="0"/>
        </w:rPr>
        <w:t>Sweep, Sea</w:t>
      </w:r>
    </w:p>
    <w:p>
      <w:pPr>
        <w:pStyle w:val="yNumberedItem"/>
        <w:spacing w:before="0"/>
        <w:ind w:left="839" w:firstLine="0"/>
        <w:rPr>
          <w:snapToGrid w:val="0"/>
        </w:rPr>
      </w:pPr>
      <w:r>
        <w:rPr>
          <w:snapToGrid w:val="0"/>
        </w:rPr>
        <w:t>Tailor</w:t>
      </w:r>
    </w:p>
    <w:p>
      <w:pPr>
        <w:pStyle w:val="yNumberedItem"/>
        <w:spacing w:before="0"/>
        <w:ind w:left="839" w:firstLine="0"/>
        <w:rPr>
          <w:snapToGrid w:val="0"/>
        </w:rPr>
      </w:pPr>
      <w:r>
        <w:rPr>
          <w:snapToGrid w:val="0"/>
        </w:rPr>
        <w:t>Tarwhine (Silver Bream)</w:t>
      </w:r>
    </w:p>
    <w:p>
      <w:pPr>
        <w:pStyle w:val="yNumberedItem"/>
        <w:spacing w:before="0"/>
        <w:ind w:left="839" w:firstLine="0"/>
        <w:rPr>
          <w:snapToGrid w:val="0"/>
        </w:rPr>
      </w:pPr>
      <w:r>
        <w:rPr>
          <w:snapToGrid w:val="0"/>
        </w:rPr>
        <w:t>Threadfin, Blue</w:t>
      </w:r>
    </w:p>
    <w:p>
      <w:pPr>
        <w:pStyle w:val="yNumberedItem"/>
        <w:spacing w:before="0"/>
        <w:ind w:left="839" w:firstLine="0"/>
        <w:rPr>
          <w:snapToGrid w:val="0"/>
        </w:rPr>
      </w:pPr>
      <w:r>
        <w:rPr>
          <w:snapToGrid w:val="0"/>
        </w:rPr>
        <w:t>Trevally, Silver (Skipjack)</w:t>
      </w:r>
    </w:p>
    <w:p>
      <w:pPr>
        <w:pStyle w:val="yNumberedItem"/>
        <w:spacing w:before="0"/>
        <w:ind w:left="839" w:firstLine="0"/>
        <w:rPr>
          <w:snapToGrid w:val="0"/>
        </w:rPr>
      </w:pPr>
      <w:r>
        <w:rPr>
          <w:snapToGrid w:val="0"/>
        </w:rPr>
        <w:t>Trochus</w:t>
      </w:r>
    </w:p>
    <w:p>
      <w:pPr>
        <w:pStyle w:val="yNumberedItem"/>
        <w:spacing w:before="0"/>
        <w:ind w:left="839" w:firstLine="0"/>
        <w:rPr>
          <w:snapToGrid w:val="0"/>
        </w:rPr>
      </w:pPr>
      <w:r>
        <w:rPr>
          <w:snapToGrid w:val="0"/>
        </w:rPr>
        <w:t>Trout, Brown</w:t>
      </w:r>
    </w:p>
    <w:p>
      <w:pPr>
        <w:pStyle w:val="yNumberedItem"/>
        <w:spacing w:before="0"/>
        <w:ind w:left="839" w:firstLine="0"/>
        <w:rPr>
          <w:snapToGrid w:val="0"/>
        </w:rPr>
      </w:pPr>
      <w:r>
        <w:rPr>
          <w:snapToGrid w:val="0"/>
        </w:rPr>
        <w:t>Trout, Rainbow</w:t>
      </w:r>
    </w:p>
    <w:p>
      <w:pPr>
        <w:pStyle w:val="yNumberedItem"/>
        <w:spacing w:before="0"/>
        <w:ind w:left="839" w:firstLine="0"/>
        <w:rPr>
          <w:snapToGrid w:val="0"/>
        </w:rPr>
      </w:pPr>
      <w:r>
        <w:rPr>
          <w:snapToGrid w:val="0"/>
        </w:rPr>
        <w:t>Tuna, Albacore</w:t>
      </w:r>
    </w:p>
    <w:p>
      <w:pPr>
        <w:pStyle w:val="yNumberedItem"/>
        <w:spacing w:before="0"/>
        <w:ind w:left="839" w:firstLine="0"/>
        <w:rPr>
          <w:snapToGrid w:val="0"/>
        </w:rPr>
      </w:pPr>
      <w:r>
        <w:rPr>
          <w:snapToGrid w:val="0"/>
        </w:rPr>
        <w:t>Tuna, Skipjack</w:t>
      </w:r>
    </w:p>
    <w:p>
      <w:pPr>
        <w:pStyle w:val="yNumberedItem"/>
        <w:spacing w:before="0"/>
        <w:ind w:left="839" w:firstLine="0"/>
        <w:rPr>
          <w:snapToGrid w:val="0"/>
        </w:rPr>
      </w:pPr>
      <w:r>
        <w:rPr>
          <w:snapToGrid w:val="0"/>
        </w:rPr>
        <w:t>Whiting, King George (Spotted)</w:t>
      </w:r>
    </w:p>
    <w:p>
      <w:pPr>
        <w:pStyle w:val="yNumberedItem"/>
        <w:spacing w:before="0"/>
        <w:ind w:left="839"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keepNext/>
        <w:ind w:left="840" w:firstLine="0"/>
        <w:rPr>
          <w:snapToGrid w:val="0"/>
        </w:rPr>
      </w:pPr>
      <w:r>
        <w:rPr>
          <w:snapToGrid w:val="0"/>
        </w:rPr>
        <w:t>Bait Fish</w:t>
      </w:r>
    </w:p>
    <w:p>
      <w:pPr>
        <w:pStyle w:val="yNumberedItem"/>
        <w:spacing w:before="0"/>
        <w:ind w:left="839" w:firstLine="0"/>
        <w:rPr>
          <w:snapToGrid w:val="0"/>
        </w:rPr>
      </w:pPr>
      <w:r>
        <w:rPr>
          <w:snapToGrid w:val="0"/>
        </w:rPr>
        <w:t>Cockle, Ark Shell and other edible bivalves</w:t>
      </w:r>
    </w:p>
    <w:p>
      <w:pPr>
        <w:pStyle w:val="yNumberedItem"/>
        <w:spacing w:before="0"/>
        <w:ind w:left="839" w:firstLine="0"/>
        <w:rPr>
          <w:snapToGrid w:val="0"/>
        </w:rPr>
      </w:pPr>
      <w:r>
        <w:rPr>
          <w:snapToGrid w:val="0"/>
        </w:rPr>
        <w:t>Clam, Venus</w:t>
      </w:r>
    </w:p>
    <w:p>
      <w:pPr>
        <w:pStyle w:val="yNumberedItem"/>
        <w:spacing w:before="0"/>
        <w:ind w:left="839" w:firstLine="0"/>
        <w:rPr>
          <w:snapToGrid w:val="0"/>
        </w:rPr>
      </w:pPr>
      <w:r>
        <w:rPr>
          <w:snapToGrid w:val="0"/>
        </w:rPr>
        <w:t>Freshwater fish (other than freshwater fish listed as category 2 fish)</w:t>
      </w:r>
    </w:p>
    <w:p>
      <w:pPr>
        <w:pStyle w:val="yNumberedItem"/>
        <w:spacing w:before="0"/>
        <w:ind w:left="839" w:firstLine="0"/>
        <w:rPr>
          <w:snapToGrid w:val="0"/>
        </w:rPr>
      </w:pPr>
      <w:r>
        <w:rPr>
          <w:snapToGrid w:val="0"/>
        </w:rPr>
        <w:t>Garfish</w:t>
      </w:r>
    </w:p>
    <w:p>
      <w:pPr>
        <w:pStyle w:val="yNumberedItem"/>
        <w:spacing w:before="0"/>
        <w:ind w:left="839" w:firstLine="0"/>
        <w:rPr>
          <w:snapToGrid w:val="0"/>
        </w:rPr>
      </w:pPr>
      <w:r>
        <w:rPr>
          <w:snapToGrid w:val="0"/>
        </w:rPr>
        <w:t>Herring, Australian (Tommy Ruff)</w:t>
      </w:r>
    </w:p>
    <w:p>
      <w:pPr>
        <w:pStyle w:val="yNumberedItem"/>
        <w:spacing w:before="0"/>
        <w:ind w:left="839" w:firstLine="0"/>
        <w:rPr>
          <w:snapToGrid w:val="0"/>
        </w:rPr>
      </w:pPr>
      <w:r>
        <w:rPr>
          <w:snapToGrid w:val="0"/>
        </w:rPr>
        <w:t>Longtom</w:t>
      </w:r>
    </w:p>
    <w:p>
      <w:pPr>
        <w:pStyle w:val="yNumberedItem"/>
        <w:spacing w:before="0"/>
        <w:ind w:left="839" w:firstLine="0"/>
        <w:rPr>
          <w:snapToGrid w:val="0"/>
        </w:rPr>
      </w:pPr>
      <w:r>
        <w:rPr>
          <w:snapToGrid w:val="0"/>
        </w:rPr>
        <w:t>Mackerel, Blue (Common)</w:t>
      </w:r>
    </w:p>
    <w:p>
      <w:pPr>
        <w:pStyle w:val="yNumberedItem"/>
        <w:spacing w:before="0"/>
        <w:ind w:left="839" w:firstLine="0"/>
        <w:rPr>
          <w:snapToGrid w:val="0"/>
        </w:rPr>
      </w:pPr>
      <w:r>
        <w:rPr>
          <w:snapToGrid w:val="0"/>
        </w:rPr>
        <w:t>Mullet</w:t>
      </w:r>
    </w:p>
    <w:p>
      <w:pPr>
        <w:pStyle w:val="yNumberedItem"/>
        <w:spacing w:before="0"/>
        <w:ind w:left="839" w:firstLine="0"/>
        <w:rPr>
          <w:snapToGrid w:val="0"/>
        </w:rPr>
      </w:pPr>
      <w:r>
        <w:rPr>
          <w:snapToGrid w:val="0"/>
        </w:rPr>
        <w:t>Prawns (other than prawns listed as category 2 fish)</w:t>
      </w:r>
    </w:p>
    <w:p>
      <w:pPr>
        <w:pStyle w:val="yNumberedItem"/>
        <w:spacing w:before="0"/>
        <w:ind w:left="839" w:firstLine="0"/>
        <w:rPr>
          <w:snapToGrid w:val="0"/>
        </w:rPr>
      </w:pPr>
      <w:r>
        <w:rPr>
          <w:snapToGrid w:val="0"/>
        </w:rPr>
        <w:t>Whiting (other than whiting listed as category 2 fish)</w:t>
      </w:r>
    </w:p>
    <w:p>
      <w:pPr>
        <w:pStyle w:val="yNumberedItem"/>
        <w:spacing w:before="0"/>
        <w:ind w:left="839"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Any species of fish not specified in this Schedule to be category 1 fish, category 2 fish or category 3 fish.</w:t>
      </w:r>
    </w:p>
    <w:p>
      <w:pPr>
        <w:pStyle w:val="yFootnotesection"/>
      </w:pPr>
      <w:r>
        <w:tab/>
        <w:t>[Schedule 4 inserted in Gazette 29 Sep 2009 p. 3869</w:t>
      </w:r>
      <w:r>
        <w:noBreakHyphen/>
        <w:t>74; amended in Gazette 24 Aug 2011 p. 3409; 24 Feb 2012 p. 803.]</w:t>
      </w:r>
    </w:p>
    <w:p>
      <w:pPr>
        <w:pStyle w:val="yScheduleHeading"/>
      </w:pPr>
      <w:bookmarkStart w:id="1418" w:name="_Toc339626119"/>
      <w:bookmarkStart w:id="1419" w:name="_Toc342397871"/>
      <w:bookmarkStart w:id="1420" w:name="_Toc343520128"/>
      <w:bookmarkStart w:id="1421" w:name="_Toc343520585"/>
      <w:bookmarkStart w:id="1422" w:name="_Toc344712150"/>
      <w:bookmarkStart w:id="1423" w:name="_Toc344712666"/>
      <w:bookmarkStart w:id="1424" w:name="_Toc347307913"/>
      <w:bookmarkStart w:id="1425" w:name="_Toc349822826"/>
      <w:bookmarkStart w:id="1426" w:name="_Toc349823246"/>
      <w:bookmarkStart w:id="1427" w:name="_Toc349831228"/>
      <w:bookmarkStart w:id="1428" w:name="_Toc359249020"/>
      <w:bookmarkStart w:id="1429" w:name="_Toc359316977"/>
      <w:r>
        <w:rPr>
          <w:rStyle w:val="CharSchNo"/>
        </w:rPr>
        <w:t>Schedule 5</w:t>
      </w:r>
      <w:r>
        <w:t> — </w:t>
      </w:r>
      <w:r>
        <w:rPr>
          <w:rStyle w:val="CharSchText"/>
        </w:rPr>
        <w:t>Noxious fish</w:t>
      </w:r>
      <w:bookmarkEnd w:id="1418"/>
      <w:bookmarkEnd w:id="1419"/>
      <w:bookmarkEnd w:id="1420"/>
      <w:bookmarkEnd w:id="1421"/>
      <w:bookmarkEnd w:id="1422"/>
      <w:bookmarkEnd w:id="1423"/>
      <w:bookmarkEnd w:id="1424"/>
      <w:bookmarkEnd w:id="1425"/>
      <w:bookmarkEnd w:id="1426"/>
      <w:bookmarkEnd w:id="1427"/>
      <w:bookmarkEnd w:id="1428"/>
      <w:bookmarkEnd w:id="1429"/>
    </w:p>
    <w:p>
      <w:pPr>
        <w:pStyle w:val="yShoulderClause"/>
      </w:pPr>
      <w:r>
        <w:t>[r. 70]</w:t>
      </w:r>
    </w:p>
    <w:p>
      <w:pPr>
        <w:pStyle w:val="yFootnoteheading"/>
        <w:spacing w:after="120"/>
      </w:pPr>
      <w:r>
        <w:tab/>
        <w:t>[Heading inserted in Gazette 23 Jul 2010 p. 3403.]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60"/>
        <w:gridCol w:w="3720"/>
      </w:tblGrid>
      <w:tr>
        <w:trPr>
          <w:cantSplit/>
          <w:tblHeader/>
        </w:trPr>
        <w:tc>
          <w:tcPr>
            <w:tcW w:w="3360" w:type="dxa"/>
          </w:tcPr>
          <w:p>
            <w:pPr>
              <w:pStyle w:val="yTableNAm"/>
              <w:rPr>
                <w:b/>
                <w:bCs/>
              </w:rPr>
            </w:pPr>
            <w:r>
              <w:rPr>
                <w:b/>
                <w:bCs/>
              </w:rPr>
              <w:t>Scientific name</w:t>
            </w:r>
          </w:p>
        </w:tc>
        <w:tc>
          <w:tcPr>
            <w:tcW w:w="3720" w:type="dxa"/>
          </w:tcPr>
          <w:p>
            <w:pPr>
              <w:pStyle w:val="yTableNAm"/>
              <w:rPr>
                <w:b/>
                <w:bCs/>
              </w:rPr>
            </w:pPr>
            <w:r>
              <w:rPr>
                <w:b/>
                <w:bCs/>
              </w:rPr>
              <w:t>Examples of common names used</w:t>
            </w:r>
          </w:p>
        </w:tc>
      </w:tr>
      <w:tr>
        <w:trPr>
          <w:cantSplit/>
        </w:trPr>
        <w:tc>
          <w:tcPr>
            <w:tcW w:w="3360" w:type="dxa"/>
          </w:tcPr>
          <w:p>
            <w:pPr>
              <w:pStyle w:val="yTableNAm"/>
              <w:rPr>
                <w:i/>
                <w:iCs/>
              </w:rPr>
            </w:pPr>
            <w:r>
              <w:rPr>
                <w:i/>
                <w:iCs/>
              </w:rPr>
              <w:t>Acanthogobius flavimanus</w:t>
            </w:r>
          </w:p>
        </w:tc>
        <w:tc>
          <w:tcPr>
            <w:tcW w:w="3720" w:type="dxa"/>
          </w:tcPr>
          <w:p>
            <w:pPr>
              <w:pStyle w:val="yTableNAm"/>
            </w:pPr>
            <w:r>
              <w:t>Yellow Fin Goby</w:t>
            </w:r>
          </w:p>
        </w:tc>
      </w:tr>
      <w:tr>
        <w:trPr>
          <w:cantSplit/>
        </w:trPr>
        <w:tc>
          <w:tcPr>
            <w:tcW w:w="3360" w:type="dxa"/>
          </w:tcPr>
          <w:p>
            <w:pPr>
              <w:pStyle w:val="yTableNAm"/>
              <w:rPr>
                <w:i/>
                <w:iCs/>
              </w:rPr>
            </w:pPr>
            <w:r>
              <w:rPr>
                <w:i/>
                <w:iCs/>
              </w:rPr>
              <w:t>Acestrorhynchus microlepis</w:t>
            </w:r>
          </w:p>
        </w:tc>
        <w:tc>
          <w:tcPr>
            <w:tcW w:w="3720" w:type="dxa"/>
          </w:tcPr>
          <w:p>
            <w:pPr>
              <w:pStyle w:val="yTableNAm"/>
            </w:pPr>
            <w:r>
              <w:t>Pike Characin</w:t>
            </w:r>
          </w:p>
        </w:tc>
      </w:tr>
      <w:tr>
        <w:trPr>
          <w:cantSplit/>
        </w:trPr>
        <w:tc>
          <w:tcPr>
            <w:tcW w:w="3360" w:type="dxa"/>
          </w:tcPr>
          <w:p>
            <w:pPr>
              <w:pStyle w:val="yTableNAm"/>
              <w:rPr>
                <w:i/>
                <w:iCs/>
              </w:rPr>
            </w:pPr>
            <w:r>
              <w:rPr>
                <w:i/>
                <w:iCs/>
              </w:rPr>
              <w:t>Amia calva</w:t>
            </w:r>
          </w:p>
        </w:tc>
        <w:tc>
          <w:tcPr>
            <w:tcW w:w="3720" w:type="dxa"/>
          </w:tcPr>
          <w:p>
            <w:pPr>
              <w:pStyle w:val="yTableNAm"/>
            </w:pPr>
            <w:r>
              <w:t>Bowfin</w:t>
            </w:r>
          </w:p>
        </w:tc>
      </w:tr>
      <w:tr>
        <w:trPr>
          <w:cantSplit/>
        </w:trPr>
        <w:tc>
          <w:tcPr>
            <w:tcW w:w="3360" w:type="dxa"/>
          </w:tcPr>
          <w:p>
            <w:pPr>
              <w:pStyle w:val="yTableNAm"/>
              <w:rPr>
                <w:i/>
                <w:iCs/>
              </w:rPr>
            </w:pPr>
            <w:r>
              <w:rPr>
                <w:i/>
                <w:iCs/>
              </w:rPr>
              <w:t>Anabas testudineus</w:t>
            </w:r>
          </w:p>
        </w:tc>
        <w:tc>
          <w:tcPr>
            <w:tcW w:w="3720" w:type="dxa"/>
          </w:tcPr>
          <w:p>
            <w:pPr>
              <w:pStyle w:val="yTableNAm"/>
            </w:pPr>
            <w:r>
              <w:t>Climbing Perch</w:t>
            </w:r>
          </w:p>
        </w:tc>
      </w:tr>
      <w:tr>
        <w:trPr>
          <w:cantSplit/>
        </w:trPr>
        <w:tc>
          <w:tcPr>
            <w:tcW w:w="3360" w:type="dxa"/>
          </w:tcPr>
          <w:p>
            <w:pPr>
              <w:pStyle w:val="yTableNAm"/>
              <w:rPr>
                <w:i/>
                <w:iCs/>
              </w:rPr>
            </w:pPr>
            <w:r>
              <w:rPr>
                <w:i/>
                <w:iCs/>
              </w:rPr>
              <w:t>Anaspidoglanis macrostoma</w:t>
            </w:r>
          </w:p>
        </w:tc>
        <w:tc>
          <w:tcPr>
            <w:tcW w:w="3720" w:type="dxa"/>
          </w:tcPr>
          <w:p>
            <w:pPr>
              <w:pStyle w:val="yTableNAm"/>
            </w:pPr>
            <w:r>
              <w:t>Flatnose Catfish</w:t>
            </w:r>
          </w:p>
        </w:tc>
      </w:tr>
      <w:tr>
        <w:trPr>
          <w:cantSplit/>
        </w:trPr>
        <w:tc>
          <w:tcPr>
            <w:tcW w:w="3360" w:type="dxa"/>
          </w:tcPr>
          <w:p>
            <w:pPr>
              <w:pStyle w:val="yTableNAm"/>
              <w:rPr>
                <w:i/>
                <w:iCs/>
              </w:rPr>
            </w:pPr>
            <w:r>
              <w:rPr>
                <w:i/>
                <w:iCs/>
              </w:rPr>
              <w:t>Apeltes quadracus</w:t>
            </w:r>
          </w:p>
        </w:tc>
        <w:tc>
          <w:tcPr>
            <w:tcW w:w="3720" w:type="dxa"/>
          </w:tcPr>
          <w:p>
            <w:pPr>
              <w:pStyle w:val="yTableNAm"/>
            </w:pPr>
            <w:r>
              <w:t>Four</w:t>
            </w:r>
            <w:r>
              <w:noBreakHyphen/>
              <w:t>spined Stickleback</w:t>
            </w:r>
          </w:p>
        </w:tc>
      </w:tr>
      <w:tr>
        <w:trPr>
          <w:cantSplit/>
        </w:trPr>
        <w:tc>
          <w:tcPr>
            <w:tcW w:w="3360" w:type="dxa"/>
          </w:tcPr>
          <w:p>
            <w:pPr>
              <w:pStyle w:val="yTableNAm"/>
              <w:rPr>
                <w:i/>
                <w:iCs/>
              </w:rPr>
            </w:pPr>
            <w:r>
              <w:rPr>
                <w:i/>
                <w:iCs/>
              </w:rPr>
              <w:t>Aristichthys noblis</w:t>
            </w:r>
          </w:p>
        </w:tc>
        <w:tc>
          <w:tcPr>
            <w:tcW w:w="3720" w:type="dxa"/>
          </w:tcPr>
          <w:p>
            <w:pPr>
              <w:pStyle w:val="yTableNAm"/>
            </w:pPr>
            <w:r>
              <w:t>Bighead Carp</w:t>
            </w:r>
          </w:p>
        </w:tc>
      </w:tr>
      <w:tr>
        <w:trPr>
          <w:cantSplit/>
        </w:trPr>
        <w:tc>
          <w:tcPr>
            <w:tcW w:w="3360" w:type="dxa"/>
          </w:tcPr>
          <w:p>
            <w:pPr>
              <w:pStyle w:val="yTableNAm"/>
              <w:rPr>
                <w:i/>
                <w:iCs/>
              </w:rPr>
            </w:pPr>
            <w:r>
              <w:rPr>
                <w:i/>
                <w:iCs/>
              </w:rPr>
              <w:t>Bagrus ubangensis</w:t>
            </w:r>
          </w:p>
        </w:tc>
        <w:tc>
          <w:tcPr>
            <w:tcW w:w="3720" w:type="dxa"/>
          </w:tcPr>
          <w:p>
            <w:pPr>
              <w:pStyle w:val="yTableNAm"/>
            </w:pPr>
            <w:smartTag w:uri="urn:schemas-microsoft-com:office:smarttags" w:element="place">
              <w:r>
                <w:t>Ubangi</w:t>
              </w:r>
            </w:smartTag>
            <w:r>
              <w:t xml:space="preserve"> Shovelnose Catfish</w:t>
            </w:r>
          </w:p>
        </w:tc>
      </w:tr>
      <w:tr>
        <w:trPr>
          <w:cantSplit/>
        </w:trPr>
        <w:tc>
          <w:tcPr>
            <w:tcW w:w="3360" w:type="dxa"/>
          </w:tcPr>
          <w:p>
            <w:pPr>
              <w:pStyle w:val="yTableNAm"/>
              <w:rPr>
                <w:i/>
                <w:iCs/>
              </w:rPr>
            </w:pPr>
            <w:r>
              <w:rPr>
                <w:i/>
                <w:iCs/>
              </w:rPr>
              <w:t>Barbodes hexagonolepis</w:t>
            </w:r>
          </w:p>
        </w:tc>
        <w:tc>
          <w:tcPr>
            <w:tcW w:w="3720" w:type="dxa"/>
          </w:tcPr>
          <w:p>
            <w:pPr>
              <w:pStyle w:val="yTableNAm"/>
            </w:pPr>
            <w:r>
              <w:t>Copper Mahseer</w:t>
            </w:r>
          </w:p>
        </w:tc>
      </w:tr>
      <w:tr>
        <w:trPr>
          <w:cantSplit/>
        </w:trPr>
        <w:tc>
          <w:tcPr>
            <w:tcW w:w="3360" w:type="dxa"/>
          </w:tcPr>
          <w:p>
            <w:pPr>
              <w:pStyle w:val="yTableNAm"/>
              <w:rPr>
                <w:i/>
                <w:iCs/>
              </w:rPr>
            </w:pPr>
            <w:r>
              <w:rPr>
                <w:i/>
                <w:iCs/>
              </w:rPr>
              <w:t>Belonesox belizanus</w:t>
            </w:r>
          </w:p>
        </w:tc>
        <w:tc>
          <w:tcPr>
            <w:tcW w:w="3720" w:type="dxa"/>
          </w:tcPr>
          <w:p>
            <w:pPr>
              <w:pStyle w:val="yTableNAm"/>
            </w:pPr>
            <w:r>
              <w:t>Pike Minnow, Pike Killifish</w:t>
            </w:r>
          </w:p>
        </w:tc>
      </w:tr>
      <w:tr>
        <w:trPr>
          <w:cantSplit/>
        </w:trPr>
        <w:tc>
          <w:tcPr>
            <w:tcW w:w="3360" w:type="dxa"/>
          </w:tcPr>
          <w:p>
            <w:pPr>
              <w:pStyle w:val="yTableNAm"/>
              <w:rPr>
                <w:i/>
                <w:iCs/>
              </w:rPr>
            </w:pPr>
            <w:r>
              <w:rPr>
                <w:i/>
                <w:iCs/>
              </w:rPr>
              <w:t>Boulengerochromis microlepis</w:t>
            </w:r>
          </w:p>
        </w:tc>
        <w:tc>
          <w:tcPr>
            <w:tcW w:w="3720" w:type="dxa"/>
          </w:tcPr>
          <w:p>
            <w:pPr>
              <w:pStyle w:val="yTableNAm"/>
            </w:pPr>
            <w:r>
              <w:t>Giant Cichlid, Yellow</w:t>
            </w:r>
            <w:r>
              <w:noBreakHyphen/>
              <w:t>belly Cichlid</w:t>
            </w:r>
          </w:p>
        </w:tc>
      </w:tr>
      <w:tr>
        <w:trPr>
          <w:cantSplit/>
        </w:trPr>
        <w:tc>
          <w:tcPr>
            <w:tcW w:w="3360" w:type="dxa"/>
          </w:tcPr>
          <w:p>
            <w:pPr>
              <w:pStyle w:val="yTableNAm"/>
              <w:rPr>
                <w:i/>
                <w:iCs/>
              </w:rPr>
            </w:pPr>
            <w:r>
              <w:rPr>
                <w:i/>
                <w:iCs/>
              </w:rPr>
              <w:t>Catla catla</w:t>
            </w:r>
          </w:p>
        </w:tc>
        <w:tc>
          <w:tcPr>
            <w:tcW w:w="3720" w:type="dxa"/>
          </w:tcPr>
          <w:p>
            <w:pPr>
              <w:pStyle w:val="yTableNAm"/>
            </w:pPr>
            <w:r>
              <w:t>Catla</w:t>
            </w:r>
          </w:p>
        </w:tc>
      </w:tr>
      <w:tr>
        <w:trPr>
          <w:cantSplit/>
        </w:trPr>
        <w:tc>
          <w:tcPr>
            <w:tcW w:w="3360" w:type="dxa"/>
          </w:tcPr>
          <w:p>
            <w:pPr>
              <w:pStyle w:val="yTableNAm"/>
              <w:rPr>
                <w:i/>
                <w:iCs/>
              </w:rPr>
            </w:pPr>
            <w:r>
              <w:rPr>
                <w:i/>
                <w:iCs/>
              </w:rPr>
              <w:t>Catlocarpio siamensis</w:t>
            </w:r>
          </w:p>
        </w:tc>
        <w:tc>
          <w:tcPr>
            <w:tcW w:w="3720" w:type="dxa"/>
          </w:tcPr>
          <w:p>
            <w:pPr>
              <w:pStyle w:val="yTableNAm"/>
            </w:pPr>
            <w:r>
              <w:t>Giant Barb</w:t>
            </w:r>
          </w:p>
        </w:tc>
      </w:tr>
      <w:tr>
        <w:trPr>
          <w:cantSplit/>
        </w:trPr>
        <w:tc>
          <w:tcPr>
            <w:tcW w:w="3360" w:type="dxa"/>
          </w:tcPr>
          <w:p>
            <w:pPr>
              <w:pStyle w:val="yTableNAm"/>
              <w:rPr>
                <w:i/>
                <w:iCs/>
              </w:rPr>
            </w:pPr>
            <w:r>
              <w:rPr>
                <w:i/>
                <w:iCs/>
              </w:rPr>
              <w:t xml:space="preserve">Centrarchidae </w:t>
            </w:r>
            <w:r>
              <w:t>(entire family)</w:t>
            </w:r>
          </w:p>
        </w:tc>
        <w:tc>
          <w:tcPr>
            <w:tcW w:w="3720" w:type="dxa"/>
          </w:tcPr>
          <w:p>
            <w:pPr>
              <w:pStyle w:val="yTableNAm"/>
            </w:pPr>
            <w:r>
              <w:t>Banded Sunfish, Spotted Sunfish, Largemouth Bass, Bluegill</w:t>
            </w:r>
          </w:p>
        </w:tc>
      </w:tr>
      <w:tr>
        <w:trPr>
          <w:cantSplit/>
        </w:trPr>
        <w:tc>
          <w:tcPr>
            <w:tcW w:w="3360" w:type="dxa"/>
          </w:tcPr>
          <w:p>
            <w:pPr>
              <w:pStyle w:val="yTableNAm"/>
              <w:rPr>
                <w:i/>
                <w:iCs/>
              </w:rPr>
            </w:pPr>
            <w:r>
              <w:rPr>
                <w:i/>
                <w:iCs/>
              </w:rPr>
              <w:t xml:space="preserve">Centropomus </w:t>
            </w:r>
            <w:r>
              <w:t>(entire genus)</w:t>
            </w:r>
          </w:p>
        </w:tc>
        <w:tc>
          <w:tcPr>
            <w:tcW w:w="3720" w:type="dxa"/>
          </w:tcPr>
          <w:p>
            <w:pPr>
              <w:pStyle w:val="yTableNAm"/>
            </w:pPr>
            <w:r>
              <w:t>Snooks (American)</w:t>
            </w:r>
          </w:p>
        </w:tc>
      </w:tr>
      <w:tr>
        <w:trPr>
          <w:cantSplit/>
        </w:trPr>
        <w:tc>
          <w:tcPr>
            <w:tcW w:w="3360" w:type="dxa"/>
          </w:tcPr>
          <w:p>
            <w:pPr>
              <w:pStyle w:val="yTableNAm"/>
              <w:rPr>
                <w:i/>
                <w:iCs/>
              </w:rPr>
            </w:pPr>
            <w:r>
              <w:rPr>
                <w:i/>
                <w:iCs/>
              </w:rPr>
              <w:t>Chaca chaca</w:t>
            </w:r>
          </w:p>
        </w:tc>
        <w:tc>
          <w:tcPr>
            <w:tcW w:w="3720" w:type="dxa"/>
          </w:tcPr>
          <w:p>
            <w:pPr>
              <w:pStyle w:val="yTableNAm"/>
            </w:pPr>
            <w:r>
              <w:t>Angler, Frogmouth and Squarehead Catfish</w:t>
            </w:r>
          </w:p>
        </w:tc>
      </w:tr>
      <w:tr>
        <w:trPr>
          <w:cantSplit/>
        </w:trPr>
        <w:tc>
          <w:tcPr>
            <w:tcW w:w="3360" w:type="dxa"/>
          </w:tcPr>
          <w:p>
            <w:pPr>
              <w:pStyle w:val="yTableNAm"/>
              <w:rPr>
                <w:i/>
                <w:iCs/>
              </w:rPr>
            </w:pPr>
            <w:r>
              <w:rPr>
                <w:i/>
                <w:iCs/>
              </w:rPr>
              <w:t xml:space="preserve">Channa spp. </w:t>
            </w:r>
            <w:r>
              <w:t>(entire genus)</w:t>
            </w:r>
          </w:p>
        </w:tc>
        <w:tc>
          <w:tcPr>
            <w:tcW w:w="3720" w:type="dxa"/>
          </w:tcPr>
          <w:p>
            <w:pPr>
              <w:pStyle w:val="yTableNAm"/>
            </w:pPr>
            <w:r>
              <w:t>Snakehead</w:t>
            </w:r>
          </w:p>
        </w:tc>
      </w:tr>
      <w:tr>
        <w:trPr>
          <w:cantSplit/>
        </w:trPr>
        <w:tc>
          <w:tcPr>
            <w:tcW w:w="3360" w:type="dxa"/>
          </w:tcPr>
          <w:p>
            <w:pPr>
              <w:pStyle w:val="yTableNAm"/>
              <w:rPr>
                <w:i/>
                <w:iCs/>
              </w:rPr>
            </w:pPr>
            <w:r>
              <w:rPr>
                <w:i/>
                <w:iCs/>
              </w:rPr>
              <w:t>Cirrhinus cirrhosus</w:t>
            </w:r>
          </w:p>
        </w:tc>
        <w:tc>
          <w:tcPr>
            <w:tcW w:w="3720" w:type="dxa"/>
          </w:tcPr>
          <w:p>
            <w:pPr>
              <w:pStyle w:val="yTableNAm"/>
            </w:pPr>
            <w:r>
              <w:t>Mrigal</w:t>
            </w:r>
          </w:p>
        </w:tc>
      </w:tr>
      <w:tr>
        <w:trPr>
          <w:cantSplit/>
        </w:trPr>
        <w:tc>
          <w:tcPr>
            <w:tcW w:w="3360" w:type="dxa"/>
          </w:tcPr>
          <w:p>
            <w:pPr>
              <w:pStyle w:val="yTableNAm"/>
              <w:rPr>
                <w:i/>
                <w:iCs/>
              </w:rPr>
            </w:pPr>
            <w:r>
              <w:rPr>
                <w:i/>
                <w:iCs/>
              </w:rPr>
              <w:t xml:space="preserve">Clarias spp. </w:t>
            </w:r>
            <w:r>
              <w:t>(entire genus)</w:t>
            </w:r>
          </w:p>
        </w:tc>
        <w:tc>
          <w:tcPr>
            <w:tcW w:w="3720" w:type="dxa"/>
          </w:tcPr>
          <w:p>
            <w:pPr>
              <w:pStyle w:val="yTableNAm"/>
            </w:pPr>
            <w:r>
              <w:t>Walking Catfish</w:t>
            </w:r>
          </w:p>
        </w:tc>
      </w:tr>
      <w:tr>
        <w:trPr>
          <w:cantSplit/>
        </w:trPr>
        <w:tc>
          <w:tcPr>
            <w:tcW w:w="3360" w:type="dxa"/>
          </w:tcPr>
          <w:p>
            <w:pPr>
              <w:pStyle w:val="yTableNAm"/>
              <w:rPr>
                <w:i/>
                <w:iCs/>
              </w:rPr>
            </w:pPr>
            <w:r>
              <w:rPr>
                <w:i/>
                <w:iCs/>
              </w:rPr>
              <w:t xml:space="preserve">Colossoma spp. </w:t>
            </w:r>
            <w:r>
              <w:t>(entire genus)</w:t>
            </w:r>
          </w:p>
        </w:tc>
        <w:tc>
          <w:tcPr>
            <w:tcW w:w="3720" w:type="dxa"/>
          </w:tcPr>
          <w:p>
            <w:pPr>
              <w:pStyle w:val="yTableNAm"/>
            </w:pPr>
            <w:r>
              <w:t>Tambaqui Pacu, Pirapitinga</w:t>
            </w:r>
          </w:p>
        </w:tc>
      </w:tr>
      <w:tr>
        <w:trPr>
          <w:cantSplit/>
        </w:trPr>
        <w:tc>
          <w:tcPr>
            <w:tcW w:w="3360" w:type="dxa"/>
          </w:tcPr>
          <w:p>
            <w:pPr>
              <w:pStyle w:val="yTableNAm"/>
              <w:rPr>
                <w:i/>
                <w:iCs/>
              </w:rPr>
            </w:pPr>
            <w:r>
              <w:rPr>
                <w:i/>
                <w:iCs/>
              </w:rPr>
              <w:t>Crenicichla lepidota</w:t>
            </w:r>
          </w:p>
        </w:tc>
        <w:tc>
          <w:tcPr>
            <w:tcW w:w="3720" w:type="dxa"/>
          </w:tcPr>
          <w:p>
            <w:pPr>
              <w:pStyle w:val="yTableNAm"/>
            </w:pPr>
            <w:r>
              <w:t>Pike Cichlid</w:t>
            </w:r>
          </w:p>
        </w:tc>
      </w:tr>
      <w:tr>
        <w:trPr>
          <w:cantSplit/>
        </w:trPr>
        <w:tc>
          <w:tcPr>
            <w:tcW w:w="3360" w:type="dxa"/>
          </w:tcPr>
          <w:p>
            <w:pPr>
              <w:pStyle w:val="yTableNAm"/>
              <w:rPr>
                <w:i/>
                <w:iCs/>
              </w:rPr>
            </w:pPr>
            <w:r>
              <w:rPr>
                <w:i/>
                <w:iCs/>
              </w:rPr>
              <w:t>Ctenopharyngodon idella</w:t>
            </w:r>
          </w:p>
        </w:tc>
        <w:tc>
          <w:tcPr>
            <w:tcW w:w="3720" w:type="dxa"/>
          </w:tcPr>
          <w:p>
            <w:pPr>
              <w:pStyle w:val="yTableNAm"/>
            </w:pPr>
            <w:r>
              <w:t>Grass Carp</w:t>
            </w:r>
          </w:p>
        </w:tc>
      </w:tr>
      <w:tr>
        <w:trPr>
          <w:cantSplit/>
        </w:trPr>
        <w:tc>
          <w:tcPr>
            <w:tcW w:w="3360" w:type="dxa"/>
          </w:tcPr>
          <w:p>
            <w:pPr>
              <w:pStyle w:val="yTableNAm"/>
              <w:rPr>
                <w:i/>
                <w:iCs/>
              </w:rPr>
            </w:pPr>
            <w:r>
              <w:rPr>
                <w:i/>
                <w:iCs/>
              </w:rPr>
              <w:t>Culaea inconstans</w:t>
            </w:r>
          </w:p>
        </w:tc>
        <w:tc>
          <w:tcPr>
            <w:tcW w:w="3720" w:type="dxa"/>
          </w:tcPr>
          <w:p>
            <w:pPr>
              <w:pStyle w:val="yTableNAm"/>
            </w:pPr>
            <w:r>
              <w:t>Brook Stickleback</w:t>
            </w:r>
          </w:p>
        </w:tc>
      </w:tr>
      <w:tr>
        <w:trPr>
          <w:cantSplit/>
        </w:trPr>
        <w:tc>
          <w:tcPr>
            <w:tcW w:w="3360" w:type="dxa"/>
          </w:tcPr>
          <w:p>
            <w:pPr>
              <w:pStyle w:val="yTableNAm"/>
              <w:rPr>
                <w:i/>
                <w:iCs/>
              </w:rPr>
            </w:pPr>
            <w:r>
              <w:rPr>
                <w:i/>
                <w:iCs/>
              </w:rPr>
              <w:t xml:space="preserve">Elassoma spp. </w:t>
            </w:r>
            <w:r>
              <w:t>(entire genus)</w:t>
            </w:r>
          </w:p>
        </w:tc>
        <w:tc>
          <w:tcPr>
            <w:tcW w:w="3720" w:type="dxa"/>
          </w:tcPr>
          <w:p>
            <w:pPr>
              <w:pStyle w:val="yTableNAm"/>
            </w:pPr>
            <w:r>
              <w:t>Pygmy Sunfish</w:t>
            </w:r>
          </w:p>
        </w:tc>
      </w:tr>
      <w:tr>
        <w:trPr>
          <w:cantSplit/>
        </w:trPr>
        <w:tc>
          <w:tcPr>
            <w:tcW w:w="3360" w:type="dxa"/>
          </w:tcPr>
          <w:p>
            <w:pPr>
              <w:pStyle w:val="yTableNAm"/>
              <w:rPr>
                <w:i/>
                <w:iCs/>
              </w:rPr>
            </w:pPr>
            <w:r>
              <w:rPr>
                <w:i/>
                <w:iCs/>
              </w:rPr>
              <w:t>Electrophorus electricus</w:t>
            </w:r>
          </w:p>
        </w:tc>
        <w:tc>
          <w:tcPr>
            <w:tcW w:w="3720" w:type="dxa"/>
          </w:tcPr>
          <w:p>
            <w:pPr>
              <w:pStyle w:val="yTableNAm"/>
            </w:pPr>
            <w:r>
              <w:t>Electric Eel</w:t>
            </w:r>
          </w:p>
        </w:tc>
      </w:tr>
      <w:tr>
        <w:trPr>
          <w:cantSplit/>
        </w:trPr>
        <w:tc>
          <w:tcPr>
            <w:tcW w:w="3360" w:type="dxa"/>
          </w:tcPr>
          <w:p>
            <w:pPr>
              <w:pStyle w:val="yTableNAm"/>
              <w:rPr>
                <w:i/>
                <w:iCs/>
              </w:rPr>
            </w:pPr>
            <w:r>
              <w:rPr>
                <w:i/>
                <w:iCs/>
              </w:rPr>
              <w:t xml:space="preserve">Erythrinus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Esox spp. </w:t>
            </w:r>
            <w:r>
              <w:t>(entire genus)</w:t>
            </w:r>
          </w:p>
        </w:tc>
        <w:tc>
          <w:tcPr>
            <w:tcW w:w="3720" w:type="dxa"/>
          </w:tcPr>
          <w:p>
            <w:pPr>
              <w:pStyle w:val="yTableNAm"/>
            </w:pPr>
            <w:r>
              <w:t>Pikes (Freshwater)</w:t>
            </w:r>
          </w:p>
        </w:tc>
      </w:tr>
      <w:tr>
        <w:trPr>
          <w:cantSplit/>
        </w:trPr>
        <w:tc>
          <w:tcPr>
            <w:tcW w:w="3360" w:type="dxa"/>
          </w:tcPr>
          <w:p>
            <w:pPr>
              <w:pStyle w:val="yTableNAm"/>
              <w:rPr>
                <w:i/>
                <w:iCs/>
              </w:rPr>
            </w:pPr>
            <w:r>
              <w:rPr>
                <w:i/>
                <w:iCs/>
              </w:rPr>
              <w:t xml:space="preserve">Gambusia spp. </w:t>
            </w:r>
            <w:r>
              <w:t>(entire genus)</w:t>
            </w:r>
          </w:p>
        </w:tc>
        <w:tc>
          <w:tcPr>
            <w:tcW w:w="3720" w:type="dxa"/>
          </w:tcPr>
          <w:p>
            <w:pPr>
              <w:pStyle w:val="yTableNAm"/>
            </w:pPr>
            <w:r>
              <w:t>Mosquito Fish</w:t>
            </w:r>
          </w:p>
        </w:tc>
      </w:tr>
      <w:tr>
        <w:trPr>
          <w:cantSplit/>
        </w:trPr>
        <w:tc>
          <w:tcPr>
            <w:tcW w:w="3360" w:type="dxa"/>
          </w:tcPr>
          <w:p>
            <w:pPr>
              <w:pStyle w:val="yTableNAm"/>
              <w:rPr>
                <w:i/>
                <w:iCs/>
              </w:rPr>
            </w:pPr>
            <w:r>
              <w:rPr>
                <w:i/>
                <w:iCs/>
              </w:rPr>
              <w:t>Gymnarchus niloticus</w:t>
            </w:r>
          </w:p>
        </w:tc>
        <w:tc>
          <w:tcPr>
            <w:tcW w:w="3720" w:type="dxa"/>
          </w:tcPr>
          <w:p>
            <w:pPr>
              <w:pStyle w:val="yTableNAm"/>
            </w:pPr>
            <w:smartTag w:uri="urn:schemas-microsoft-com:office:smarttags" w:element="City">
              <w:r>
                <w:t>Aba</w:t>
              </w:r>
            </w:smartTag>
            <w:r>
              <w:t xml:space="preserve"> </w:t>
            </w:r>
            <w:smartTag w:uri="urn:schemas-microsoft-com:office:smarttags" w:element="place">
              <w:smartTag w:uri="urn:schemas-microsoft-com:office:smarttags" w:element="City">
                <w:r>
                  <w:t>Aba</w:t>
                </w:r>
              </w:smartTag>
            </w:smartTag>
          </w:p>
        </w:tc>
      </w:tr>
      <w:tr>
        <w:trPr>
          <w:cantSplit/>
        </w:trPr>
        <w:tc>
          <w:tcPr>
            <w:tcW w:w="3360" w:type="dxa"/>
          </w:tcPr>
          <w:p>
            <w:pPr>
              <w:pStyle w:val="yTableNAm"/>
              <w:rPr>
                <w:i/>
                <w:iCs/>
              </w:rPr>
            </w:pPr>
            <w:r>
              <w:rPr>
                <w:i/>
                <w:iCs/>
              </w:rPr>
              <w:t>Hemichromis fasciatus</w:t>
            </w:r>
          </w:p>
        </w:tc>
        <w:tc>
          <w:tcPr>
            <w:tcW w:w="3720" w:type="dxa"/>
          </w:tcPr>
          <w:p>
            <w:pPr>
              <w:pStyle w:val="yTableNAm"/>
            </w:pPr>
            <w:r>
              <w:t>Banded Jewelfish</w:t>
            </w:r>
          </w:p>
        </w:tc>
      </w:tr>
      <w:tr>
        <w:trPr>
          <w:cantSplit/>
        </w:trPr>
        <w:tc>
          <w:tcPr>
            <w:tcW w:w="3360" w:type="dxa"/>
          </w:tcPr>
          <w:p>
            <w:pPr>
              <w:pStyle w:val="yTableNAm"/>
              <w:rPr>
                <w:i/>
                <w:iCs/>
              </w:rPr>
            </w:pPr>
            <w:r>
              <w:rPr>
                <w:i/>
                <w:iCs/>
              </w:rPr>
              <w:t>Hepsetus odoe</w:t>
            </w:r>
          </w:p>
        </w:tc>
        <w:tc>
          <w:tcPr>
            <w:tcW w:w="3720" w:type="dxa"/>
          </w:tcPr>
          <w:p>
            <w:pPr>
              <w:pStyle w:val="yTableNAm"/>
            </w:pPr>
            <w:r>
              <w:t>African Pike</w:t>
            </w:r>
          </w:p>
        </w:tc>
      </w:tr>
      <w:tr>
        <w:trPr>
          <w:cantSplit/>
        </w:trPr>
        <w:tc>
          <w:tcPr>
            <w:tcW w:w="3360" w:type="dxa"/>
          </w:tcPr>
          <w:p>
            <w:pPr>
              <w:pStyle w:val="yTableNAm"/>
              <w:rPr>
                <w:i/>
                <w:iCs/>
              </w:rPr>
            </w:pPr>
            <w:r>
              <w:rPr>
                <w:i/>
                <w:iCs/>
              </w:rPr>
              <w:t>Heteropneustes fossilis</w:t>
            </w:r>
          </w:p>
        </w:tc>
        <w:tc>
          <w:tcPr>
            <w:tcW w:w="3720" w:type="dxa"/>
          </w:tcPr>
          <w:p>
            <w:pPr>
              <w:pStyle w:val="yTableNAm"/>
            </w:pPr>
            <w:r>
              <w:t>Stinging Catfish</w:t>
            </w:r>
          </w:p>
        </w:tc>
      </w:tr>
      <w:tr>
        <w:trPr>
          <w:cantSplit/>
        </w:trPr>
        <w:tc>
          <w:tcPr>
            <w:tcW w:w="3360" w:type="dxa"/>
          </w:tcPr>
          <w:p>
            <w:pPr>
              <w:pStyle w:val="yTableNAm"/>
              <w:rPr>
                <w:i/>
                <w:iCs/>
              </w:rPr>
            </w:pPr>
            <w:r>
              <w:rPr>
                <w:i/>
                <w:iCs/>
              </w:rPr>
              <w:t xml:space="preserve">Hoplerythrinus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Hoplias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Hydrocynus spp. </w:t>
            </w:r>
            <w:r>
              <w:t>(entire genus)</w:t>
            </w:r>
          </w:p>
        </w:tc>
        <w:tc>
          <w:tcPr>
            <w:tcW w:w="3720" w:type="dxa"/>
          </w:tcPr>
          <w:p>
            <w:pPr>
              <w:pStyle w:val="yTableNAm"/>
            </w:pPr>
            <w:r>
              <w:t>Tigerfish</w:t>
            </w:r>
          </w:p>
        </w:tc>
      </w:tr>
      <w:tr>
        <w:trPr>
          <w:cantSplit/>
        </w:trPr>
        <w:tc>
          <w:tcPr>
            <w:tcW w:w="3360" w:type="dxa"/>
          </w:tcPr>
          <w:p>
            <w:pPr>
              <w:pStyle w:val="yTableNAm"/>
              <w:rPr>
                <w:i/>
                <w:iCs/>
              </w:rPr>
            </w:pPr>
            <w:r>
              <w:rPr>
                <w:i/>
                <w:iCs/>
              </w:rPr>
              <w:t>Hypophthalmichthys molitrix</w:t>
            </w:r>
          </w:p>
        </w:tc>
        <w:tc>
          <w:tcPr>
            <w:tcW w:w="3720" w:type="dxa"/>
          </w:tcPr>
          <w:p>
            <w:pPr>
              <w:pStyle w:val="yTableNAm"/>
            </w:pPr>
            <w:r>
              <w:t>Silver Carp</w:t>
            </w:r>
          </w:p>
        </w:tc>
      </w:tr>
      <w:tr>
        <w:trPr>
          <w:cantSplit/>
        </w:trPr>
        <w:tc>
          <w:tcPr>
            <w:tcW w:w="3360" w:type="dxa"/>
          </w:tcPr>
          <w:p>
            <w:pPr>
              <w:pStyle w:val="yTableNAm"/>
              <w:rPr>
                <w:i/>
                <w:iCs/>
              </w:rPr>
            </w:pPr>
            <w:r>
              <w:rPr>
                <w:i/>
                <w:iCs/>
              </w:rPr>
              <w:t xml:space="preserve">Ichthyborinae </w:t>
            </w:r>
            <w:r>
              <w:t>(Entire Subfamily)</w:t>
            </w:r>
          </w:p>
        </w:tc>
        <w:tc>
          <w:tcPr>
            <w:tcW w:w="3720" w:type="dxa"/>
          </w:tcPr>
          <w:p>
            <w:pPr>
              <w:pStyle w:val="yTableNAm"/>
            </w:pPr>
            <w:r>
              <w:t>African Pike</w:t>
            </w:r>
            <w:r>
              <w:noBreakHyphen/>
              <w:t>characin, Tubenose poacher, Fin Eater</w:t>
            </w:r>
          </w:p>
        </w:tc>
      </w:tr>
      <w:tr>
        <w:trPr>
          <w:cantSplit/>
        </w:trPr>
        <w:tc>
          <w:tcPr>
            <w:tcW w:w="3360" w:type="dxa"/>
          </w:tcPr>
          <w:p>
            <w:pPr>
              <w:pStyle w:val="yTableNAm"/>
              <w:rPr>
                <w:i/>
                <w:iCs/>
              </w:rPr>
            </w:pPr>
            <w:r>
              <w:rPr>
                <w:i/>
                <w:iCs/>
              </w:rPr>
              <w:t>Labeo calbasu</w:t>
            </w:r>
          </w:p>
        </w:tc>
        <w:tc>
          <w:tcPr>
            <w:tcW w:w="3720" w:type="dxa"/>
          </w:tcPr>
          <w:p>
            <w:pPr>
              <w:pStyle w:val="yTableNAm"/>
            </w:pPr>
            <w:r>
              <w:t>Orange Fin Labeo</w:t>
            </w:r>
          </w:p>
        </w:tc>
      </w:tr>
      <w:tr>
        <w:trPr>
          <w:cantSplit/>
        </w:trPr>
        <w:tc>
          <w:tcPr>
            <w:tcW w:w="3360" w:type="dxa"/>
          </w:tcPr>
          <w:p>
            <w:pPr>
              <w:pStyle w:val="yTableNAm"/>
              <w:rPr>
                <w:i/>
                <w:iCs/>
              </w:rPr>
            </w:pPr>
            <w:r>
              <w:rPr>
                <w:i/>
                <w:iCs/>
              </w:rPr>
              <w:t>Labeo rohita</w:t>
            </w:r>
          </w:p>
        </w:tc>
        <w:tc>
          <w:tcPr>
            <w:tcW w:w="3720" w:type="dxa"/>
          </w:tcPr>
          <w:p>
            <w:pPr>
              <w:pStyle w:val="yTableNAm"/>
            </w:pPr>
            <w:r>
              <w:t>Rohu</w:t>
            </w:r>
          </w:p>
        </w:tc>
      </w:tr>
      <w:tr>
        <w:trPr>
          <w:cantSplit/>
        </w:trPr>
        <w:tc>
          <w:tcPr>
            <w:tcW w:w="3360" w:type="dxa"/>
          </w:tcPr>
          <w:p>
            <w:pPr>
              <w:pStyle w:val="yTableNAm"/>
              <w:rPr>
                <w:i/>
                <w:iCs/>
              </w:rPr>
            </w:pPr>
            <w:r>
              <w:rPr>
                <w:i/>
                <w:iCs/>
              </w:rPr>
              <w:t>Lates microlepis</w:t>
            </w:r>
          </w:p>
        </w:tc>
        <w:tc>
          <w:tcPr>
            <w:tcW w:w="3720" w:type="dxa"/>
          </w:tcPr>
          <w:p>
            <w:pPr>
              <w:pStyle w:val="yTableNAm"/>
            </w:pPr>
            <w:r>
              <w:t>Forktail Lates</w:t>
            </w:r>
          </w:p>
        </w:tc>
      </w:tr>
      <w:tr>
        <w:trPr>
          <w:cantSplit/>
        </w:trPr>
        <w:tc>
          <w:tcPr>
            <w:tcW w:w="3360" w:type="dxa"/>
          </w:tcPr>
          <w:p>
            <w:pPr>
              <w:pStyle w:val="yTableNAm"/>
              <w:rPr>
                <w:i/>
                <w:iCs/>
              </w:rPr>
            </w:pPr>
            <w:r>
              <w:rPr>
                <w:i/>
                <w:iCs/>
              </w:rPr>
              <w:t>Lates niloticus</w:t>
            </w:r>
          </w:p>
        </w:tc>
        <w:tc>
          <w:tcPr>
            <w:tcW w:w="3720" w:type="dxa"/>
          </w:tcPr>
          <w:p>
            <w:pPr>
              <w:pStyle w:val="yTableNAm"/>
            </w:pPr>
            <w:smartTag w:uri="urn:schemas-microsoft-com:office:smarttags" w:element="place">
              <w:r>
                <w:t>Nile</w:t>
              </w:r>
            </w:smartTag>
            <w:r>
              <w:t xml:space="preserve"> Perch</w:t>
            </w:r>
          </w:p>
        </w:tc>
      </w:tr>
      <w:tr>
        <w:trPr>
          <w:cantSplit/>
        </w:trPr>
        <w:tc>
          <w:tcPr>
            <w:tcW w:w="3360" w:type="dxa"/>
          </w:tcPr>
          <w:p>
            <w:pPr>
              <w:pStyle w:val="yTableNAm"/>
              <w:rPr>
                <w:i/>
                <w:iCs/>
              </w:rPr>
            </w:pPr>
            <w:r>
              <w:rPr>
                <w:i/>
                <w:iCs/>
              </w:rPr>
              <w:t xml:space="preserve">Malapterurus spp. </w:t>
            </w:r>
            <w:r>
              <w:t>(entire genus)</w:t>
            </w:r>
          </w:p>
        </w:tc>
        <w:tc>
          <w:tcPr>
            <w:tcW w:w="3720" w:type="dxa"/>
          </w:tcPr>
          <w:p>
            <w:pPr>
              <w:pStyle w:val="yTableNAm"/>
            </w:pPr>
            <w:r>
              <w:t>Electric Catfish</w:t>
            </w:r>
          </w:p>
        </w:tc>
      </w:tr>
      <w:tr>
        <w:trPr>
          <w:cantSplit/>
        </w:trPr>
        <w:tc>
          <w:tcPr>
            <w:tcW w:w="3360" w:type="dxa"/>
          </w:tcPr>
          <w:p>
            <w:pPr>
              <w:pStyle w:val="yTableNAm"/>
              <w:rPr>
                <w:i/>
                <w:iCs/>
              </w:rPr>
            </w:pPr>
            <w:r>
              <w:rPr>
                <w:i/>
                <w:iCs/>
              </w:rPr>
              <w:t>Melanotheron melanotheron</w:t>
            </w:r>
          </w:p>
        </w:tc>
        <w:tc>
          <w:tcPr>
            <w:tcW w:w="3720" w:type="dxa"/>
          </w:tcPr>
          <w:p>
            <w:pPr>
              <w:pStyle w:val="yTableNAm"/>
            </w:pPr>
            <w:r>
              <w:t>Blackchin Tilapia</w:t>
            </w:r>
          </w:p>
        </w:tc>
      </w:tr>
      <w:tr>
        <w:trPr>
          <w:cantSplit/>
        </w:trPr>
        <w:tc>
          <w:tcPr>
            <w:tcW w:w="3360" w:type="dxa"/>
          </w:tcPr>
          <w:p>
            <w:pPr>
              <w:pStyle w:val="yTableNAm"/>
              <w:rPr>
                <w:i/>
                <w:iCs/>
              </w:rPr>
            </w:pPr>
            <w:r>
              <w:rPr>
                <w:i/>
                <w:iCs/>
              </w:rPr>
              <w:t>Misgurnus anguillicaudatus</w:t>
            </w:r>
          </w:p>
        </w:tc>
        <w:tc>
          <w:tcPr>
            <w:tcW w:w="3720" w:type="dxa"/>
          </w:tcPr>
          <w:p>
            <w:pPr>
              <w:pStyle w:val="yTableNAm"/>
            </w:pPr>
            <w:r>
              <w:t>Weatherloach</w:t>
            </w:r>
          </w:p>
        </w:tc>
      </w:tr>
      <w:tr>
        <w:trPr>
          <w:cantSplit/>
        </w:trPr>
        <w:tc>
          <w:tcPr>
            <w:tcW w:w="3360" w:type="dxa"/>
          </w:tcPr>
          <w:p>
            <w:pPr>
              <w:pStyle w:val="yTableNAm"/>
              <w:rPr>
                <w:i/>
                <w:iCs/>
              </w:rPr>
            </w:pPr>
            <w:r>
              <w:rPr>
                <w:i/>
                <w:iCs/>
              </w:rPr>
              <w:t>Mormyrops anguilloides</w:t>
            </w:r>
          </w:p>
        </w:tc>
        <w:tc>
          <w:tcPr>
            <w:tcW w:w="3720" w:type="dxa"/>
          </w:tcPr>
          <w:p>
            <w:pPr>
              <w:pStyle w:val="yTableNAm"/>
            </w:pPr>
            <w:r>
              <w:t>Cornish Jack, Bottlenose</w:t>
            </w:r>
          </w:p>
        </w:tc>
      </w:tr>
      <w:tr>
        <w:trPr>
          <w:cantSplit/>
        </w:trPr>
        <w:tc>
          <w:tcPr>
            <w:tcW w:w="3360" w:type="dxa"/>
          </w:tcPr>
          <w:p>
            <w:pPr>
              <w:pStyle w:val="yTableNAm"/>
              <w:rPr>
                <w:i/>
                <w:iCs/>
              </w:rPr>
            </w:pPr>
            <w:r>
              <w:rPr>
                <w:i/>
                <w:iCs/>
              </w:rPr>
              <w:t xml:space="preserve">Mytilopsis spp. </w:t>
            </w:r>
            <w:r>
              <w:t>(entire genus) and</w:t>
            </w:r>
            <w:r>
              <w:rPr>
                <w:i/>
                <w:iCs/>
              </w:rPr>
              <w:t xml:space="preserve"> Congeria spp. </w:t>
            </w:r>
            <w:r>
              <w:t>(entire genus)</w:t>
            </w:r>
          </w:p>
        </w:tc>
        <w:tc>
          <w:tcPr>
            <w:tcW w:w="3720" w:type="dxa"/>
          </w:tcPr>
          <w:p>
            <w:pPr>
              <w:pStyle w:val="yTableNAm"/>
            </w:pPr>
            <w:r>
              <w:t>Black Striped Mussel</w:t>
            </w:r>
          </w:p>
        </w:tc>
      </w:tr>
      <w:tr>
        <w:trPr>
          <w:cantSplit/>
        </w:trPr>
        <w:tc>
          <w:tcPr>
            <w:tcW w:w="3360" w:type="dxa"/>
          </w:tcPr>
          <w:p>
            <w:pPr>
              <w:pStyle w:val="yTableNAm"/>
              <w:rPr>
                <w:i/>
                <w:iCs/>
              </w:rPr>
            </w:pPr>
            <w:r>
              <w:rPr>
                <w:i/>
                <w:iCs/>
              </w:rPr>
              <w:t xml:space="preserve">Notropis spp. </w:t>
            </w:r>
            <w:r>
              <w:t>(entire genus)</w:t>
            </w:r>
          </w:p>
        </w:tc>
        <w:tc>
          <w:tcPr>
            <w:tcW w:w="3720" w:type="dxa"/>
          </w:tcPr>
          <w:p>
            <w:pPr>
              <w:pStyle w:val="yTableNAm"/>
            </w:pPr>
            <w:r>
              <w:t>Shiners</w:t>
            </w:r>
          </w:p>
        </w:tc>
      </w:tr>
      <w:tr>
        <w:trPr>
          <w:cantSplit/>
        </w:trPr>
        <w:tc>
          <w:tcPr>
            <w:tcW w:w="3360" w:type="dxa"/>
          </w:tcPr>
          <w:p>
            <w:pPr>
              <w:pStyle w:val="yTableNAm"/>
              <w:rPr>
                <w:i/>
                <w:iCs/>
              </w:rPr>
            </w:pPr>
            <w:r>
              <w:rPr>
                <w:i/>
                <w:iCs/>
              </w:rPr>
              <w:t xml:space="preserve">Oreochromis spp. </w:t>
            </w:r>
            <w:r>
              <w:t>(entire genus)</w:t>
            </w:r>
          </w:p>
        </w:tc>
        <w:tc>
          <w:tcPr>
            <w:tcW w:w="3720" w:type="dxa"/>
          </w:tcPr>
          <w:p>
            <w:pPr>
              <w:pStyle w:val="yTableNAm"/>
            </w:pPr>
            <w:r>
              <w:t>Tilapia (Various)</w:t>
            </w:r>
          </w:p>
        </w:tc>
      </w:tr>
      <w:tr>
        <w:trPr>
          <w:cantSplit/>
        </w:trPr>
        <w:tc>
          <w:tcPr>
            <w:tcW w:w="3360" w:type="dxa"/>
          </w:tcPr>
          <w:p>
            <w:pPr>
              <w:pStyle w:val="yTableNAm"/>
              <w:rPr>
                <w:i/>
                <w:iCs/>
              </w:rPr>
            </w:pPr>
            <w:r>
              <w:rPr>
                <w:i/>
                <w:iCs/>
              </w:rPr>
              <w:t xml:space="preserve">Oxydoras spp. </w:t>
            </w:r>
            <w:r>
              <w:t>(entire genus)</w:t>
            </w:r>
          </w:p>
        </w:tc>
        <w:tc>
          <w:tcPr>
            <w:tcW w:w="3720" w:type="dxa"/>
          </w:tcPr>
          <w:p>
            <w:pPr>
              <w:pStyle w:val="yTableNAm"/>
            </w:pPr>
            <w:r>
              <w:t>Ripsaw Catfish, Black Doras, Black Shielded Catfish</w:t>
            </w:r>
          </w:p>
        </w:tc>
      </w:tr>
      <w:tr>
        <w:trPr>
          <w:cantSplit/>
        </w:trPr>
        <w:tc>
          <w:tcPr>
            <w:tcW w:w="3360" w:type="dxa"/>
          </w:tcPr>
          <w:p>
            <w:pPr>
              <w:pStyle w:val="yTableNAm"/>
              <w:rPr>
                <w:i/>
                <w:iCs/>
              </w:rPr>
            </w:pPr>
            <w:r>
              <w:rPr>
                <w:i/>
                <w:iCs/>
              </w:rPr>
              <w:t>Oxyeleotris marmorata</w:t>
            </w:r>
          </w:p>
        </w:tc>
        <w:tc>
          <w:tcPr>
            <w:tcW w:w="3720" w:type="dxa"/>
          </w:tcPr>
          <w:p>
            <w:pPr>
              <w:pStyle w:val="yTableNAm"/>
            </w:pPr>
            <w:r>
              <w:t>Marble Goby</w:t>
            </w:r>
          </w:p>
        </w:tc>
      </w:tr>
      <w:tr>
        <w:trPr>
          <w:cantSplit/>
        </w:trPr>
        <w:tc>
          <w:tcPr>
            <w:tcW w:w="3360" w:type="dxa"/>
          </w:tcPr>
          <w:p>
            <w:pPr>
              <w:pStyle w:val="yTableNAm"/>
              <w:rPr>
                <w:i/>
                <w:iCs/>
              </w:rPr>
            </w:pPr>
            <w:r>
              <w:rPr>
                <w:i/>
                <w:iCs/>
              </w:rPr>
              <w:t>Paravandelia oxyptera</w:t>
            </w:r>
          </w:p>
        </w:tc>
        <w:tc>
          <w:tcPr>
            <w:tcW w:w="3720" w:type="dxa"/>
          </w:tcPr>
          <w:p>
            <w:pPr>
              <w:pStyle w:val="yTableNAm"/>
            </w:pPr>
            <w:r>
              <w:t>Parasitic Catfish</w:t>
            </w:r>
          </w:p>
        </w:tc>
      </w:tr>
      <w:tr>
        <w:trPr>
          <w:cantSplit/>
        </w:trPr>
        <w:tc>
          <w:tcPr>
            <w:tcW w:w="3360" w:type="dxa"/>
          </w:tcPr>
          <w:p>
            <w:pPr>
              <w:pStyle w:val="yTableNAm"/>
              <w:rPr>
                <w:i/>
                <w:iCs/>
              </w:rPr>
            </w:pPr>
            <w:r>
              <w:rPr>
                <w:i/>
                <w:iCs/>
              </w:rPr>
              <w:t>Phoxinus erythrogaster</w:t>
            </w:r>
          </w:p>
        </w:tc>
        <w:tc>
          <w:tcPr>
            <w:tcW w:w="3720" w:type="dxa"/>
          </w:tcPr>
          <w:p>
            <w:pPr>
              <w:pStyle w:val="yTableNAm"/>
            </w:pPr>
            <w:r>
              <w:t>Southern Redbelly Dace</w:t>
            </w:r>
          </w:p>
        </w:tc>
      </w:tr>
      <w:tr>
        <w:trPr>
          <w:cantSplit/>
        </w:trPr>
        <w:tc>
          <w:tcPr>
            <w:tcW w:w="3360" w:type="dxa"/>
          </w:tcPr>
          <w:p>
            <w:pPr>
              <w:pStyle w:val="yTableNAm"/>
              <w:rPr>
                <w:i/>
                <w:iCs/>
              </w:rPr>
            </w:pPr>
            <w:r>
              <w:rPr>
                <w:i/>
                <w:iCs/>
              </w:rPr>
              <w:t>Polyodon spathula</w:t>
            </w:r>
          </w:p>
        </w:tc>
        <w:tc>
          <w:tcPr>
            <w:tcW w:w="3720" w:type="dxa"/>
          </w:tcPr>
          <w:p>
            <w:pPr>
              <w:pStyle w:val="yTableNAm"/>
            </w:pPr>
            <w:smartTag w:uri="urn:schemas-microsoft-com:office:smarttags" w:element="place">
              <w:smartTag w:uri="urn:schemas-microsoft-com:office:smarttags" w:element="State">
                <w:r>
                  <w:t>Mississippi</w:t>
                </w:r>
              </w:smartTag>
            </w:smartTag>
            <w:r>
              <w:t xml:space="preserve"> Paddlefish</w:t>
            </w:r>
          </w:p>
        </w:tc>
      </w:tr>
      <w:tr>
        <w:trPr>
          <w:cantSplit/>
        </w:trPr>
        <w:tc>
          <w:tcPr>
            <w:tcW w:w="3360" w:type="dxa"/>
          </w:tcPr>
          <w:p>
            <w:pPr>
              <w:pStyle w:val="yTableNAm"/>
              <w:rPr>
                <w:i/>
                <w:iCs/>
              </w:rPr>
            </w:pPr>
            <w:r>
              <w:rPr>
                <w:i/>
                <w:iCs/>
              </w:rPr>
              <w:t>Procambarus clarkii</w:t>
            </w:r>
          </w:p>
        </w:tc>
        <w:tc>
          <w:tcPr>
            <w:tcW w:w="3720" w:type="dxa"/>
          </w:tcPr>
          <w:p>
            <w:pPr>
              <w:pStyle w:val="yTableNAm"/>
            </w:pPr>
            <w:smartTag w:uri="urn:schemas-microsoft-com:office:smarttags" w:element="place">
              <w:smartTag w:uri="urn:schemas-microsoft-com:office:smarttags" w:element="PlaceName">
                <w:r>
                  <w:t>Red</w:t>
                </w:r>
              </w:smartTag>
              <w:r>
                <w:t xml:space="preserve"> </w:t>
              </w:r>
              <w:smartTag w:uri="urn:schemas-microsoft-com:office:smarttags" w:element="PlaceType">
                <w:r>
                  <w:t>Swamp</w:t>
                </w:r>
              </w:smartTag>
            </w:smartTag>
            <w:r>
              <w:t xml:space="preserve"> Crayfish</w:t>
            </w:r>
          </w:p>
        </w:tc>
      </w:tr>
      <w:tr>
        <w:trPr>
          <w:cantSplit/>
        </w:trPr>
        <w:tc>
          <w:tcPr>
            <w:tcW w:w="3360" w:type="dxa"/>
          </w:tcPr>
          <w:p>
            <w:pPr>
              <w:pStyle w:val="yTableNAm"/>
              <w:rPr>
                <w:i/>
                <w:iCs/>
              </w:rPr>
            </w:pPr>
            <w:r>
              <w:rPr>
                <w:i/>
                <w:iCs/>
              </w:rPr>
              <w:t>Protopterus annectens</w:t>
            </w:r>
          </w:p>
        </w:tc>
        <w:tc>
          <w:tcPr>
            <w:tcW w:w="3720" w:type="dxa"/>
          </w:tcPr>
          <w:p>
            <w:pPr>
              <w:pStyle w:val="yTableNAm"/>
            </w:pPr>
            <w:r>
              <w:t>African Lungfish</w:t>
            </w:r>
          </w:p>
        </w:tc>
      </w:tr>
      <w:tr>
        <w:trPr>
          <w:cantSplit/>
        </w:trPr>
        <w:tc>
          <w:tcPr>
            <w:tcW w:w="3360" w:type="dxa"/>
          </w:tcPr>
          <w:p>
            <w:pPr>
              <w:pStyle w:val="yTableNAm"/>
              <w:rPr>
                <w:i/>
                <w:iCs/>
              </w:rPr>
            </w:pPr>
            <w:r>
              <w:rPr>
                <w:i/>
                <w:iCs/>
              </w:rPr>
              <w:t>Psephurus gladius</w:t>
            </w:r>
          </w:p>
        </w:tc>
        <w:tc>
          <w:tcPr>
            <w:tcW w:w="3720" w:type="dxa"/>
          </w:tcPr>
          <w:p>
            <w:pPr>
              <w:pStyle w:val="yTableNAm"/>
            </w:pPr>
            <w:r>
              <w:t>Chinese Swordfish</w:t>
            </w:r>
          </w:p>
        </w:tc>
      </w:tr>
      <w:tr>
        <w:trPr>
          <w:cantSplit/>
        </w:trPr>
        <w:tc>
          <w:tcPr>
            <w:tcW w:w="3360" w:type="dxa"/>
          </w:tcPr>
          <w:p>
            <w:pPr>
              <w:pStyle w:val="yTableNAm"/>
              <w:rPr>
                <w:i/>
                <w:iCs/>
              </w:rPr>
            </w:pPr>
            <w:r>
              <w:rPr>
                <w:i/>
                <w:iCs/>
              </w:rPr>
              <w:t>Pseudoplatystoma fasciatum</w:t>
            </w:r>
          </w:p>
        </w:tc>
        <w:tc>
          <w:tcPr>
            <w:tcW w:w="3720" w:type="dxa"/>
          </w:tcPr>
          <w:p>
            <w:pPr>
              <w:pStyle w:val="yTableNAm"/>
            </w:pPr>
            <w:r>
              <w:t>Tiger Catfish</w:t>
            </w:r>
          </w:p>
        </w:tc>
      </w:tr>
      <w:tr>
        <w:trPr>
          <w:cantSplit/>
        </w:trPr>
        <w:tc>
          <w:tcPr>
            <w:tcW w:w="3360" w:type="dxa"/>
          </w:tcPr>
          <w:p>
            <w:pPr>
              <w:pStyle w:val="yTableNAm"/>
              <w:rPr>
                <w:i/>
                <w:iCs/>
              </w:rPr>
            </w:pPr>
            <w:r>
              <w:rPr>
                <w:i/>
                <w:iCs/>
              </w:rPr>
              <w:t>Pungitius pungitius</w:t>
            </w:r>
          </w:p>
        </w:tc>
        <w:tc>
          <w:tcPr>
            <w:tcW w:w="3720" w:type="dxa"/>
          </w:tcPr>
          <w:p>
            <w:pPr>
              <w:pStyle w:val="yTableNAm"/>
            </w:pPr>
            <w:r>
              <w:t>Ninespine Stickleback</w:t>
            </w:r>
          </w:p>
        </w:tc>
      </w:tr>
      <w:tr>
        <w:trPr>
          <w:cantSplit/>
        </w:trPr>
        <w:tc>
          <w:tcPr>
            <w:tcW w:w="3360" w:type="dxa"/>
          </w:tcPr>
          <w:p>
            <w:pPr>
              <w:pStyle w:val="yTableNAm"/>
              <w:rPr>
                <w:i/>
                <w:iCs/>
              </w:rPr>
            </w:pPr>
            <w:r>
              <w:rPr>
                <w:i/>
                <w:iCs/>
              </w:rPr>
              <w:t xml:space="preserve">Pygocentrus spp. </w:t>
            </w:r>
            <w:r>
              <w:t>(entire genus)</w:t>
            </w:r>
          </w:p>
        </w:tc>
        <w:tc>
          <w:tcPr>
            <w:tcW w:w="3720" w:type="dxa"/>
          </w:tcPr>
          <w:p>
            <w:pPr>
              <w:pStyle w:val="yTableNAm"/>
            </w:pPr>
            <w:r>
              <w:t>Piranha (Various)</w:t>
            </w:r>
          </w:p>
        </w:tc>
      </w:tr>
      <w:tr>
        <w:trPr>
          <w:cantSplit/>
        </w:trPr>
        <w:tc>
          <w:tcPr>
            <w:tcW w:w="3360" w:type="dxa"/>
          </w:tcPr>
          <w:p>
            <w:pPr>
              <w:pStyle w:val="yTableNAm"/>
              <w:rPr>
                <w:i/>
                <w:iCs/>
              </w:rPr>
            </w:pPr>
            <w:r>
              <w:rPr>
                <w:i/>
                <w:iCs/>
              </w:rPr>
              <w:t xml:space="preserve">Sargochromis spp. </w:t>
            </w:r>
            <w:r>
              <w:t>(entire genus)</w:t>
            </w:r>
          </w:p>
        </w:tc>
        <w:tc>
          <w:tcPr>
            <w:tcW w:w="3720" w:type="dxa"/>
          </w:tcPr>
          <w:p>
            <w:pPr>
              <w:pStyle w:val="yTableNAm"/>
            </w:pPr>
            <w:r>
              <w:t>Pink, Slender, Greenwoods, Mortimers, Cunean and Green Happy</w:t>
            </w:r>
          </w:p>
        </w:tc>
      </w:tr>
      <w:tr>
        <w:trPr>
          <w:cantSplit/>
        </w:trPr>
        <w:tc>
          <w:tcPr>
            <w:tcW w:w="3360" w:type="dxa"/>
          </w:tcPr>
          <w:p>
            <w:pPr>
              <w:pStyle w:val="yTableNAm"/>
              <w:rPr>
                <w:i/>
                <w:iCs/>
              </w:rPr>
            </w:pPr>
            <w:r>
              <w:rPr>
                <w:i/>
                <w:iCs/>
              </w:rPr>
              <w:t xml:space="preserve">Sarotherodon spp. </w:t>
            </w:r>
            <w:r>
              <w:t>(entire genus)</w:t>
            </w:r>
          </w:p>
        </w:tc>
        <w:tc>
          <w:tcPr>
            <w:tcW w:w="3720" w:type="dxa"/>
          </w:tcPr>
          <w:p>
            <w:pPr>
              <w:pStyle w:val="yTableNAm"/>
            </w:pPr>
            <w:r>
              <w:t>Tilapia (Various)</w:t>
            </w:r>
          </w:p>
        </w:tc>
      </w:tr>
      <w:tr>
        <w:trPr>
          <w:cantSplit/>
        </w:trPr>
        <w:tc>
          <w:tcPr>
            <w:tcW w:w="3360" w:type="dxa"/>
          </w:tcPr>
          <w:p>
            <w:pPr>
              <w:pStyle w:val="yTableNAm"/>
              <w:rPr>
                <w:i/>
                <w:iCs/>
              </w:rPr>
            </w:pPr>
            <w:r>
              <w:rPr>
                <w:i/>
                <w:iCs/>
              </w:rPr>
              <w:t>Schilbe mystus</w:t>
            </w:r>
          </w:p>
        </w:tc>
        <w:tc>
          <w:tcPr>
            <w:tcW w:w="3720" w:type="dxa"/>
          </w:tcPr>
          <w:p>
            <w:pPr>
              <w:pStyle w:val="yTableNAm"/>
            </w:pPr>
            <w:r>
              <w:t>African Butter Catfish</w:t>
            </w:r>
          </w:p>
        </w:tc>
      </w:tr>
      <w:tr>
        <w:trPr>
          <w:cantSplit/>
        </w:trPr>
        <w:tc>
          <w:tcPr>
            <w:tcW w:w="3360" w:type="dxa"/>
          </w:tcPr>
          <w:p>
            <w:pPr>
              <w:pStyle w:val="yTableNAm"/>
              <w:rPr>
                <w:i/>
                <w:iCs/>
              </w:rPr>
            </w:pPr>
            <w:r>
              <w:rPr>
                <w:i/>
                <w:iCs/>
              </w:rPr>
              <w:t xml:space="preserve">Serranochromis spp. </w:t>
            </w:r>
            <w:r>
              <w:t>(entire genus)</w:t>
            </w:r>
          </w:p>
        </w:tc>
        <w:tc>
          <w:tcPr>
            <w:tcW w:w="3720" w:type="dxa"/>
          </w:tcPr>
          <w:p>
            <w:pPr>
              <w:pStyle w:val="yTableNAm"/>
            </w:pPr>
            <w:r>
              <w:t>Cichlids</w:t>
            </w:r>
          </w:p>
        </w:tc>
      </w:tr>
      <w:tr>
        <w:trPr>
          <w:cantSplit/>
        </w:trPr>
        <w:tc>
          <w:tcPr>
            <w:tcW w:w="3360" w:type="dxa"/>
          </w:tcPr>
          <w:p>
            <w:pPr>
              <w:pStyle w:val="yTableNAm"/>
              <w:rPr>
                <w:i/>
                <w:iCs/>
              </w:rPr>
            </w:pPr>
            <w:r>
              <w:rPr>
                <w:i/>
                <w:iCs/>
              </w:rPr>
              <w:t xml:space="preserve">Serrasalmus spp. </w:t>
            </w:r>
            <w:r>
              <w:t>(entire genus)</w:t>
            </w:r>
          </w:p>
        </w:tc>
        <w:tc>
          <w:tcPr>
            <w:tcW w:w="3720" w:type="dxa"/>
          </w:tcPr>
          <w:p>
            <w:pPr>
              <w:pStyle w:val="yTableNAm"/>
            </w:pPr>
            <w:r>
              <w:t>Piranha (Various)</w:t>
            </w:r>
          </w:p>
        </w:tc>
      </w:tr>
      <w:tr>
        <w:trPr>
          <w:cantSplit/>
        </w:trPr>
        <w:tc>
          <w:tcPr>
            <w:tcW w:w="3360" w:type="dxa"/>
          </w:tcPr>
          <w:p>
            <w:pPr>
              <w:pStyle w:val="yTableNAm"/>
              <w:rPr>
                <w:i/>
                <w:iCs/>
              </w:rPr>
            </w:pPr>
            <w:r>
              <w:rPr>
                <w:i/>
                <w:iCs/>
              </w:rPr>
              <w:t xml:space="preserve">Silurus spp. </w:t>
            </w:r>
            <w:r>
              <w:t>(entire genus)</w:t>
            </w:r>
          </w:p>
        </w:tc>
        <w:tc>
          <w:tcPr>
            <w:tcW w:w="3720" w:type="dxa"/>
          </w:tcPr>
          <w:p>
            <w:pPr>
              <w:pStyle w:val="yTableNAm"/>
            </w:pPr>
            <w:r>
              <w:t xml:space="preserve">European Catfish, </w:t>
            </w:r>
            <w:smartTag w:uri="urn:schemas-microsoft-com:office:smarttags" w:element="place">
              <w:smartTag w:uri="urn:schemas-microsoft-com:office:smarttags" w:element="City">
                <w:r>
                  <w:t>Wels</w:t>
                </w:r>
              </w:smartTag>
            </w:smartTag>
            <w:r>
              <w:t xml:space="preserve"> Catfish</w:t>
            </w:r>
          </w:p>
        </w:tc>
      </w:tr>
      <w:tr>
        <w:trPr>
          <w:cantSplit/>
        </w:trPr>
        <w:tc>
          <w:tcPr>
            <w:tcW w:w="3360" w:type="dxa"/>
          </w:tcPr>
          <w:p>
            <w:pPr>
              <w:pStyle w:val="yTableNAm"/>
              <w:rPr>
                <w:i/>
                <w:iCs/>
              </w:rPr>
            </w:pPr>
            <w:r>
              <w:rPr>
                <w:i/>
                <w:iCs/>
              </w:rPr>
              <w:t xml:space="preserve">Tilapia spp. </w:t>
            </w:r>
            <w:r>
              <w:t>(all except</w:t>
            </w:r>
            <w:r>
              <w:rPr>
                <w:i/>
                <w:iCs/>
              </w:rPr>
              <w:t xml:space="preserve"> T. buttikoferi</w:t>
            </w:r>
            <w:r>
              <w:t>)</w:t>
            </w:r>
          </w:p>
        </w:tc>
        <w:tc>
          <w:tcPr>
            <w:tcW w:w="3720" w:type="dxa"/>
          </w:tcPr>
          <w:p>
            <w:pPr>
              <w:pStyle w:val="yTableNAm"/>
            </w:pPr>
            <w:r>
              <w:t>Tilapia (Various)</w:t>
            </w:r>
          </w:p>
        </w:tc>
      </w:tr>
      <w:tr>
        <w:trPr>
          <w:cantSplit/>
        </w:trPr>
        <w:tc>
          <w:tcPr>
            <w:tcW w:w="3360" w:type="dxa"/>
          </w:tcPr>
          <w:p>
            <w:pPr>
              <w:pStyle w:val="yTableNAm"/>
              <w:rPr>
                <w:i/>
                <w:iCs/>
              </w:rPr>
            </w:pPr>
            <w:r>
              <w:rPr>
                <w:i/>
                <w:iCs/>
              </w:rPr>
              <w:t xml:space="preserve">Tor </w:t>
            </w:r>
            <w:r>
              <w:t>(entire genus)</w:t>
            </w:r>
          </w:p>
        </w:tc>
        <w:tc>
          <w:tcPr>
            <w:tcW w:w="3720" w:type="dxa"/>
          </w:tcPr>
          <w:p>
            <w:pPr>
              <w:pStyle w:val="yTableNAm"/>
            </w:pPr>
            <w:r>
              <w:t xml:space="preserve">River Carp, </w:t>
            </w:r>
            <w:smartTag w:uri="urn:schemas-microsoft-com:office:smarttags" w:element="place">
              <w:r>
                <w:t>Deccan</w:t>
              </w:r>
            </w:smartTag>
            <w:r>
              <w:t>, High backed, Jungha, Putitor, Thai Mahseer</w:t>
            </w:r>
          </w:p>
        </w:tc>
      </w:tr>
      <w:tr>
        <w:trPr>
          <w:cantSplit/>
        </w:trPr>
        <w:tc>
          <w:tcPr>
            <w:tcW w:w="3360" w:type="dxa"/>
          </w:tcPr>
          <w:p>
            <w:pPr>
              <w:pStyle w:val="yTableNAm"/>
              <w:rPr>
                <w:i/>
                <w:iCs/>
              </w:rPr>
            </w:pPr>
            <w:r>
              <w:rPr>
                <w:i/>
                <w:iCs/>
              </w:rPr>
              <w:t>Tridentiger trigonocephalus</w:t>
            </w:r>
          </w:p>
        </w:tc>
        <w:tc>
          <w:tcPr>
            <w:tcW w:w="3720" w:type="dxa"/>
          </w:tcPr>
          <w:p>
            <w:pPr>
              <w:pStyle w:val="yTableNAm"/>
            </w:pPr>
            <w:r>
              <w:t>Chameleon Goby, Striped Goby</w:t>
            </w:r>
          </w:p>
        </w:tc>
      </w:tr>
      <w:tr>
        <w:trPr>
          <w:cantSplit/>
        </w:trPr>
        <w:tc>
          <w:tcPr>
            <w:tcW w:w="3360" w:type="dxa"/>
          </w:tcPr>
          <w:p>
            <w:pPr>
              <w:pStyle w:val="yTableNAm"/>
              <w:rPr>
                <w:i/>
                <w:iCs/>
              </w:rPr>
            </w:pPr>
            <w:smartTag w:uri="urn:schemas-microsoft-com:office:smarttags" w:element="place">
              <w:smartTag w:uri="urn:schemas-microsoft-com:office:smarttags" w:element="country-region">
                <w:r>
                  <w:rPr>
                    <w:i/>
                    <w:iCs/>
                  </w:rPr>
                  <w:t>Valencia</w:t>
                </w:r>
              </w:smartTag>
            </w:smartTag>
            <w:r>
              <w:rPr>
                <w:i/>
                <w:iCs/>
              </w:rPr>
              <w:t xml:space="preserve"> hispanica</w:t>
            </w:r>
          </w:p>
        </w:tc>
        <w:tc>
          <w:tcPr>
            <w:tcW w:w="3720" w:type="dxa"/>
          </w:tcPr>
          <w:p>
            <w:pPr>
              <w:pStyle w:val="yTableNAm"/>
            </w:pPr>
            <w:smartTag w:uri="urn:schemas-microsoft-com:office:smarttags" w:element="place">
              <w:smartTag w:uri="urn:schemas-microsoft-com:office:smarttags" w:element="country-region">
                <w:r>
                  <w:t>Valencia</w:t>
                </w:r>
              </w:smartTag>
            </w:smartTag>
            <w:r>
              <w:t xml:space="preserve"> Toothcarp</w:t>
            </w:r>
          </w:p>
        </w:tc>
      </w:tr>
      <w:tr>
        <w:trPr>
          <w:cantSplit/>
        </w:trPr>
        <w:tc>
          <w:tcPr>
            <w:tcW w:w="3360" w:type="dxa"/>
          </w:tcPr>
          <w:p>
            <w:pPr>
              <w:pStyle w:val="yTableNAm"/>
              <w:rPr>
                <w:i/>
                <w:iCs/>
              </w:rPr>
            </w:pPr>
            <w:r>
              <w:rPr>
                <w:i/>
                <w:iCs/>
              </w:rPr>
              <w:t>Zacco platypus</w:t>
            </w:r>
          </w:p>
        </w:tc>
        <w:tc>
          <w:tcPr>
            <w:tcW w:w="3720" w:type="dxa"/>
          </w:tcPr>
          <w:p>
            <w:pPr>
              <w:pStyle w:val="yTableNAm"/>
            </w:pPr>
            <w:r>
              <w:t>Freshwater Minnow</w:t>
            </w:r>
          </w:p>
        </w:tc>
      </w:tr>
    </w:tbl>
    <w:p>
      <w:pPr>
        <w:pStyle w:val="yFootnotesection"/>
      </w:pPr>
      <w:r>
        <w:tab/>
        <w:t>[Schedule 5 inserted in Gazette 23 Jul 2010 p. 3403-6.]</w:t>
      </w:r>
    </w:p>
    <w:p>
      <w:pPr>
        <w:pStyle w:val="yScheduleHeading"/>
      </w:pPr>
      <w:bookmarkStart w:id="1430" w:name="_Toc339626120"/>
      <w:bookmarkStart w:id="1431" w:name="_Toc342397872"/>
      <w:bookmarkStart w:id="1432" w:name="_Toc343520129"/>
      <w:bookmarkStart w:id="1433" w:name="_Toc343520586"/>
      <w:bookmarkStart w:id="1434" w:name="_Toc344712151"/>
      <w:bookmarkStart w:id="1435" w:name="_Toc344712667"/>
      <w:bookmarkStart w:id="1436" w:name="_Toc347307914"/>
      <w:bookmarkStart w:id="1437" w:name="_Toc349822827"/>
      <w:bookmarkStart w:id="1438" w:name="_Toc349823247"/>
      <w:bookmarkStart w:id="1439" w:name="_Toc349831229"/>
      <w:bookmarkStart w:id="1440" w:name="_Toc359249021"/>
      <w:bookmarkStart w:id="1441" w:name="_Toc359316978"/>
      <w:r>
        <w:rPr>
          <w:rStyle w:val="CharSchNo"/>
        </w:rPr>
        <w:t>Schedule 6</w:t>
      </w:r>
      <w:bookmarkEnd w:id="1430"/>
      <w:bookmarkEnd w:id="1431"/>
      <w:bookmarkEnd w:id="1432"/>
      <w:bookmarkEnd w:id="1433"/>
      <w:bookmarkEnd w:id="1434"/>
      <w:bookmarkEnd w:id="1435"/>
      <w:bookmarkEnd w:id="1436"/>
      <w:bookmarkEnd w:id="1437"/>
      <w:bookmarkEnd w:id="1438"/>
      <w:bookmarkEnd w:id="1439"/>
      <w:bookmarkEnd w:id="1440"/>
      <w:bookmarkEnd w:id="1441"/>
    </w:p>
    <w:p>
      <w:pPr>
        <w:pStyle w:val="yHeading2"/>
      </w:pPr>
      <w:bookmarkStart w:id="1442" w:name="_Toc339626121"/>
      <w:bookmarkStart w:id="1443" w:name="_Toc342397873"/>
      <w:bookmarkStart w:id="1444" w:name="_Toc343520130"/>
      <w:bookmarkStart w:id="1445" w:name="_Toc343520587"/>
      <w:bookmarkStart w:id="1446" w:name="_Toc344712152"/>
      <w:bookmarkStart w:id="1447" w:name="_Toc344712668"/>
      <w:bookmarkStart w:id="1448" w:name="_Toc347307915"/>
      <w:bookmarkStart w:id="1449" w:name="_Toc349822828"/>
      <w:bookmarkStart w:id="1450" w:name="_Toc349823248"/>
      <w:bookmarkStart w:id="1451" w:name="_Toc349831230"/>
      <w:bookmarkStart w:id="1452" w:name="_Toc359249022"/>
      <w:bookmarkStart w:id="1453" w:name="_Toc359316979"/>
      <w:r>
        <w:rPr>
          <w:rStyle w:val="CharSchText"/>
        </w:rPr>
        <w:t>Area of land prescribed under section 91(d) of the Act</w:t>
      </w:r>
      <w:bookmarkEnd w:id="1442"/>
      <w:bookmarkEnd w:id="1443"/>
      <w:bookmarkEnd w:id="1444"/>
      <w:bookmarkEnd w:id="1445"/>
      <w:bookmarkEnd w:id="1446"/>
      <w:bookmarkEnd w:id="1447"/>
      <w:bookmarkEnd w:id="1448"/>
      <w:bookmarkEnd w:id="1449"/>
      <w:bookmarkEnd w:id="1450"/>
      <w:bookmarkEnd w:id="1451"/>
      <w:bookmarkEnd w:id="1452"/>
      <w:bookmarkEnd w:id="1453"/>
    </w:p>
    <w:p>
      <w:pPr>
        <w:pStyle w:val="yShoulderClause"/>
        <w:rPr>
          <w:snapToGrid w:val="0"/>
        </w:rPr>
      </w:pPr>
      <w:r>
        <w:rPr>
          <w:snapToGrid w:val="0"/>
        </w:rPr>
        <w:t>[reg. 68]</w:t>
      </w:r>
    </w:p>
    <w:p>
      <w:pPr>
        <w:pStyle w:val="yNumberedItem"/>
        <w:rPr>
          <w:snapToGrid w:val="0"/>
        </w:rPr>
      </w:pPr>
      <w:r>
        <w:rPr>
          <w:snapToGrid w:val="0"/>
        </w:rPr>
        <w:t xml:space="preserve">All areas of </w:t>
      </w:r>
      <w:smartTag w:uri="urn:schemas-microsoft-com:office:smarttags" w:element="place">
        <w:smartTag w:uri="urn:schemas-microsoft-com:office:smarttags" w:element="State">
          <w:r>
            <w:rPr>
              <w:snapToGrid w:val="0"/>
            </w:rPr>
            <w:t>Western Australia</w:t>
          </w:r>
        </w:smartTag>
      </w:smartTag>
      <w:r>
        <w:rPr>
          <w:snapToGrid w:val="0"/>
        </w:rPr>
        <w:t xml:space="preserve"> north and east of:</w:t>
      </w:r>
    </w:p>
    <w:p>
      <w:pPr>
        <w:pStyle w:val="yNumberedItem"/>
        <w:rPr>
          <w:snapToGrid w:val="0"/>
        </w:rPr>
      </w:pP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city generally south east along </w:t>
      </w:r>
      <w:smartTag w:uri="urn:schemas-microsoft-com:office:smarttags" w:element="Street">
        <w:smartTag w:uri="urn:schemas-microsoft-com:office:smarttags" w:element="address">
          <w:r>
            <w:rPr>
              <w:snapToGrid w:val="0"/>
            </w:rPr>
            <w:t>Albany Highway</w:t>
          </w:r>
        </w:smartTag>
      </w:smartTag>
      <w:r>
        <w:rPr>
          <w:snapToGrid w:val="0"/>
        </w:rPr>
        <w:t xml:space="preserve"> to the intersection of </w:t>
      </w:r>
      <w:smartTag w:uri="urn:schemas-microsoft-com:office:smarttags" w:element="Street">
        <w:smartTag w:uri="urn:schemas-microsoft-com:office:smarttags" w:element="address">
          <w:r>
            <w:rPr>
              <w:snapToGrid w:val="0"/>
            </w:rPr>
            <w:t>Albany Highway</w:t>
          </w:r>
        </w:smartTag>
      </w:smartTag>
      <w:r>
        <w:rPr>
          <w:snapToGrid w:val="0"/>
        </w:rPr>
        <w:t xml:space="preserve"> and </w:t>
      </w:r>
      <w:smartTag w:uri="urn:schemas-microsoft-com:office:smarttags" w:element="Street">
        <w:smartTag w:uri="urn:schemas-microsoft-com:office:smarttags" w:element="address">
          <w:r>
            <w:rPr>
              <w:snapToGrid w:val="0"/>
            </w:rPr>
            <w:t>Bannister/Marradong Road</w:t>
          </w:r>
        </w:smartTag>
      </w:smartTag>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 xml:space="preserve">Thence generally south west along </w:t>
      </w:r>
      <w:smartTag w:uri="urn:schemas-microsoft-com:office:smarttags" w:element="Street">
        <w:smartTag w:uri="urn:schemas-microsoft-com:office:smarttags" w:element="address">
          <w:r>
            <w:rPr>
              <w:snapToGrid w:val="0"/>
            </w:rPr>
            <w:t>Pinjarra/Williams Road</w:t>
          </w:r>
        </w:smartTag>
      </w:smartTag>
      <w:r>
        <w:rPr>
          <w:snapToGrid w:val="0"/>
        </w:rPr>
        <w:t xml:space="preserve"> to Quindanning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Quindanning/Darkan Road</w:t>
          </w:r>
        </w:smartTag>
      </w:smartTag>
      <w:r>
        <w:rPr>
          <w:snapToGrid w:val="0"/>
        </w:rPr>
        <w:t xml:space="preserve"> to Darkan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Darkan Road south</w:t>
          </w:r>
        </w:smartTag>
      </w:smartTag>
      <w:r>
        <w:rPr>
          <w:snapToGrid w:val="0"/>
        </w:rPr>
        <w:t xml:space="preserve"> to Duranillan (town)</w:t>
      </w:r>
    </w:p>
    <w:p>
      <w:pPr>
        <w:pStyle w:val="yNumberedItem"/>
        <w:rPr>
          <w:snapToGrid w:val="0"/>
        </w:rPr>
      </w:pPr>
      <w:r>
        <w:rPr>
          <w:snapToGrid w:val="0"/>
        </w:rPr>
        <w:tab/>
        <w:t xml:space="preserve">Thence west along </w:t>
      </w:r>
      <w:smartTag w:uri="urn:schemas-microsoft-com:office:smarttags" w:element="Street">
        <w:smartTag w:uri="urn:schemas-microsoft-com:office:smarttags" w:element="address">
          <w:r>
            <w:rPr>
              <w:snapToGrid w:val="0"/>
            </w:rPr>
            <w:t>Bowelling/Duranillan Road</w:t>
          </w:r>
        </w:smartTag>
      </w:smartTag>
      <w:r>
        <w:rPr>
          <w:snapToGrid w:val="0"/>
        </w:rPr>
        <w:t xml:space="preserve"> to </w:t>
      </w:r>
      <w:smartTag w:uri="urn:schemas-microsoft-com:office:smarttags" w:element="Street">
        <w:smartTag w:uri="urn:schemas-microsoft-com:office:smarttags" w:element="address">
          <w:r>
            <w:rPr>
              <w:snapToGrid w:val="0"/>
            </w:rPr>
            <w:t>Capercup Road</w:t>
          </w:r>
        </w:smartTag>
      </w:smartTag>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Capercup Road south</w:t>
          </w:r>
        </w:smartTag>
      </w:smartTag>
      <w:r>
        <w:rPr>
          <w:snapToGrid w:val="0"/>
        </w:rPr>
        <w:t xml:space="preserve"> to </w:t>
      </w:r>
      <w:smartTag w:uri="urn:schemas-microsoft-com:office:smarttags" w:element="Street">
        <w:smartTag w:uri="urn:schemas-microsoft-com:office:smarttags" w:element="address">
          <w:r>
            <w:rPr>
              <w:snapToGrid w:val="0"/>
            </w:rPr>
            <w:t>Boyup Brook/Arthur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Glenorchy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Qualeup North/South Road</w:t>
          </w:r>
        </w:smartTag>
      </w:smartTag>
    </w:p>
    <w:p>
      <w:pPr>
        <w:pStyle w:val="yNumberedItem"/>
        <w:rPr>
          <w:snapToGrid w:val="0"/>
        </w:rPr>
      </w:pPr>
      <w:r>
        <w:rPr>
          <w:snapToGrid w:val="0"/>
        </w:rPr>
        <w:tab/>
        <w:t xml:space="preserve">Thence south along that road to </w:t>
      </w:r>
      <w:smartTag w:uri="urn:schemas-microsoft-com:office:smarttags" w:element="Street">
        <w:smartTag w:uri="urn:schemas-microsoft-com:office:smarttags" w:element="address">
          <w:r>
            <w:rPr>
              <w:snapToGrid w:val="0"/>
            </w:rPr>
            <w:t>Kojonup/Donnybrook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Foley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Woodenbillup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Mullidup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Wandoora Road</w:t>
          </w:r>
        </w:smartTag>
      </w:smartTag>
    </w:p>
    <w:p>
      <w:pPr>
        <w:pStyle w:val="yNumberedItem"/>
        <w:rPr>
          <w:snapToGrid w:val="0"/>
        </w:rPr>
      </w:pPr>
      <w:r>
        <w:rPr>
          <w:snapToGrid w:val="0"/>
        </w:rPr>
        <w:tab/>
        <w:t xml:space="preserve">Thence south and south east along that road to </w:t>
      </w:r>
      <w:smartTag w:uri="urn:schemas-microsoft-com:office:smarttags" w:element="Street">
        <w:smartTag w:uri="urn:schemas-microsoft-com:office:smarttags" w:element="address">
          <w:r>
            <w:rPr>
              <w:snapToGrid w:val="0"/>
            </w:rPr>
            <w:t>Kojonup/Frankland Road</w:t>
          </w:r>
        </w:smartTag>
      </w:smartTag>
    </w:p>
    <w:p>
      <w:pPr>
        <w:pStyle w:val="yNumberedItem"/>
        <w:rPr>
          <w:snapToGrid w:val="0"/>
        </w:rPr>
      </w:pPr>
      <w:r>
        <w:rPr>
          <w:snapToGrid w:val="0"/>
        </w:rPr>
        <w:tab/>
        <w:t>Thence south along that road to Frankland (town)</w:t>
      </w:r>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Frankland/Rocky Gully Road</w:t>
          </w:r>
        </w:smartTag>
      </w:smartTag>
      <w:r>
        <w:rPr>
          <w:snapToGrid w:val="0"/>
        </w:rPr>
        <w:t xml:space="preserve"> to Rocky Gully (town) to its intersection with </w:t>
      </w:r>
      <w:smartTag w:uri="urn:schemas-microsoft-com:office:smarttags" w:element="Street">
        <w:smartTag w:uri="urn:schemas-microsoft-com:office:smarttags" w:element="address">
          <w:r>
            <w:rPr>
              <w:snapToGrid w:val="0"/>
            </w:rPr>
            <w:t>Muirs Highway</w:t>
          </w:r>
        </w:smartTag>
      </w:smartTag>
    </w:p>
    <w:p>
      <w:pPr>
        <w:pStyle w:val="yNumberedItem"/>
        <w:rPr>
          <w:snapToGrid w:val="0"/>
        </w:rPr>
      </w:pPr>
      <w:r>
        <w:rPr>
          <w:snapToGrid w:val="0"/>
        </w:rPr>
        <w:tab/>
        <w:t xml:space="preserve">Thence generally east along </w:t>
      </w:r>
      <w:smartTag w:uri="urn:schemas-microsoft-com:office:smarttags" w:element="Street">
        <w:smartTag w:uri="urn:schemas-microsoft-com:office:smarttags" w:element="address">
          <w:r>
            <w:rPr>
              <w:snapToGrid w:val="0"/>
            </w:rPr>
            <w:t>Muirs Highway</w:t>
          </w:r>
        </w:smartTag>
      </w:smartTag>
      <w:r>
        <w:rPr>
          <w:snapToGrid w:val="0"/>
        </w:rPr>
        <w:t xml:space="preserve"> to </w:t>
      </w:r>
      <w:smartTag w:uri="urn:schemas-microsoft-com:office:smarttags" w:element="place">
        <w:smartTag w:uri="urn:schemas-microsoft-com:office:smarttags" w:element="PlaceType">
          <w:r>
            <w:rPr>
              <w:snapToGrid w:val="0"/>
            </w:rPr>
            <w:t>Mount</w:t>
          </w:r>
        </w:smartTag>
        <w:r>
          <w:rPr>
            <w:snapToGrid w:val="0"/>
          </w:rPr>
          <w:t xml:space="preserve"> </w:t>
        </w:r>
        <w:smartTag w:uri="urn:schemas-microsoft-com:office:smarttags" w:element="PlaceName">
          <w:r>
            <w:rPr>
              <w:snapToGrid w:val="0"/>
            </w:rPr>
            <w:t>Barker</w:t>
          </w:r>
        </w:smartTag>
      </w:smartTag>
      <w:r>
        <w:rPr>
          <w:snapToGrid w:val="0"/>
        </w:rPr>
        <w:t xml:space="preserve"> (town)</w:t>
      </w:r>
    </w:p>
    <w:p>
      <w:pPr>
        <w:pStyle w:val="yNumberedItem"/>
        <w:rPr>
          <w:snapToGrid w:val="0"/>
        </w:rPr>
      </w:pPr>
      <w:r>
        <w:rPr>
          <w:snapToGrid w:val="0"/>
        </w:rPr>
        <w:tab/>
        <w:t xml:space="preserve">Thence generally east along that highway to </w:t>
      </w:r>
      <w:smartTag w:uri="urn:schemas-microsoft-com:office:smarttags" w:element="place">
        <w:smartTag w:uri="urn:schemas-microsoft-com:office:smarttags" w:element="City">
          <w:r>
            <w:rPr>
              <w:snapToGrid w:val="0"/>
            </w:rPr>
            <w:t>Albany</w:t>
          </w:r>
        </w:smartTag>
      </w:smartTag>
      <w:r>
        <w:rPr>
          <w:snapToGrid w:val="0"/>
        </w:rPr>
        <w:t xml:space="preserve"> townsite.</w:t>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bookmarkStart w:id="1454" w:name="_Toc339626122"/>
      <w:bookmarkStart w:id="1455" w:name="_Toc342397874"/>
      <w:bookmarkStart w:id="1456" w:name="_Toc343520131"/>
      <w:bookmarkStart w:id="1457" w:name="_Toc343520588"/>
      <w:bookmarkStart w:id="1458" w:name="_Toc344712153"/>
      <w:bookmarkStart w:id="1459" w:name="_Toc344712669"/>
      <w:bookmarkStart w:id="1460" w:name="_Toc347307916"/>
    </w:p>
    <w:p>
      <w:pPr>
        <w:pStyle w:val="yScheduleHeading"/>
      </w:pPr>
      <w:bookmarkStart w:id="1461" w:name="_Toc349822829"/>
      <w:bookmarkStart w:id="1462" w:name="_Toc349823249"/>
      <w:bookmarkStart w:id="1463" w:name="_Toc349831231"/>
      <w:bookmarkStart w:id="1464" w:name="_Toc359249023"/>
      <w:bookmarkStart w:id="1465" w:name="_Toc359316980"/>
      <w:r>
        <w:rPr>
          <w:rStyle w:val="CharSchNo"/>
        </w:rPr>
        <w:t>Schedule 7</w:t>
      </w:r>
      <w:bookmarkEnd w:id="1454"/>
      <w:bookmarkEnd w:id="1455"/>
      <w:bookmarkEnd w:id="1456"/>
      <w:bookmarkEnd w:id="1457"/>
      <w:bookmarkEnd w:id="1458"/>
      <w:bookmarkEnd w:id="1459"/>
      <w:bookmarkEnd w:id="1460"/>
      <w:bookmarkEnd w:id="1461"/>
      <w:bookmarkEnd w:id="1462"/>
      <w:bookmarkEnd w:id="1463"/>
      <w:bookmarkEnd w:id="1464"/>
      <w:bookmarkEnd w:id="1465"/>
    </w:p>
    <w:p>
      <w:pPr>
        <w:pStyle w:val="yShoulderClause"/>
        <w:rPr>
          <w:snapToGrid w:val="0"/>
        </w:rPr>
      </w:pPr>
      <w:r>
        <w:rPr>
          <w:snapToGrid w:val="0"/>
        </w:rPr>
        <w:t>[reg. 3(2)]</w:t>
      </w:r>
    </w:p>
    <w:p>
      <w:pPr>
        <w:pStyle w:val="yHeading2"/>
      </w:pPr>
      <w:bookmarkStart w:id="1466" w:name="_Toc339626123"/>
      <w:bookmarkStart w:id="1467" w:name="_Toc342397875"/>
      <w:bookmarkStart w:id="1468" w:name="_Toc343520132"/>
      <w:bookmarkStart w:id="1469" w:name="_Toc343520589"/>
      <w:bookmarkStart w:id="1470" w:name="_Toc344712154"/>
      <w:bookmarkStart w:id="1471" w:name="_Toc344712670"/>
      <w:bookmarkStart w:id="1472" w:name="_Toc347307917"/>
      <w:bookmarkStart w:id="1473" w:name="_Toc349822830"/>
      <w:bookmarkStart w:id="1474" w:name="_Toc349823250"/>
      <w:bookmarkStart w:id="1475" w:name="_Toc349831232"/>
      <w:bookmarkStart w:id="1476" w:name="_Toc359249024"/>
      <w:bookmarkStart w:id="1477" w:name="_Toc359316981"/>
      <w:r>
        <w:rPr>
          <w:rStyle w:val="CharSchText"/>
        </w:rPr>
        <w:t>List of common and scientific names</w:t>
      </w:r>
      <w:bookmarkEnd w:id="1466"/>
      <w:bookmarkEnd w:id="1467"/>
      <w:bookmarkEnd w:id="1468"/>
      <w:bookmarkEnd w:id="1469"/>
      <w:bookmarkEnd w:id="1470"/>
      <w:bookmarkEnd w:id="1471"/>
      <w:bookmarkEnd w:id="1472"/>
      <w:bookmarkEnd w:id="1473"/>
      <w:bookmarkEnd w:id="1474"/>
      <w:bookmarkEnd w:id="1475"/>
      <w:bookmarkEnd w:id="1476"/>
      <w:bookmarkEnd w:id="1477"/>
    </w:p>
    <w:p>
      <w:pPr>
        <w:pStyle w:val="yHeading3"/>
      </w:pPr>
      <w:bookmarkStart w:id="1478" w:name="_Toc339626124"/>
      <w:bookmarkStart w:id="1479" w:name="_Toc342397876"/>
      <w:bookmarkStart w:id="1480" w:name="_Toc343520133"/>
      <w:bookmarkStart w:id="1481" w:name="_Toc343520590"/>
      <w:bookmarkStart w:id="1482" w:name="_Toc344712155"/>
      <w:bookmarkStart w:id="1483" w:name="_Toc344712671"/>
      <w:bookmarkStart w:id="1484" w:name="_Toc347307918"/>
      <w:bookmarkStart w:id="1485" w:name="_Toc349822831"/>
      <w:bookmarkStart w:id="1486" w:name="_Toc349823251"/>
      <w:bookmarkStart w:id="1487" w:name="_Toc349831233"/>
      <w:bookmarkStart w:id="1488" w:name="_Toc359249025"/>
      <w:bookmarkStart w:id="1489" w:name="_Toc359316982"/>
      <w:r>
        <w:rPr>
          <w:rStyle w:val="CharSDivNo"/>
        </w:rPr>
        <w:t>Division 1</w:t>
      </w:r>
      <w:r>
        <w:t> — </w:t>
      </w:r>
      <w:r>
        <w:rPr>
          <w:rStyle w:val="CharSDivText"/>
        </w:rPr>
        <w:t>Marine or fluvio</w:t>
      </w:r>
      <w:r>
        <w:rPr>
          <w:rStyle w:val="CharSDivText"/>
        </w:rPr>
        <w:noBreakHyphen/>
        <w:t>marine fish</w:t>
      </w:r>
      <w:bookmarkEnd w:id="1478"/>
      <w:bookmarkEnd w:id="1479"/>
      <w:bookmarkEnd w:id="1480"/>
      <w:bookmarkEnd w:id="1481"/>
      <w:bookmarkEnd w:id="1482"/>
      <w:bookmarkEnd w:id="1483"/>
      <w:bookmarkEnd w:id="1484"/>
      <w:bookmarkEnd w:id="1485"/>
      <w:bookmarkEnd w:id="1486"/>
      <w:bookmarkEnd w:id="1487"/>
      <w:bookmarkEnd w:id="1488"/>
      <w:bookmarkEnd w:id="1489"/>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3" w:type="dxa"/>
            <w:tcBorders>
              <w:top w:val="single" w:sz="8" w:space="0" w:color="auto"/>
              <w:bottom w:val="single" w:sz="8" w:space="0" w:color="auto"/>
            </w:tcBorders>
            <w:tcMar>
              <w:top w:w="28" w:type="dxa"/>
              <w:left w:w="85" w:type="dxa"/>
            </w:tcMar>
          </w:tcPr>
          <w:p>
            <w:pPr>
              <w:pStyle w:val="yTableNAm"/>
              <w:spacing w:before="0"/>
              <w:rPr>
                <w:b/>
                <w:bCs/>
              </w:rPr>
            </w:pPr>
            <w:r>
              <w:rPr>
                <w:b/>
                <w:bCs/>
              </w:rPr>
              <w:t>Scientific name</w:t>
            </w:r>
          </w:p>
        </w:tc>
      </w:tr>
      <w:tr>
        <w:tc>
          <w:tcPr>
            <w:tcW w:w="3542" w:type="dxa"/>
            <w:tcMar>
              <w:top w:w="28" w:type="dxa"/>
              <w:left w:w="85" w:type="dxa"/>
            </w:tcMar>
          </w:tcPr>
          <w:p>
            <w:pPr>
              <w:pStyle w:val="yTableNAm"/>
              <w:tabs>
                <w:tab w:val="clear" w:pos="567"/>
                <w:tab w:val="right" w:leader="dot" w:pos="3316"/>
              </w:tabs>
              <w:spacing w:before="0"/>
            </w:pPr>
            <w:r>
              <w:t xml:space="preserve">Amberjack </w:t>
            </w:r>
            <w:r>
              <w:tab/>
            </w:r>
          </w:p>
        </w:tc>
        <w:tc>
          <w:tcPr>
            <w:tcW w:w="3543" w:type="dxa"/>
            <w:tcMar>
              <w:top w:w="28" w:type="dxa"/>
              <w:left w:w="85" w:type="dxa"/>
            </w:tcMar>
          </w:tcPr>
          <w:p>
            <w:pPr>
              <w:pStyle w:val="yTableNAm"/>
              <w:spacing w:before="0"/>
              <w:rPr>
                <w:i/>
              </w:rPr>
            </w:pPr>
            <w:r>
              <w:rPr>
                <w:i/>
              </w:rPr>
              <w:t>Seriola dumerlii</w:t>
            </w:r>
          </w:p>
        </w:tc>
      </w:tr>
      <w:tr>
        <w:tc>
          <w:tcPr>
            <w:tcW w:w="3542" w:type="dxa"/>
            <w:tcMar>
              <w:top w:w="28" w:type="dxa"/>
              <w:left w:w="85" w:type="dxa"/>
            </w:tcMar>
          </w:tcPr>
          <w:p>
            <w:pPr>
              <w:pStyle w:val="yTableNAm"/>
              <w:tabs>
                <w:tab w:val="clear" w:pos="567"/>
                <w:tab w:val="right" w:leader="dot" w:pos="3316"/>
              </w:tabs>
              <w:spacing w:before="0"/>
            </w:pPr>
            <w:r>
              <w:t xml:space="preserve">Anchovy, Australian </w:t>
            </w:r>
            <w:r>
              <w:tab/>
            </w:r>
          </w:p>
        </w:tc>
        <w:tc>
          <w:tcPr>
            <w:tcW w:w="3543" w:type="dxa"/>
            <w:tcMar>
              <w:top w:w="28" w:type="dxa"/>
              <w:left w:w="85" w:type="dxa"/>
            </w:tcMar>
          </w:tcPr>
          <w:p>
            <w:pPr>
              <w:pStyle w:val="yTableNAm"/>
              <w:spacing w:before="0"/>
              <w:rPr>
                <w:i/>
              </w:rPr>
            </w:pPr>
            <w:r>
              <w:rPr>
                <w:i/>
              </w:rPr>
              <w:t>Engraulis australis</w:t>
            </w:r>
          </w:p>
        </w:tc>
      </w:tr>
      <w:tr>
        <w:tc>
          <w:tcPr>
            <w:tcW w:w="3542" w:type="dxa"/>
            <w:tcMar>
              <w:top w:w="28" w:type="dxa"/>
              <w:left w:w="85" w:type="dxa"/>
            </w:tcMar>
          </w:tcPr>
          <w:p>
            <w:pPr>
              <w:pStyle w:val="yTableNAm"/>
              <w:tabs>
                <w:tab w:val="clear" w:pos="567"/>
                <w:tab w:val="right" w:leader="dot" w:pos="3316"/>
              </w:tabs>
              <w:spacing w:before="0"/>
            </w:pPr>
            <w:r>
              <w:t xml:space="preserve">Bait Fish </w:t>
            </w:r>
            <w:r>
              <w:tab/>
            </w:r>
          </w:p>
        </w:tc>
        <w:tc>
          <w:tcPr>
            <w:tcW w:w="3543" w:type="dxa"/>
            <w:tcMar>
              <w:top w:w="28" w:type="dxa"/>
              <w:left w:w="85" w:type="dxa"/>
            </w:tcMar>
          </w:tcPr>
          <w:p>
            <w:pPr>
              <w:pStyle w:val="yTableNAm"/>
              <w:spacing w:before="0"/>
            </w:pPr>
            <w:r>
              <w:rPr>
                <w:u w:val="single"/>
              </w:rPr>
              <w:t>Families</w:t>
            </w:r>
            <w:r>
              <w:t xml:space="preserve"> Clupeidae and Engraulidae</w:t>
            </w:r>
          </w:p>
        </w:tc>
      </w:tr>
      <w:tr>
        <w:tc>
          <w:tcPr>
            <w:tcW w:w="3542" w:type="dxa"/>
            <w:tcMar>
              <w:top w:w="28" w:type="dxa"/>
              <w:left w:w="85" w:type="dxa"/>
            </w:tcMar>
          </w:tcPr>
          <w:p>
            <w:pPr>
              <w:pStyle w:val="yTableNAm"/>
              <w:tabs>
                <w:tab w:val="clear" w:pos="567"/>
                <w:tab w:val="right" w:leader="dot" w:pos="3316"/>
              </w:tabs>
              <w:spacing w:before="0"/>
            </w:pPr>
            <w:r>
              <w:t xml:space="preserve">Barracuda </w:t>
            </w:r>
            <w:r>
              <w:tab/>
            </w:r>
          </w:p>
        </w:tc>
        <w:tc>
          <w:tcPr>
            <w:tcW w:w="3543" w:type="dxa"/>
            <w:tcMar>
              <w:top w:w="28" w:type="dxa"/>
              <w:left w:w="85" w:type="dxa"/>
            </w:tcMar>
          </w:tcPr>
          <w:p>
            <w:pPr>
              <w:pStyle w:val="yTableNAm"/>
              <w:spacing w:before="0"/>
              <w:rPr>
                <w:i/>
              </w:rPr>
            </w:pPr>
            <w:r>
              <w:rPr>
                <w:i/>
              </w:rPr>
              <w:t>Sphyraena barracuda</w:t>
            </w:r>
          </w:p>
        </w:tc>
      </w:tr>
      <w:tr>
        <w:tc>
          <w:tcPr>
            <w:tcW w:w="3542" w:type="dxa"/>
            <w:tcMar>
              <w:top w:w="28" w:type="dxa"/>
              <w:left w:w="85" w:type="dxa"/>
            </w:tcMar>
          </w:tcPr>
          <w:p>
            <w:pPr>
              <w:pStyle w:val="yTableNAm"/>
              <w:tabs>
                <w:tab w:val="right" w:leader="dot" w:pos="3119"/>
              </w:tabs>
              <w:spacing w:before="0"/>
            </w:pPr>
            <w:r>
              <w:t>Barracouta (Gemfish)</w:t>
            </w:r>
            <w:r>
              <w:tab/>
            </w:r>
          </w:p>
        </w:tc>
        <w:tc>
          <w:tcPr>
            <w:tcW w:w="3543" w:type="dxa"/>
            <w:tcMar>
              <w:top w:w="28" w:type="dxa"/>
              <w:left w:w="85" w:type="dxa"/>
            </w:tcMar>
          </w:tcPr>
          <w:p>
            <w:pPr>
              <w:pStyle w:val="yTableNAm"/>
              <w:spacing w:before="0"/>
              <w:rPr>
                <w:u w:val="single"/>
              </w:rPr>
            </w:pPr>
            <w:r>
              <w:rPr>
                <w:u w:val="single"/>
              </w:rPr>
              <w:t>Family</w:t>
            </w:r>
            <w:r>
              <w:t xml:space="preserve"> Gempylidae</w:t>
            </w:r>
          </w:p>
        </w:tc>
      </w:tr>
      <w:tr>
        <w:tc>
          <w:tcPr>
            <w:tcW w:w="3542" w:type="dxa"/>
            <w:tcMar>
              <w:top w:w="28" w:type="dxa"/>
              <w:left w:w="85" w:type="dxa"/>
            </w:tcMar>
          </w:tcPr>
          <w:p>
            <w:pPr>
              <w:pStyle w:val="yTableNAm"/>
              <w:tabs>
                <w:tab w:val="clear" w:pos="567"/>
                <w:tab w:val="right" w:leader="dot" w:pos="3316"/>
              </w:tabs>
              <w:spacing w:before="0"/>
            </w:pPr>
            <w:r>
              <w:t xml:space="preserve">Barramundi (Giant Perch) </w:t>
            </w:r>
            <w:r>
              <w:tab/>
            </w:r>
          </w:p>
        </w:tc>
        <w:tc>
          <w:tcPr>
            <w:tcW w:w="3543" w:type="dxa"/>
            <w:tcMar>
              <w:top w:w="28" w:type="dxa"/>
              <w:left w:w="85" w:type="dxa"/>
            </w:tcMar>
          </w:tcPr>
          <w:p>
            <w:pPr>
              <w:pStyle w:val="yTableNAm"/>
              <w:spacing w:before="0"/>
              <w:rPr>
                <w:i/>
              </w:rPr>
            </w:pPr>
            <w:r>
              <w:rPr>
                <w:i/>
              </w:rPr>
              <w:t>Lates calcarifer</w:t>
            </w:r>
          </w:p>
        </w:tc>
      </w:tr>
      <w:tr>
        <w:tc>
          <w:tcPr>
            <w:tcW w:w="3542" w:type="dxa"/>
            <w:tcMar>
              <w:top w:w="28" w:type="dxa"/>
              <w:left w:w="85" w:type="dxa"/>
            </w:tcMar>
          </w:tcPr>
          <w:p>
            <w:pPr>
              <w:pStyle w:val="yTableNAm"/>
              <w:tabs>
                <w:tab w:val="clear" w:pos="567"/>
                <w:tab w:val="right" w:leader="dot" w:pos="3316"/>
              </w:tabs>
              <w:spacing w:before="0"/>
              <w:ind w:left="219" w:hanging="219"/>
            </w:pPr>
            <w:r>
              <w:t>Billfish (Marlins, Sailfish, Spearfish)</w:t>
            </w:r>
            <w:r>
              <w:tab/>
            </w:r>
          </w:p>
        </w:tc>
        <w:tc>
          <w:tcPr>
            <w:tcW w:w="3543" w:type="dxa"/>
            <w:tcMar>
              <w:top w:w="28" w:type="dxa"/>
              <w:left w:w="85" w:type="dxa"/>
            </w:tcMar>
          </w:tcPr>
          <w:p>
            <w:pPr>
              <w:pStyle w:val="yTableNAm"/>
              <w:spacing w:before="0"/>
              <w:rPr>
                <w:i/>
              </w:rPr>
            </w:pPr>
            <w:r>
              <w:rPr>
                <w:u w:val="single"/>
              </w:rPr>
              <w:t>Family</w:t>
            </w:r>
            <w:r>
              <w:t xml:space="preserve"> Istiophoridae</w:t>
            </w:r>
          </w:p>
        </w:tc>
      </w:tr>
      <w:tr>
        <w:tc>
          <w:tcPr>
            <w:tcW w:w="3542" w:type="dxa"/>
            <w:tcMar>
              <w:top w:w="28" w:type="dxa"/>
              <w:left w:w="85" w:type="dxa"/>
            </w:tcMar>
          </w:tcPr>
          <w:p>
            <w:pPr>
              <w:pStyle w:val="yTableNAm"/>
              <w:tabs>
                <w:tab w:val="clear" w:pos="567"/>
                <w:tab w:val="right" w:leader="dot" w:pos="3316"/>
              </w:tabs>
              <w:spacing w:before="0"/>
            </w:pPr>
            <w:r>
              <w:t xml:space="preserve">Boarfish </w:t>
            </w:r>
            <w:r>
              <w:tab/>
            </w:r>
          </w:p>
        </w:tc>
        <w:tc>
          <w:tcPr>
            <w:tcW w:w="3543" w:type="dxa"/>
            <w:tcMar>
              <w:top w:w="28" w:type="dxa"/>
              <w:left w:w="85" w:type="dxa"/>
            </w:tcMar>
          </w:tcPr>
          <w:p>
            <w:pPr>
              <w:pStyle w:val="yTableNAm"/>
              <w:spacing w:before="0"/>
              <w:rPr>
                <w:u w:val="single"/>
              </w:rPr>
            </w:pPr>
            <w:r>
              <w:rPr>
                <w:u w:val="single"/>
              </w:rPr>
              <w:t>Family</w:t>
            </w:r>
            <w:r>
              <w:t xml:space="preserve"> Pentacerotidae</w:t>
            </w:r>
          </w:p>
        </w:tc>
      </w:tr>
      <w:tr>
        <w:tc>
          <w:tcPr>
            <w:tcW w:w="3542" w:type="dxa"/>
            <w:tcMar>
              <w:top w:w="28" w:type="dxa"/>
              <w:left w:w="85" w:type="dxa"/>
            </w:tcMar>
          </w:tcPr>
          <w:p>
            <w:pPr>
              <w:pStyle w:val="yTableNAm"/>
              <w:tabs>
                <w:tab w:val="clear" w:pos="567"/>
                <w:tab w:val="right" w:leader="dot" w:pos="3316"/>
              </w:tabs>
              <w:spacing w:before="0"/>
            </w:pPr>
            <w:r>
              <w:t xml:space="preserve">Bonefish </w:t>
            </w:r>
            <w:r>
              <w:tab/>
            </w:r>
          </w:p>
        </w:tc>
        <w:tc>
          <w:tcPr>
            <w:tcW w:w="3543" w:type="dxa"/>
            <w:tcMar>
              <w:top w:w="28" w:type="dxa"/>
              <w:left w:w="85" w:type="dxa"/>
            </w:tcMar>
          </w:tcPr>
          <w:p>
            <w:pPr>
              <w:pStyle w:val="yTableNAm"/>
              <w:spacing w:before="0"/>
            </w:pPr>
            <w:r>
              <w:rPr>
                <w:i/>
              </w:rPr>
              <w:t>Albula</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Bonito, Leaping </w:t>
            </w:r>
            <w:r>
              <w:tab/>
            </w:r>
          </w:p>
        </w:tc>
        <w:tc>
          <w:tcPr>
            <w:tcW w:w="3543" w:type="dxa"/>
            <w:tcMar>
              <w:top w:w="28" w:type="dxa"/>
              <w:left w:w="85" w:type="dxa"/>
            </w:tcMar>
          </w:tcPr>
          <w:p>
            <w:pPr>
              <w:pStyle w:val="yTableNAm"/>
              <w:spacing w:before="0"/>
              <w:rPr>
                <w:i/>
              </w:rPr>
            </w:pPr>
            <w:r>
              <w:rPr>
                <w:i/>
              </w:rPr>
              <w:t>Cybiosarda elegans</w:t>
            </w:r>
          </w:p>
        </w:tc>
      </w:tr>
      <w:tr>
        <w:tc>
          <w:tcPr>
            <w:tcW w:w="3542" w:type="dxa"/>
            <w:tcMar>
              <w:top w:w="28" w:type="dxa"/>
              <w:left w:w="85" w:type="dxa"/>
            </w:tcMar>
          </w:tcPr>
          <w:p>
            <w:pPr>
              <w:pStyle w:val="yTableNAm"/>
              <w:tabs>
                <w:tab w:val="clear" w:pos="567"/>
                <w:tab w:val="right" w:leader="dot" w:pos="3316"/>
              </w:tabs>
              <w:spacing w:before="0"/>
            </w:pPr>
            <w:r>
              <w:t xml:space="preserve">Bonito, Oriental </w:t>
            </w:r>
            <w:r>
              <w:tab/>
            </w:r>
          </w:p>
        </w:tc>
        <w:tc>
          <w:tcPr>
            <w:tcW w:w="3543" w:type="dxa"/>
            <w:tcMar>
              <w:top w:w="28" w:type="dxa"/>
              <w:left w:w="85" w:type="dxa"/>
            </w:tcMar>
          </w:tcPr>
          <w:p>
            <w:pPr>
              <w:pStyle w:val="yTableNAm"/>
              <w:spacing w:before="0"/>
              <w:rPr>
                <w:i/>
              </w:rPr>
            </w:pPr>
            <w:r>
              <w:rPr>
                <w:i/>
              </w:rPr>
              <w:t>Sarda orientalis</w:t>
            </w:r>
          </w:p>
        </w:tc>
      </w:tr>
      <w:tr>
        <w:tc>
          <w:tcPr>
            <w:tcW w:w="3542" w:type="dxa"/>
            <w:tcMar>
              <w:top w:w="28" w:type="dxa"/>
              <w:left w:w="85" w:type="dxa"/>
            </w:tcMar>
          </w:tcPr>
          <w:p>
            <w:pPr>
              <w:pStyle w:val="yTableNAm"/>
              <w:tabs>
                <w:tab w:val="clear" w:pos="567"/>
                <w:tab w:val="right" w:leader="dot" w:pos="3316"/>
              </w:tabs>
              <w:spacing w:before="0"/>
            </w:pPr>
            <w:r>
              <w:t xml:space="preserve">Bream, Black </w:t>
            </w:r>
            <w:r>
              <w:tab/>
            </w:r>
          </w:p>
        </w:tc>
        <w:tc>
          <w:tcPr>
            <w:tcW w:w="3543" w:type="dxa"/>
            <w:tcMar>
              <w:top w:w="28" w:type="dxa"/>
              <w:left w:w="85" w:type="dxa"/>
            </w:tcMar>
          </w:tcPr>
          <w:p>
            <w:pPr>
              <w:pStyle w:val="yTableNAm"/>
              <w:spacing w:before="0"/>
              <w:rPr>
                <w:i/>
              </w:rPr>
            </w:pPr>
            <w:r>
              <w:rPr>
                <w:i/>
              </w:rPr>
              <w:t>Acanthopagrus butcheri</w:t>
            </w:r>
          </w:p>
        </w:tc>
      </w:tr>
      <w:tr>
        <w:tc>
          <w:tcPr>
            <w:tcW w:w="3542" w:type="dxa"/>
            <w:tcMar>
              <w:top w:w="28" w:type="dxa"/>
              <w:left w:w="85" w:type="dxa"/>
            </w:tcMar>
          </w:tcPr>
          <w:p>
            <w:pPr>
              <w:pStyle w:val="yTableNAm"/>
              <w:tabs>
                <w:tab w:val="clear" w:pos="567"/>
                <w:tab w:val="right" w:leader="dot" w:pos="3316"/>
              </w:tabs>
              <w:spacing w:before="0"/>
            </w:pPr>
            <w:r>
              <w:t xml:space="preserve">Bream, Fingermark </w:t>
            </w:r>
            <w:r>
              <w:tab/>
            </w:r>
          </w:p>
        </w:tc>
        <w:tc>
          <w:tcPr>
            <w:tcW w:w="3543" w:type="dxa"/>
            <w:tcMar>
              <w:top w:w="28" w:type="dxa"/>
              <w:left w:w="85" w:type="dxa"/>
            </w:tcMar>
          </w:tcPr>
          <w:p>
            <w:pPr>
              <w:pStyle w:val="yTableNAm"/>
              <w:spacing w:before="0"/>
              <w:rPr>
                <w:i/>
              </w:rPr>
            </w:pPr>
            <w:r>
              <w:rPr>
                <w:i/>
              </w:rPr>
              <w:t>Lutjanus johnii</w:t>
            </w:r>
          </w:p>
        </w:tc>
      </w:tr>
      <w:tr>
        <w:tc>
          <w:tcPr>
            <w:tcW w:w="3542" w:type="dxa"/>
            <w:tcMar>
              <w:top w:w="28" w:type="dxa"/>
              <w:left w:w="85" w:type="dxa"/>
            </w:tcMar>
          </w:tcPr>
          <w:p>
            <w:pPr>
              <w:pStyle w:val="yTableNAm"/>
              <w:tabs>
                <w:tab w:val="clear" w:pos="567"/>
                <w:tab w:val="right" w:leader="dot" w:pos="3316"/>
              </w:tabs>
              <w:spacing w:before="0"/>
            </w:pPr>
            <w:r>
              <w:t>Bream, Northwest</w:t>
            </w:r>
            <w:r>
              <w:noBreakHyphen/>
              <w:t xml:space="preserve">Black </w:t>
            </w:r>
            <w:r>
              <w:tab/>
            </w:r>
          </w:p>
        </w:tc>
        <w:tc>
          <w:tcPr>
            <w:tcW w:w="3543" w:type="dxa"/>
            <w:tcMar>
              <w:top w:w="28" w:type="dxa"/>
              <w:left w:w="85" w:type="dxa"/>
            </w:tcMar>
          </w:tcPr>
          <w:p>
            <w:pPr>
              <w:pStyle w:val="yTableNAm"/>
              <w:spacing w:before="0"/>
              <w:rPr>
                <w:i/>
              </w:rPr>
            </w:pPr>
            <w:r>
              <w:rPr>
                <w:i/>
              </w:rPr>
              <w:t>Acanthopagrus palmaris</w:t>
            </w:r>
          </w:p>
        </w:tc>
      </w:tr>
      <w:tr>
        <w:tc>
          <w:tcPr>
            <w:tcW w:w="3542" w:type="dxa"/>
            <w:tcMar>
              <w:top w:w="28" w:type="dxa"/>
              <w:left w:w="85" w:type="dxa"/>
            </w:tcMar>
          </w:tcPr>
          <w:p>
            <w:pPr>
              <w:pStyle w:val="yTableNAm"/>
              <w:tabs>
                <w:tab w:val="clear" w:pos="567"/>
                <w:tab w:val="right" w:leader="dot" w:pos="3316"/>
              </w:tabs>
              <w:spacing w:before="0"/>
            </w:pPr>
            <w:r>
              <w:t xml:space="preserve">Bream, Yellowfin </w:t>
            </w:r>
            <w:r>
              <w:tab/>
            </w:r>
          </w:p>
        </w:tc>
        <w:tc>
          <w:tcPr>
            <w:tcW w:w="3543" w:type="dxa"/>
            <w:tcMar>
              <w:top w:w="28" w:type="dxa"/>
              <w:left w:w="85" w:type="dxa"/>
            </w:tcMar>
          </w:tcPr>
          <w:p>
            <w:pPr>
              <w:pStyle w:val="yTableNAm"/>
              <w:spacing w:before="0"/>
              <w:rPr>
                <w:i/>
              </w:rPr>
            </w:pPr>
            <w:r>
              <w:rPr>
                <w:i/>
              </w:rPr>
              <w:t>Acanthopagrus latus</w:t>
            </w:r>
          </w:p>
        </w:tc>
      </w:tr>
      <w:tr>
        <w:tc>
          <w:tcPr>
            <w:tcW w:w="3542" w:type="dxa"/>
            <w:tcMar>
              <w:top w:w="28" w:type="dxa"/>
              <w:left w:w="85" w:type="dxa"/>
            </w:tcMar>
          </w:tcPr>
          <w:p>
            <w:pPr>
              <w:pStyle w:val="yTableNAm"/>
              <w:tabs>
                <w:tab w:val="clear" w:pos="567"/>
                <w:tab w:val="right" w:leader="dot" w:pos="3316"/>
              </w:tabs>
              <w:spacing w:before="0"/>
            </w:pPr>
            <w:r>
              <w:t xml:space="preserve">Catfish </w:t>
            </w:r>
            <w:r>
              <w:tab/>
            </w:r>
          </w:p>
        </w:tc>
        <w:tc>
          <w:tcPr>
            <w:tcW w:w="3543" w:type="dxa"/>
            <w:tcMar>
              <w:top w:w="28" w:type="dxa"/>
              <w:left w:w="85" w:type="dxa"/>
            </w:tcMar>
          </w:tcPr>
          <w:p>
            <w:pPr>
              <w:pStyle w:val="yTableNAm"/>
              <w:spacing w:before="0"/>
              <w:rPr>
                <w:i/>
              </w:rPr>
            </w:pPr>
            <w:r>
              <w:rPr>
                <w:u w:val="single"/>
              </w:rPr>
              <w:t>Families</w:t>
            </w:r>
            <w:r>
              <w:t xml:space="preserve"> Ariidae and Plotosidae</w:t>
            </w:r>
          </w:p>
        </w:tc>
      </w:tr>
      <w:tr>
        <w:tc>
          <w:tcPr>
            <w:tcW w:w="3542" w:type="dxa"/>
            <w:tcMar>
              <w:top w:w="28" w:type="dxa"/>
              <w:left w:w="85" w:type="dxa"/>
            </w:tcMar>
          </w:tcPr>
          <w:p>
            <w:pPr>
              <w:pStyle w:val="yTableNAm"/>
              <w:tabs>
                <w:tab w:val="clear" w:pos="567"/>
                <w:tab w:val="right" w:leader="dot" w:pos="3316"/>
              </w:tabs>
              <w:spacing w:before="0"/>
            </w:pPr>
            <w:r>
              <w:t xml:space="preserve">Cobbler (Estuary Catfish) </w:t>
            </w:r>
            <w:r>
              <w:tab/>
            </w:r>
          </w:p>
        </w:tc>
        <w:tc>
          <w:tcPr>
            <w:tcW w:w="3543" w:type="dxa"/>
            <w:tcMar>
              <w:top w:w="28" w:type="dxa"/>
              <w:left w:w="85" w:type="dxa"/>
            </w:tcMar>
          </w:tcPr>
          <w:p>
            <w:pPr>
              <w:pStyle w:val="yTableNAm"/>
              <w:spacing w:before="0"/>
              <w:rPr>
                <w:i/>
              </w:rPr>
            </w:pPr>
            <w:r>
              <w:rPr>
                <w:i/>
              </w:rPr>
              <w:t>Cnidoglanis macrocephalus</w:t>
            </w:r>
          </w:p>
        </w:tc>
      </w:tr>
      <w:tr>
        <w:tc>
          <w:tcPr>
            <w:tcW w:w="3542" w:type="dxa"/>
            <w:tcMar>
              <w:top w:w="28" w:type="dxa"/>
              <w:left w:w="85" w:type="dxa"/>
            </w:tcMar>
          </w:tcPr>
          <w:p>
            <w:pPr>
              <w:pStyle w:val="yTableNAm"/>
              <w:tabs>
                <w:tab w:val="clear" w:pos="567"/>
                <w:tab w:val="right" w:leader="dot" w:pos="3316"/>
              </w:tabs>
              <w:spacing w:before="0"/>
            </w:pPr>
            <w:r>
              <w:t xml:space="preserve">Cobia </w:t>
            </w:r>
            <w:r>
              <w:tab/>
            </w:r>
          </w:p>
        </w:tc>
        <w:tc>
          <w:tcPr>
            <w:tcW w:w="3543" w:type="dxa"/>
            <w:tcMar>
              <w:top w:w="28" w:type="dxa"/>
              <w:left w:w="85" w:type="dxa"/>
            </w:tcMar>
          </w:tcPr>
          <w:p>
            <w:pPr>
              <w:pStyle w:val="yTableNAm"/>
              <w:spacing w:before="0"/>
              <w:rPr>
                <w:i/>
              </w:rPr>
            </w:pPr>
            <w:r>
              <w:rPr>
                <w:i/>
              </w:rPr>
              <w:t>Rachycentron canadus</w:t>
            </w:r>
          </w:p>
        </w:tc>
      </w:tr>
      <w:tr>
        <w:tc>
          <w:tcPr>
            <w:tcW w:w="3542" w:type="dxa"/>
            <w:tcMar>
              <w:top w:w="28" w:type="dxa"/>
              <w:left w:w="85" w:type="dxa"/>
            </w:tcMar>
          </w:tcPr>
          <w:p>
            <w:pPr>
              <w:pStyle w:val="yTableNAm"/>
              <w:tabs>
                <w:tab w:val="clear" w:pos="567"/>
                <w:tab w:val="right" w:leader="dot" w:pos="3316"/>
              </w:tabs>
              <w:spacing w:before="0"/>
            </w:pPr>
            <w:r>
              <w:t xml:space="preserve">Cod </w:t>
            </w:r>
            <w:r>
              <w:tab/>
            </w:r>
          </w:p>
        </w:tc>
        <w:tc>
          <w:tcPr>
            <w:tcW w:w="3543" w:type="dxa"/>
            <w:tcMar>
              <w:top w:w="28" w:type="dxa"/>
              <w:left w:w="85" w:type="dxa"/>
            </w:tcMar>
          </w:tcPr>
          <w:p>
            <w:pPr>
              <w:pStyle w:val="yTableNAm"/>
              <w:spacing w:before="0"/>
            </w:pPr>
            <w:r>
              <w:rPr>
                <w:u w:val="single"/>
              </w:rPr>
              <w:t>Family</w:t>
            </w:r>
            <w:r>
              <w:t xml:space="preserve"> Serranidae</w:t>
            </w:r>
          </w:p>
        </w:tc>
      </w:tr>
      <w:tr>
        <w:tc>
          <w:tcPr>
            <w:tcW w:w="3542" w:type="dxa"/>
            <w:tcMar>
              <w:top w:w="28" w:type="dxa"/>
              <w:left w:w="85" w:type="dxa"/>
            </w:tcMar>
          </w:tcPr>
          <w:p>
            <w:pPr>
              <w:pStyle w:val="yTableNAm"/>
              <w:tabs>
                <w:tab w:val="right" w:leader="dot" w:pos="3119"/>
              </w:tabs>
              <w:spacing w:before="0"/>
            </w:pPr>
            <w:r>
              <w:t>Cod, Barramundi</w:t>
            </w:r>
            <w:r>
              <w:tab/>
            </w:r>
          </w:p>
        </w:tc>
        <w:tc>
          <w:tcPr>
            <w:tcW w:w="3543" w:type="dxa"/>
            <w:tcMar>
              <w:top w:w="28" w:type="dxa"/>
              <w:left w:w="85" w:type="dxa"/>
            </w:tcMar>
          </w:tcPr>
          <w:p>
            <w:pPr>
              <w:pStyle w:val="yTableNAm"/>
              <w:spacing w:before="0"/>
              <w:rPr>
                <w:i/>
              </w:rPr>
            </w:pPr>
            <w:r>
              <w:rPr>
                <w:i/>
              </w:rPr>
              <w:t>Cromileptes altivelis</w:t>
            </w:r>
          </w:p>
        </w:tc>
      </w:tr>
      <w:tr>
        <w:tc>
          <w:tcPr>
            <w:tcW w:w="3542" w:type="dxa"/>
            <w:tcMar>
              <w:top w:w="28" w:type="dxa"/>
              <w:left w:w="85" w:type="dxa"/>
            </w:tcMar>
          </w:tcPr>
          <w:p>
            <w:pPr>
              <w:pStyle w:val="yTableNAm"/>
              <w:tabs>
                <w:tab w:val="clear" w:pos="567"/>
                <w:tab w:val="right" w:leader="dot" w:pos="3316"/>
              </w:tabs>
              <w:spacing w:before="0"/>
            </w:pPr>
            <w:r>
              <w:t xml:space="preserve">Cod, Breaksea </w:t>
            </w:r>
            <w:r>
              <w:tab/>
            </w:r>
          </w:p>
        </w:tc>
        <w:tc>
          <w:tcPr>
            <w:tcW w:w="3543" w:type="dxa"/>
            <w:tcMar>
              <w:top w:w="28" w:type="dxa"/>
              <w:left w:w="85" w:type="dxa"/>
            </w:tcMar>
          </w:tcPr>
          <w:p>
            <w:pPr>
              <w:pStyle w:val="yTableNAm"/>
              <w:spacing w:before="0"/>
              <w:rPr>
                <w:i/>
              </w:rPr>
            </w:pPr>
            <w:r>
              <w:rPr>
                <w:i/>
              </w:rPr>
              <w:t>Epinephelus armatus</w:t>
            </w:r>
          </w:p>
        </w:tc>
      </w:tr>
      <w:tr>
        <w:tc>
          <w:tcPr>
            <w:tcW w:w="3542" w:type="dxa"/>
            <w:tcMar>
              <w:top w:w="28" w:type="dxa"/>
              <w:left w:w="85" w:type="dxa"/>
            </w:tcMar>
          </w:tcPr>
          <w:p>
            <w:pPr>
              <w:pStyle w:val="yTableNAm"/>
              <w:tabs>
                <w:tab w:val="clear" w:pos="567"/>
                <w:tab w:val="right" w:leader="dot" w:pos="3316"/>
              </w:tabs>
              <w:spacing w:before="0"/>
            </w:pPr>
            <w:r>
              <w:t>Cod, Chinaman (</w:t>
            </w:r>
            <w:smartTag w:uri="urn:schemas-microsoft-com:office:smarttags" w:element="Street">
              <w:smartTag w:uri="urn:schemas-microsoft-com:office:smarttags" w:element="address">
                <w:r>
                  <w:t>Charlie Court</w:t>
                </w:r>
              </w:smartTag>
            </w:smartTag>
            <w:r>
              <w:t xml:space="preserve">) </w:t>
            </w:r>
            <w:r>
              <w:tab/>
            </w:r>
          </w:p>
        </w:tc>
        <w:tc>
          <w:tcPr>
            <w:tcW w:w="3543" w:type="dxa"/>
            <w:tcMar>
              <w:top w:w="28" w:type="dxa"/>
              <w:left w:w="85" w:type="dxa"/>
            </w:tcMar>
          </w:tcPr>
          <w:p>
            <w:pPr>
              <w:pStyle w:val="yTableNAm"/>
              <w:spacing w:before="0"/>
              <w:rPr>
                <w:i/>
              </w:rPr>
            </w:pPr>
            <w:r>
              <w:rPr>
                <w:i/>
              </w:rPr>
              <w:t>Epinephelus rivulatus</w:t>
            </w:r>
          </w:p>
        </w:tc>
      </w:tr>
      <w:tr>
        <w:tc>
          <w:tcPr>
            <w:tcW w:w="3542" w:type="dxa"/>
            <w:tcMar>
              <w:top w:w="28" w:type="dxa"/>
              <w:left w:w="85" w:type="dxa"/>
            </w:tcMar>
          </w:tcPr>
          <w:p>
            <w:pPr>
              <w:pStyle w:val="yTableNAm"/>
              <w:tabs>
                <w:tab w:val="clear" w:pos="567"/>
                <w:tab w:val="right" w:leader="dot" w:pos="3316"/>
              </w:tabs>
              <w:spacing w:before="0"/>
            </w:pPr>
            <w:r>
              <w:t xml:space="preserve">Cod, Estuary </w:t>
            </w:r>
            <w:r>
              <w:tab/>
            </w:r>
          </w:p>
        </w:tc>
        <w:tc>
          <w:tcPr>
            <w:tcW w:w="3543" w:type="dxa"/>
            <w:tcMar>
              <w:top w:w="28" w:type="dxa"/>
              <w:left w:w="85" w:type="dxa"/>
            </w:tcMar>
          </w:tcPr>
          <w:p>
            <w:pPr>
              <w:pStyle w:val="yTableNAm"/>
              <w:spacing w:before="0"/>
              <w:rPr>
                <w:i/>
              </w:rPr>
            </w:pPr>
            <w:r>
              <w:rPr>
                <w:i/>
              </w:rPr>
              <w:t>Epinephelus coioides</w:t>
            </w:r>
          </w:p>
        </w:tc>
      </w:tr>
      <w:tr>
        <w:tc>
          <w:tcPr>
            <w:tcW w:w="3542" w:type="dxa"/>
            <w:tcMar>
              <w:top w:w="28" w:type="dxa"/>
              <w:left w:w="85" w:type="dxa"/>
            </w:tcMar>
          </w:tcPr>
          <w:p>
            <w:pPr>
              <w:pStyle w:val="yTableNAm"/>
              <w:tabs>
                <w:tab w:val="clear" w:pos="567"/>
                <w:tab w:val="right" w:leader="dot" w:pos="3316"/>
              </w:tabs>
              <w:spacing w:before="0"/>
            </w:pPr>
            <w:r>
              <w:t xml:space="preserve">Cod, Grey Banded Rock </w:t>
            </w:r>
            <w:r>
              <w:tab/>
            </w:r>
          </w:p>
        </w:tc>
        <w:tc>
          <w:tcPr>
            <w:tcW w:w="3543" w:type="dxa"/>
            <w:tcMar>
              <w:top w:w="28" w:type="dxa"/>
              <w:left w:w="85" w:type="dxa"/>
            </w:tcMar>
          </w:tcPr>
          <w:p>
            <w:pPr>
              <w:pStyle w:val="yTableNAm"/>
              <w:spacing w:before="0"/>
              <w:rPr>
                <w:i/>
              </w:rPr>
            </w:pPr>
            <w:r>
              <w:rPr>
                <w:i/>
              </w:rPr>
              <w:t>Hyporthodus octofasciatus</w:t>
            </w:r>
          </w:p>
        </w:tc>
      </w:tr>
      <w:tr>
        <w:tc>
          <w:tcPr>
            <w:tcW w:w="3542" w:type="dxa"/>
            <w:tcMar>
              <w:top w:w="28" w:type="dxa"/>
              <w:left w:w="85" w:type="dxa"/>
            </w:tcMar>
          </w:tcPr>
          <w:p>
            <w:pPr>
              <w:pStyle w:val="yTableNAm"/>
              <w:tabs>
                <w:tab w:val="clear" w:pos="567"/>
                <w:tab w:val="right" w:leader="dot" w:pos="3316"/>
              </w:tabs>
              <w:spacing w:before="0"/>
            </w:pPr>
            <w:r>
              <w:t xml:space="preserve">Cod, Malabar </w:t>
            </w:r>
            <w:r>
              <w:tab/>
            </w:r>
          </w:p>
        </w:tc>
        <w:tc>
          <w:tcPr>
            <w:tcW w:w="3543" w:type="dxa"/>
            <w:tcMar>
              <w:top w:w="28" w:type="dxa"/>
              <w:left w:w="85" w:type="dxa"/>
            </w:tcMar>
          </w:tcPr>
          <w:p>
            <w:pPr>
              <w:pStyle w:val="yTableNAm"/>
              <w:spacing w:before="0"/>
              <w:rPr>
                <w:i/>
              </w:rPr>
            </w:pPr>
            <w:r>
              <w:rPr>
                <w:i/>
              </w:rPr>
              <w:t>Epinephelus Malabaricus</w:t>
            </w:r>
          </w:p>
        </w:tc>
      </w:tr>
      <w:tr>
        <w:tc>
          <w:tcPr>
            <w:tcW w:w="3542" w:type="dxa"/>
            <w:tcMar>
              <w:top w:w="28" w:type="dxa"/>
              <w:left w:w="85" w:type="dxa"/>
            </w:tcMar>
          </w:tcPr>
          <w:p>
            <w:pPr>
              <w:pStyle w:val="yTableNAm"/>
              <w:tabs>
                <w:tab w:val="clear" w:pos="567"/>
                <w:tab w:val="right" w:leader="dot" w:pos="3316"/>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3" w:type="dxa"/>
            <w:tcMar>
              <w:top w:w="28" w:type="dxa"/>
              <w:left w:w="85" w:type="dxa"/>
            </w:tcMar>
          </w:tcPr>
          <w:p>
            <w:pPr>
              <w:pStyle w:val="yTableNAm"/>
              <w:spacing w:before="0"/>
              <w:rPr>
                <w:i/>
              </w:rPr>
            </w:pPr>
            <w:r>
              <w:rPr>
                <w:i/>
              </w:rPr>
              <w:t>Maccullochela peeli</w:t>
            </w:r>
          </w:p>
        </w:tc>
      </w:tr>
      <w:tr>
        <w:tc>
          <w:tcPr>
            <w:tcW w:w="3542" w:type="dxa"/>
            <w:tcMar>
              <w:top w:w="28" w:type="dxa"/>
              <w:left w:w="85" w:type="dxa"/>
            </w:tcMar>
          </w:tcPr>
          <w:p>
            <w:pPr>
              <w:pStyle w:val="yTableNAm"/>
              <w:tabs>
                <w:tab w:val="clear" w:pos="567"/>
                <w:tab w:val="right" w:leader="dot" w:pos="3316"/>
              </w:tabs>
              <w:spacing w:before="0"/>
            </w:pPr>
            <w:r>
              <w:t xml:space="preserve">Cod, Potato </w:t>
            </w:r>
            <w:r>
              <w:tab/>
            </w:r>
          </w:p>
        </w:tc>
        <w:tc>
          <w:tcPr>
            <w:tcW w:w="3543" w:type="dxa"/>
            <w:tcMar>
              <w:top w:w="28" w:type="dxa"/>
              <w:left w:w="85" w:type="dxa"/>
            </w:tcMar>
          </w:tcPr>
          <w:p>
            <w:pPr>
              <w:pStyle w:val="yTableNAm"/>
              <w:spacing w:before="0"/>
              <w:rPr>
                <w:i/>
              </w:rPr>
            </w:pPr>
            <w:r>
              <w:rPr>
                <w:i/>
              </w:rPr>
              <w:t>Epinephelus tukula</w:t>
            </w:r>
          </w:p>
        </w:tc>
      </w:tr>
      <w:tr>
        <w:tc>
          <w:tcPr>
            <w:tcW w:w="3542" w:type="dxa"/>
            <w:tcMar>
              <w:top w:w="28" w:type="dxa"/>
              <w:left w:w="85" w:type="dxa"/>
            </w:tcMar>
          </w:tcPr>
          <w:p>
            <w:pPr>
              <w:pStyle w:val="yTableNAm"/>
              <w:tabs>
                <w:tab w:val="clear" w:pos="567"/>
                <w:tab w:val="right" w:leader="dot" w:pos="3316"/>
              </w:tabs>
              <w:spacing w:before="0"/>
            </w:pPr>
            <w:r>
              <w:t xml:space="preserve">Cod, Rankin </w:t>
            </w:r>
            <w:r>
              <w:tab/>
            </w:r>
          </w:p>
        </w:tc>
        <w:tc>
          <w:tcPr>
            <w:tcW w:w="3543" w:type="dxa"/>
            <w:tcMar>
              <w:top w:w="28" w:type="dxa"/>
              <w:left w:w="85" w:type="dxa"/>
            </w:tcMar>
          </w:tcPr>
          <w:p>
            <w:pPr>
              <w:pStyle w:val="yTableNAm"/>
              <w:spacing w:before="0"/>
              <w:rPr>
                <w:i/>
              </w:rPr>
            </w:pPr>
            <w:r>
              <w:rPr>
                <w:i/>
                <w:spacing w:val="-4"/>
              </w:rPr>
              <w:t>Epinephelus multinotatus</w:t>
            </w:r>
          </w:p>
        </w:tc>
      </w:tr>
      <w:tr>
        <w:tc>
          <w:tcPr>
            <w:tcW w:w="3542" w:type="dxa"/>
            <w:tcMar>
              <w:top w:w="28" w:type="dxa"/>
              <w:left w:w="85" w:type="dxa"/>
            </w:tcMar>
          </w:tcPr>
          <w:p>
            <w:pPr>
              <w:pStyle w:val="yTableNAm"/>
              <w:tabs>
                <w:tab w:val="clear" w:pos="567"/>
                <w:tab w:val="right" w:leader="dot" w:pos="3316"/>
              </w:tabs>
              <w:spacing w:before="0"/>
            </w:pPr>
            <w:r>
              <w:t xml:space="preserve">Coral Trout </w:t>
            </w:r>
            <w:r>
              <w:tab/>
            </w:r>
          </w:p>
        </w:tc>
        <w:tc>
          <w:tcPr>
            <w:tcW w:w="3543" w:type="dxa"/>
            <w:tcMar>
              <w:top w:w="28" w:type="dxa"/>
              <w:left w:w="85" w:type="dxa"/>
            </w:tcMar>
          </w:tcPr>
          <w:p>
            <w:pPr>
              <w:pStyle w:val="yTableNAm"/>
              <w:spacing w:before="0"/>
            </w:pPr>
            <w:r>
              <w:rPr>
                <w:i/>
              </w:rPr>
              <w:t>Plectropomus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Coronation Trout </w:t>
            </w:r>
            <w:r>
              <w:tab/>
            </w:r>
          </w:p>
        </w:tc>
        <w:tc>
          <w:tcPr>
            <w:tcW w:w="3543" w:type="dxa"/>
            <w:tcMar>
              <w:top w:w="28" w:type="dxa"/>
              <w:left w:w="85" w:type="dxa"/>
            </w:tcMar>
          </w:tcPr>
          <w:p>
            <w:pPr>
              <w:pStyle w:val="yTableNAm"/>
              <w:spacing w:before="0"/>
              <w:rPr>
                <w:i/>
              </w:rPr>
            </w:pPr>
            <w:r>
              <w:rPr>
                <w:i/>
              </w:rPr>
              <w:t>Variola louti</w:t>
            </w:r>
          </w:p>
        </w:tc>
      </w:tr>
      <w:tr>
        <w:tc>
          <w:tcPr>
            <w:tcW w:w="3542" w:type="dxa"/>
            <w:tcMar>
              <w:top w:w="28" w:type="dxa"/>
              <w:left w:w="85" w:type="dxa"/>
            </w:tcMar>
          </w:tcPr>
          <w:p>
            <w:pPr>
              <w:pStyle w:val="yTableNAm"/>
              <w:tabs>
                <w:tab w:val="clear" w:pos="567"/>
                <w:tab w:val="right" w:leader="dot" w:pos="3316"/>
              </w:tabs>
              <w:spacing w:before="0"/>
            </w:pPr>
            <w:r>
              <w:t xml:space="preserve">Dart </w:t>
            </w:r>
            <w:r>
              <w:tab/>
            </w:r>
          </w:p>
        </w:tc>
        <w:tc>
          <w:tcPr>
            <w:tcW w:w="3543" w:type="dxa"/>
            <w:tcMar>
              <w:top w:w="28" w:type="dxa"/>
              <w:left w:w="85" w:type="dxa"/>
            </w:tcMar>
          </w:tcPr>
          <w:p>
            <w:pPr>
              <w:pStyle w:val="yTableNAm"/>
              <w:spacing w:before="0"/>
              <w:rPr>
                <w:i/>
              </w:rPr>
            </w:pPr>
            <w:r>
              <w:rPr>
                <w:i/>
              </w:rPr>
              <w:t>Trachinotus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Dhufish, West Australian </w:t>
            </w:r>
            <w:r>
              <w:tab/>
            </w:r>
          </w:p>
        </w:tc>
        <w:tc>
          <w:tcPr>
            <w:tcW w:w="3543" w:type="dxa"/>
            <w:tcMar>
              <w:top w:w="28" w:type="dxa"/>
              <w:left w:w="85" w:type="dxa"/>
            </w:tcMar>
          </w:tcPr>
          <w:p>
            <w:pPr>
              <w:pStyle w:val="yTableNAm"/>
              <w:spacing w:before="0"/>
              <w:rPr>
                <w:i/>
              </w:rPr>
            </w:pPr>
            <w:r>
              <w:rPr>
                <w:i/>
              </w:rPr>
              <w:t xml:space="preserve">Glaucosoma </w:t>
            </w:r>
            <w:r>
              <w:rPr>
                <w:i/>
                <w:iCs/>
              </w:rPr>
              <w:t>hebraicum</w:t>
            </w:r>
          </w:p>
        </w:tc>
      </w:tr>
      <w:tr>
        <w:tc>
          <w:tcPr>
            <w:tcW w:w="3542" w:type="dxa"/>
            <w:tcMar>
              <w:top w:w="28" w:type="dxa"/>
              <w:left w:w="85" w:type="dxa"/>
            </w:tcMar>
          </w:tcPr>
          <w:p>
            <w:pPr>
              <w:pStyle w:val="yTableNAm"/>
              <w:tabs>
                <w:tab w:val="clear" w:pos="567"/>
                <w:tab w:val="right" w:leader="dot" w:pos="3316"/>
              </w:tabs>
              <w:spacing w:before="0"/>
            </w:pPr>
            <w:r>
              <w:t xml:space="preserve">Dolphinfish (Mahi Mahi) </w:t>
            </w:r>
            <w:r>
              <w:tab/>
            </w:r>
          </w:p>
        </w:tc>
        <w:tc>
          <w:tcPr>
            <w:tcW w:w="3543" w:type="dxa"/>
            <w:tcMar>
              <w:top w:w="28" w:type="dxa"/>
              <w:left w:w="85" w:type="dxa"/>
            </w:tcMar>
          </w:tcPr>
          <w:p>
            <w:pPr>
              <w:pStyle w:val="yTableNAm"/>
              <w:spacing w:before="0"/>
              <w:rPr>
                <w:i/>
              </w:rPr>
            </w:pPr>
            <w:r>
              <w:rPr>
                <w:i/>
              </w:rPr>
              <w:t>Coryphaena hippurus</w:t>
            </w:r>
          </w:p>
        </w:tc>
      </w:tr>
      <w:tr>
        <w:tc>
          <w:tcPr>
            <w:tcW w:w="3542" w:type="dxa"/>
            <w:tcMar>
              <w:top w:w="28" w:type="dxa"/>
              <w:left w:w="85" w:type="dxa"/>
            </w:tcMar>
          </w:tcPr>
          <w:p>
            <w:pPr>
              <w:pStyle w:val="yTableNAm"/>
              <w:tabs>
                <w:tab w:val="clear" w:pos="567"/>
                <w:tab w:val="right" w:leader="dot" w:pos="3316"/>
              </w:tabs>
              <w:spacing w:before="0"/>
            </w:pPr>
            <w:r>
              <w:t xml:space="preserve">Dory, John </w:t>
            </w:r>
            <w:r>
              <w:tab/>
            </w:r>
          </w:p>
        </w:tc>
        <w:tc>
          <w:tcPr>
            <w:tcW w:w="3543" w:type="dxa"/>
            <w:tcMar>
              <w:top w:w="28" w:type="dxa"/>
              <w:left w:w="85" w:type="dxa"/>
            </w:tcMar>
          </w:tcPr>
          <w:p>
            <w:pPr>
              <w:pStyle w:val="yTableNAm"/>
              <w:spacing w:before="0"/>
              <w:rPr>
                <w:i/>
              </w:rPr>
            </w:pPr>
            <w:r>
              <w:rPr>
                <w:i/>
              </w:rPr>
              <w:t>Zenopsis nebulosus</w:t>
            </w:r>
          </w:p>
        </w:tc>
      </w:tr>
      <w:tr>
        <w:tc>
          <w:tcPr>
            <w:tcW w:w="3542" w:type="dxa"/>
            <w:tcMar>
              <w:top w:w="28" w:type="dxa"/>
              <w:left w:w="85" w:type="dxa"/>
            </w:tcMar>
          </w:tcPr>
          <w:p>
            <w:pPr>
              <w:pStyle w:val="yTableNAm"/>
              <w:tabs>
                <w:tab w:val="clear" w:pos="567"/>
                <w:tab w:val="right" w:leader="dot" w:pos="3316"/>
              </w:tabs>
              <w:spacing w:before="0"/>
            </w:pPr>
            <w:r>
              <w:t>Dory, Mirror .</w:t>
            </w:r>
            <w:r>
              <w:tab/>
            </w:r>
          </w:p>
        </w:tc>
        <w:tc>
          <w:tcPr>
            <w:tcW w:w="3543" w:type="dxa"/>
            <w:tcMar>
              <w:top w:w="28" w:type="dxa"/>
              <w:left w:w="85" w:type="dxa"/>
            </w:tcMar>
          </w:tcPr>
          <w:p>
            <w:pPr>
              <w:pStyle w:val="yTableNAm"/>
              <w:spacing w:before="0"/>
              <w:rPr>
                <w:i/>
              </w:rPr>
            </w:pPr>
            <w:r>
              <w:rPr>
                <w:i/>
              </w:rPr>
              <w:t>Zeus faber</w:t>
            </w:r>
          </w:p>
        </w:tc>
      </w:tr>
      <w:tr>
        <w:tc>
          <w:tcPr>
            <w:tcW w:w="3542" w:type="dxa"/>
            <w:tcMar>
              <w:top w:w="28" w:type="dxa"/>
              <w:left w:w="85" w:type="dxa"/>
            </w:tcMar>
          </w:tcPr>
          <w:p>
            <w:pPr>
              <w:pStyle w:val="yTableNAm"/>
              <w:tabs>
                <w:tab w:val="clear" w:pos="567"/>
                <w:tab w:val="right" w:leader="dot" w:pos="3316"/>
              </w:tabs>
              <w:spacing w:before="0"/>
            </w:pPr>
            <w:r>
              <w:t xml:space="preserve">Emperor and Seabream </w:t>
            </w:r>
            <w:r>
              <w:tab/>
            </w:r>
          </w:p>
        </w:tc>
        <w:tc>
          <w:tcPr>
            <w:tcW w:w="3543" w:type="dxa"/>
            <w:tcMar>
              <w:top w:w="28" w:type="dxa"/>
              <w:left w:w="85" w:type="dxa"/>
            </w:tcMar>
          </w:tcPr>
          <w:p>
            <w:pPr>
              <w:pStyle w:val="yTableNAm"/>
              <w:spacing w:before="0"/>
              <w:rPr>
                <w:i/>
              </w:rPr>
            </w:pPr>
            <w:r>
              <w:rPr>
                <w:u w:val="single"/>
              </w:rPr>
              <w:t>Family</w:t>
            </w:r>
            <w:r>
              <w:t xml:space="preserve"> Lethrinidae</w:t>
            </w:r>
          </w:p>
        </w:tc>
      </w:tr>
      <w:tr>
        <w:tc>
          <w:tcPr>
            <w:tcW w:w="3542" w:type="dxa"/>
            <w:tcMar>
              <w:top w:w="28" w:type="dxa"/>
              <w:left w:w="85" w:type="dxa"/>
            </w:tcMar>
          </w:tcPr>
          <w:p>
            <w:pPr>
              <w:pStyle w:val="yTableNAm"/>
              <w:tabs>
                <w:tab w:val="clear" w:pos="567"/>
                <w:tab w:val="right" w:leader="dot" w:pos="3316"/>
              </w:tabs>
              <w:spacing w:before="0"/>
            </w:pPr>
            <w:r>
              <w:t>Emperor, Blue</w:t>
            </w:r>
            <w:r>
              <w:noBreakHyphen/>
              <w:t xml:space="preserve">lined </w:t>
            </w:r>
            <w:r>
              <w:tab/>
            </w:r>
          </w:p>
        </w:tc>
        <w:tc>
          <w:tcPr>
            <w:tcW w:w="3543" w:type="dxa"/>
            <w:tcMar>
              <w:top w:w="28" w:type="dxa"/>
              <w:left w:w="85" w:type="dxa"/>
            </w:tcMar>
          </w:tcPr>
          <w:p>
            <w:pPr>
              <w:pStyle w:val="yTableNAm"/>
              <w:spacing w:before="0"/>
              <w:rPr>
                <w:i/>
              </w:rPr>
            </w:pPr>
            <w:r>
              <w:rPr>
                <w:i/>
              </w:rPr>
              <w:t>Lethrinus laticaudis</w:t>
            </w:r>
          </w:p>
        </w:tc>
      </w:tr>
      <w:tr>
        <w:tc>
          <w:tcPr>
            <w:tcW w:w="3542" w:type="dxa"/>
            <w:tcMar>
              <w:top w:w="28" w:type="dxa"/>
              <w:left w:w="85" w:type="dxa"/>
            </w:tcMar>
          </w:tcPr>
          <w:p>
            <w:pPr>
              <w:pStyle w:val="yTableNAm"/>
              <w:tabs>
                <w:tab w:val="clear" w:pos="567"/>
                <w:tab w:val="right" w:leader="dot" w:pos="3316"/>
              </w:tabs>
              <w:spacing w:before="0"/>
            </w:pPr>
            <w:r>
              <w:t xml:space="preserve">Emperor, Red (Government Bream) </w:t>
            </w:r>
            <w:r>
              <w:tab/>
            </w:r>
          </w:p>
        </w:tc>
        <w:tc>
          <w:tcPr>
            <w:tcW w:w="3543" w:type="dxa"/>
            <w:tcMar>
              <w:top w:w="28" w:type="dxa"/>
              <w:left w:w="85" w:type="dxa"/>
            </w:tcMar>
          </w:tcPr>
          <w:p>
            <w:pPr>
              <w:pStyle w:val="yTableNAm"/>
              <w:spacing w:before="0"/>
              <w:rPr>
                <w:i/>
              </w:rPr>
            </w:pPr>
            <w:r>
              <w:rPr>
                <w:i/>
              </w:rPr>
              <w:t>Lutjanus sebae</w:t>
            </w:r>
          </w:p>
        </w:tc>
      </w:tr>
      <w:tr>
        <w:tc>
          <w:tcPr>
            <w:tcW w:w="3542" w:type="dxa"/>
            <w:tcMar>
              <w:top w:w="28" w:type="dxa"/>
              <w:left w:w="85" w:type="dxa"/>
            </w:tcMar>
          </w:tcPr>
          <w:p>
            <w:pPr>
              <w:pStyle w:val="yTableNAm"/>
              <w:tabs>
                <w:tab w:val="clear" w:pos="567"/>
                <w:tab w:val="right" w:leader="dot" w:pos="3316"/>
              </w:tabs>
              <w:spacing w:before="0"/>
            </w:pPr>
            <w:r>
              <w:t xml:space="preserve">Emperor, Spangled </w:t>
            </w:r>
            <w:r>
              <w:tab/>
            </w:r>
          </w:p>
        </w:tc>
        <w:tc>
          <w:tcPr>
            <w:tcW w:w="3543" w:type="dxa"/>
            <w:tcMar>
              <w:top w:w="28" w:type="dxa"/>
              <w:left w:w="85" w:type="dxa"/>
            </w:tcMar>
          </w:tcPr>
          <w:p>
            <w:pPr>
              <w:pStyle w:val="yTableNAm"/>
              <w:spacing w:before="0"/>
              <w:rPr>
                <w:i/>
              </w:rPr>
            </w:pPr>
            <w:r>
              <w:rPr>
                <w:i/>
              </w:rPr>
              <w:t>Lethrinus nebulosus</w:t>
            </w:r>
          </w:p>
        </w:tc>
      </w:tr>
      <w:tr>
        <w:tc>
          <w:tcPr>
            <w:tcW w:w="3542" w:type="dxa"/>
            <w:tcMar>
              <w:top w:w="28" w:type="dxa"/>
              <w:left w:w="85" w:type="dxa"/>
            </w:tcMar>
          </w:tcPr>
          <w:p>
            <w:pPr>
              <w:pStyle w:val="yTableNAm"/>
              <w:tabs>
                <w:tab w:val="clear" w:pos="567"/>
                <w:tab w:val="right" w:leader="dot" w:pos="3316"/>
              </w:tabs>
              <w:spacing w:before="0"/>
            </w:pPr>
            <w:r>
              <w:t xml:space="preserve">Flathead </w:t>
            </w:r>
            <w:r>
              <w:tab/>
            </w:r>
          </w:p>
        </w:tc>
        <w:tc>
          <w:tcPr>
            <w:tcW w:w="3543" w:type="dxa"/>
            <w:tcMar>
              <w:top w:w="28" w:type="dxa"/>
              <w:left w:w="85" w:type="dxa"/>
            </w:tcMar>
          </w:tcPr>
          <w:p>
            <w:pPr>
              <w:pStyle w:val="yTableNAm"/>
              <w:spacing w:before="0"/>
            </w:pPr>
            <w:r>
              <w:rPr>
                <w:i/>
              </w:rPr>
              <w:t>Platycephalus</w:t>
            </w:r>
            <w:r>
              <w:t xml:space="preserve"> spp.</w:t>
            </w:r>
          </w:p>
        </w:tc>
      </w:tr>
      <w:tr>
        <w:tc>
          <w:tcPr>
            <w:tcW w:w="3542" w:type="dxa"/>
            <w:tcMar>
              <w:top w:w="28" w:type="dxa"/>
              <w:left w:w="85" w:type="dxa"/>
            </w:tcMar>
          </w:tcPr>
          <w:p>
            <w:pPr>
              <w:pStyle w:val="yTableNAm"/>
              <w:tabs>
                <w:tab w:val="clear" w:pos="567"/>
                <w:tab w:val="right" w:leader="dot" w:pos="3316"/>
              </w:tabs>
              <w:spacing w:before="0"/>
            </w:pPr>
            <w:r>
              <w:t>Flathead, Bar</w:t>
            </w:r>
            <w:r>
              <w:noBreakHyphen/>
              <w:t xml:space="preserve">tailed </w:t>
            </w:r>
            <w:r>
              <w:tab/>
            </w:r>
          </w:p>
        </w:tc>
        <w:tc>
          <w:tcPr>
            <w:tcW w:w="3543" w:type="dxa"/>
            <w:tcMar>
              <w:top w:w="28" w:type="dxa"/>
              <w:left w:w="85" w:type="dxa"/>
            </w:tcMar>
          </w:tcPr>
          <w:p>
            <w:pPr>
              <w:pStyle w:val="yTableNAm"/>
              <w:spacing w:before="0"/>
              <w:rPr>
                <w:i/>
              </w:rPr>
            </w:pPr>
            <w:r>
              <w:rPr>
                <w:i/>
              </w:rPr>
              <w:t>Platycephalus endrachtensis</w:t>
            </w:r>
          </w:p>
        </w:tc>
      </w:tr>
      <w:tr>
        <w:tc>
          <w:tcPr>
            <w:tcW w:w="3542" w:type="dxa"/>
            <w:tcMar>
              <w:top w:w="28" w:type="dxa"/>
              <w:left w:w="85" w:type="dxa"/>
            </w:tcMar>
          </w:tcPr>
          <w:p>
            <w:pPr>
              <w:pStyle w:val="yTableNAm"/>
              <w:tabs>
                <w:tab w:val="clear" w:pos="567"/>
                <w:tab w:val="right" w:leader="dot" w:pos="3316"/>
              </w:tabs>
              <w:spacing w:before="0"/>
            </w:pPr>
            <w:r>
              <w:t>Flathead, Blue</w:t>
            </w:r>
            <w:r>
              <w:noBreakHyphen/>
              <w:t xml:space="preserve">spotted (Sand) </w:t>
            </w:r>
            <w:r>
              <w:tab/>
            </w:r>
          </w:p>
        </w:tc>
        <w:tc>
          <w:tcPr>
            <w:tcW w:w="3543" w:type="dxa"/>
            <w:tcMar>
              <w:top w:w="28" w:type="dxa"/>
              <w:left w:w="85" w:type="dxa"/>
            </w:tcMar>
          </w:tcPr>
          <w:p>
            <w:pPr>
              <w:pStyle w:val="yTableNAm"/>
              <w:spacing w:before="0"/>
              <w:rPr>
                <w:i/>
              </w:rPr>
            </w:pPr>
            <w:r>
              <w:rPr>
                <w:i/>
              </w:rPr>
              <w:t>Platycephalus speculator</w:t>
            </w:r>
          </w:p>
        </w:tc>
      </w:tr>
      <w:tr>
        <w:tc>
          <w:tcPr>
            <w:tcW w:w="3542" w:type="dxa"/>
            <w:tcMar>
              <w:top w:w="28" w:type="dxa"/>
              <w:left w:w="85" w:type="dxa"/>
            </w:tcMar>
          </w:tcPr>
          <w:p>
            <w:pPr>
              <w:pStyle w:val="yTableNAm"/>
              <w:tabs>
                <w:tab w:val="clear" w:pos="567"/>
                <w:tab w:val="right" w:leader="dot" w:pos="3316"/>
              </w:tabs>
              <w:spacing w:before="0"/>
            </w:pPr>
            <w:r>
              <w:t>Flathead, Long</w:t>
            </w:r>
            <w:r>
              <w:noBreakHyphen/>
              <w:t xml:space="preserve">spined (Sand) </w:t>
            </w:r>
            <w:r>
              <w:tab/>
            </w:r>
          </w:p>
        </w:tc>
        <w:tc>
          <w:tcPr>
            <w:tcW w:w="3543" w:type="dxa"/>
            <w:tcMar>
              <w:top w:w="28" w:type="dxa"/>
              <w:left w:w="85" w:type="dxa"/>
            </w:tcMar>
          </w:tcPr>
          <w:p>
            <w:pPr>
              <w:pStyle w:val="yTableNAm"/>
              <w:spacing w:before="0"/>
              <w:rPr>
                <w:i/>
              </w:rPr>
            </w:pPr>
            <w:r>
              <w:rPr>
                <w:i/>
              </w:rPr>
              <w:t>Platycephalus longispinus</w:t>
            </w:r>
          </w:p>
        </w:tc>
      </w:tr>
      <w:tr>
        <w:tc>
          <w:tcPr>
            <w:tcW w:w="3542" w:type="dxa"/>
            <w:tcMar>
              <w:top w:w="28" w:type="dxa"/>
              <w:left w:w="85" w:type="dxa"/>
            </w:tcMar>
          </w:tcPr>
          <w:p>
            <w:pPr>
              <w:pStyle w:val="yTableNAm"/>
              <w:tabs>
                <w:tab w:val="clear" w:pos="567"/>
                <w:tab w:val="right" w:leader="dot" w:pos="3316"/>
              </w:tabs>
              <w:spacing w:before="0"/>
            </w:pPr>
            <w:r>
              <w:t xml:space="preserve">Flathead, Marbled </w:t>
            </w:r>
            <w:r>
              <w:tab/>
            </w:r>
          </w:p>
        </w:tc>
        <w:tc>
          <w:tcPr>
            <w:tcW w:w="3543" w:type="dxa"/>
            <w:tcMar>
              <w:top w:w="28" w:type="dxa"/>
              <w:left w:w="85" w:type="dxa"/>
            </w:tcMar>
          </w:tcPr>
          <w:p>
            <w:pPr>
              <w:pStyle w:val="yTableNAm"/>
              <w:spacing w:before="0"/>
              <w:rPr>
                <w:i/>
              </w:rPr>
            </w:pPr>
            <w:r>
              <w:rPr>
                <w:i/>
              </w:rPr>
              <w:t>Platycephalus marmoratus</w:t>
            </w:r>
          </w:p>
        </w:tc>
      </w:tr>
      <w:tr>
        <w:tc>
          <w:tcPr>
            <w:tcW w:w="3542" w:type="dxa"/>
            <w:tcMar>
              <w:top w:w="28" w:type="dxa"/>
              <w:left w:w="85" w:type="dxa"/>
            </w:tcMar>
          </w:tcPr>
          <w:p>
            <w:pPr>
              <w:pStyle w:val="yTableNAm"/>
              <w:tabs>
                <w:tab w:val="clear" w:pos="567"/>
                <w:tab w:val="right" w:leader="dot" w:pos="3316"/>
              </w:tabs>
              <w:spacing w:before="0"/>
            </w:pPr>
            <w:r>
              <w:t xml:space="preserve">Flounder </w:t>
            </w:r>
            <w:r>
              <w:tab/>
            </w:r>
          </w:p>
        </w:tc>
        <w:tc>
          <w:tcPr>
            <w:tcW w:w="3543" w:type="dxa"/>
            <w:tcMar>
              <w:top w:w="28" w:type="dxa"/>
              <w:left w:w="85" w:type="dxa"/>
            </w:tcMar>
          </w:tcPr>
          <w:p>
            <w:pPr>
              <w:pStyle w:val="yTableNAm"/>
              <w:spacing w:before="0"/>
            </w:pPr>
            <w:r>
              <w:rPr>
                <w:i/>
              </w:rPr>
              <w:t>Pseudorhombus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Foxfish, Western and Pigfish </w:t>
            </w:r>
            <w:r>
              <w:tab/>
            </w:r>
          </w:p>
        </w:tc>
        <w:tc>
          <w:tcPr>
            <w:tcW w:w="3543" w:type="dxa"/>
            <w:tcMar>
              <w:top w:w="28" w:type="dxa"/>
              <w:left w:w="85" w:type="dxa"/>
            </w:tcMar>
          </w:tcPr>
          <w:p>
            <w:pPr>
              <w:pStyle w:val="yTableNAm"/>
              <w:spacing w:before="0"/>
              <w:rPr>
                <w:i/>
              </w:rPr>
            </w:pPr>
            <w:r>
              <w:rPr>
                <w:i/>
              </w:rPr>
              <w:t>Bodianus</w:t>
            </w:r>
            <w:r>
              <w:rPr>
                <w:iCs/>
              </w:rPr>
              <w:t xml:space="preserve"> 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Garfish </w:t>
            </w:r>
            <w:r>
              <w:tab/>
            </w:r>
          </w:p>
        </w:tc>
        <w:tc>
          <w:tcPr>
            <w:tcW w:w="3543" w:type="dxa"/>
            <w:tcMar>
              <w:top w:w="28" w:type="dxa"/>
              <w:left w:w="85" w:type="dxa"/>
            </w:tcMar>
          </w:tcPr>
          <w:p>
            <w:pPr>
              <w:pStyle w:val="yTableNAm"/>
              <w:spacing w:before="0"/>
            </w:pPr>
            <w:r>
              <w:rPr>
                <w:u w:val="single"/>
              </w:rPr>
              <w:t>Family</w:t>
            </w:r>
            <w:r>
              <w:t xml:space="preserve"> Hemirhamphidae</w:t>
            </w:r>
          </w:p>
        </w:tc>
      </w:tr>
      <w:tr>
        <w:tc>
          <w:tcPr>
            <w:tcW w:w="3542" w:type="dxa"/>
            <w:tcMar>
              <w:top w:w="28" w:type="dxa"/>
              <w:left w:w="85" w:type="dxa"/>
            </w:tcMar>
          </w:tcPr>
          <w:p>
            <w:pPr>
              <w:pStyle w:val="yTableNAm"/>
              <w:tabs>
                <w:tab w:val="clear" w:pos="567"/>
                <w:tab w:val="right" w:leader="dot" w:pos="3316"/>
              </w:tabs>
              <w:spacing w:before="0"/>
            </w:pPr>
            <w:r>
              <w:t xml:space="preserve">Goatfish </w:t>
            </w:r>
            <w:r>
              <w:tab/>
            </w:r>
          </w:p>
        </w:tc>
        <w:tc>
          <w:tcPr>
            <w:tcW w:w="3543" w:type="dxa"/>
            <w:tcMar>
              <w:top w:w="28" w:type="dxa"/>
              <w:left w:w="85" w:type="dxa"/>
            </w:tcMar>
          </w:tcPr>
          <w:p>
            <w:pPr>
              <w:pStyle w:val="yTableNAm"/>
              <w:spacing w:before="0"/>
            </w:pPr>
            <w:r>
              <w:rPr>
                <w:u w:val="single"/>
              </w:rPr>
              <w:t>Family</w:t>
            </w:r>
            <w:r>
              <w:t xml:space="preserve"> Mullidae</w:t>
            </w:r>
          </w:p>
        </w:tc>
      </w:tr>
      <w:tr>
        <w:tc>
          <w:tcPr>
            <w:tcW w:w="3542" w:type="dxa"/>
            <w:tcMar>
              <w:top w:w="28" w:type="dxa"/>
              <w:left w:w="85" w:type="dxa"/>
            </w:tcMar>
          </w:tcPr>
          <w:p>
            <w:pPr>
              <w:pStyle w:val="yTableNAm"/>
              <w:tabs>
                <w:tab w:val="clear" w:pos="567"/>
                <w:tab w:val="right" w:leader="dot" w:pos="3316"/>
              </w:tabs>
              <w:spacing w:before="0"/>
            </w:pPr>
            <w:r>
              <w:t xml:space="preserve">Groper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Mar>
              <w:top w:w="28" w:type="dxa"/>
              <w:left w:w="85" w:type="dxa"/>
            </w:tcMar>
          </w:tcPr>
          <w:p>
            <w:pPr>
              <w:pStyle w:val="yTableNAm"/>
              <w:tabs>
                <w:tab w:val="clear" w:pos="567"/>
                <w:tab w:val="right" w:leader="dot" w:pos="3316"/>
              </w:tabs>
              <w:spacing w:before="0"/>
            </w:pPr>
            <w:r>
              <w:t xml:space="preserve">Groper, Baldchin </w:t>
            </w:r>
            <w:r>
              <w:tab/>
            </w:r>
          </w:p>
        </w:tc>
        <w:tc>
          <w:tcPr>
            <w:tcW w:w="3543" w:type="dxa"/>
            <w:tcMar>
              <w:top w:w="28" w:type="dxa"/>
              <w:left w:w="85" w:type="dxa"/>
            </w:tcMar>
          </w:tcPr>
          <w:p>
            <w:pPr>
              <w:pStyle w:val="yTableNAm"/>
              <w:spacing w:before="0"/>
              <w:rPr>
                <w:i/>
              </w:rPr>
            </w:pPr>
            <w:r>
              <w:rPr>
                <w:i/>
              </w:rPr>
              <w:t>Choerodon rubescens</w:t>
            </w:r>
          </w:p>
        </w:tc>
      </w:tr>
      <w:tr>
        <w:tc>
          <w:tcPr>
            <w:tcW w:w="3542" w:type="dxa"/>
            <w:tcMar>
              <w:top w:w="28" w:type="dxa"/>
              <w:left w:w="85" w:type="dxa"/>
            </w:tcMar>
          </w:tcPr>
          <w:p>
            <w:pPr>
              <w:pStyle w:val="yTableNAm"/>
              <w:tabs>
                <w:tab w:val="clear" w:pos="567"/>
                <w:tab w:val="right" w:leader="dot" w:pos="3316"/>
              </w:tabs>
              <w:spacing w:before="0"/>
            </w:pPr>
            <w:r>
              <w:t xml:space="preserve">Groper, Bass </w:t>
            </w:r>
            <w:r>
              <w:tab/>
            </w:r>
          </w:p>
        </w:tc>
        <w:tc>
          <w:tcPr>
            <w:tcW w:w="3543" w:type="dxa"/>
            <w:tcMar>
              <w:top w:w="28" w:type="dxa"/>
              <w:left w:w="85" w:type="dxa"/>
            </w:tcMar>
          </w:tcPr>
          <w:p>
            <w:pPr>
              <w:pStyle w:val="yTableNAm"/>
              <w:spacing w:before="0"/>
              <w:rPr>
                <w:i/>
              </w:rPr>
            </w:pPr>
            <w:r>
              <w:rPr>
                <w:i/>
              </w:rPr>
              <w:t>Polyprion americanus</w:t>
            </w:r>
          </w:p>
        </w:tc>
      </w:tr>
      <w:tr>
        <w:tc>
          <w:tcPr>
            <w:tcW w:w="3542" w:type="dxa"/>
            <w:tcMar>
              <w:top w:w="28" w:type="dxa"/>
              <w:left w:w="85" w:type="dxa"/>
            </w:tcMar>
          </w:tcPr>
          <w:p>
            <w:pPr>
              <w:pStyle w:val="yTableNAm"/>
              <w:tabs>
                <w:tab w:val="clear" w:pos="567"/>
                <w:tab w:val="right" w:leader="dot" w:pos="3316"/>
              </w:tabs>
              <w:spacing w:before="0"/>
            </w:pPr>
            <w:r>
              <w:t xml:space="preserve">Groper, </w:t>
            </w:r>
            <w:smartTag w:uri="urn:schemas-microsoft-com:office:smarttags" w:element="place">
              <w:smartTag w:uri="urn:schemas-microsoft-com:office:smarttags" w:element="State">
                <w:r>
                  <w:t>Queensland</w:t>
                </w:r>
              </w:smartTag>
            </w:smartTag>
            <w:r>
              <w:t xml:space="preserve"> </w:t>
            </w:r>
            <w:r>
              <w:tab/>
            </w:r>
          </w:p>
        </w:tc>
        <w:tc>
          <w:tcPr>
            <w:tcW w:w="3543" w:type="dxa"/>
            <w:tcMar>
              <w:top w:w="28" w:type="dxa"/>
              <w:left w:w="85" w:type="dxa"/>
            </w:tcMar>
          </w:tcPr>
          <w:p>
            <w:pPr>
              <w:pStyle w:val="yTableNAm"/>
              <w:spacing w:before="0"/>
              <w:rPr>
                <w:i/>
              </w:rPr>
            </w:pPr>
            <w:r>
              <w:rPr>
                <w:i/>
              </w:rPr>
              <w:t>Epinephelus lanceolatus</w:t>
            </w:r>
          </w:p>
        </w:tc>
      </w:tr>
      <w:tr>
        <w:tc>
          <w:tcPr>
            <w:tcW w:w="3542" w:type="dxa"/>
            <w:tcMar>
              <w:top w:w="28" w:type="dxa"/>
              <w:left w:w="85" w:type="dxa"/>
            </w:tcMar>
          </w:tcPr>
          <w:p>
            <w:pPr>
              <w:pStyle w:val="yTableNAm"/>
              <w:tabs>
                <w:tab w:val="clear" w:pos="567"/>
                <w:tab w:val="right" w:leader="dot" w:pos="3316"/>
              </w:tabs>
              <w:spacing w:before="0"/>
            </w:pPr>
            <w:r>
              <w:t xml:space="preserve">Groper, Western Blue </w:t>
            </w:r>
            <w:r>
              <w:tab/>
            </w:r>
          </w:p>
        </w:tc>
        <w:tc>
          <w:tcPr>
            <w:tcW w:w="3543" w:type="dxa"/>
            <w:tcMar>
              <w:top w:w="28" w:type="dxa"/>
              <w:left w:w="85" w:type="dxa"/>
            </w:tcMar>
          </w:tcPr>
          <w:p>
            <w:pPr>
              <w:pStyle w:val="yTableNAm"/>
              <w:spacing w:before="0"/>
              <w:rPr>
                <w:u w:val="single"/>
              </w:rPr>
            </w:pPr>
            <w:r>
              <w:rPr>
                <w:i/>
              </w:rPr>
              <w:t>Achoerodus gouldii</w:t>
            </w:r>
          </w:p>
        </w:tc>
      </w:tr>
      <w:tr>
        <w:tc>
          <w:tcPr>
            <w:tcW w:w="3542" w:type="dxa"/>
            <w:tcMar>
              <w:top w:w="28" w:type="dxa"/>
              <w:left w:w="85" w:type="dxa"/>
            </w:tcMar>
          </w:tcPr>
          <w:p>
            <w:pPr>
              <w:pStyle w:val="yTableNAm"/>
              <w:tabs>
                <w:tab w:val="clear" w:pos="567"/>
                <w:tab w:val="right" w:leader="dot" w:pos="3316"/>
              </w:tabs>
              <w:spacing w:before="0"/>
            </w:pPr>
            <w:r>
              <w:t xml:space="preserve">Hapuku </w:t>
            </w:r>
            <w:r>
              <w:tab/>
            </w:r>
          </w:p>
        </w:tc>
        <w:tc>
          <w:tcPr>
            <w:tcW w:w="3543" w:type="dxa"/>
            <w:tcMar>
              <w:top w:w="28" w:type="dxa"/>
              <w:left w:w="85" w:type="dxa"/>
            </w:tcMar>
          </w:tcPr>
          <w:p>
            <w:pPr>
              <w:pStyle w:val="yTableNAm"/>
              <w:spacing w:before="0"/>
              <w:rPr>
                <w:u w:val="single"/>
              </w:rPr>
            </w:pPr>
            <w:r>
              <w:rPr>
                <w:i/>
              </w:rPr>
              <w:t>Polyprion oxygeneios</w:t>
            </w:r>
          </w:p>
        </w:tc>
      </w:tr>
      <w:tr>
        <w:tc>
          <w:tcPr>
            <w:tcW w:w="3542" w:type="dxa"/>
            <w:tcMar>
              <w:top w:w="28" w:type="dxa"/>
              <w:left w:w="85" w:type="dxa"/>
            </w:tcMar>
          </w:tcPr>
          <w:p>
            <w:pPr>
              <w:pStyle w:val="yTableNAm"/>
              <w:tabs>
                <w:tab w:val="clear" w:pos="567"/>
                <w:tab w:val="right" w:leader="dot" w:pos="3316"/>
              </w:tabs>
              <w:spacing w:before="0"/>
            </w:pPr>
            <w:r>
              <w:t xml:space="preserve">Hardyhead </w:t>
            </w:r>
            <w:r>
              <w:tab/>
            </w:r>
          </w:p>
        </w:tc>
        <w:tc>
          <w:tcPr>
            <w:tcW w:w="3543" w:type="dxa"/>
            <w:tcMar>
              <w:top w:w="28" w:type="dxa"/>
              <w:left w:w="85" w:type="dxa"/>
            </w:tcMar>
          </w:tcPr>
          <w:p>
            <w:pPr>
              <w:pStyle w:val="yTableNAm"/>
              <w:spacing w:before="0"/>
            </w:pPr>
            <w:r>
              <w:rPr>
                <w:u w:val="single"/>
              </w:rPr>
              <w:t>Family</w:t>
            </w:r>
            <w:r>
              <w:t xml:space="preserve"> Atherinidae</w:t>
            </w:r>
          </w:p>
        </w:tc>
      </w:tr>
      <w:tr>
        <w:tc>
          <w:tcPr>
            <w:tcW w:w="3542" w:type="dxa"/>
            <w:tcMar>
              <w:top w:w="28" w:type="dxa"/>
              <w:left w:w="85" w:type="dxa"/>
            </w:tcMar>
          </w:tcPr>
          <w:p>
            <w:pPr>
              <w:pStyle w:val="yTableNAm"/>
              <w:tabs>
                <w:tab w:val="clear" w:pos="567"/>
                <w:tab w:val="right" w:leader="dot" w:pos="3316"/>
              </w:tabs>
              <w:spacing w:before="0"/>
            </w:pPr>
            <w:r>
              <w:t xml:space="preserve">Herring, Australian (Tommy Ruff) </w:t>
            </w:r>
            <w:r>
              <w:tab/>
            </w:r>
          </w:p>
        </w:tc>
        <w:tc>
          <w:tcPr>
            <w:tcW w:w="3543" w:type="dxa"/>
            <w:tcMar>
              <w:top w:w="28" w:type="dxa"/>
              <w:left w:w="85" w:type="dxa"/>
            </w:tcMar>
          </w:tcPr>
          <w:p>
            <w:pPr>
              <w:pStyle w:val="yTableNAm"/>
              <w:spacing w:before="0"/>
              <w:rPr>
                <w:i/>
              </w:rPr>
            </w:pPr>
            <w:r>
              <w:rPr>
                <w:i/>
              </w:rPr>
              <w:t>Arripis georgianus</w:t>
            </w:r>
          </w:p>
        </w:tc>
      </w:tr>
      <w:tr>
        <w:tc>
          <w:tcPr>
            <w:tcW w:w="3542" w:type="dxa"/>
            <w:tcMar>
              <w:top w:w="28" w:type="dxa"/>
              <w:left w:w="85" w:type="dxa"/>
            </w:tcMar>
          </w:tcPr>
          <w:p>
            <w:pPr>
              <w:pStyle w:val="yTableNAm"/>
              <w:tabs>
                <w:tab w:val="clear" w:pos="567"/>
                <w:tab w:val="right" w:leader="dot" w:pos="3316"/>
              </w:tabs>
              <w:spacing w:before="0"/>
            </w:pPr>
            <w:r>
              <w:t xml:space="preserve">Herring, Giant </w:t>
            </w:r>
            <w:r>
              <w:tab/>
            </w:r>
          </w:p>
        </w:tc>
        <w:tc>
          <w:tcPr>
            <w:tcW w:w="3543" w:type="dxa"/>
            <w:tcMar>
              <w:top w:w="28" w:type="dxa"/>
              <w:left w:w="85" w:type="dxa"/>
            </w:tcMar>
          </w:tcPr>
          <w:p>
            <w:pPr>
              <w:pStyle w:val="yTableNAm"/>
              <w:spacing w:before="0"/>
              <w:rPr>
                <w:i/>
              </w:rPr>
            </w:pPr>
            <w:r>
              <w:rPr>
                <w:i/>
              </w:rPr>
              <w:t>Elops hawaiiensis</w:t>
            </w:r>
          </w:p>
        </w:tc>
      </w:tr>
      <w:tr>
        <w:tc>
          <w:tcPr>
            <w:tcW w:w="3542" w:type="dxa"/>
            <w:tcMar>
              <w:top w:w="28" w:type="dxa"/>
              <w:left w:w="85" w:type="dxa"/>
            </w:tcMar>
          </w:tcPr>
          <w:p>
            <w:pPr>
              <w:pStyle w:val="yTableNAm"/>
              <w:tabs>
                <w:tab w:val="clear" w:pos="567"/>
                <w:tab w:val="right" w:leader="dot" w:pos="3316"/>
              </w:tabs>
              <w:spacing w:before="0"/>
            </w:pPr>
            <w:r>
              <w:t xml:space="preserve">Herring, </w:t>
            </w:r>
            <w:smartTag w:uri="urn:schemas-microsoft-com:office:smarttags" w:element="place">
              <w:smartTag w:uri="urn:schemas-microsoft-com:office:smarttags" w:element="City">
                <w:r>
                  <w:t>Perth</w:t>
                </w:r>
              </w:smartTag>
            </w:smartTag>
            <w:r>
              <w:t xml:space="preserve"> </w:t>
            </w:r>
            <w:r>
              <w:tab/>
            </w:r>
          </w:p>
        </w:tc>
        <w:tc>
          <w:tcPr>
            <w:tcW w:w="3543" w:type="dxa"/>
            <w:tcMar>
              <w:top w:w="28" w:type="dxa"/>
              <w:left w:w="85" w:type="dxa"/>
            </w:tcMar>
          </w:tcPr>
          <w:p>
            <w:pPr>
              <w:pStyle w:val="yTableNAm"/>
              <w:spacing w:before="0"/>
              <w:rPr>
                <w:i/>
              </w:rPr>
            </w:pPr>
            <w:r>
              <w:rPr>
                <w:i/>
              </w:rPr>
              <w:t>Nematalosa vlaminghi</w:t>
            </w:r>
          </w:p>
        </w:tc>
      </w:tr>
      <w:tr>
        <w:tc>
          <w:tcPr>
            <w:tcW w:w="3542" w:type="dxa"/>
            <w:tcMar>
              <w:top w:w="28" w:type="dxa"/>
              <w:left w:w="85" w:type="dxa"/>
            </w:tcMar>
          </w:tcPr>
          <w:p>
            <w:pPr>
              <w:pStyle w:val="yTableNAm"/>
              <w:tabs>
                <w:tab w:val="clear" w:pos="567"/>
                <w:tab w:val="right" w:leader="dot" w:pos="3316"/>
              </w:tabs>
              <w:spacing w:before="0"/>
            </w:pPr>
            <w:r>
              <w:t xml:space="preserve">Javelinfish and Sweetlips </w:t>
            </w:r>
            <w:r>
              <w:tab/>
            </w:r>
          </w:p>
        </w:tc>
        <w:tc>
          <w:tcPr>
            <w:tcW w:w="3543" w:type="dxa"/>
            <w:tcMar>
              <w:top w:w="28" w:type="dxa"/>
              <w:left w:w="85" w:type="dxa"/>
            </w:tcMar>
          </w:tcPr>
          <w:p>
            <w:pPr>
              <w:pStyle w:val="yTableNAm"/>
              <w:spacing w:before="0"/>
              <w:rPr>
                <w:i/>
              </w:rPr>
            </w:pPr>
            <w:r>
              <w:rPr>
                <w:u w:val="single"/>
              </w:rPr>
              <w:t>Family</w:t>
            </w:r>
            <w:r>
              <w:t xml:space="preserve"> Haemuidae</w:t>
            </w:r>
          </w:p>
        </w:tc>
      </w:tr>
      <w:tr>
        <w:tc>
          <w:tcPr>
            <w:tcW w:w="3542" w:type="dxa"/>
            <w:tcMar>
              <w:top w:w="28" w:type="dxa"/>
              <w:left w:w="85" w:type="dxa"/>
            </w:tcMar>
          </w:tcPr>
          <w:p>
            <w:pPr>
              <w:pStyle w:val="yTableNAm"/>
              <w:tabs>
                <w:tab w:val="clear" w:pos="567"/>
                <w:tab w:val="right" w:leader="dot" w:pos="3316"/>
              </w:tabs>
              <w:spacing w:before="0"/>
            </w:pPr>
            <w:r>
              <w:t xml:space="preserve">Kingfish, Yellowtail </w:t>
            </w:r>
            <w:r>
              <w:tab/>
            </w:r>
          </w:p>
        </w:tc>
        <w:tc>
          <w:tcPr>
            <w:tcW w:w="3543" w:type="dxa"/>
            <w:tcMar>
              <w:top w:w="28" w:type="dxa"/>
              <w:left w:w="85" w:type="dxa"/>
            </w:tcMar>
          </w:tcPr>
          <w:p>
            <w:pPr>
              <w:pStyle w:val="yTableNAm"/>
              <w:spacing w:before="0"/>
              <w:rPr>
                <w:i/>
              </w:rPr>
            </w:pPr>
            <w:r>
              <w:rPr>
                <w:i/>
              </w:rPr>
              <w:t>Seriola lalandi</w:t>
            </w:r>
          </w:p>
        </w:tc>
      </w:tr>
      <w:tr>
        <w:tc>
          <w:tcPr>
            <w:tcW w:w="3542" w:type="dxa"/>
            <w:tcMar>
              <w:top w:w="28" w:type="dxa"/>
              <w:left w:w="85" w:type="dxa"/>
            </w:tcMar>
          </w:tcPr>
          <w:p>
            <w:pPr>
              <w:pStyle w:val="yTableNAm"/>
              <w:tabs>
                <w:tab w:val="clear" w:pos="567"/>
                <w:tab w:val="right" w:leader="dot" w:pos="3316"/>
              </w:tabs>
              <w:spacing w:before="0"/>
            </w:pPr>
            <w:r>
              <w:t xml:space="preserve">Leatherjacket </w:t>
            </w:r>
            <w:r>
              <w:tab/>
            </w:r>
          </w:p>
        </w:tc>
        <w:tc>
          <w:tcPr>
            <w:tcW w:w="3543" w:type="dxa"/>
            <w:tcMar>
              <w:top w:w="28" w:type="dxa"/>
              <w:left w:w="85" w:type="dxa"/>
            </w:tcMar>
          </w:tcPr>
          <w:p>
            <w:pPr>
              <w:pStyle w:val="yTableNAm"/>
              <w:spacing w:before="0"/>
            </w:pPr>
            <w:r>
              <w:rPr>
                <w:u w:val="single"/>
              </w:rPr>
              <w:t>Family</w:t>
            </w:r>
            <w:r>
              <w:t xml:space="preserve"> Monacanthidae</w:t>
            </w:r>
          </w:p>
        </w:tc>
      </w:tr>
      <w:tr>
        <w:tc>
          <w:tcPr>
            <w:tcW w:w="3542" w:type="dxa"/>
            <w:tcMar>
              <w:top w:w="28" w:type="dxa"/>
              <w:left w:w="85" w:type="dxa"/>
            </w:tcMar>
          </w:tcPr>
          <w:p>
            <w:pPr>
              <w:pStyle w:val="yTableNAm"/>
              <w:tabs>
                <w:tab w:val="clear" w:pos="567"/>
                <w:tab w:val="right" w:leader="dot" w:pos="3316"/>
              </w:tabs>
              <w:spacing w:before="0"/>
            </w:pPr>
            <w:r>
              <w:t xml:space="preserve">Longtom </w:t>
            </w:r>
            <w:r>
              <w:tab/>
            </w:r>
          </w:p>
        </w:tc>
        <w:tc>
          <w:tcPr>
            <w:tcW w:w="3543" w:type="dxa"/>
            <w:tcMar>
              <w:top w:w="28" w:type="dxa"/>
              <w:left w:w="85" w:type="dxa"/>
            </w:tcMar>
          </w:tcPr>
          <w:p>
            <w:pPr>
              <w:pStyle w:val="yTableNAm"/>
              <w:spacing w:before="0"/>
            </w:pPr>
            <w:r>
              <w:rPr>
                <w:u w:val="single"/>
              </w:rPr>
              <w:t>Family</w:t>
            </w:r>
            <w:r>
              <w:t xml:space="preserve"> Belonidae</w:t>
            </w:r>
          </w:p>
        </w:tc>
      </w:tr>
      <w:tr>
        <w:tc>
          <w:tcPr>
            <w:tcW w:w="3542" w:type="dxa"/>
            <w:tcMar>
              <w:top w:w="28" w:type="dxa"/>
              <w:left w:w="85" w:type="dxa"/>
            </w:tcMar>
          </w:tcPr>
          <w:p>
            <w:pPr>
              <w:pStyle w:val="yTableNAm"/>
              <w:tabs>
                <w:tab w:val="clear" w:pos="567"/>
                <w:tab w:val="right" w:leader="dot" w:pos="3316"/>
              </w:tabs>
              <w:spacing w:before="0"/>
            </w:pPr>
            <w:r>
              <w:t xml:space="preserve">Mackerel </w:t>
            </w:r>
            <w:r>
              <w:tab/>
            </w:r>
          </w:p>
        </w:tc>
        <w:tc>
          <w:tcPr>
            <w:tcW w:w="3543" w:type="dxa"/>
            <w:tcMar>
              <w:top w:w="28" w:type="dxa"/>
              <w:left w:w="85" w:type="dxa"/>
            </w:tcMar>
          </w:tcPr>
          <w:p>
            <w:pPr>
              <w:pStyle w:val="yTableNAm"/>
              <w:spacing w:before="0"/>
            </w:pPr>
            <w:r>
              <w:rPr>
                <w:i/>
              </w:rPr>
              <w:t>Scomberomorus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Mackerel, Australian Spotted </w:t>
            </w:r>
            <w:r>
              <w:tab/>
            </w:r>
          </w:p>
        </w:tc>
        <w:tc>
          <w:tcPr>
            <w:tcW w:w="3543" w:type="dxa"/>
            <w:tcMar>
              <w:top w:w="28" w:type="dxa"/>
              <w:left w:w="85" w:type="dxa"/>
            </w:tcMar>
          </w:tcPr>
          <w:p>
            <w:pPr>
              <w:pStyle w:val="yTableNAm"/>
              <w:spacing w:before="0"/>
              <w:rPr>
                <w:i/>
              </w:rPr>
            </w:pPr>
            <w:r>
              <w:rPr>
                <w:i/>
              </w:rPr>
              <w:t>Scomberomorus munroi</w:t>
            </w:r>
          </w:p>
        </w:tc>
      </w:tr>
      <w:tr>
        <w:tc>
          <w:tcPr>
            <w:tcW w:w="3542" w:type="dxa"/>
            <w:tcMar>
              <w:top w:w="28" w:type="dxa"/>
              <w:left w:w="85" w:type="dxa"/>
            </w:tcMar>
          </w:tcPr>
          <w:p>
            <w:pPr>
              <w:pStyle w:val="yTableNAm"/>
              <w:tabs>
                <w:tab w:val="clear" w:pos="567"/>
                <w:tab w:val="right" w:leader="dot" w:pos="3316"/>
              </w:tabs>
              <w:spacing w:before="0"/>
            </w:pPr>
            <w:r>
              <w:t xml:space="preserve">Mackerel, Blue (Common) </w:t>
            </w:r>
            <w:r>
              <w:tab/>
            </w:r>
          </w:p>
        </w:tc>
        <w:tc>
          <w:tcPr>
            <w:tcW w:w="3543" w:type="dxa"/>
            <w:tcMar>
              <w:top w:w="28" w:type="dxa"/>
              <w:left w:w="85" w:type="dxa"/>
            </w:tcMar>
          </w:tcPr>
          <w:p>
            <w:pPr>
              <w:pStyle w:val="yTableNAm"/>
              <w:spacing w:before="0"/>
              <w:rPr>
                <w:i/>
              </w:rPr>
            </w:pPr>
            <w:r>
              <w:rPr>
                <w:i/>
              </w:rPr>
              <w:t>Scomber australasicus</w:t>
            </w:r>
          </w:p>
        </w:tc>
      </w:tr>
      <w:tr>
        <w:tc>
          <w:tcPr>
            <w:tcW w:w="3542" w:type="dxa"/>
            <w:tcMar>
              <w:top w:w="28" w:type="dxa"/>
              <w:left w:w="85" w:type="dxa"/>
            </w:tcMar>
          </w:tcPr>
          <w:p>
            <w:pPr>
              <w:pStyle w:val="yTableNAm"/>
              <w:tabs>
                <w:tab w:val="clear" w:pos="567"/>
                <w:tab w:val="right" w:leader="dot" w:pos="3316"/>
              </w:tabs>
              <w:spacing w:before="0"/>
            </w:pPr>
            <w:r>
              <w:t>Mackerel, Broad</w:t>
            </w:r>
            <w:r>
              <w:noBreakHyphen/>
              <w:t xml:space="preserve">barred Spanish </w:t>
            </w:r>
            <w:r>
              <w:tab/>
            </w:r>
          </w:p>
        </w:tc>
        <w:tc>
          <w:tcPr>
            <w:tcW w:w="3543" w:type="dxa"/>
            <w:tcMar>
              <w:top w:w="28" w:type="dxa"/>
              <w:left w:w="85" w:type="dxa"/>
            </w:tcMar>
          </w:tcPr>
          <w:p>
            <w:pPr>
              <w:pStyle w:val="yTableNAm"/>
              <w:spacing w:before="0"/>
              <w:rPr>
                <w:i/>
              </w:rPr>
            </w:pPr>
            <w:r>
              <w:rPr>
                <w:i/>
              </w:rPr>
              <w:t>Scomberomorus semifasciatus</w:t>
            </w:r>
          </w:p>
        </w:tc>
      </w:tr>
      <w:tr>
        <w:tc>
          <w:tcPr>
            <w:tcW w:w="3542" w:type="dxa"/>
            <w:tcMar>
              <w:top w:w="28" w:type="dxa"/>
              <w:left w:w="85" w:type="dxa"/>
            </w:tcMar>
          </w:tcPr>
          <w:p>
            <w:pPr>
              <w:pStyle w:val="yTableNAm"/>
              <w:tabs>
                <w:tab w:val="clear" w:pos="567"/>
                <w:tab w:val="right" w:leader="dot" w:pos="3316"/>
              </w:tabs>
              <w:spacing w:before="0"/>
            </w:pPr>
            <w:r>
              <w:t xml:space="preserve">Mackerel, Jack </w:t>
            </w:r>
            <w:r>
              <w:tab/>
            </w:r>
          </w:p>
        </w:tc>
        <w:tc>
          <w:tcPr>
            <w:tcW w:w="3543" w:type="dxa"/>
            <w:tcMar>
              <w:top w:w="28" w:type="dxa"/>
              <w:left w:w="85" w:type="dxa"/>
            </w:tcMar>
          </w:tcPr>
          <w:p>
            <w:pPr>
              <w:pStyle w:val="yTableNAm"/>
              <w:spacing w:before="0"/>
              <w:rPr>
                <w:i/>
              </w:rPr>
            </w:pPr>
            <w:r>
              <w:rPr>
                <w:i/>
              </w:rPr>
              <w:t>Trachurus declivis</w:t>
            </w:r>
          </w:p>
        </w:tc>
      </w:tr>
      <w:tr>
        <w:tc>
          <w:tcPr>
            <w:tcW w:w="3542" w:type="dxa"/>
            <w:tcMar>
              <w:top w:w="28" w:type="dxa"/>
              <w:left w:w="85" w:type="dxa"/>
            </w:tcMar>
          </w:tcPr>
          <w:p>
            <w:pPr>
              <w:pStyle w:val="yTableNAm"/>
              <w:tabs>
                <w:tab w:val="clear" w:pos="567"/>
                <w:tab w:val="right" w:leader="dot" w:pos="3316"/>
              </w:tabs>
              <w:spacing w:before="0"/>
            </w:pPr>
            <w:r>
              <w:t>Mackerel, Narrow</w:t>
            </w:r>
            <w:r>
              <w:noBreakHyphen/>
              <w:t xml:space="preserve">barred Spanish </w:t>
            </w:r>
            <w:r>
              <w:tab/>
            </w:r>
          </w:p>
        </w:tc>
        <w:tc>
          <w:tcPr>
            <w:tcW w:w="3543" w:type="dxa"/>
            <w:tcMar>
              <w:top w:w="28" w:type="dxa"/>
              <w:left w:w="85" w:type="dxa"/>
            </w:tcMar>
          </w:tcPr>
          <w:p>
            <w:pPr>
              <w:pStyle w:val="yTableNAm"/>
              <w:spacing w:before="0"/>
              <w:rPr>
                <w:i/>
              </w:rPr>
            </w:pPr>
            <w:r>
              <w:rPr>
                <w:i/>
              </w:rPr>
              <w:t>Scomberomorus commerson</w:t>
            </w:r>
          </w:p>
        </w:tc>
      </w:tr>
      <w:tr>
        <w:tc>
          <w:tcPr>
            <w:tcW w:w="3542" w:type="dxa"/>
            <w:tcMar>
              <w:top w:w="28" w:type="dxa"/>
              <w:left w:w="85" w:type="dxa"/>
            </w:tcMar>
          </w:tcPr>
          <w:p>
            <w:pPr>
              <w:pStyle w:val="yTableNAm"/>
              <w:tabs>
                <w:tab w:val="clear" w:pos="567"/>
                <w:tab w:val="right" w:leader="dot" w:pos="3316"/>
              </w:tabs>
              <w:spacing w:before="0"/>
            </w:pPr>
            <w:r>
              <w:t xml:space="preserve">Mackerel, Peruvian Jack </w:t>
            </w:r>
            <w:r>
              <w:tab/>
            </w:r>
          </w:p>
        </w:tc>
        <w:tc>
          <w:tcPr>
            <w:tcW w:w="3543" w:type="dxa"/>
            <w:tcMar>
              <w:top w:w="28" w:type="dxa"/>
              <w:left w:w="85" w:type="dxa"/>
            </w:tcMar>
          </w:tcPr>
          <w:p>
            <w:pPr>
              <w:pStyle w:val="yTableNAm"/>
              <w:spacing w:before="0"/>
              <w:rPr>
                <w:i/>
              </w:rPr>
            </w:pPr>
            <w:r>
              <w:rPr>
                <w:i/>
              </w:rPr>
              <w:t>Trachurus murphi</w:t>
            </w:r>
          </w:p>
        </w:tc>
      </w:tr>
      <w:tr>
        <w:tc>
          <w:tcPr>
            <w:tcW w:w="3542" w:type="dxa"/>
            <w:tcMar>
              <w:top w:w="28" w:type="dxa"/>
              <w:left w:w="85" w:type="dxa"/>
            </w:tcMar>
          </w:tcPr>
          <w:p>
            <w:pPr>
              <w:pStyle w:val="yTableNAm"/>
              <w:tabs>
                <w:tab w:val="clear" w:pos="567"/>
                <w:tab w:val="right" w:leader="dot" w:pos="3316"/>
              </w:tabs>
              <w:spacing w:before="0"/>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3543" w:type="dxa"/>
            <w:tcMar>
              <w:top w:w="28" w:type="dxa"/>
              <w:left w:w="85" w:type="dxa"/>
            </w:tcMar>
          </w:tcPr>
          <w:p>
            <w:pPr>
              <w:pStyle w:val="yTableNAm"/>
              <w:spacing w:before="0"/>
              <w:rPr>
                <w:i/>
              </w:rPr>
            </w:pPr>
            <w:r>
              <w:rPr>
                <w:i/>
              </w:rPr>
              <w:t>Scomberomorus queenslandicus</w:t>
            </w:r>
          </w:p>
        </w:tc>
      </w:tr>
      <w:tr>
        <w:tc>
          <w:tcPr>
            <w:tcW w:w="3542" w:type="dxa"/>
            <w:tcMar>
              <w:top w:w="28" w:type="dxa"/>
              <w:left w:w="85" w:type="dxa"/>
            </w:tcMar>
          </w:tcPr>
          <w:p>
            <w:pPr>
              <w:pStyle w:val="yTableNAm"/>
              <w:tabs>
                <w:tab w:val="clear" w:pos="567"/>
                <w:tab w:val="right" w:leader="dot" w:pos="3316"/>
              </w:tabs>
              <w:spacing w:before="0"/>
            </w:pPr>
            <w:r>
              <w:t xml:space="preserve">Mackerel, Scaly </w:t>
            </w:r>
            <w:r>
              <w:tab/>
            </w:r>
          </w:p>
        </w:tc>
        <w:tc>
          <w:tcPr>
            <w:tcW w:w="3543" w:type="dxa"/>
            <w:tcMar>
              <w:top w:w="28" w:type="dxa"/>
              <w:left w:w="85" w:type="dxa"/>
            </w:tcMar>
          </w:tcPr>
          <w:p>
            <w:pPr>
              <w:pStyle w:val="yTableNAm"/>
              <w:spacing w:before="0"/>
              <w:rPr>
                <w:i/>
              </w:rPr>
            </w:pPr>
            <w:r>
              <w:rPr>
                <w:i/>
              </w:rPr>
              <w:t>Sardinella lemuru</w:t>
            </w:r>
          </w:p>
        </w:tc>
      </w:tr>
      <w:tr>
        <w:tc>
          <w:tcPr>
            <w:tcW w:w="3542" w:type="dxa"/>
            <w:tcMar>
              <w:top w:w="28" w:type="dxa"/>
              <w:left w:w="85" w:type="dxa"/>
            </w:tcMar>
          </w:tcPr>
          <w:p>
            <w:pPr>
              <w:pStyle w:val="yTableNAm"/>
              <w:tabs>
                <w:tab w:val="clear" w:pos="567"/>
                <w:tab w:val="right" w:leader="dot" w:pos="3316"/>
              </w:tabs>
              <w:spacing w:before="0"/>
            </w:pPr>
            <w:r>
              <w:t xml:space="preserve">Mackerel, Shark </w:t>
            </w:r>
            <w:r>
              <w:tab/>
            </w:r>
          </w:p>
        </w:tc>
        <w:tc>
          <w:tcPr>
            <w:tcW w:w="3543" w:type="dxa"/>
            <w:tcMar>
              <w:top w:w="28" w:type="dxa"/>
              <w:left w:w="85" w:type="dxa"/>
            </w:tcMar>
          </w:tcPr>
          <w:p>
            <w:pPr>
              <w:pStyle w:val="yTableNAm"/>
              <w:spacing w:before="0"/>
              <w:rPr>
                <w:i/>
              </w:rPr>
            </w:pPr>
            <w:r>
              <w:rPr>
                <w:i/>
              </w:rPr>
              <w:t>Grammatorcynus bicarinatus</w:t>
            </w:r>
          </w:p>
        </w:tc>
      </w:tr>
      <w:tr>
        <w:tc>
          <w:tcPr>
            <w:tcW w:w="3542" w:type="dxa"/>
            <w:tcMar>
              <w:top w:w="28" w:type="dxa"/>
              <w:left w:w="85" w:type="dxa"/>
            </w:tcMar>
          </w:tcPr>
          <w:p>
            <w:pPr>
              <w:pStyle w:val="yTableNAm"/>
              <w:tabs>
                <w:tab w:val="clear" w:pos="567"/>
                <w:tab w:val="right" w:leader="dot" w:pos="3316"/>
              </w:tabs>
              <w:spacing w:before="0"/>
            </w:pPr>
            <w:r>
              <w:t xml:space="preserve">Mackerel, Wahoo </w:t>
            </w:r>
            <w:r>
              <w:tab/>
            </w:r>
          </w:p>
        </w:tc>
        <w:tc>
          <w:tcPr>
            <w:tcW w:w="3543" w:type="dxa"/>
            <w:tcMar>
              <w:top w:w="28" w:type="dxa"/>
              <w:left w:w="85" w:type="dxa"/>
            </w:tcMar>
          </w:tcPr>
          <w:p>
            <w:pPr>
              <w:pStyle w:val="yTableNAm"/>
              <w:spacing w:before="0"/>
              <w:rPr>
                <w:i/>
              </w:rPr>
            </w:pPr>
            <w:r>
              <w:rPr>
                <w:i/>
              </w:rPr>
              <w:t>Acanthocybium solandri</w:t>
            </w:r>
          </w:p>
        </w:tc>
      </w:tr>
      <w:tr>
        <w:tc>
          <w:tcPr>
            <w:tcW w:w="3542" w:type="dxa"/>
            <w:tcMar>
              <w:top w:w="28" w:type="dxa"/>
              <w:left w:w="85" w:type="dxa"/>
            </w:tcMar>
          </w:tcPr>
          <w:p>
            <w:pPr>
              <w:pStyle w:val="yTableNAm"/>
              <w:tabs>
                <w:tab w:val="clear" w:pos="567"/>
                <w:tab w:val="right" w:leader="dot" w:pos="3316"/>
              </w:tabs>
              <w:spacing w:before="0"/>
            </w:pPr>
            <w:r>
              <w:t xml:space="preserve">Mackerel, Yellowtail Jack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Mangrove Jack </w:t>
            </w:r>
            <w:r>
              <w:tab/>
            </w:r>
          </w:p>
        </w:tc>
        <w:tc>
          <w:tcPr>
            <w:tcW w:w="3543" w:type="dxa"/>
            <w:tcMar>
              <w:top w:w="28" w:type="dxa"/>
              <w:left w:w="85" w:type="dxa"/>
            </w:tcMar>
          </w:tcPr>
          <w:p>
            <w:pPr>
              <w:pStyle w:val="yTableNAm"/>
              <w:spacing w:before="0"/>
              <w:rPr>
                <w:i/>
              </w:rPr>
            </w:pPr>
            <w:r>
              <w:rPr>
                <w:i/>
              </w:rPr>
              <w:t>Lutjanus argentimaculatus</w:t>
            </w:r>
          </w:p>
        </w:tc>
      </w:tr>
      <w:tr>
        <w:tc>
          <w:tcPr>
            <w:tcW w:w="3542" w:type="dxa"/>
            <w:tcMar>
              <w:top w:w="28" w:type="dxa"/>
              <w:left w:w="85" w:type="dxa"/>
            </w:tcMar>
          </w:tcPr>
          <w:p>
            <w:pPr>
              <w:pStyle w:val="yTableNAm"/>
              <w:tabs>
                <w:tab w:val="clear" w:pos="567"/>
                <w:tab w:val="right" w:leader="dot" w:pos="3316"/>
              </w:tabs>
              <w:spacing w:before="0"/>
            </w:pPr>
            <w:r>
              <w:t xml:space="preserve">Maray </w:t>
            </w:r>
            <w:r>
              <w:tab/>
            </w:r>
          </w:p>
        </w:tc>
        <w:tc>
          <w:tcPr>
            <w:tcW w:w="3543" w:type="dxa"/>
            <w:tcMar>
              <w:top w:w="28" w:type="dxa"/>
              <w:left w:w="85" w:type="dxa"/>
            </w:tcMar>
          </w:tcPr>
          <w:p>
            <w:pPr>
              <w:pStyle w:val="yTableNAm"/>
              <w:spacing w:before="0"/>
              <w:rPr>
                <w:i/>
              </w:rPr>
            </w:pPr>
            <w:r>
              <w:rPr>
                <w:i/>
              </w:rPr>
              <w:t>Etrumeus teres</w:t>
            </w:r>
          </w:p>
        </w:tc>
      </w:tr>
      <w:tr>
        <w:tc>
          <w:tcPr>
            <w:tcW w:w="3542" w:type="dxa"/>
            <w:tcMar>
              <w:top w:w="28" w:type="dxa"/>
              <w:left w:w="85" w:type="dxa"/>
            </w:tcMar>
          </w:tcPr>
          <w:p>
            <w:pPr>
              <w:pStyle w:val="yTableNAm"/>
              <w:tabs>
                <w:tab w:val="clear" w:pos="567"/>
                <w:tab w:val="right" w:leader="dot" w:pos="3316"/>
              </w:tabs>
              <w:spacing w:before="0"/>
            </w:pPr>
            <w:r>
              <w:t xml:space="preserve">Milkfish </w:t>
            </w:r>
            <w:r>
              <w:tab/>
            </w:r>
          </w:p>
        </w:tc>
        <w:tc>
          <w:tcPr>
            <w:tcW w:w="3543" w:type="dxa"/>
            <w:tcMar>
              <w:top w:w="28" w:type="dxa"/>
              <w:left w:w="85" w:type="dxa"/>
            </w:tcMar>
          </w:tcPr>
          <w:p>
            <w:pPr>
              <w:pStyle w:val="yTableNAm"/>
              <w:spacing w:before="0"/>
              <w:rPr>
                <w:i/>
              </w:rPr>
            </w:pPr>
            <w:r>
              <w:rPr>
                <w:i/>
              </w:rPr>
              <w:t>Chanos chanos</w:t>
            </w:r>
          </w:p>
        </w:tc>
      </w:tr>
      <w:tr>
        <w:tc>
          <w:tcPr>
            <w:tcW w:w="3542" w:type="dxa"/>
            <w:tcMar>
              <w:top w:w="28" w:type="dxa"/>
              <w:left w:w="85" w:type="dxa"/>
            </w:tcMar>
          </w:tcPr>
          <w:p>
            <w:pPr>
              <w:pStyle w:val="yTableNAm"/>
              <w:tabs>
                <w:tab w:val="clear" w:pos="567"/>
                <w:tab w:val="right" w:leader="dot" w:pos="3316"/>
              </w:tabs>
              <w:spacing w:before="0"/>
            </w:pPr>
            <w:r>
              <w:t xml:space="preserve">Mullet </w:t>
            </w:r>
            <w:r>
              <w:tab/>
            </w:r>
          </w:p>
        </w:tc>
        <w:tc>
          <w:tcPr>
            <w:tcW w:w="3543" w:type="dxa"/>
            <w:tcMar>
              <w:top w:w="28" w:type="dxa"/>
              <w:left w:w="85" w:type="dxa"/>
            </w:tcMar>
          </w:tcPr>
          <w:p>
            <w:pPr>
              <w:pStyle w:val="yTableNAm"/>
              <w:spacing w:before="0"/>
            </w:pPr>
            <w:r>
              <w:rPr>
                <w:u w:val="single"/>
              </w:rPr>
              <w:t>Family</w:t>
            </w:r>
            <w:r>
              <w:t xml:space="preserve"> Mugilidae</w:t>
            </w:r>
          </w:p>
        </w:tc>
      </w:tr>
      <w:tr>
        <w:tc>
          <w:tcPr>
            <w:tcW w:w="3542" w:type="dxa"/>
            <w:tcMar>
              <w:top w:w="28" w:type="dxa"/>
              <w:left w:w="85" w:type="dxa"/>
            </w:tcMar>
          </w:tcPr>
          <w:p>
            <w:pPr>
              <w:pStyle w:val="yTableNAm"/>
              <w:tabs>
                <w:tab w:val="clear" w:pos="567"/>
                <w:tab w:val="right" w:leader="dot" w:pos="3316"/>
              </w:tabs>
              <w:spacing w:before="0"/>
            </w:pPr>
            <w:r>
              <w:t xml:space="preserve">Mullet, Sea </w:t>
            </w:r>
            <w:r>
              <w:tab/>
            </w:r>
          </w:p>
        </w:tc>
        <w:tc>
          <w:tcPr>
            <w:tcW w:w="3543" w:type="dxa"/>
            <w:tcMar>
              <w:top w:w="28" w:type="dxa"/>
              <w:left w:w="85" w:type="dxa"/>
            </w:tcMar>
          </w:tcPr>
          <w:p>
            <w:pPr>
              <w:pStyle w:val="yTableNAm"/>
              <w:spacing w:before="0"/>
              <w:rPr>
                <w:i/>
              </w:rPr>
            </w:pPr>
            <w:r>
              <w:rPr>
                <w:i/>
              </w:rPr>
              <w:t>Mugil cephalus</w:t>
            </w:r>
          </w:p>
        </w:tc>
      </w:tr>
      <w:tr>
        <w:tc>
          <w:tcPr>
            <w:tcW w:w="3542" w:type="dxa"/>
            <w:tcMar>
              <w:top w:w="28" w:type="dxa"/>
              <w:left w:w="85" w:type="dxa"/>
            </w:tcMar>
          </w:tcPr>
          <w:p>
            <w:pPr>
              <w:pStyle w:val="yTableNAm"/>
              <w:tabs>
                <w:tab w:val="clear" w:pos="567"/>
                <w:tab w:val="right" w:leader="dot" w:pos="3316"/>
              </w:tabs>
              <w:spacing w:before="0"/>
            </w:pPr>
            <w:r>
              <w:t>Mullet, Yellow</w:t>
            </w:r>
            <w:r>
              <w:noBreakHyphen/>
              <w:t xml:space="preserve">eye </w:t>
            </w:r>
            <w:r>
              <w:tab/>
            </w:r>
          </w:p>
        </w:tc>
        <w:tc>
          <w:tcPr>
            <w:tcW w:w="3543" w:type="dxa"/>
            <w:tcMar>
              <w:top w:w="28" w:type="dxa"/>
              <w:left w:w="85" w:type="dxa"/>
            </w:tcMar>
          </w:tcPr>
          <w:p>
            <w:pPr>
              <w:pStyle w:val="yTableNAm"/>
              <w:spacing w:before="0"/>
              <w:rPr>
                <w:i/>
              </w:rPr>
            </w:pPr>
            <w:r>
              <w:rPr>
                <w:i/>
              </w:rPr>
              <w:t>Aldrichetta forsteri</w:t>
            </w:r>
          </w:p>
        </w:tc>
      </w:tr>
      <w:tr>
        <w:tc>
          <w:tcPr>
            <w:tcW w:w="3542" w:type="dxa"/>
            <w:tcMar>
              <w:top w:w="28" w:type="dxa"/>
              <w:left w:w="85" w:type="dxa"/>
            </w:tcMar>
          </w:tcPr>
          <w:p>
            <w:pPr>
              <w:pStyle w:val="yTableNAm"/>
              <w:tabs>
                <w:tab w:val="clear" w:pos="567"/>
                <w:tab w:val="right" w:leader="dot" w:pos="3316"/>
              </w:tabs>
              <w:spacing w:before="0"/>
            </w:pPr>
            <w:r>
              <w:t xml:space="preserve">Mulloway (River Kingfish) </w:t>
            </w:r>
            <w:r>
              <w:tab/>
            </w:r>
          </w:p>
        </w:tc>
        <w:tc>
          <w:tcPr>
            <w:tcW w:w="3543" w:type="dxa"/>
            <w:tcMar>
              <w:top w:w="28" w:type="dxa"/>
              <w:left w:w="85" w:type="dxa"/>
            </w:tcMar>
          </w:tcPr>
          <w:p>
            <w:pPr>
              <w:pStyle w:val="yTableNAm"/>
              <w:spacing w:before="0"/>
              <w:rPr>
                <w:i/>
              </w:rPr>
            </w:pPr>
            <w:r>
              <w:rPr>
                <w:i/>
              </w:rPr>
              <w:t>Argyrosomus hololepidotus</w:t>
            </w:r>
          </w:p>
        </w:tc>
      </w:tr>
      <w:tr>
        <w:tc>
          <w:tcPr>
            <w:tcW w:w="3542" w:type="dxa"/>
            <w:tcMar>
              <w:top w:w="28" w:type="dxa"/>
              <w:left w:w="85" w:type="dxa"/>
            </w:tcMar>
          </w:tcPr>
          <w:p>
            <w:pPr>
              <w:pStyle w:val="yTableNAm"/>
              <w:tabs>
                <w:tab w:val="clear" w:pos="567"/>
                <w:tab w:val="right" w:leader="dot" w:pos="3316"/>
              </w:tabs>
              <w:spacing w:before="0"/>
            </w:pPr>
            <w:r>
              <w:t xml:space="preserve">Mulloway, Northern </w:t>
            </w:r>
            <w:r>
              <w:tab/>
            </w:r>
          </w:p>
        </w:tc>
        <w:tc>
          <w:tcPr>
            <w:tcW w:w="3543" w:type="dxa"/>
            <w:tcMar>
              <w:top w:w="28" w:type="dxa"/>
              <w:left w:w="85" w:type="dxa"/>
            </w:tcMar>
          </w:tcPr>
          <w:p>
            <w:pPr>
              <w:pStyle w:val="yTableNAm"/>
              <w:spacing w:before="0"/>
              <w:rPr>
                <w:i/>
              </w:rPr>
            </w:pPr>
            <w:r>
              <w:rPr>
                <w:i/>
              </w:rPr>
              <w:t>Protonibea diacanthus</w:t>
            </w:r>
          </w:p>
        </w:tc>
      </w:tr>
      <w:tr>
        <w:tc>
          <w:tcPr>
            <w:tcW w:w="3542" w:type="dxa"/>
            <w:tcMar>
              <w:top w:w="28" w:type="dxa"/>
              <w:left w:w="85" w:type="dxa"/>
            </w:tcMar>
          </w:tcPr>
          <w:p>
            <w:pPr>
              <w:pStyle w:val="yTableNAm"/>
              <w:tabs>
                <w:tab w:val="clear" w:pos="567"/>
                <w:tab w:val="right" w:leader="dot" w:pos="3316"/>
              </w:tabs>
              <w:spacing w:before="0"/>
            </w:pPr>
            <w:r>
              <w:t xml:space="preserve">Nannygai </w:t>
            </w:r>
            <w:r>
              <w:tab/>
            </w:r>
          </w:p>
        </w:tc>
        <w:tc>
          <w:tcPr>
            <w:tcW w:w="3543" w:type="dxa"/>
            <w:tcMar>
              <w:top w:w="28" w:type="dxa"/>
              <w:left w:w="85" w:type="dxa"/>
            </w:tcMar>
          </w:tcPr>
          <w:p>
            <w:pPr>
              <w:pStyle w:val="yTableNAm"/>
              <w:spacing w:before="0"/>
              <w:rPr>
                <w:i/>
              </w:rPr>
            </w:pPr>
            <w:r>
              <w:rPr>
                <w:i/>
              </w:rPr>
              <w:t>Centroberyx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Parrot Fish </w:t>
            </w:r>
            <w:r>
              <w:tab/>
            </w:r>
          </w:p>
        </w:tc>
        <w:tc>
          <w:tcPr>
            <w:tcW w:w="3543" w:type="dxa"/>
            <w:tcMar>
              <w:top w:w="28" w:type="dxa"/>
              <w:left w:w="85" w:type="dxa"/>
            </w:tcMar>
          </w:tcPr>
          <w:p>
            <w:pPr>
              <w:pStyle w:val="yTableNAm"/>
              <w:spacing w:before="0"/>
            </w:pPr>
            <w:r>
              <w:rPr>
                <w:u w:val="single"/>
              </w:rPr>
              <w:t>Family</w:t>
            </w:r>
            <w:r>
              <w:t xml:space="preserve"> Scaridae</w:t>
            </w:r>
          </w:p>
        </w:tc>
      </w:tr>
      <w:tr>
        <w:tc>
          <w:tcPr>
            <w:tcW w:w="3542" w:type="dxa"/>
            <w:tcMar>
              <w:top w:w="28" w:type="dxa"/>
              <w:left w:w="85" w:type="dxa"/>
            </w:tcMar>
          </w:tcPr>
          <w:p>
            <w:pPr>
              <w:pStyle w:val="yTableNAm"/>
              <w:tabs>
                <w:tab w:val="clear" w:pos="567"/>
                <w:tab w:val="right" w:leader="dot" w:pos="3316"/>
              </w:tabs>
              <w:spacing w:before="0"/>
            </w:pPr>
            <w:r>
              <w:t xml:space="preserve">Pearl Perch </w:t>
            </w:r>
            <w:r>
              <w:tab/>
            </w:r>
          </w:p>
        </w:tc>
        <w:tc>
          <w:tcPr>
            <w:tcW w:w="3543" w:type="dxa"/>
            <w:tcMar>
              <w:top w:w="28" w:type="dxa"/>
              <w:left w:w="85" w:type="dxa"/>
            </w:tcMar>
          </w:tcPr>
          <w:p>
            <w:pPr>
              <w:pStyle w:val="yTableNAm"/>
              <w:spacing w:before="0"/>
            </w:pPr>
            <w:r>
              <w:rPr>
                <w:i/>
              </w:rPr>
              <w:t xml:space="preserve">Glaucosoma </w:t>
            </w:r>
            <w:r>
              <w:t>spp., excluding</w:t>
            </w:r>
            <w:r>
              <w:rPr>
                <w:i/>
              </w:rPr>
              <w:t xml:space="preserve"> G. hebraicum</w:t>
            </w:r>
          </w:p>
        </w:tc>
      </w:tr>
      <w:tr>
        <w:tc>
          <w:tcPr>
            <w:tcW w:w="3542" w:type="dxa"/>
            <w:tcMar>
              <w:top w:w="28" w:type="dxa"/>
              <w:left w:w="85" w:type="dxa"/>
            </w:tcMar>
          </w:tcPr>
          <w:p>
            <w:pPr>
              <w:pStyle w:val="yTableNAm"/>
              <w:tabs>
                <w:tab w:val="clear" w:pos="567"/>
                <w:tab w:val="right" w:leader="dot" w:pos="3316"/>
              </w:tabs>
              <w:spacing w:before="0"/>
            </w:pPr>
            <w:r>
              <w:t>Pike, Long</w:t>
            </w:r>
            <w:r>
              <w:noBreakHyphen/>
              <w:t xml:space="preserve">finned </w:t>
            </w:r>
            <w:r>
              <w:tab/>
            </w:r>
          </w:p>
        </w:tc>
        <w:tc>
          <w:tcPr>
            <w:tcW w:w="3543" w:type="dxa"/>
            <w:tcMar>
              <w:top w:w="28" w:type="dxa"/>
              <w:left w:w="85" w:type="dxa"/>
            </w:tcMar>
          </w:tcPr>
          <w:p>
            <w:pPr>
              <w:pStyle w:val="yTableNAm"/>
              <w:spacing w:before="0"/>
              <w:rPr>
                <w:i/>
              </w:rPr>
            </w:pPr>
            <w:r>
              <w:rPr>
                <w:i/>
              </w:rPr>
              <w:t>Dinolestes lewini</w:t>
            </w:r>
          </w:p>
        </w:tc>
      </w:tr>
      <w:tr>
        <w:tc>
          <w:tcPr>
            <w:tcW w:w="3542" w:type="dxa"/>
            <w:tcMar>
              <w:top w:w="28" w:type="dxa"/>
              <w:left w:w="85" w:type="dxa"/>
            </w:tcMar>
          </w:tcPr>
          <w:p>
            <w:pPr>
              <w:pStyle w:val="yTableNAm"/>
              <w:tabs>
                <w:tab w:val="clear" w:pos="567"/>
                <w:tab w:val="right" w:leader="dot" w:pos="3316"/>
              </w:tabs>
              <w:spacing w:before="0"/>
            </w:pPr>
            <w:r>
              <w:t xml:space="preserve">Pike, Striped Sea </w:t>
            </w:r>
            <w:r>
              <w:tab/>
            </w:r>
          </w:p>
        </w:tc>
        <w:tc>
          <w:tcPr>
            <w:tcW w:w="3543" w:type="dxa"/>
            <w:tcMar>
              <w:top w:w="28" w:type="dxa"/>
              <w:left w:w="85" w:type="dxa"/>
            </w:tcMar>
          </w:tcPr>
          <w:p>
            <w:pPr>
              <w:pStyle w:val="yTableNAm"/>
              <w:spacing w:before="0"/>
              <w:rPr>
                <w:i/>
              </w:rPr>
            </w:pPr>
            <w:r>
              <w:rPr>
                <w:i/>
              </w:rPr>
              <w:t>Sphyraena obtusata</w:t>
            </w:r>
          </w:p>
        </w:tc>
      </w:tr>
      <w:tr>
        <w:tc>
          <w:tcPr>
            <w:tcW w:w="3542" w:type="dxa"/>
            <w:tcMar>
              <w:top w:w="28" w:type="dxa"/>
              <w:left w:w="85" w:type="dxa"/>
            </w:tcMar>
          </w:tcPr>
          <w:p>
            <w:pPr>
              <w:pStyle w:val="yTableNAm"/>
              <w:tabs>
                <w:tab w:val="clear" w:pos="567"/>
                <w:tab w:val="right" w:leader="dot" w:pos="3316"/>
              </w:tabs>
              <w:spacing w:before="0"/>
            </w:pPr>
            <w:r>
              <w:t xml:space="preserve">Pilchard (Mulie) </w:t>
            </w:r>
            <w:r>
              <w:tab/>
            </w:r>
          </w:p>
        </w:tc>
        <w:tc>
          <w:tcPr>
            <w:tcW w:w="3543" w:type="dxa"/>
            <w:tcMar>
              <w:top w:w="28" w:type="dxa"/>
              <w:left w:w="85" w:type="dxa"/>
            </w:tcMar>
          </w:tcPr>
          <w:p>
            <w:pPr>
              <w:pStyle w:val="yTableNAm"/>
              <w:spacing w:before="0"/>
              <w:rPr>
                <w:i/>
              </w:rPr>
            </w:pPr>
            <w:r>
              <w:rPr>
                <w:i/>
              </w:rPr>
              <w:t>Sardinops neopilchardus</w:t>
            </w:r>
          </w:p>
        </w:tc>
      </w:tr>
      <w:tr>
        <w:tc>
          <w:tcPr>
            <w:tcW w:w="3542" w:type="dxa"/>
            <w:tcMar>
              <w:top w:w="28" w:type="dxa"/>
              <w:left w:w="85" w:type="dxa"/>
            </w:tcMar>
          </w:tcPr>
          <w:p>
            <w:pPr>
              <w:pStyle w:val="yTableNAm"/>
              <w:tabs>
                <w:tab w:val="clear" w:pos="567"/>
                <w:tab w:val="right" w:leader="dot" w:pos="3316"/>
              </w:tabs>
              <w:spacing w:before="0"/>
            </w:pPr>
            <w:r>
              <w:t xml:space="preserve">Queenfish </w:t>
            </w:r>
            <w:r>
              <w:tab/>
            </w:r>
          </w:p>
        </w:tc>
        <w:tc>
          <w:tcPr>
            <w:tcW w:w="3543" w:type="dxa"/>
            <w:tcMar>
              <w:top w:w="28" w:type="dxa"/>
              <w:left w:w="85" w:type="dxa"/>
            </w:tcMar>
          </w:tcPr>
          <w:p>
            <w:pPr>
              <w:pStyle w:val="yTableNAm"/>
              <w:spacing w:before="0"/>
              <w:rPr>
                <w:i/>
              </w:rPr>
            </w:pPr>
            <w:r>
              <w:rPr>
                <w:i/>
              </w:rPr>
              <w:t>Scomberoides commersonnianus</w:t>
            </w:r>
          </w:p>
        </w:tc>
      </w:tr>
      <w:tr>
        <w:tc>
          <w:tcPr>
            <w:tcW w:w="3542" w:type="dxa"/>
            <w:tcMar>
              <w:top w:w="28" w:type="dxa"/>
              <w:left w:w="85" w:type="dxa"/>
            </w:tcMar>
          </w:tcPr>
          <w:p>
            <w:pPr>
              <w:pStyle w:val="yTableNAm"/>
              <w:tabs>
                <w:tab w:val="right" w:leader="dot" w:pos="3119"/>
              </w:tabs>
              <w:spacing w:before="0"/>
            </w:pPr>
            <w:r>
              <w:t>Queenfish, Needleskin</w:t>
            </w:r>
            <w:r>
              <w:tab/>
            </w:r>
          </w:p>
        </w:tc>
        <w:tc>
          <w:tcPr>
            <w:tcW w:w="3543" w:type="dxa"/>
            <w:tcMar>
              <w:top w:w="28" w:type="dxa"/>
              <w:left w:w="85" w:type="dxa"/>
            </w:tcMar>
          </w:tcPr>
          <w:p>
            <w:pPr>
              <w:pStyle w:val="yTableNAm"/>
              <w:spacing w:before="0"/>
              <w:rPr>
                <w:i/>
              </w:rPr>
            </w:pPr>
            <w:r>
              <w:rPr>
                <w:i/>
              </w:rPr>
              <w:t>Scomberoides tol</w:t>
            </w:r>
          </w:p>
        </w:tc>
      </w:tr>
      <w:tr>
        <w:tc>
          <w:tcPr>
            <w:tcW w:w="3542" w:type="dxa"/>
            <w:tcMar>
              <w:top w:w="28" w:type="dxa"/>
              <w:left w:w="85" w:type="dxa"/>
            </w:tcMar>
          </w:tcPr>
          <w:p>
            <w:pPr>
              <w:pStyle w:val="yTableNAm"/>
              <w:tabs>
                <w:tab w:val="clear" w:pos="567"/>
                <w:tab w:val="right" w:leader="dot" w:pos="3316"/>
              </w:tabs>
              <w:spacing w:before="0"/>
            </w:pPr>
            <w:r>
              <w:t xml:space="preserve">Ray, Eagle </w:t>
            </w:r>
            <w:r>
              <w:tab/>
            </w:r>
          </w:p>
        </w:tc>
        <w:tc>
          <w:tcPr>
            <w:tcW w:w="3543" w:type="dxa"/>
            <w:tcMar>
              <w:top w:w="28" w:type="dxa"/>
              <w:left w:w="85" w:type="dxa"/>
            </w:tcMar>
          </w:tcPr>
          <w:p>
            <w:pPr>
              <w:pStyle w:val="yTableNAm"/>
              <w:spacing w:before="0"/>
            </w:pPr>
            <w:r>
              <w:rPr>
                <w:u w:val="single"/>
              </w:rPr>
              <w:t>Family</w:t>
            </w:r>
            <w:r>
              <w:t xml:space="preserve"> Myliobatididae</w:t>
            </w:r>
          </w:p>
        </w:tc>
      </w:tr>
      <w:tr>
        <w:tc>
          <w:tcPr>
            <w:tcW w:w="3542" w:type="dxa"/>
            <w:tcMar>
              <w:top w:w="28" w:type="dxa"/>
              <w:left w:w="85" w:type="dxa"/>
            </w:tcMar>
          </w:tcPr>
          <w:p>
            <w:pPr>
              <w:pStyle w:val="yTableNAm"/>
              <w:tabs>
                <w:tab w:val="clear" w:pos="567"/>
                <w:tab w:val="right" w:leader="dot" w:pos="3316"/>
              </w:tabs>
              <w:spacing w:before="0"/>
            </w:pPr>
            <w:r>
              <w:t xml:space="preserve">Ray, Manta </w:t>
            </w:r>
            <w:r>
              <w:tab/>
            </w:r>
          </w:p>
        </w:tc>
        <w:tc>
          <w:tcPr>
            <w:tcW w:w="3543" w:type="dxa"/>
            <w:tcMar>
              <w:top w:w="28" w:type="dxa"/>
              <w:left w:w="85" w:type="dxa"/>
            </w:tcMar>
          </w:tcPr>
          <w:p>
            <w:pPr>
              <w:pStyle w:val="yTableNAm"/>
              <w:spacing w:before="0"/>
              <w:rPr>
                <w:i/>
              </w:rPr>
            </w:pPr>
            <w:r>
              <w:rPr>
                <w:i/>
              </w:rPr>
              <w:t>Manta birostris</w:t>
            </w:r>
          </w:p>
        </w:tc>
      </w:tr>
      <w:tr>
        <w:tc>
          <w:tcPr>
            <w:tcW w:w="3542" w:type="dxa"/>
            <w:tcMar>
              <w:top w:w="28" w:type="dxa"/>
              <w:left w:w="85" w:type="dxa"/>
            </w:tcMar>
          </w:tcPr>
          <w:p>
            <w:pPr>
              <w:pStyle w:val="yTableNAm"/>
              <w:tabs>
                <w:tab w:val="clear" w:pos="567"/>
                <w:tab w:val="right" w:leader="dot" w:pos="3316"/>
              </w:tabs>
              <w:spacing w:before="0"/>
            </w:pPr>
            <w:r>
              <w:t xml:space="preserve">Rays </w:t>
            </w:r>
            <w:r>
              <w:tab/>
            </w:r>
          </w:p>
        </w:tc>
        <w:tc>
          <w:tcPr>
            <w:tcW w:w="3543" w:type="dxa"/>
            <w:tcMar>
              <w:top w:w="28" w:type="dxa"/>
              <w:left w:w="85" w:type="dxa"/>
            </w:tcMar>
          </w:tcPr>
          <w:p>
            <w:pPr>
              <w:pStyle w:val="yTableNAm"/>
              <w:spacing w:before="0"/>
            </w:pPr>
            <w:r>
              <w:rPr>
                <w:u w:val="single"/>
              </w:rPr>
              <w:t>Superorder</w:t>
            </w:r>
            <w:r>
              <w:t xml:space="preserve"> Batoidea</w:t>
            </w:r>
          </w:p>
        </w:tc>
      </w:tr>
      <w:tr>
        <w:tc>
          <w:tcPr>
            <w:tcW w:w="3542" w:type="dxa"/>
            <w:tcMar>
              <w:top w:w="28" w:type="dxa"/>
              <w:left w:w="85" w:type="dxa"/>
            </w:tcMar>
          </w:tcPr>
          <w:p>
            <w:pPr>
              <w:pStyle w:val="yTableNAm"/>
              <w:tabs>
                <w:tab w:val="clear" w:pos="567"/>
                <w:tab w:val="right" w:leader="dot" w:pos="3316"/>
              </w:tabs>
              <w:spacing w:before="0"/>
            </w:pPr>
            <w:r>
              <w:t xml:space="preserve">Redbait </w:t>
            </w:r>
            <w:r>
              <w:tab/>
            </w:r>
          </w:p>
        </w:tc>
        <w:tc>
          <w:tcPr>
            <w:tcW w:w="3543" w:type="dxa"/>
            <w:tcMar>
              <w:top w:w="28" w:type="dxa"/>
              <w:left w:w="85" w:type="dxa"/>
            </w:tcMar>
          </w:tcPr>
          <w:p>
            <w:pPr>
              <w:pStyle w:val="yTableNAm"/>
              <w:spacing w:before="0"/>
              <w:rPr>
                <w:i/>
              </w:rPr>
            </w:pPr>
            <w:r>
              <w:rPr>
                <w:i/>
              </w:rPr>
              <w:t>Emmelichthys nitidus</w:t>
            </w:r>
          </w:p>
        </w:tc>
      </w:tr>
      <w:tr>
        <w:tc>
          <w:tcPr>
            <w:tcW w:w="3542" w:type="dxa"/>
            <w:tcMar>
              <w:top w:w="28" w:type="dxa"/>
              <w:left w:w="85" w:type="dxa"/>
            </w:tcMar>
          </w:tcPr>
          <w:p>
            <w:pPr>
              <w:pStyle w:val="yTableNAm"/>
              <w:tabs>
                <w:tab w:val="clear" w:pos="567"/>
                <w:tab w:val="right" w:leader="dot" w:pos="3316"/>
              </w:tabs>
              <w:spacing w:before="0"/>
            </w:pPr>
            <w:r>
              <w:t xml:space="preserve">Salmon, </w:t>
            </w:r>
            <w:smartTag w:uri="urn:schemas-microsoft-com:office:smarttags" w:element="place">
              <w:r>
                <w:t>Atlantic</w:t>
              </w:r>
            </w:smartTag>
            <w:r>
              <w:t xml:space="preserve"> </w:t>
            </w:r>
            <w:r>
              <w:tab/>
            </w:r>
          </w:p>
        </w:tc>
        <w:tc>
          <w:tcPr>
            <w:tcW w:w="3543" w:type="dxa"/>
            <w:tcMar>
              <w:top w:w="28" w:type="dxa"/>
              <w:left w:w="85" w:type="dxa"/>
            </w:tcMar>
          </w:tcPr>
          <w:p>
            <w:pPr>
              <w:pStyle w:val="yTableNAm"/>
              <w:spacing w:before="0"/>
              <w:rPr>
                <w:i/>
              </w:rPr>
            </w:pPr>
            <w:r>
              <w:rPr>
                <w:i/>
              </w:rPr>
              <w:t>Salmo salar</w:t>
            </w:r>
          </w:p>
        </w:tc>
      </w:tr>
      <w:tr>
        <w:tc>
          <w:tcPr>
            <w:tcW w:w="3542" w:type="dxa"/>
            <w:tcMar>
              <w:top w:w="28" w:type="dxa"/>
              <w:left w:w="85" w:type="dxa"/>
            </w:tcMar>
          </w:tcPr>
          <w:p>
            <w:pPr>
              <w:pStyle w:val="yTableNAm"/>
              <w:tabs>
                <w:tab w:val="clear" w:pos="567"/>
                <w:tab w:val="right" w:leader="dot" w:pos="3316"/>
              </w:tabs>
              <w:spacing w:before="0"/>
            </w:pPr>
            <w:r>
              <w:t xml:space="preserve">Salmon, Australian </w:t>
            </w:r>
            <w:r>
              <w:tab/>
            </w:r>
          </w:p>
        </w:tc>
        <w:tc>
          <w:tcPr>
            <w:tcW w:w="3543" w:type="dxa"/>
            <w:tcMar>
              <w:top w:w="28" w:type="dxa"/>
              <w:left w:w="85" w:type="dxa"/>
            </w:tcMar>
          </w:tcPr>
          <w:p>
            <w:pPr>
              <w:pStyle w:val="yTableNAm"/>
              <w:spacing w:before="0"/>
              <w:rPr>
                <w:i/>
              </w:rPr>
            </w:pPr>
            <w:r>
              <w:rPr>
                <w:i/>
              </w:rPr>
              <w:t>Arripis truttaceus</w:t>
            </w:r>
          </w:p>
        </w:tc>
      </w:tr>
      <w:tr>
        <w:tc>
          <w:tcPr>
            <w:tcW w:w="3542" w:type="dxa"/>
            <w:tcMar>
              <w:top w:w="28" w:type="dxa"/>
              <w:left w:w="85" w:type="dxa"/>
            </w:tcMar>
          </w:tcPr>
          <w:p>
            <w:pPr>
              <w:pStyle w:val="yTableNAm"/>
              <w:tabs>
                <w:tab w:val="clear" w:pos="567"/>
                <w:tab w:val="right" w:leader="dot" w:pos="3316"/>
              </w:tabs>
              <w:spacing w:before="0"/>
            </w:pPr>
            <w:r>
              <w:t xml:space="preserve">Samson Fish (Sea Kingfish) </w:t>
            </w:r>
            <w:r>
              <w:tab/>
            </w:r>
          </w:p>
        </w:tc>
        <w:tc>
          <w:tcPr>
            <w:tcW w:w="3543" w:type="dxa"/>
            <w:tcMar>
              <w:top w:w="28" w:type="dxa"/>
              <w:left w:w="85" w:type="dxa"/>
            </w:tcMar>
          </w:tcPr>
          <w:p>
            <w:pPr>
              <w:pStyle w:val="yTableNAm"/>
              <w:spacing w:before="0"/>
              <w:rPr>
                <w:i/>
              </w:rPr>
            </w:pPr>
            <w:r>
              <w:rPr>
                <w:i/>
              </w:rPr>
              <w:t>Seriola hippos</w:t>
            </w:r>
          </w:p>
        </w:tc>
      </w:tr>
      <w:tr>
        <w:tc>
          <w:tcPr>
            <w:tcW w:w="3542" w:type="dxa"/>
            <w:tcMar>
              <w:top w:w="28" w:type="dxa"/>
              <w:left w:w="85" w:type="dxa"/>
            </w:tcMar>
          </w:tcPr>
          <w:p>
            <w:pPr>
              <w:pStyle w:val="yTableNAm"/>
              <w:tabs>
                <w:tab w:val="clear" w:pos="567"/>
                <w:tab w:val="right" w:leader="dot" w:pos="3316"/>
              </w:tabs>
              <w:spacing w:before="0"/>
            </w:pPr>
            <w:r>
              <w:t xml:space="preserve">Scad, Yellowtail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Seadragon, Leafy </w:t>
            </w:r>
            <w:r>
              <w:tab/>
            </w:r>
          </w:p>
        </w:tc>
        <w:tc>
          <w:tcPr>
            <w:tcW w:w="3543" w:type="dxa"/>
            <w:tcMar>
              <w:top w:w="28" w:type="dxa"/>
              <w:left w:w="85" w:type="dxa"/>
            </w:tcMar>
          </w:tcPr>
          <w:p>
            <w:pPr>
              <w:pStyle w:val="yTableNAm"/>
              <w:spacing w:before="0"/>
              <w:rPr>
                <w:i/>
              </w:rPr>
            </w:pPr>
            <w:r>
              <w:rPr>
                <w:i/>
              </w:rPr>
              <w:t>Phycodurus eques</w:t>
            </w:r>
          </w:p>
        </w:tc>
      </w:tr>
      <w:tr>
        <w:tc>
          <w:tcPr>
            <w:tcW w:w="3542" w:type="dxa"/>
            <w:tcMar>
              <w:top w:w="28" w:type="dxa"/>
              <w:left w:w="85" w:type="dxa"/>
            </w:tcMar>
          </w:tcPr>
          <w:p>
            <w:pPr>
              <w:pStyle w:val="yTableNAm"/>
              <w:tabs>
                <w:tab w:val="clear" w:pos="567"/>
                <w:tab w:val="right" w:leader="dot" w:pos="3316"/>
              </w:tabs>
              <w:spacing w:before="0"/>
            </w:pPr>
            <w:r>
              <w:t xml:space="preserve">Seadragon, Weedy </w:t>
            </w:r>
            <w:r>
              <w:tab/>
            </w:r>
          </w:p>
        </w:tc>
        <w:tc>
          <w:tcPr>
            <w:tcW w:w="3543" w:type="dxa"/>
            <w:tcMar>
              <w:top w:w="28" w:type="dxa"/>
              <w:left w:w="85" w:type="dxa"/>
            </w:tcMar>
          </w:tcPr>
          <w:p>
            <w:pPr>
              <w:pStyle w:val="yTableNAm"/>
              <w:spacing w:before="0"/>
              <w:rPr>
                <w:i/>
              </w:rPr>
            </w:pPr>
            <w:r>
              <w:rPr>
                <w:i/>
              </w:rPr>
              <w:t>Phyllopteryx taeniolatus</w:t>
            </w:r>
          </w:p>
        </w:tc>
      </w:tr>
      <w:tr>
        <w:tc>
          <w:tcPr>
            <w:tcW w:w="3542" w:type="dxa"/>
            <w:tcMar>
              <w:top w:w="28" w:type="dxa"/>
              <w:left w:w="85" w:type="dxa"/>
            </w:tcMar>
          </w:tcPr>
          <w:p>
            <w:pPr>
              <w:pStyle w:val="yTableNAm"/>
              <w:tabs>
                <w:tab w:val="clear" w:pos="567"/>
                <w:tab w:val="right" w:leader="dot" w:pos="3316"/>
              </w:tabs>
              <w:spacing w:before="0"/>
            </w:pPr>
            <w:r>
              <w:t xml:space="preserve">Sea Perch, Crimson </w:t>
            </w:r>
            <w:r>
              <w:tab/>
            </w:r>
          </w:p>
        </w:tc>
        <w:tc>
          <w:tcPr>
            <w:tcW w:w="3543" w:type="dxa"/>
            <w:tcMar>
              <w:top w:w="28" w:type="dxa"/>
              <w:left w:w="85" w:type="dxa"/>
            </w:tcMar>
          </w:tcPr>
          <w:p>
            <w:pPr>
              <w:pStyle w:val="yTableNAm"/>
              <w:spacing w:before="0"/>
              <w:rPr>
                <w:i/>
              </w:rPr>
            </w:pPr>
            <w:r>
              <w:rPr>
                <w:i/>
              </w:rPr>
              <w:t>Lutjanus erythropterus</w:t>
            </w:r>
          </w:p>
        </w:tc>
      </w:tr>
      <w:tr>
        <w:tc>
          <w:tcPr>
            <w:tcW w:w="3542" w:type="dxa"/>
            <w:tcMar>
              <w:top w:w="28" w:type="dxa"/>
              <w:left w:w="85" w:type="dxa"/>
            </w:tcMar>
          </w:tcPr>
          <w:p>
            <w:pPr>
              <w:pStyle w:val="yTableNAm"/>
              <w:tabs>
                <w:tab w:val="clear" w:pos="567"/>
                <w:tab w:val="right" w:leader="dot" w:pos="3316"/>
              </w:tabs>
              <w:spacing w:before="0"/>
            </w:pPr>
            <w:r>
              <w:t xml:space="preserve">Sea Perch, Scarlett </w:t>
            </w:r>
            <w:r>
              <w:tab/>
            </w:r>
          </w:p>
        </w:tc>
        <w:tc>
          <w:tcPr>
            <w:tcW w:w="3543" w:type="dxa"/>
            <w:tcMar>
              <w:top w:w="28" w:type="dxa"/>
              <w:left w:w="85" w:type="dxa"/>
            </w:tcMar>
          </w:tcPr>
          <w:p>
            <w:pPr>
              <w:pStyle w:val="yTableNAm"/>
              <w:spacing w:before="0"/>
              <w:rPr>
                <w:i/>
              </w:rPr>
            </w:pPr>
            <w:r>
              <w:rPr>
                <w:i/>
              </w:rPr>
              <w:t>Lutjanus malabaricus</w:t>
            </w:r>
          </w:p>
        </w:tc>
      </w:tr>
      <w:tr>
        <w:tc>
          <w:tcPr>
            <w:tcW w:w="3542" w:type="dxa"/>
            <w:tcMar>
              <w:top w:w="28" w:type="dxa"/>
              <w:left w:w="85" w:type="dxa"/>
            </w:tcMar>
          </w:tcPr>
          <w:p>
            <w:pPr>
              <w:pStyle w:val="yTableNAm"/>
              <w:tabs>
                <w:tab w:val="clear" w:pos="567"/>
                <w:tab w:val="right" w:leader="dot" w:pos="3316"/>
              </w:tabs>
              <w:spacing w:before="0"/>
            </w:pPr>
            <w:r>
              <w:t xml:space="preserve">Sea Perch, Stripey </w:t>
            </w:r>
            <w:r>
              <w:tab/>
            </w:r>
          </w:p>
        </w:tc>
        <w:tc>
          <w:tcPr>
            <w:tcW w:w="3543" w:type="dxa"/>
            <w:tcMar>
              <w:top w:w="28" w:type="dxa"/>
              <w:left w:w="85" w:type="dxa"/>
            </w:tcMar>
          </w:tcPr>
          <w:p>
            <w:pPr>
              <w:pStyle w:val="yTableNAm"/>
              <w:spacing w:before="0"/>
              <w:rPr>
                <w:i/>
              </w:rPr>
            </w:pPr>
            <w:r>
              <w:rPr>
                <w:i/>
              </w:rPr>
              <w:t>Lutjanus carponotatus</w:t>
            </w:r>
          </w:p>
        </w:tc>
      </w:tr>
      <w:tr>
        <w:tc>
          <w:tcPr>
            <w:tcW w:w="3542" w:type="dxa"/>
            <w:tcMar>
              <w:top w:w="28" w:type="dxa"/>
              <w:left w:w="85" w:type="dxa"/>
            </w:tcMar>
          </w:tcPr>
          <w:p>
            <w:pPr>
              <w:pStyle w:val="yTableNAm"/>
              <w:tabs>
                <w:tab w:val="clear" w:pos="567"/>
                <w:tab w:val="right" w:leader="dot" w:pos="3316"/>
              </w:tabs>
              <w:spacing w:before="0"/>
            </w:pPr>
            <w:r>
              <w:t xml:space="preserve">Sea Perch, Tropical </w:t>
            </w:r>
            <w:r>
              <w:tab/>
            </w:r>
          </w:p>
        </w:tc>
        <w:tc>
          <w:tcPr>
            <w:tcW w:w="3543" w:type="dxa"/>
            <w:tcMar>
              <w:top w:w="28" w:type="dxa"/>
              <w:left w:w="85" w:type="dxa"/>
            </w:tcMar>
          </w:tcPr>
          <w:p>
            <w:pPr>
              <w:pStyle w:val="yTableNAm"/>
              <w:spacing w:before="0"/>
            </w:pPr>
            <w:r>
              <w:rPr>
                <w:u w:val="single"/>
              </w:rPr>
              <w:t>Family</w:t>
            </w:r>
            <w:r>
              <w:t xml:space="preserve"> Lutjanidae</w:t>
            </w:r>
          </w:p>
        </w:tc>
      </w:tr>
      <w:tr>
        <w:tc>
          <w:tcPr>
            <w:tcW w:w="3542" w:type="dxa"/>
            <w:tcMar>
              <w:top w:w="28" w:type="dxa"/>
              <w:left w:w="85" w:type="dxa"/>
            </w:tcMar>
          </w:tcPr>
          <w:p>
            <w:pPr>
              <w:pStyle w:val="yTableNAm"/>
              <w:tabs>
                <w:tab w:val="clear" w:pos="567"/>
                <w:tab w:val="right" w:leader="dot" w:pos="3316"/>
              </w:tabs>
              <w:spacing w:before="0"/>
            </w:pPr>
            <w:r>
              <w:t xml:space="preserve">Shark, Dusky </w:t>
            </w:r>
            <w:r>
              <w:tab/>
            </w:r>
          </w:p>
        </w:tc>
        <w:tc>
          <w:tcPr>
            <w:tcW w:w="3543" w:type="dxa"/>
            <w:tcMar>
              <w:top w:w="28" w:type="dxa"/>
              <w:left w:w="85" w:type="dxa"/>
            </w:tcMar>
          </w:tcPr>
          <w:p>
            <w:pPr>
              <w:pStyle w:val="yTableNAm"/>
              <w:spacing w:before="0"/>
              <w:rPr>
                <w:i/>
              </w:rPr>
            </w:pPr>
            <w:r>
              <w:rPr>
                <w:i/>
              </w:rPr>
              <w:t>Carcharhinus obscurus</w:t>
            </w:r>
          </w:p>
        </w:tc>
      </w:tr>
      <w:tr>
        <w:tc>
          <w:tcPr>
            <w:tcW w:w="3542" w:type="dxa"/>
            <w:tcMar>
              <w:top w:w="28" w:type="dxa"/>
              <w:left w:w="85" w:type="dxa"/>
            </w:tcMar>
          </w:tcPr>
          <w:p>
            <w:pPr>
              <w:pStyle w:val="yTableNAm"/>
              <w:tabs>
                <w:tab w:val="clear" w:pos="567"/>
                <w:tab w:val="right" w:leader="dot" w:pos="3316"/>
              </w:tabs>
              <w:spacing w:before="0"/>
            </w:pPr>
            <w:r>
              <w:t xml:space="preserve">Shark, Great White </w:t>
            </w:r>
            <w:r>
              <w:tab/>
            </w:r>
          </w:p>
        </w:tc>
        <w:tc>
          <w:tcPr>
            <w:tcW w:w="3543" w:type="dxa"/>
            <w:tcMar>
              <w:top w:w="28" w:type="dxa"/>
              <w:left w:w="85" w:type="dxa"/>
            </w:tcMar>
          </w:tcPr>
          <w:p>
            <w:pPr>
              <w:pStyle w:val="yTableNAm"/>
              <w:spacing w:before="0"/>
              <w:rPr>
                <w:i/>
              </w:rPr>
            </w:pPr>
            <w:r>
              <w:rPr>
                <w:i/>
              </w:rPr>
              <w:t>Carcharodon carcharias</w:t>
            </w:r>
          </w:p>
        </w:tc>
      </w:tr>
      <w:tr>
        <w:tc>
          <w:tcPr>
            <w:tcW w:w="3542" w:type="dxa"/>
            <w:tcMar>
              <w:top w:w="28" w:type="dxa"/>
              <w:left w:w="85" w:type="dxa"/>
            </w:tcMar>
          </w:tcPr>
          <w:p>
            <w:pPr>
              <w:pStyle w:val="yTableNAm"/>
              <w:tabs>
                <w:tab w:val="clear" w:pos="567"/>
                <w:tab w:val="right" w:leader="dot" w:pos="3316"/>
              </w:tabs>
              <w:spacing w:before="0"/>
            </w:pPr>
            <w:r>
              <w:t xml:space="preserve">Shark, Speartooth </w:t>
            </w:r>
            <w:r>
              <w:tab/>
            </w:r>
          </w:p>
        </w:tc>
        <w:tc>
          <w:tcPr>
            <w:tcW w:w="3543" w:type="dxa"/>
            <w:tcMar>
              <w:top w:w="28" w:type="dxa"/>
              <w:left w:w="85" w:type="dxa"/>
            </w:tcMar>
          </w:tcPr>
          <w:p>
            <w:pPr>
              <w:pStyle w:val="yTableNAm"/>
              <w:spacing w:before="0"/>
              <w:rPr>
                <w:i/>
              </w:rPr>
            </w:pPr>
            <w:r>
              <w:rPr>
                <w:i/>
              </w:rPr>
              <w:t xml:space="preserve">Glyphis </w:t>
            </w:r>
            <w:r>
              <w:t>spp.</w:t>
            </w:r>
          </w:p>
        </w:tc>
      </w:tr>
      <w:tr>
        <w:tc>
          <w:tcPr>
            <w:tcW w:w="3542" w:type="dxa"/>
            <w:tcMar>
              <w:top w:w="28" w:type="dxa"/>
              <w:left w:w="85" w:type="dxa"/>
            </w:tcMar>
          </w:tcPr>
          <w:p>
            <w:pPr>
              <w:pStyle w:val="yTableNAm"/>
              <w:tabs>
                <w:tab w:val="clear" w:pos="567"/>
                <w:tab w:val="right" w:leader="dot" w:pos="3316"/>
              </w:tabs>
              <w:spacing w:before="0"/>
            </w:pPr>
            <w:r>
              <w:t xml:space="preserve">Shark, Whale </w:t>
            </w:r>
            <w:r>
              <w:tab/>
            </w:r>
          </w:p>
        </w:tc>
        <w:tc>
          <w:tcPr>
            <w:tcW w:w="3543" w:type="dxa"/>
            <w:tcMar>
              <w:top w:w="28" w:type="dxa"/>
              <w:left w:w="85" w:type="dxa"/>
            </w:tcMar>
          </w:tcPr>
          <w:p>
            <w:pPr>
              <w:pStyle w:val="yTableNAm"/>
              <w:spacing w:before="0"/>
              <w:rPr>
                <w:i/>
              </w:rPr>
            </w:pPr>
            <w:r>
              <w:rPr>
                <w:i/>
              </w:rPr>
              <w:t>Rhiniodon typus</w:t>
            </w:r>
          </w:p>
        </w:tc>
      </w:tr>
      <w:tr>
        <w:tc>
          <w:tcPr>
            <w:tcW w:w="3542" w:type="dxa"/>
            <w:tcMar>
              <w:top w:w="28" w:type="dxa"/>
              <w:left w:w="85" w:type="dxa"/>
            </w:tcMar>
          </w:tcPr>
          <w:p>
            <w:pPr>
              <w:pStyle w:val="yTableNAm"/>
              <w:tabs>
                <w:tab w:val="clear" w:pos="567"/>
                <w:tab w:val="right" w:leader="dot" w:pos="3316"/>
              </w:tabs>
              <w:spacing w:before="0"/>
            </w:pPr>
            <w:r>
              <w:t xml:space="preserve">Shark, Whaler </w:t>
            </w:r>
            <w:r>
              <w:tab/>
            </w:r>
          </w:p>
        </w:tc>
        <w:tc>
          <w:tcPr>
            <w:tcW w:w="3543" w:type="dxa"/>
            <w:tcMar>
              <w:top w:w="28" w:type="dxa"/>
              <w:left w:w="85" w:type="dxa"/>
            </w:tcMar>
          </w:tcPr>
          <w:p>
            <w:pPr>
              <w:pStyle w:val="yTableNAm"/>
              <w:spacing w:before="0"/>
              <w:rPr>
                <w:iCs/>
              </w:rPr>
            </w:pPr>
            <w:r>
              <w:rPr>
                <w:iCs/>
                <w:u w:val="single"/>
              </w:rPr>
              <w:t>Family</w:t>
            </w:r>
            <w:r>
              <w:rPr>
                <w:iCs/>
              </w:rPr>
              <w:t xml:space="preserve"> Carcharhinidae</w:t>
            </w:r>
          </w:p>
        </w:tc>
      </w:tr>
      <w:tr>
        <w:tc>
          <w:tcPr>
            <w:tcW w:w="3542" w:type="dxa"/>
            <w:tcMar>
              <w:top w:w="28" w:type="dxa"/>
              <w:left w:w="85" w:type="dxa"/>
            </w:tcMar>
          </w:tcPr>
          <w:p>
            <w:pPr>
              <w:pStyle w:val="yTableNAm"/>
              <w:tabs>
                <w:tab w:val="clear" w:pos="567"/>
                <w:tab w:val="right" w:leader="dot" w:pos="3316"/>
              </w:tabs>
              <w:spacing w:before="0"/>
            </w:pPr>
            <w:r>
              <w:t xml:space="preserve">Sharks </w:t>
            </w:r>
            <w:r>
              <w:tab/>
            </w:r>
          </w:p>
        </w:tc>
        <w:tc>
          <w:tcPr>
            <w:tcW w:w="3543" w:type="dxa"/>
            <w:tcMar>
              <w:top w:w="28" w:type="dxa"/>
              <w:left w:w="85" w:type="dxa"/>
            </w:tcMar>
          </w:tcPr>
          <w:p>
            <w:pPr>
              <w:pStyle w:val="yTableNAm"/>
              <w:spacing w:before="0"/>
              <w:rPr>
                <w:lang w:val="fr-FR"/>
              </w:rPr>
            </w:pPr>
            <w:r>
              <w:rPr>
                <w:u w:val="single"/>
                <w:lang w:val="fr-FR"/>
              </w:rPr>
              <w:t>Orders</w:t>
            </w:r>
            <w:r>
              <w:rPr>
                <w:lang w:val="fr-FR"/>
              </w:rPr>
              <w:t xml:space="preserve"> Squatiniformes, Pristiophoriformes, Squaliformes, Hexanchiformes, Carcharhiniformes, Lamniformes, Orectolobiformes and Heterodontiformes</w:t>
            </w:r>
          </w:p>
        </w:tc>
      </w:tr>
      <w:tr>
        <w:tc>
          <w:tcPr>
            <w:tcW w:w="3542" w:type="dxa"/>
            <w:tcMar>
              <w:top w:w="28" w:type="dxa"/>
              <w:left w:w="85" w:type="dxa"/>
            </w:tcMar>
          </w:tcPr>
          <w:p>
            <w:pPr>
              <w:pStyle w:val="yTableNAm"/>
              <w:tabs>
                <w:tab w:val="clear" w:pos="567"/>
                <w:tab w:val="right" w:leader="dot" w:pos="3316"/>
              </w:tabs>
              <w:spacing w:before="0"/>
            </w:pPr>
            <w:r>
              <w:t>Snapper, Deep water</w:t>
            </w:r>
            <w:r>
              <w:tab/>
            </w:r>
          </w:p>
        </w:tc>
        <w:tc>
          <w:tcPr>
            <w:tcW w:w="3543" w:type="dxa"/>
            <w:tcMar>
              <w:top w:w="28" w:type="dxa"/>
              <w:left w:w="85" w:type="dxa"/>
            </w:tcMar>
          </w:tcPr>
          <w:p>
            <w:pPr>
              <w:pStyle w:val="yTableNAm"/>
              <w:spacing w:before="0"/>
            </w:pPr>
            <w:r>
              <w:rPr>
                <w:i/>
                <w:iCs/>
              </w:rPr>
              <w:t>Pristipomoides</w:t>
            </w:r>
            <w:r>
              <w:t xml:space="preserve"> spp. and </w:t>
            </w:r>
            <w:r>
              <w:rPr>
                <w:i/>
                <w:iCs/>
              </w:rPr>
              <w:t>Etelis</w:t>
            </w:r>
            <w:r>
              <w:t xml:space="preserve"> spp.</w:t>
            </w:r>
          </w:p>
        </w:tc>
      </w:tr>
      <w:tr>
        <w:tc>
          <w:tcPr>
            <w:tcW w:w="3542" w:type="dxa"/>
            <w:tcMar>
              <w:top w:w="28" w:type="dxa"/>
              <w:left w:w="85" w:type="dxa"/>
            </w:tcMar>
          </w:tcPr>
          <w:p>
            <w:pPr>
              <w:pStyle w:val="yTableNAm"/>
              <w:tabs>
                <w:tab w:val="clear" w:pos="567"/>
                <w:tab w:val="right" w:leader="dot" w:pos="3316"/>
              </w:tabs>
              <w:spacing w:before="0"/>
            </w:pPr>
            <w:r>
              <w:t>Snapper, Goldband</w:t>
            </w:r>
            <w:r>
              <w:tab/>
            </w:r>
          </w:p>
        </w:tc>
        <w:tc>
          <w:tcPr>
            <w:tcW w:w="3543" w:type="dxa"/>
            <w:tcMar>
              <w:top w:w="28" w:type="dxa"/>
              <w:left w:w="85" w:type="dxa"/>
            </w:tcMar>
          </w:tcPr>
          <w:p>
            <w:pPr>
              <w:pStyle w:val="yTableNAm"/>
              <w:spacing w:before="0"/>
              <w:rPr>
                <w:i/>
                <w:iCs/>
              </w:rPr>
            </w:pPr>
            <w:r>
              <w:rPr>
                <w:i/>
                <w:iCs/>
              </w:rPr>
              <w:t>Pristipomoides multidens</w:t>
            </w:r>
          </w:p>
        </w:tc>
      </w:tr>
      <w:tr>
        <w:tc>
          <w:tcPr>
            <w:tcW w:w="3542" w:type="dxa"/>
            <w:tcMar>
              <w:top w:w="28" w:type="dxa"/>
              <w:left w:w="85" w:type="dxa"/>
            </w:tcMar>
          </w:tcPr>
          <w:p>
            <w:pPr>
              <w:pStyle w:val="yTableNAm"/>
              <w:tabs>
                <w:tab w:val="clear" w:pos="567"/>
                <w:tab w:val="right" w:leader="dot" w:pos="3316"/>
              </w:tabs>
              <w:spacing w:before="0"/>
            </w:pPr>
            <w:r>
              <w:t xml:space="preserve">Snapper, Northwest </w:t>
            </w:r>
            <w:r>
              <w:tab/>
            </w:r>
          </w:p>
        </w:tc>
        <w:tc>
          <w:tcPr>
            <w:tcW w:w="3543" w:type="dxa"/>
            <w:tcMar>
              <w:top w:w="28" w:type="dxa"/>
              <w:left w:w="85" w:type="dxa"/>
            </w:tcMar>
          </w:tcPr>
          <w:p>
            <w:pPr>
              <w:pStyle w:val="yTableNAm"/>
              <w:spacing w:before="0"/>
              <w:rPr>
                <w:i/>
              </w:rPr>
            </w:pPr>
            <w:r>
              <w:rPr>
                <w:i/>
              </w:rPr>
              <w:t xml:space="preserve">Lethrinus </w:t>
            </w:r>
            <w:r>
              <w:t xml:space="preserve">spp. excluding </w:t>
            </w:r>
            <w:r>
              <w:rPr>
                <w:i/>
              </w:rPr>
              <w:t>L. nebulosus</w:t>
            </w:r>
            <w:r>
              <w:rPr>
                <w:szCs w:val="22"/>
              </w:rPr>
              <w:t xml:space="preserve"> and</w:t>
            </w:r>
            <w:r>
              <w:rPr>
                <w:i/>
                <w:szCs w:val="22"/>
              </w:rPr>
              <w:t xml:space="preserve"> L. laticaudis</w:t>
            </w:r>
          </w:p>
        </w:tc>
      </w:tr>
      <w:tr>
        <w:tc>
          <w:tcPr>
            <w:tcW w:w="3542" w:type="dxa"/>
            <w:tcMar>
              <w:top w:w="28" w:type="dxa"/>
              <w:left w:w="85" w:type="dxa"/>
            </w:tcMar>
          </w:tcPr>
          <w:p>
            <w:pPr>
              <w:pStyle w:val="yTableNAm"/>
              <w:tabs>
                <w:tab w:val="clear" w:pos="567"/>
                <w:tab w:val="right" w:leader="dot" w:pos="3316"/>
              </w:tabs>
              <w:spacing w:before="0"/>
            </w:pPr>
            <w:r>
              <w:t xml:space="preserve">Snapper, Pink </w:t>
            </w:r>
            <w:r>
              <w:tab/>
            </w:r>
          </w:p>
        </w:tc>
        <w:tc>
          <w:tcPr>
            <w:tcW w:w="3543" w:type="dxa"/>
            <w:tcMar>
              <w:top w:w="28" w:type="dxa"/>
              <w:left w:w="85" w:type="dxa"/>
            </w:tcMar>
          </w:tcPr>
          <w:p>
            <w:pPr>
              <w:pStyle w:val="yTableNAm"/>
              <w:spacing w:before="0"/>
              <w:rPr>
                <w:i/>
              </w:rPr>
            </w:pPr>
            <w:r>
              <w:rPr>
                <w:i/>
              </w:rPr>
              <w:t>Pagrus auratus</w:t>
            </w:r>
          </w:p>
        </w:tc>
      </w:tr>
      <w:tr>
        <w:tc>
          <w:tcPr>
            <w:tcW w:w="3542" w:type="dxa"/>
            <w:tcMar>
              <w:top w:w="28" w:type="dxa"/>
              <w:left w:w="85" w:type="dxa"/>
            </w:tcMar>
          </w:tcPr>
          <w:p>
            <w:pPr>
              <w:pStyle w:val="yTableNAm"/>
              <w:tabs>
                <w:tab w:val="clear" w:pos="567"/>
                <w:tab w:val="right" w:leader="dot" w:pos="3316"/>
              </w:tabs>
              <w:spacing w:before="0"/>
            </w:pPr>
            <w:r>
              <w:t xml:space="preserve">Snapper, Queen (Blue Morwong) </w:t>
            </w:r>
            <w:r>
              <w:tab/>
            </w:r>
          </w:p>
        </w:tc>
        <w:tc>
          <w:tcPr>
            <w:tcW w:w="3543" w:type="dxa"/>
            <w:tcMar>
              <w:top w:w="28" w:type="dxa"/>
              <w:left w:w="85" w:type="dxa"/>
            </w:tcMar>
          </w:tcPr>
          <w:p>
            <w:pPr>
              <w:pStyle w:val="yTableNAm"/>
              <w:spacing w:before="0"/>
              <w:rPr>
                <w:i/>
              </w:rPr>
            </w:pPr>
            <w:r>
              <w:rPr>
                <w:i/>
              </w:rPr>
              <w:t>Nemadactylus valenciennesi</w:t>
            </w:r>
          </w:p>
        </w:tc>
      </w:tr>
      <w:tr>
        <w:tc>
          <w:tcPr>
            <w:tcW w:w="3542" w:type="dxa"/>
            <w:tcMar>
              <w:top w:w="28" w:type="dxa"/>
              <w:left w:w="85" w:type="dxa"/>
            </w:tcMar>
          </w:tcPr>
          <w:p>
            <w:pPr>
              <w:pStyle w:val="yTableNAm"/>
              <w:tabs>
                <w:tab w:val="clear" w:pos="567"/>
                <w:tab w:val="right" w:leader="dot" w:pos="3316"/>
              </w:tabs>
              <w:spacing w:before="0"/>
            </w:pPr>
            <w:r>
              <w:t xml:space="preserve">Snapper, Red (Redfish) </w:t>
            </w:r>
            <w:r>
              <w:tab/>
            </w:r>
          </w:p>
        </w:tc>
        <w:tc>
          <w:tcPr>
            <w:tcW w:w="3543" w:type="dxa"/>
            <w:tcMar>
              <w:top w:w="28" w:type="dxa"/>
              <w:left w:w="85" w:type="dxa"/>
            </w:tcMar>
          </w:tcPr>
          <w:p>
            <w:pPr>
              <w:pStyle w:val="yTableNAm"/>
              <w:spacing w:before="0"/>
              <w:rPr>
                <w:i/>
              </w:rPr>
            </w:pPr>
            <w:r>
              <w:rPr>
                <w:i/>
              </w:rPr>
              <w:t xml:space="preserve">Centroberyx </w:t>
            </w:r>
            <w:r>
              <w:t>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Snook </w:t>
            </w:r>
            <w:r>
              <w:tab/>
            </w:r>
          </w:p>
        </w:tc>
        <w:tc>
          <w:tcPr>
            <w:tcW w:w="3543" w:type="dxa"/>
            <w:tcMar>
              <w:top w:w="28" w:type="dxa"/>
              <w:left w:w="85" w:type="dxa"/>
            </w:tcMar>
          </w:tcPr>
          <w:p>
            <w:pPr>
              <w:pStyle w:val="yTableNAm"/>
              <w:spacing w:before="0"/>
              <w:rPr>
                <w:i/>
              </w:rPr>
            </w:pPr>
            <w:r>
              <w:rPr>
                <w:i/>
              </w:rPr>
              <w:t>Sphyraena novaehollandiae</w:t>
            </w:r>
          </w:p>
        </w:tc>
      </w:tr>
      <w:tr>
        <w:tc>
          <w:tcPr>
            <w:tcW w:w="3542" w:type="dxa"/>
            <w:tcMar>
              <w:top w:w="28" w:type="dxa"/>
              <w:left w:w="85" w:type="dxa"/>
            </w:tcMar>
          </w:tcPr>
          <w:p>
            <w:pPr>
              <w:pStyle w:val="yTableNAm"/>
              <w:tabs>
                <w:tab w:val="clear" w:pos="567"/>
                <w:tab w:val="right" w:leader="dot" w:pos="3316"/>
              </w:tabs>
              <w:spacing w:before="0"/>
            </w:pPr>
            <w:r>
              <w:t xml:space="preserve">Sole </w:t>
            </w:r>
            <w:r>
              <w:tab/>
            </w:r>
          </w:p>
        </w:tc>
        <w:tc>
          <w:tcPr>
            <w:tcW w:w="3543" w:type="dxa"/>
            <w:tcMar>
              <w:top w:w="28" w:type="dxa"/>
              <w:left w:w="85" w:type="dxa"/>
            </w:tcMar>
          </w:tcPr>
          <w:p>
            <w:pPr>
              <w:pStyle w:val="yTableNAm"/>
              <w:spacing w:before="0"/>
            </w:pPr>
            <w:r>
              <w:rPr>
                <w:u w:val="single"/>
              </w:rPr>
              <w:t>Families</w:t>
            </w:r>
            <w:r>
              <w:t xml:space="preserve"> Soleidae and Cynoglossidae</w:t>
            </w:r>
          </w:p>
        </w:tc>
      </w:tr>
      <w:tr>
        <w:tc>
          <w:tcPr>
            <w:tcW w:w="3542" w:type="dxa"/>
            <w:tcMar>
              <w:top w:w="28" w:type="dxa"/>
              <w:left w:w="85" w:type="dxa"/>
            </w:tcMar>
          </w:tcPr>
          <w:p>
            <w:pPr>
              <w:pStyle w:val="yTableNAm"/>
              <w:tabs>
                <w:tab w:val="clear" w:pos="567"/>
                <w:tab w:val="right" w:leader="dot" w:pos="3316"/>
              </w:tabs>
              <w:spacing w:before="0"/>
            </w:pPr>
            <w:r>
              <w:t xml:space="preserve">Sprat, Blue </w:t>
            </w:r>
            <w:r>
              <w:tab/>
            </w:r>
          </w:p>
        </w:tc>
        <w:tc>
          <w:tcPr>
            <w:tcW w:w="3543" w:type="dxa"/>
            <w:tcMar>
              <w:top w:w="28" w:type="dxa"/>
              <w:left w:w="85" w:type="dxa"/>
            </w:tcMar>
          </w:tcPr>
          <w:p>
            <w:pPr>
              <w:pStyle w:val="yTableNAm"/>
              <w:spacing w:before="0"/>
              <w:rPr>
                <w:i/>
              </w:rPr>
            </w:pPr>
            <w:r>
              <w:rPr>
                <w:i/>
              </w:rPr>
              <w:t>Spratelloides robustus</w:t>
            </w:r>
          </w:p>
        </w:tc>
      </w:tr>
      <w:tr>
        <w:tc>
          <w:tcPr>
            <w:tcW w:w="3542" w:type="dxa"/>
            <w:tcMar>
              <w:top w:w="28" w:type="dxa"/>
              <w:left w:w="85" w:type="dxa"/>
            </w:tcMar>
          </w:tcPr>
          <w:p>
            <w:pPr>
              <w:pStyle w:val="yTableNAm"/>
              <w:tabs>
                <w:tab w:val="clear" w:pos="567"/>
                <w:tab w:val="right" w:leader="dot" w:pos="3316"/>
              </w:tabs>
              <w:spacing w:before="0"/>
            </w:pPr>
            <w:r>
              <w:t xml:space="preserve">Sprat, </w:t>
            </w:r>
            <w:smartTag w:uri="urn:schemas-microsoft-com:office:smarttags" w:element="place">
              <w:smartTag w:uri="urn:schemas-microsoft-com:office:smarttags" w:element="City">
                <w:r>
                  <w:t>Sandy</w:t>
                </w:r>
              </w:smartTag>
            </w:smartTag>
            <w:r>
              <w:t xml:space="preserve"> (Whitebait) </w:t>
            </w:r>
            <w:r>
              <w:tab/>
            </w:r>
          </w:p>
        </w:tc>
        <w:tc>
          <w:tcPr>
            <w:tcW w:w="3543" w:type="dxa"/>
            <w:tcMar>
              <w:top w:w="28" w:type="dxa"/>
              <w:left w:w="85" w:type="dxa"/>
            </w:tcMar>
          </w:tcPr>
          <w:p>
            <w:pPr>
              <w:pStyle w:val="yTableNAm"/>
              <w:spacing w:before="0"/>
              <w:rPr>
                <w:i/>
              </w:rPr>
            </w:pPr>
            <w:r>
              <w:rPr>
                <w:i/>
              </w:rPr>
              <w:t>Hyperlophus vittatus</w:t>
            </w:r>
          </w:p>
        </w:tc>
      </w:tr>
      <w:tr>
        <w:tc>
          <w:tcPr>
            <w:tcW w:w="3542" w:type="dxa"/>
            <w:tcMar>
              <w:top w:w="28" w:type="dxa"/>
              <w:left w:w="85" w:type="dxa"/>
            </w:tcMar>
          </w:tcPr>
          <w:p>
            <w:pPr>
              <w:pStyle w:val="yTableNAm"/>
              <w:tabs>
                <w:tab w:val="clear" w:pos="567"/>
                <w:tab w:val="right" w:leader="dot" w:pos="3316"/>
              </w:tabs>
              <w:spacing w:before="0"/>
            </w:pPr>
            <w:r>
              <w:t xml:space="preserve">Swallowtail </w:t>
            </w:r>
            <w:r>
              <w:tab/>
            </w:r>
          </w:p>
        </w:tc>
        <w:tc>
          <w:tcPr>
            <w:tcW w:w="3543" w:type="dxa"/>
            <w:tcMar>
              <w:top w:w="28" w:type="dxa"/>
              <w:left w:w="85" w:type="dxa"/>
            </w:tcMar>
          </w:tcPr>
          <w:p>
            <w:pPr>
              <w:pStyle w:val="yTableNAm"/>
              <w:spacing w:before="0"/>
              <w:rPr>
                <w:i/>
              </w:rPr>
            </w:pPr>
            <w:r>
              <w:rPr>
                <w:i/>
              </w:rPr>
              <w:t>Centroberyx lineatus</w:t>
            </w:r>
          </w:p>
        </w:tc>
      </w:tr>
      <w:tr>
        <w:tc>
          <w:tcPr>
            <w:tcW w:w="3542" w:type="dxa"/>
            <w:tcMar>
              <w:top w:w="28" w:type="dxa"/>
              <w:left w:w="85" w:type="dxa"/>
            </w:tcMar>
          </w:tcPr>
          <w:p>
            <w:pPr>
              <w:pStyle w:val="yTableNAm"/>
              <w:tabs>
                <w:tab w:val="clear" w:pos="567"/>
                <w:tab w:val="right" w:leader="dot" w:pos="3316"/>
              </w:tabs>
              <w:spacing w:before="0"/>
            </w:pPr>
            <w:r>
              <w:t xml:space="preserve">Sweep, Banded </w:t>
            </w:r>
            <w:r>
              <w:tab/>
            </w:r>
          </w:p>
        </w:tc>
        <w:tc>
          <w:tcPr>
            <w:tcW w:w="3543" w:type="dxa"/>
            <w:tcMar>
              <w:top w:w="28" w:type="dxa"/>
              <w:left w:w="85" w:type="dxa"/>
            </w:tcMar>
          </w:tcPr>
          <w:p>
            <w:pPr>
              <w:pStyle w:val="yTableNAm"/>
              <w:spacing w:before="0"/>
              <w:rPr>
                <w:i/>
              </w:rPr>
            </w:pPr>
            <w:r>
              <w:rPr>
                <w:i/>
              </w:rPr>
              <w:t>Scorpis georgianus</w:t>
            </w:r>
          </w:p>
        </w:tc>
      </w:tr>
      <w:tr>
        <w:tc>
          <w:tcPr>
            <w:tcW w:w="3542" w:type="dxa"/>
            <w:tcMar>
              <w:top w:w="28" w:type="dxa"/>
              <w:left w:w="85" w:type="dxa"/>
            </w:tcMar>
          </w:tcPr>
          <w:p>
            <w:pPr>
              <w:pStyle w:val="yTableNAm"/>
              <w:tabs>
                <w:tab w:val="clear" w:pos="567"/>
                <w:tab w:val="right" w:leader="dot" w:pos="3316"/>
              </w:tabs>
              <w:spacing w:before="0"/>
            </w:pPr>
            <w:r>
              <w:t xml:space="preserve">Sweep, Sea </w:t>
            </w:r>
            <w:r>
              <w:tab/>
            </w:r>
          </w:p>
        </w:tc>
        <w:tc>
          <w:tcPr>
            <w:tcW w:w="3543" w:type="dxa"/>
            <w:tcMar>
              <w:top w:w="28" w:type="dxa"/>
              <w:left w:w="85" w:type="dxa"/>
            </w:tcMar>
          </w:tcPr>
          <w:p>
            <w:pPr>
              <w:pStyle w:val="yTableNAm"/>
              <w:spacing w:before="0"/>
              <w:rPr>
                <w:i/>
              </w:rPr>
            </w:pPr>
            <w:r>
              <w:rPr>
                <w:i/>
              </w:rPr>
              <w:t>Scorpis aequipinnis</w:t>
            </w:r>
          </w:p>
        </w:tc>
      </w:tr>
      <w:tr>
        <w:tc>
          <w:tcPr>
            <w:tcW w:w="3542" w:type="dxa"/>
            <w:tcMar>
              <w:top w:w="28" w:type="dxa"/>
              <w:left w:w="85" w:type="dxa"/>
            </w:tcMar>
          </w:tcPr>
          <w:p>
            <w:pPr>
              <w:pStyle w:val="yTableNAm"/>
              <w:tabs>
                <w:tab w:val="clear" w:pos="567"/>
                <w:tab w:val="right" w:leader="dot" w:pos="3316"/>
              </w:tabs>
              <w:spacing w:before="0"/>
            </w:pPr>
            <w:r>
              <w:t xml:space="preserve">Swordfish </w:t>
            </w:r>
            <w:r>
              <w:tab/>
            </w:r>
          </w:p>
        </w:tc>
        <w:tc>
          <w:tcPr>
            <w:tcW w:w="3543" w:type="dxa"/>
            <w:tcMar>
              <w:top w:w="28" w:type="dxa"/>
              <w:left w:w="85" w:type="dxa"/>
            </w:tcMar>
          </w:tcPr>
          <w:p>
            <w:pPr>
              <w:pStyle w:val="yTableNAm"/>
              <w:spacing w:before="0"/>
            </w:pPr>
            <w:r>
              <w:rPr>
                <w:u w:val="single"/>
              </w:rPr>
              <w:t>Family</w:t>
            </w:r>
            <w:r>
              <w:t xml:space="preserve"> Xiphiidae</w:t>
            </w:r>
          </w:p>
        </w:tc>
      </w:tr>
      <w:tr>
        <w:tc>
          <w:tcPr>
            <w:tcW w:w="3542" w:type="dxa"/>
            <w:tcMar>
              <w:top w:w="28" w:type="dxa"/>
              <w:left w:w="85" w:type="dxa"/>
            </w:tcMar>
          </w:tcPr>
          <w:p>
            <w:pPr>
              <w:pStyle w:val="yTableNAm"/>
              <w:tabs>
                <w:tab w:val="clear" w:pos="567"/>
                <w:tab w:val="right" w:leader="dot" w:pos="3316"/>
              </w:tabs>
              <w:spacing w:before="0"/>
            </w:pPr>
            <w:r>
              <w:t xml:space="preserve">Tailor </w:t>
            </w:r>
            <w:r>
              <w:tab/>
            </w:r>
          </w:p>
        </w:tc>
        <w:tc>
          <w:tcPr>
            <w:tcW w:w="3543" w:type="dxa"/>
            <w:tcMar>
              <w:top w:w="28" w:type="dxa"/>
              <w:left w:w="85" w:type="dxa"/>
            </w:tcMar>
          </w:tcPr>
          <w:p>
            <w:pPr>
              <w:pStyle w:val="yTableNAm"/>
              <w:spacing w:before="0"/>
              <w:rPr>
                <w:i/>
              </w:rPr>
            </w:pPr>
            <w:r>
              <w:rPr>
                <w:i/>
              </w:rPr>
              <w:t>Pomatomus saltatrix</w:t>
            </w:r>
          </w:p>
        </w:tc>
      </w:tr>
      <w:tr>
        <w:tc>
          <w:tcPr>
            <w:tcW w:w="3542" w:type="dxa"/>
            <w:tcMar>
              <w:top w:w="28" w:type="dxa"/>
              <w:left w:w="85" w:type="dxa"/>
            </w:tcMar>
          </w:tcPr>
          <w:p>
            <w:pPr>
              <w:pStyle w:val="yTableNAm"/>
              <w:tabs>
                <w:tab w:val="clear" w:pos="567"/>
                <w:tab w:val="right" w:leader="dot" w:pos="3316"/>
              </w:tabs>
              <w:spacing w:before="0"/>
            </w:pPr>
            <w:r>
              <w:t xml:space="preserve">Tarwhine (Silver Bream) </w:t>
            </w:r>
            <w:r>
              <w:tab/>
            </w:r>
          </w:p>
        </w:tc>
        <w:tc>
          <w:tcPr>
            <w:tcW w:w="3543" w:type="dxa"/>
            <w:tcMar>
              <w:top w:w="28" w:type="dxa"/>
              <w:left w:w="85" w:type="dxa"/>
            </w:tcMar>
          </w:tcPr>
          <w:p>
            <w:pPr>
              <w:pStyle w:val="yTableNAm"/>
              <w:spacing w:before="0"/>
              <w:rPr>
                <w:i/>
              </w:rPr>
            </w:pPr>
            <w:r>
              <w:rPr>
                <w:i/>
              </w:rPr>
              <w:t>Rhabdosargus sarba</w:t>
            </w:r>
          </w:p>
        </w:tc>
      </w:tr>
      <w:tr>
        <w:tc>
          <w:tcPr>
            <w:tcW w:w="3542" w:type="dxa"/>
            <w:tcMar>
              <w:top w:w="28" w:type="dxa"/>
              <w:left w:w="85" w:type="dxa"/>
            </w:tcMar>
          </w:tcPr>
          <w:p>
            <w:pPr>
              <w:pStyle w:val="yTableNAm"/>
              <w:tabs>
                <w:tab w:val="clear" w:pos="567"/>
                <w:tab w:val="right" w:leader="dot" w:pos="3316"/>
              </w:tabs>
              <w:spacing w:before="0"/>
            </w:pPr>
            <w:r>
              <w:t xml:space="preserve">Threadfin </w:t>
            </w:r>
            <w:r>
              <w:tab/>
            </w:r>
          </w:p>
        </w:tc>
        <w:tc>
          <w:tcPr>
            <w:tcW w:w="3543" w:type="dxa"/>
            <w:tcMar>
              <w:top w:w="28" w:type="dxa"/>
              <w:left w:w="85" w:type="dxa"/>
            </w:tcMar>
          </w:tcPr>
          <w:p>
            <w:pPr>
              <w:pStyle w:val="yTableNAm"/>
              <w:spacing w:before="0"/>
              <w:rPr>
                <w:i/>
              </w:rPr>
            </w:pPr>
            <w:r>
              <w:rPr>
                <w:i/>
              </w:rPr>
              <w:t xml:space="preserve">Polydactylus </w:t>
            </w:r>
            <w:r>
              <w:t>spp.</w:t>
            </w:r>
          </w:p>
        </w:tc>
      </w:tr>
      <w:tr>
        <w:tc>
          <w:tcPr>
            <w:tcW w:w="3542" w:type="dxa"/>
            <w:tcMar>
              <w:top w:w="28" w:type="dxa"/>
              <w:left w:w="85" w:type="dxa"/>
            </w:tcMar>
          </w:tcPr>
          <w:p>
            <w:pPr>
              <w:pStyle w:val="yTableNAm"/>
              <w:tabs>
                <w:tab w:val="clear" w:pos="567"/>
                <w:tab w:val="right" w:leader="dot" w:pos="3316"/>
              </w:tabs>
              <w:spacing w:before="0"/>
            </w:pPr>
            <w:r>
              <w:t xml:space="preserve">Threadfin, Blue </w:t>
            </w:r>
            <w:r>
              <w:tab/>
            </w:r>
          </w:p>
        </w:tc>
        <w:tc>
          <w:tcPr>
            <w:tcW w:w="3543" w:type="dxa"/>
            <w:tcMar>
              <w:top w:w="28" w:type="dxa"/>
              <w:left w:w="85" w:type="dxa"/>
            </w:tcMar>
          </w:tcPr>
          <w:p>
            <w:pPr>
              <w:pStyle w:val="yTableNAm"/>
              <w:spacing w:before="0"/>
              <w:rPr>
                <w:i/>
              </w:rPr>
            </w:pPr>
            <w:r>
              <w:rPr>
                <w:i/>
              </w:rPr>
              <w:t>Eleutheronema tetradactyum</w:t>
            </w:r>
          </w:p>
        </w:tc>
      </w:tr>
      <w:tr>
        <w:tc>
          <w:tcPr>
            <w:tcW w:w="3542" w:type="dxa"/>
            <w:tcMar>
              <w:top w:w="28" w:type="dxa"/>
              <w:left w:w="85" w:type="dxa"/>
            </w:tcMar>
          </w:tcPr>
          <w:p>
            <w:pPr>
              <w:pStyle w:val="yTableNAm"/>
              <w:tabs>
                <w:tab w:val="clear" w:pos="567"/>
                <w:tab w:val="right" w:leader="dot" w:pos="3316"/>
              </w:tabs>
              <w:spacing w:before="0"/>
            </w:pPr>
            <w:r>
              <w:t xml:space="preserve">Threadfin, Giant </w:t>
            </w:r>
            <w:r>
              <w:tab/>
            </w:r>
          </w:p>
        </w:tc>
        <w:tc>
          <w:tcPr>
            <w:tcW w:w="3543" w:type="dxa"/>
            <w:tcMar>
              <w:top w:w="28" w:type="dxa"/>
              <w:left w:w="85" w:type="dxa"/>
            </w:tcMar>
          </w:tcPr>
          <w:p>
            <w:pPr>
              <w:pStyle w:val="yTableNAm"/>
              <w:spacing w:before="0"/>
              <w:rPr>
                <w:i/>
              </w:rPr>
            </w:pPr>
            <w:r>
              <w:rPr>
                <w:i/>
              </w:rPr>
              <w:t>Polydactylus macrochir</w:t>
            </w:r>
          </w:p>
        </w:tc>
      </w:tr>
      <w:tr>
        <w:tc>
          <w:tcPr>
            <w:tcW w:w="3542" w:type="dxa"/>
            <w:tcMar>
              <w:top w:w="28" w:type="dxa"/>
              <w:left w:w="85" w:type="dxa"/>
            </w:tcMar>
          </w:tcPr>
          <w:p>
            <w:pPr>
              <w:pStyle w:val="yTableNAm"/>
              <w:tabs>
                <w:tab w:val="clear" w:pos="567"/>
                <w:tab w:val="right" w:leader="dot" w:pos="3316"/>
              </w:tabs>
              <w:spacing w:before="0"/>
            </w:pPr>
            <w:r>
              <w:t xml:space="preserve">Trevalla </w:t>
            </w:r>
            <w:r>
              <w:tab/>
            </w:r>
          </w:p>
        </w:tc>
        <w:tc>
          <w:tcPr>
            <w:tcW w:w="3543" w:type="dxa"/>
            <w:tcMar>
              <w:top w:w="28" w:type="dxa"/>
              <w:left w:w="85" w:type="dxa"/>
            </w:tcMar>
          </w:tcPr>
          <w:p>
            <w:pPr>
              <w:pStyle w:val="yTableNAm"/>
              <w:spacing w:before="0"/>
              <w:rPr>
                <w:i/>
              </w:rPr>
            </w:pPr>
            <w:r>
              <w:rPr>
                <w:u w:val="single"/>
              </w:rPr>
              <w:t>Family</w:t>
            </w:r>
            <w:r>
              <w:t xml:space="preserve"> Centrolophidae</w:t>
            </w:r>
          </w:p>
        </w:tc>
      </w:tr>
      <w:tr>
        <w:tc>
          <w:tcPr>
            <w:tcW w:w="3542" w:type="dxa"/>
            <w:tcMar>
              <w:top w:w="28" w:type="dxa"/>
              <w:left w:w="85" w:type="dxa"/>
            </w:tcMar>
          </w:tcPr>
          <w:p>
            <w:pPr>
              <w:pStyle w:val="yTableNAm"/>
              <w:tabs>
                <w:tab w:val="clear" w:pos="567"/>
                <w:tab w:val="right" w:leader="dot" w:pos="3316"/>
              </w:tabs>
              <w:spacing w:before="0"/>
            </w:pPr>
            <w:r>
              <w:t xml:space="preserve">Trevally </w:t>
            </w:r>
            <w:r>
              <w:tab/>
            </w:r>
          </w:p>
        </w:tc>
        <w:tc>
          <w:tcPr>
            <w:tcW w:w="3543" w:type="dxa"/>
            <w:tcMar>
              <w:top w:w="28" w:type="dxa"/>
              <w:left w:w="85" w:type="dxa"/>
            </w:tcMar>
          </w:tcPr>
          <w:p>
            <w:pPr>
              <w:pStyle w:val="yTableNAm"/>
              <w:spacing w:before="0"/>
            </w:pPr>
            <w:r>
              <w:rPr>
                <w:u w:val="single"/>
              </w:rPr>
              <w:t>Family</w:t>
            </w:r>
            <w:r>
              <w:t xml:space="preserve"> Carangidae</w:t>
            </w:r>
          </w:p>
        </w:tc>
      </w:tr>
      <w:tr>
        <w:tc>
          <w:tcPr>
            <w:tcW w:w="3542" w:type="dxa"/>
            <w:tcMar>
              <w:top w:w="28" w:type="dxa"/>
              <w:left w:w="85" w:type="dxa"/>
            </w:tcMar>
          </w:tcPr>
          <w:p>
            <w:pPr>
              <w:pStyle w:val="yTableNAm"/>
              <w:tabs>
                <w:tab w:val="clear" w:pos="567"/>
                <w:tab w:val="right" w:leader="dot" w:pos="3316"/>
              </w:tabs>
              <w:spacing w:before="0"/>
            </w:pPr>
            <w:r>
              <w:t xml:space="preserve">Trevally, Diamond </w:t>
            </w:r>
            <w:r>
              <w:tab/>
            </w:r>
          </w:p>
        </w:tc>
        <w:tc>
          <w:tcPr>
            <w:tcW w:w="3543" w:type="dxa"/>
            <w:tcMar>
              <w:top w:w="28" w:type="dxa"/>
              <w:left w:w="85" w:type="dxa"/>
            </w:tcMar>
          </w:tcPr>
          <w:p>
            <w:pPr>
              <w:pStyle w:val="yTableNAm"/>
              <w:spacing w:before="0"/>
              <w:rPr>
                <w:i/>
              </w:rPr>
            </w:pPr>
            <w:r>
              <w:rPr>
                <w:i/>
              </w:rPr>
              <w:t>Alectis indicus</w:t>
            </w:r>
          </w:p>
        </w:tc>
      </w:tr>
      <w:tr>
        <w:tc>
          <w:tcPr>
            <w:tcW w:w="3542" w:type="dxa"/>
            <w:tcMar>
              <w:top w:w="28" w:type="dxa"/>
              <w:left w:w="85" w:type="dxa"/>
            </w:tcMar>
          </w:tcPr>
          <w:p>
            <w:pPr>
              <w:pStyle w:val="yTableNAm"/>
              <w:tabs>
                <w:tab w:val="clear" w:pos="567"/>
                <w:tab w:val="right" w:leader="dot" w:pos="3316"/>
              </w:tabs>
              <w:spacing w:before="0"/>
            </w:pPr>
            <w:r>
              <w:t xml:space="preserve">Trevally, Giant </w:t>
            </w:r>
            <w:r>
              <w:tab/>
            </w:r>
          </w:p>
        </w:tc>
        <w:tc>
          <w:tcPr>
            <w:tcW w:w="3543" w:type="dxa"/>
            <w:tcMar>
              <w:top w:w="28" w:type="dxa"/>
              <w:left w:w="85" w:type="dxa"/>
            </w:tcMar>
          </w:tcPr>
          <w:p>
            <w:pPr>
              <w:pStyle w:val="yTableNAm"/>
              <w:spacing w:before="0"/>
              <w:rPr>
                <w:i/>
              </w:rPr>
            </w:pPr>
            <w:r>
              <w:rPr>
                <w:i/>
              </w:rPr>
              <w:t>Caranx ignobilis</w:t>
            </w:r>
          </w:p>
        </w:tc>
      </w:tr>
      <w:tr>
        <w:tc>
          <w:tcPr>
            <w:tcW w:w="3542" w:type="dxa"/>
            <w:tcMar>
              <w:top w:w="28" w:type="dxa"/>
              <w:left w:w="85" w:type="dxa"/>
            </w:tcMar>
          </w:tcPr>
          <w:p>
            <w:pPr>
              <w:pStyle w:val="yTableNAm"/>
              <w:tabs>
                <w:tab w:val="clear" w:pos="567"/>
                <w:tab w:val="right" w:leader="dot" w:pos="3316"/>
              </w:tabs>
              <w:spacing w:before="0"/>
            </w:pPr>
            <w:r>
              <w:t xml:space="preserve">Trevally, Golden </w:t>
            </w:r>
            <w:r>
              <w:tab/>
            </w:r>
          </w:p>
        </w:tc>
        <w:tc>
          <w:tcPr>
            <w:tcW w:w="3543" w:type="dxa"/>
            <w:tcMar>
              <w:top w:w="28" w:type="dxa"/>
              <w:left w:w="85" w:type="dxa"/>
            </w:tcMar>
          </w:tcPr>
          <w:p>
            <w:pPr>
              <w:pStyle w:val="yTableNAm"/>
              <w:spacing w:before="0"/>
              <w:rPr>
                <w:i/>
              </w:rPr>
            </w:pPr>
            <w:r>
              <w:rPr>
                <w:i/>
              </w:rPr>
              <w:t>Gnathanodon speciosus</w:t>
            </w:r>
          </w:p>
        </w:tc>
      </w:tr>
      <w:tr>
        <w:tc>
          <w:tcPr>
            <w:tcW w:w="3542" w:type="dxa"/>
            <w:tcMar>
              <w:top w:w="28" w:type="dxa"/>
              <w:left w:w="85" w:type="dxa"/>
            </w:tcMar>
          </w:tcPr>
          <w:p>
            <w:pPr>
              <w:pStyle w:val="yTableNAm"/>
              <w:tabs>
                <w:tab w:val="clear" w:pos="567"/>
                <w:tab w:val="right" w:leader="dot" w:pos="3316"/>
              </w:tabs>
              <w:spacing w:before="0"/>
            </w:pPr>
            <w:r>
              <w:t xml:space="preserve">Trevally, Silver (Skipjack) </w:t>
            </w:r>
            <w:r>
              <w:tab/>
            </w:r>
          </w:p>
        </w:tc>
        <w:tc>
          <w:tcPr>
            <w:tcW w:w="3543" w:type="dxa"/>
            <w:tcMar>
              <w:top w:w="28" w:type="dxa"/>
              <w:left w:w="85" w:type="dxa"/>
            </w:tcMar>
          </w:tcPr>
          <w:p>
            <w:pPr>
              <w:pStyle w:val="yTableNAm"/>
              <w:spacing w:before="0"/>
            </w:pPr>
            <w:r>
              <w:rPr>
                <w:i/>
              </w:rPr>
              <w:t>Pseudocaranx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Tripletail </w:t>
            </w:r>
            <w:r>
              <w:tab/>
            </w:r>
          </w:p>
        </w:tc>
        <w:tc>
          <w:tcPr>
            <w:tcW w:w="3543" w:type="dxa"/>
            <w:tcMar>
              <w:top w:w="28" w:type="dxa"/>
              <w:left w:w="85" w:type="dxa"/>
            </w:tcMar>
          </w:tcPr>
          <w:p>
            <w:pPr>
              <w:pStyle w:val="yTableNAm"/>
              <w:spacing w:before="0"/>
              <w:rPr>
                <w:i/>
              </w:rPr>
            </w:pPr>
            <w:r>
              <w:rPr>
                <w:i/>
              </w:rPr>
              <w:t>Lobotes surinamensis</w:t>
            </w:r>
          </w:p>
        </w:tc>
      </w:tr>
      <w:tr>
        <w:tc>
          <w:tcPr>
            <w:tcW w:w="3542" w:type="dxa"/>
            <w:tcMar>
              <w:top w:w="28" w:type="dxa"/>
              <w:left w:w="85" w:type="dxa"/>
            </w:tcMar>
          </w:tcPr>
          <w:p>
            <w:pPr>
              <w:pStyle w:val="yTableNAm"/>
              <w:tabs>
                <w:tab w:val="clear" w:pos="567"/>
                <w:tab w:val="right" w:leader="dot" w:pos="3316"/>
              </w:tabs>
              <w:spacing w:before="0"/>
            </w:pPr>
            <w:r>
              <w:t xml:space="preserve">Tuna, Albacore </w:t>
            </w:r>
            <w:r>
              <w:tab/>
            </w:r>
          </w:p>
        </w:tc>
        <w:tc>
          <w:tcPr>
            <w:tcW w:w="3543" w:type="dxa"/>
            <w:tcMar>
              <w:top w:w="28" w:type="dxa"/>
              <w:left w:w="85" w:type="dxa"/>
            </w:tcMar>
          </w:tcPr>
          <w:p>
            <w:pPr>
              <w:pStyle w:val="yTableNAm"/>
              <w:spacing w:before="0"/>
              <w:rPr>
                <w:i/>
              </w:rPr>
            </w:pPr>
            <w:r>
              <w:rPr>
                <w:i/>
              </w:rPr>
              <w:t>Thunnus alelunga</w:t>
            </w:r>
          </w:p>
        </w:tc>
      </w:tr>
      <w:tr>
        <w:tc>
          <w:tcPr>
            <w:tcW w:w="3542" w:type="dxa"/>
            <w:tcMar>
              <w:top w:w="28" w:type="dxa"/>
              <w:left w:w="85" w:type="dxa"/>
            </w:tcMar>
          </w:tcPr>
          <w:p>
            <w:pPr>
              <w:pStyle w:val="yTableNAm"/>
              <w:tabs>
                <w:tab w:val="clear" w:pos="567"/>
                <w:tab w:val="right" w:leader="dot" w:pos="3316"/>
              </w:tabs>
              <w:spacing w:before="0"/>
            </w:pPr>
            <w:r>
              <w:t xml:space="preserve">Tuna, Bigeye </w:t>
            </w:r>
            <w:r>
              <w:tab/>
            </w:r>
          </w:p>
        </w:tc>
        <w:tc>
          <w:tcPr>
            <w:tcW w:w="3543" w:type="dxa"/>
            <w:tcMar>
              <w:top w:w="28" w:type="dxa"/>
              <w:left w:w="85" w:type="dxa"/>
            </w:tcMar>
          </w:tcPr>
          <w:p>
            <w:pPr>
              <w:pStyle w:val="yTableNAm"/>
              <w:spacing w:before="0"/>
              <w:rPr>
                <w:i/>
              </w:rPr>
            </w:pPr>
            <w:r>
              <w:rPr>
                <w:i/>
              </w:rPr>
              <w:t>Thunnus obesus</w:t>
            </w:r>
          </w:p>
        </w:tc>
      </w:tr>
      <w:tr>
        <w:tc>
          <w:tcPr>
            <w:tcW w:w="3542" w:type="dxa"/>
            <w:tcMar>
              <w:top w:w="28" w:type="dxa"/>
              <w:left w:w="85" w:type="dxa"/>
            </w:tcMar>
          </w:tcPr>
          <w:p>
            <w:pPr>
              <w:pStyle w:val="yTableNAm"/>
              <w:tabs>
                <w:tab w:val="clear" w:pos="567"/>
                <w:tab w:val="right" w:leader="dot" w:pos="3316"/>
              </w:tabs>
              <w:spacing w:before="0"/>
            </w:pPr>
            <w:r>
              <w:t xml:space="preserve">Tuna, Dogtooth </w:t>
            </w:r>
            <w:r>
              <w:tab/>
            </w:r>
          </w:p>
        </w:tc>
        <w:tc>
          <w:tcPr>
            <w:tcW w:w="3543" w:type="dxa"/>
            <w:tcMar>
              <w:top w:w="28" w:type="dxa"/>
              <w:left w:w="85" w:type="dxa"/>
            </w:tcMar>
          </w:tcPr>
          <w:p>
            <w:pPr>
              <w:pStyle w:val="yTableNAm"/>
              <w:spacing w:before="0"/>
              <w:rPr>
                <w:i/>
              </w:rPr>
            </w:pPr>
            <w:r>
              <w:rPr>
                <w:i/>
              </w:rPr>
              <w:t>Gymnosarda unicolour</w:t>
            </w:r>
          </w:p>
        </w:tc>
      </w:tr>
      <w:tr>
        <w:tc>
          <w:tcPr>
            <w:tcW w:w="3542" w:type="dxa"/>
            <w:tcMar>
              <w:top w:w="28" w:type="dxa"/>
              <w:left w:w="85" w:type="dxa"/>
            </w:tcMar>
          </w:tcPr>
          <w:p>
            <w:pPr>
              <w:pStyle w:val="yTableNAm"/>
              <w:tabs>
                <w:tab w:val="clear" w:pos="567"/>
                <w:tab w:val="right" w:leader="dot" w:pos="3316"/>
              </w:tabs>
              <w:spacing w:before="0"/>
            </w:pPr>
            <w:r>
              <w:t xml:space="preserve">Tuna, Longtail </w:t>
            </w:r>
            <w:r>
              <w:tab/>
            </w:r>
          </w:p>
        </w:tc>
        <w:tc>
          <w:tcPr>
            <w:tcW w:w="3543" w:type="dxa"/>
            <w:tcMar>
              <w:top w:w="28" w:type="dxa"/>
              <w:left w:w="85" w:type="dxa"/>
            </w:tcMar>
          </w:tcPr>
          <w:p>
            <w:pPr>
              <w:pStyle w:val="yTableNAm"/>
              <w:spacing w:before="0"/>
              <w:rPr>
                <w:i/>
              </w:rPr>
            </w:pPr>
            <w:r>
              <w:rPr>
                <w:i/>
              </w:rPr>
              <w:t>Thunnus tonggol</w:t>
            </w:r>
          </w:p>
        </w:tc>
      </w:tr>
      <w:tr>
        <w:tc>
          <w:tcPr>
            <w:tcW w:w="3542" w:type="dxa"/>
            <w:tcMar>
              <w:top w:w="28" w:type="dxa"/>
              <w:left w:w="85" w:type="dxa"/>
            </w:tcMar>
          </w:tcPr>
          <w:p>
            <w:pPr>
              <w:pStyle w:val="yTableNAm"/>
              <w:tabs>
                <w:tab w:val="right" w:leader="dot" w:pos="3119"/>
              </w:tabs>
              <w:spacing w:before="0"/>
            </w:pPr>
            <w:r>
              <w:t>Tuna, Mackerel</w:t>
            </w:r>
            <w:r>
              <w:tab/>
            </w:r>
          </w:p>
        </w:tc>
        <w:tc>
          <w:tcPr>
            <w:tcW w:w="3543" w:type="dxa"/>
            <w:tcMar>
              <w:top w:w="28" w:type="dxa"/>
              <w:left w:w="85" w:type="dxa"/>
            </w:tcMar>
          </w:tcPr>
          <w:p>
            <w:pPr>
              <w:pStyle w:val="yTableNAm"/>
              <w:spacing w:before="0"/>
              <w:rPr>
                <w:i/>
              </w:rPr>
            </w:pPr>
            <w:r>
              <w:rPr>
                <w:i/>
              </w:rPr>
              <w:t>Euthynnus affinus</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Northern Bluefin</w:t>
              </w:r>
            </w:smartTag>
            <w:r>
              <w:t xml:space="preserve"> </w:t>
            </w:r>
            <w:r>
              <w:tab/>
            </w:r>
          </w:p>
        </w:tc>
        <w:tc>
          <w:tcPr>
            <w:tcW w:w="3543" w:type="dxa"/>
            <w:tcMar>
              <w:top w:w="28" w:type="dxa"/>
              <w:left w:w="85" w:type="dxa"/>
            </w:tcMar>
          </w:tcPr>
          <w:p>
            <w:pPr>
              <w:pStyle w:val="yTableNAm"/>
              <w:spacing w:before="0"/>
              <w:rPr>
                <w:i/>
              </w:rPr>
            </w:pPr>
            <w:r>
              <w:rPr>
                <w:i/>
              </w:rPr>
              <w:t>Thunnus thynnus</w:t>
            </w:r>
          </w:p>
        </w:tc>
      </w:tr>
      <w:tr>
        <w:tc>
          <w:tcPr>
            <w:tcW w:w="3542" w:type="dxa"/>
            <w:tcMar>
              <w:top w:w="28" w:type="dxa"/>
              <w:left w:w="85" w:type="dxa"/>
            </w:tcMar>
          </w:tcPr>
          <w:p>
            <w:pPr>
              <w:pStyle w:val="yTableNAm"/>
              <w:tabs>
                <w:tab w:val="clear" w:pos="567"/>
                <w:tab w:val="right" w:leader="dot" w:pos="3316"/>
              </w:tabs>
              <w:spacing w:before="0"/>
            </w:pPr>
            <w:r>
              <w:t xml:space="preserve">Tuna, Skipjack </w:t>
            </w:r>
            <w:r>
              <w:tab/>
            </w:r>
          </w:p>
        </w:tc>
        <w:tc>
          <w:tcPr>
            <w:tcW w:w="3543" w:type="dxa"/>
            <w:tcMar>
              <w:top w:w="28" w:type="dxa"/>
              <w:left w:w="85" w:type="dxa"/>
            </w:tcMar>
          </w:tcPr>
          <w:p>
            <w:pPr>
              <w:pStyle w:val="yTableNAm"/>
              <w:spacing w:before="0"/>
              <w:rPr>
                <w:i/>
              </w:rPr>
            </w:pPr>
            <w:r>
              <w:rPr>
                <w:i/>
              </w:rPr>
              <w:t>Katsuwonus pelamis</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Southern Bluefin</w:t>
              </w:r>
            </w:smartTag>
            <w:r>
              <w:t xml:space="preserve"> </w:t>
            </w:r>
            <w:r>
              <w:tab/>
            </w:r>
          </w:p>
        </w:tc>
        <w:tc>
          <w:tcPr>
            <w:tcW w:w="3543" w:type="dxa"/>
            <w:tcMar>
              <w:top w:w="28" w:type="dxa"/>
              <w:left w:w="85" w:type="dxa"/>
            </w:tcMar>
          </w:tcPr>
          <w:p>
            <w:pPr>
              <w:pStyle w:val="yTableNAm"/>
              <w:spacing w:before="0"/>
              <w:rPr>
                <w:i/>
              </w:rPr>
            </w:pPr>
            <w:r>
              <w:rPr>
                <w:i/>
              </w:rPr>
              <w:t>Thunnus maccoyii</w:t>
            </w:r>
          </w:p>
        </w:tc>
      </w:tr>
      <w:tr>
        <w:tc>
          <w:tcPr>
            <w:tcW w:w="3542" w:type="dxa"/>
            <w:tcMar>
              <w:top w:w="28" w:type="dxa"/>
              <w:left w:w="85" w:type="dxa"/>
            </w:tcMar>
          </w:tcPr>
          <w:p>
            <w:pPr>
              <w:pStyle w:val="yTableNAm"/>
              <w:tabs>
                <w:tab w:val="clear" w:pos="567"/>
                <w:tab w:val="right" w:leader="dot" w:pos="3316"/>
              </w:tabs>
              <w:spacing w:before="0"/>
            </w:pPr>
            <w:r>
              <w:t xml:space="preserve">Tuna, Yellowfin </w:t>
            </w:r>
            <w:r>
              <w:tab/>
            </w:r>
          </w:p>
        </w:tc>
        <w:tc>
          <w:tcPr>
            <w:tcW w:w="3543" w:type="dxa"/>
            <w:tcMar>
              <w:top w:w="28" w:type="dxa"/>
              <w:left w:w="85" w:type="dxa"/>
            </w:tcMar>
          </w:tcPr>
          <w:p>
            <w:pPr>
              <w:pStyle w:val="yTableNAm"/>
              <w:spacing w:before="0"/>
              <w:rPr>
                <w:i/>
              </w:rPr>
            </w:pPr>
            <w:r>
              <w:rPr>
                <w:i/>
              </w:rPr>
              <w:t>Thunnus albacares</w:t>
            </w:r>
          </w:p>
        </w:tc>
      </w:tr>
      <w:tr>
        <w:tc>
          <w:tcPr>
            <w:tcW w:w="3542" w:type="dxa"/>
            <w:tcMar>
              <w:top w:w="28" w:type="dxa"/>
              <w:left w:w="85" w:type="dxa"/>
            </w:tcMar>
          </w:tcPr>
          <w:p>
            <w:pPr>
              <w:pStyle w:val="yTableNAm"/>
              <w:tabs>
                <w:tab w:val="clear" w:pos="567"/>
                <w:tab w:val="right" w:leader="dot" w:pos="3316"/>
              </w:tabs>
              <w:spacing w:before="0"/>
            </w:pPr>
            <w:r>
              <w:t xml:space="preserve">Tuskfish </w:t>
            </w:r>
            <w:r>
              <w:tab/>
            </w:r>
          </w:p>
        </w:tc>
        <w:tc>
          <w:tcPr>
            <w:tcW w:w="3543" w:type="dxa"/>
            <w:tcMar>
              <w:top w:w="28" w:type="dxa"/>
              <w:left w:w="85" w:type="dxa"/>
            </w:tcMar>
          </w:tcPr>
          <w:p>
            <w:pPr>
              <w:pStyle w:val="yTableNAm"/>
              <w:spacing w:before="0"/>
              <w:rPr>
                <w:i/>
              </w:rPr>
            </w:pPr>
            <w:r>
              <w:rPr>
                <w:i/>
              </w:rPr>
              <w:t>Choerodon</w:t>
            </w:r>
            <w:r>
              <w:t xml:space="preserve"> spp. excluding</w:t>
            </w:r>
            <w:r>
              <w:rPr>
                <w:i/>
              </w:rPr>
              <w:t xml:space="preserve"> C.rubescens</w:t>
            </w:r>
          </w:p>
        </w:tc>
      </w:tr>
      <w:tr>
        <w:tc>
          <w:tcPr>
            <w:tcW w:w="3542" w:type="dxa"/>
            <w:tcMar>
              <w:top w:w="28" w:type="dxa"/>
              <w:left w:w="85" w:type="dxa"/>
            </w:tcMar>
          </w:tcPr>
          <w:p>
            <w:pPr>
              <w:pStyle w:val="yTableNAm"/>
              <w:tabs>
                <w:tab w:val="clear" w:pos="567"/>
                <w:tab w:val="right" w:leader="dot" w:pos="3316"/>
              </w:tabs>
              <w:spacing w:before="0"/>
            </w:pPr>
            <w:r>
              <w:t xml:space="preserve">Tuskfish, Blackspot </w:t>
            </w:r>
            <w:r>
              <w:tab/>
            </w:r>
          </w:p>
        </w:tc>
        <w:tc>
          <w:tcPr>
            <w:tcW w:w="3543" w:type="dxa"/>
            <w:tcMar>
              <w:top w:w="28" w:type="dxa"/>
              <w:left w:w="85" w:type="dxa"/>
            </w:tcMar>
          </w:tcPr>
          <w:p>
            <w:pPr>
              <w:pStyle w:val="yTableNAm"/>
              <w:spacing w:before="0"/>
              <w:rPr>
                <w:i/>
              </w:rPr>
            </w:pPr>
            <w:r>
              <w:rPr>
                <w:i/>
              </w:rPr>
              <w:t>Choerodon schoenleinii</w:t>
            </w:r>
          </w:p>
        </w:tc>
      </w:tr>
      <w:tr>
        <w:tc>
          <w:tcPr>
            <w:tcW w:w="3542" w:type="dxa"/>
            <w:tcMar>
              <w:top w:w="28" w:type="dxa"/>
              <w:left w:w="85" w:type="dxa"/>
            </w:tcMar>
          </w:tcPr>
          <w:p>
            <w:pPr>
              <w:pStyle w:val="yTableNAm"/>
              <w:tabs>
                <w:tab w:val="clear" w:pos="567"/>
                <w:tab w:val="right" w:leader="dot" w:pos="3316"/>
              </w:tabs>
              <w:spacing w:before="0"/>
            </w:pPr>
            <w:r>
              <w:t xml:space="preserve">Tuskfish, Blue </w:t>
            </w:r>
            <w:r>
              <w:tab/>
            </w:r>
          </w:p>
        </w:tc>
        <w:tc>
          <w:tcPr>
            <w:tcW w:w="3543" w:type="dxa"/>
            <w:tcMar>
              <w:top w:w="28" w:type="dxa"/>
              <w:left w:w="85" w:type="dxa"/>
            </w:tcMar>
          </w:tcPr>
          <w:p>
            <w:pPr>
              <w:pStyle w:val="yTableNAm"/>
              <w:spacing w:before="0"/>
              <w:rPr>
                <w:i/>
              </w:rPr>
            </w:pPr>
            <w:r>
              <w:rPr>
                <w:i/>
              </w:rPr>
              <w:t>Choerodon cyanodus</w:t>
            </w:r>
          </w:p>
        </w:tc>
      </w:tr>
      <w:tr>
        <w:tc>
          <w:tcPr>
            <w:tcW w:w="3542" w:type="dxa"/>
            <w:tcMar>
              <w:top w:w="28" w:type="dxa"/>
              <w:left w:w="85" w:type="dxa"/>
            </w:tcMar>
          </w:tcPr>
          <w:p>
            <w:pPr>
              <w:pStyle w:val="yTableNAm"/>
              <w:tabs>
                <w:tab w:val="clear" w:pos="567"/>
                <w:tab w:val="right" w:leader="dot" w:pos="3316"/>
              </w:tabs>
              <w:spacing w:before="0"/>
            </w:pPr>
            <w:r>
              <w:t xml:space="preserve">Whiting </w:t>
            </w:r>
            <w:r>
              <w:tab/>
            </w:r>
          </w:p>
        </w:tc>
        <w:tc>
          <w:tcPr>
            <w:tcW w:w="3543" w:type="dxa"/>
            <w:tcMar>
              <w:top w:w="28" w:type="dxa"/>
              <w:left w:w="85" w:type="dxa"/>
            </w:tcMar>
          </w:tcPr>
          <w:p>
            <w:pPr>
              <w:pStyle w:val="yTableNAm"/>
              <w:spacing w:before="0"/>
            </w:pPr>
            <w:r>
              <w:rPr>
                <w:i/>
              </w:rPr>
              <w:t>Sillago</w:t>
            </w:r>
            <w:r>
              <w:t xml:space="preserve"> spp.</w:t>
            </w:r>
          </w:p>
        </w:tc>
      </w:tr>
      <w:tr>
        <w:tc>
          <w:tcPr>
            <w:tcW w:w="3542" w:type="dxa"/>
            <w:tcMar>
              <w:top w:w="28" w:type="dxa"/>
              <w:left w:w="85" w:type="dxa"/>
            </w:tcMar>
          </w:tcPr>
          <w:p>
            <w:pPr>
              <w:pStyle w:val="yTableNAm"/>
              <w:tabs>
                <w:tab w:val="clear" w:pos="567"/>
                <w:tab w:val="right" w:leader="dot" w:pos="3316"/>
              </w:tabs>
              <w:spacing w:before="0"/>
              <w:ind w:left="219" w:hanging="219"/>
            </w:pPr>
            <w:r>
              <w:t>Whiting, Golden</w:t>
            </w:r>
            <w:r>
              <w:noBreakHyphen/>
              <w:t xml:space="preserve">lined (Rough Scale) </w:t>
            </w:r>
          </w:p>
        </w:tc>
        <w:tc>
          <w:tcPr>
            <w:tcW w:w="3543" w:type="dxa"/>
            <w:tcMar>
              <w:top w:w="28" w:type="dxa"/>
              <w:left w:w="85" w:type="dxa"/>
            </w:tcMar>
          </w:tcPr>
          <w:p>
            <w:pPr>
              <w:pStyle w:val="yTableNAm"/>
              <w:spacing w:before="0"/>
              <w:rPr>
                <w:i/>
              </w:rPr>
            </w:pPr>
            <w:r>
              <w:rPr>
                <w:i/>
              </w:rPr>
              <w:t>Sillago analis</w:t>
            </w:r>
          </w:p>
        </w:tc>
      </w:tr>
      <w:tr>
        <w:tc>
          <w:tcPr>
            <w:tcW w:w="3542" w:type="dxa"/>
            <w:tcMar>
              <w:top w:w="28" w:type="dxa"/>
              <w:left w:w="85" w:type="dxa"/>
            </w:tcMar>
          </w:tcPr>
          <w:p>
            <w:pPr>
              <w:pStyle w:val="yTableNAm"/>
              <w:tabs>
                <w:tab w:val="clear" w:pos="567"/>
                <w:tab w:val="right" w:leader="dot" w:pos="3316"/>
              </w:tabs>
              <w:spacing w:before="0"/>
            </w:pPr>
            <w:r>
              <w:t xml:space="preserve">Whiting, King George (Spotted) </w:t>
            </w:r>
            <w:r>
              <w:tab/>
            </w:r>
          </w:p>
        </w:tc>
        <w:tc>
          <w:tcPr>
            <w:tcW w:w="3543" w:type="dxa"/>
            <w:tcMar>
              <w:top w:w="28" w:type="dxa"/>
              <w:left w:w="85" w:type="dxa"/>
            </w:tcMar>
          </w:tcPr>
          <w:p>
            <w:pPr>
              <w:pStyle w:val="yTableNAm"/>
              <w:spacing w:before="0"/>
              <w:rPr>
                <w:i/>
              </w:rPr>
            </w:pPr>
            <w:r>
              <w:rPr>
                <w:i/>
              </w:rPr>
              <w:t xml:space="preserve">Sillaginodes punctata </w:t>
            </w:r>
          </w:p>
        </w:tc>
      </w:tr>
      <w:tr>
        <w:tc>
          <w:tcPr>
            <w:tcW w:w="3542" w:type="dxa"/>
            <w:tcMar>
              <w:top w:w="28" w:type="dxa"/>
              <w:left w:w="85" w:type="dxa"/>
            </w:tcMar>
          </w:tcPr>
          <w:p>
            <w:pPr>
              <w:pStyle w:val="yTableNAm"/>
              <w:tabs>
                <w:tab w:val="clear" w:pos="567"/>
                <w:tab w:val="right" w:leader="dot" w:pos="3316"/>
              </w:tabs>
              <w:spacing w:before="0"/>
            </w:pPr>
            <w:r>
              <w:t xml:space="preserve">Whiting, Southern School (Silver) </w:t>
            </w:r>
            <w:r>
              <w:tab/>
            </w:r>
          </w:p>
        </w:tc>
        <w:tc>
          <w:tcPr>
            <w:tcW w:w="3543" w:type="dxa"/>
            <w:tcMar>
              <w:top w:w="28" w:type="dxa"/>
              <w:left w:w="85" w:type="dxa"/>
            </w:tcMar>
          </w:tcPr>
          <w:p>
            <w:pPr>
              <w:pStyle w:val="yTableNAm"/>
              <w:spacing w:before="0"/>
              <w:rPr>
                <w:i/>
              </w:rPr>
            </w:pPr>
            <w:r>
              <w:rPr>
                <w:i/>
              </w:rPr>
              <w:t>Sillago bassensis</w:t>
            </w:r>
          </w:p>
        </w:tc>
      </w:tr>
      <w:tr>
        <w:tc>
          <w:tcPr>
            <w:tcW w:w="3542" w:type="dxa"/>
            <w:tcMar>
              <w:top w:w="28" w:type="dxa"/>
              <w:left w:w="85" w:type="dxa"/>
            </w:tcMar>
          </w:tcPr>
          <w:p>
            <w:pPr>
              <w:pStyle w:val="yTableNAm"/>
              <w:tabs>
                <w:tab w:val="clear" w:pos="567"/>
                <w:tab w:val="right" w:leader="dot" w:pos="3316"/>
              </w:tabs>
              <w:spacing w:before="0"/>
            </w:pPr>
            <w:r>
              <w:t>Whiting, Yellow</w:t>
            </w:r>
            <w:r>
              <w:noBreakHyphen/>
              <w:t xml:space="preserve">finned </w:t>
            </w:r>
            <w:r>
              <w:tab/>
            </w:r>
          </w:p>
        </w:tc>
        <w:tc>
          <w:tcPr>
            <w:tcW w:w="3543" w:type="dxa"/>
            <w:tcMar>
              <w:top w:w="28" w:type="dxa"/>
              <w:left w:w="85" w:type="dxa"/>
            </w:tcMar>
          </w:tcPr>
          <w:p>
            <w:pPr>
              <w:pStyle w:val="yTableNAm"/>
              <w:spacing w:before="0"/>
              <w:rPr>
                <w:i/>
              </w:rPr>
            </w:pPr>
            <w:r>
              <w:rPr>
                <w:i/>
              </w:rPr>
              <w:t>Sillago schomburgkii</w:t>
            </w:r>
          </w:p>
        </w:tc>
      </w:tr>
      <w:tr>
        <w:tc>
          <w:tcPr>
            <w:tcW w:w="3542" w:type="dxa"/>
            <w:tcMar>
              <w:top w:w="28" w:type="dxa"/>
              <w:left w:w="85" w:type="dxa"/>
            </w:tcMar>
          </w:tcPr>
          <w:p>
            <w:pPr>
              <w:pStyle w:val="yTableNAm"/>
              <w:tabs>
                <w:tab w:val="clear" w:pos="567"/>
                <w:tab w:val="right" w:leader="dot" w:pos="3316"/>
              </w:tabs>
              <w:spacing w:before="0"/>
            </w:pPr>
            <w:r>
              <w:t xml:space="preserve">Wrasse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Borders>
              <w:bottom w:val="single" w:sz="8" w:space="0" w:color="auto"/>
            </w:tcBorders>
            <w:tcMar>
              <w:top w:w="28" w:type="dxa"/>
              <w:left w:w="85" w:type="dxa"/>
            </w:tcMar>
          </w:tcPr>
          <w:p>
            <w:pPr>
              <w:pStyle w:val="yTableNAm"/>
              <w:tabs>
                <w:tab w:val="clear" w:pos="567"/>
                <w:tab w:val="right" w:leader="dot" w:pos="3316"/>
              </w:tabs>
              <w:spacing w:before="0"/>
            </w:pPr>
            <w:r>
              <w:t xml:space="preserve">Wrasse, Humphead Maori </w:t>
            </w:r>
            <w:r>
              <w:tab/>
            </w:r>
          </w:p>
        </w:tc>
        <w:tc>
          <w:tcPr>
            <w:tcW w:w="3543" w:type="dxa"/>
            <w:tcBorders>
              <w:bottom w:val="single" w:sz="8" w:space="0" w:color="auto"/>
            </w:tcBorders>
            <w:tcMar>
              <w:top w:w="28" w:type="dxa"/>
              <w:left w:w="85" w:type="dxa"/>
            </w:tcMar>
          </w:tcPr>
          <w:p>
            <w:pPr>
              <w:pStyle w:val="yTableNAm"/>
              <w:spacing w:before="0"/>
              <w:rPr>
                <w:i/>
              </w:rPr>
            </w:pPr>
            <w:r>
              <w:rPr>
                <w:i/>
              </w:rPr>
              <w:t>Cheilinus undulatus</w:t>
            </w:r>
          </w:p>
        </w:tc>
      </w:tr>
    </w:tbl>
    <w:p>
      <w:pPr>
        <w:pStyle w:val="yFootnotesection"/>
      </w:pPr>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 29 Mar 2011 p. 1153; 24 Aug 2011 p. 3409; 29 Jan 2013 p. 318.]</w:t>
      </w:r>
    </w:p>
    <w:p>
      <w:pPr>
        <w:pStyle w:val="yHeading3"/>
        <w:pageBreakBefore/>
      </w:pPr>
      <w:bookmarkStart w:id="1490" w:name="_Toc339626125"/>
      <w:bookmarkStart w:id="1491" w:name="_Toc342397877"/>
      <w:bookmarkStart w:id="1492" w:name="_Toc343520134"/>
      <w:bookmarkStart w:id="1493" w:name="_Toc343520591"/>
      <w:bookmarkStart w:id="1494" w:name="_Toc344712156"/>
      <w:bookmarkStart w:id="1495" w:name="_Toc344712672"/>
      <w:bookmarkStart w:id="1496" w:name="_Toc347307919"/>
      <w:bookmarkStart w:id="1497" w:name="_Toc349822832"/>
      <w:bookmarkStart w:id="1498" w:name="_Toc349823252"/>
      <w:bookmarkStart w:id="1499" w:name="_Toc349831234"/>
      <w:bookmarkStart w:id="1500" w:name="_Toc359249026"/>
      <w:bookmarkStart w:id="1501" w:name="_Toc359316983"/>
      <w:r>
        <w:rPr>
          <w:rStyle w:val="CharSDivNo"/>
        </w:rPr>
        <w:t>Division 2</w:t>
      </w:r>
      <w:r>
        <w:t> — </w:t>
      </w:r>
      <w:r>
        <w:rPr>
          <w:rStyle w:val="CharSDivText"/>
        </w:rPr>
        <w:t>Freshwater fish</w:t>
      </w:r>
      <w:bookmarkEnd w:id="1490"/>
      <w:bookmarkEnd w:id="1491"/>
      <w:bookmarkEnd w:id="1492"/>
      <w:bookmarkEnd w:id="1493"/>
      <w:bookmarkEnd w:id="1494"/>
      <w:bookmarkEnd w:id="1495"/>
      <w:bookmarkEnd w:id="1496"/>
      <w:bookmarkEnd w:id="1497"/>
      <w:bookmarkEnd w:id="1498"/>
      <w:bookmarkEnd w:id="1499"/>
      <w:bookmarkEnd w:id="1500"/>
      <w:bookmarkEnd w:id="1501"/>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pos="3969"/>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Carp, European (Common) </w:t>
            </w:r>
            <w:r>
              <w:tab/>
            </w:r>
          </w:p>
        </w:tc>
        <w:tc>
          <w:tcPr>
            <w:tcW w:w="3544" w:type="dxa"/>
            <w:tcMar>
              <w:top w:w="28" w:type="dxa"/>
              <w:left w:w="85"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left w:w="85" w:type="dxa"/>
            </w:tcMar>
          </w:tcPr>
          <w:p>
            <w:pPr>
              <w:pStyle w:val="yTableNAm"/>
              <w:tabs>
                <w:tab w:val="clear" w:pos="567"/>
                <w:tab w:val="right" w:leader="dot" w:pos="3315"/>
              </w:tabs>
              <w:spacing w:before="0"/>
            </w:pPr>
            <w:r>
              <w:t xml:space="preserve">Cobbler, Freshwater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left w:w="85" w:type="dxa"/>
            </w:tcMar>
          </w:tcPr>
          <w:p>
            <w:pPr>
              <w:pStyle w:val="yTableNAm"/>
              <w:tabs>
                <w:tab w:val="clear" w:pos="567"/>
                <w:tab w:val="right" w:leader="dot" w:pos="3315"/>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left w:w="85" w:type="dxa"/>
            </w:tcMar>
          </w:tcPr>
          <w:p>
            <w:pPr>
              <w:pStyle w:val="yTableNAm"/>
              <w:tabs>
                <w:tab w:val="clear" w:pos="567"/>
                <w:tab w:val="right" w:leader="dot" w:pos="3315"/>
              </w:tabs>
              <w:spacing w:before="0"/>
            </w:pPr>
            <w:r>
              <w:t>Eel, Short</w:t>
            </w:r>
            <w:r>
              <w:noBreakHyphen/>
              <w:t xml:space="preserve">finned </w:t>
            </w:r>
            <w:r>
              <w:tab/>
            </w:r>
          </w:p>
        </w:tc>
        <w:tc>
          <w:tcPr>
            <w:tcW w:w="3544" w:type="dxa"/>
            <w:tcMar>
              <w:top w:w="28" w:type="dxa"/>
              <w:left w:w="85" w:type="dxa"/>
            </w:tcMar>
          </w:tcPr>
          <w:p>
            <w:pPr>
              <w:pStyle w:val="yTableNAm"/>
              <w:tabs>
                <w:tab w:val="clear" w:pos="567"/>
                <w:tab w:val="left" w:leader="dot" w:pos="3260"/>
              </w:tabs>
              <w:spacing w:before="0"/>
              <w:rPr>
                <w:i/>
                <w:iCs/>
              </w:rPr>
            </w:pPr>
            <w:smartTag w:uri="urn:schemas-microsoft-com:office:smarttags" w:element="place">
              <w:r>
                <w:rPr>
                  <w:i/>
                  <w:iCs/>
                </w:rPr>
                <w:t>Anguilla</w:t>
              </w:r>
            </w:smartTag>
            <w:r>
              <w:rPr>
                <w:i/>
                <w:iCs/>
              </w:rPr>
              <w:t xml:space="preserve"> australis</w:t>
            </w:r>
          </w:p>
        </w:tc>
      </w:tr>
      <w:tr>
        <w:tc>
          <w:tcPr>
            <w:tcW w:w="3541" w:type="dxa"/>
            <w:tcMar>
              <w:top w:w="28" w:type="dxa"/>
              <w:left w:w="85" w:type="dxa"/>
            </w:tcMar>
          </w:tcPr>
          <w:p>
            <w:pPr>
              <w:pStyle w:val="yTableNAm"/>
              <w:tabs>
                <w:tab w:val="clear" w:pos="567"/>
                <w:tab w:val="right" w:leader="dot" w:pos="3315"/>
              </w:tabs>
              <w:spacing w:before="0"/>
            </w:pPr>
            <w:r>
              <w:t xml:space="preserve">Goldfish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left w:w="85" w:type="dxa"/>
            </w:tcMar>
          </w:tcPr>
          <w:p>
            <w:pPr>
              <w:pStyle w:val="yTableNAm"/>
              <w:tabs>
                <w:tab w:val="clear" w:pos="567"/>
                <w:tab w:val="right" w:leader="dot" w:pos="3315"/>
              </w:tabs>
              <w:spacing w:before="0"/>
            </w:pPr>
            <w:r>
              <w:t>Grunter</w:t>
            </w:r>
            <w:r>
              <w:tab/>
            </w:r>
          </w:p>
        </w:tc>
        <w:tc>
          <w:tcPr>
            <w:tcW w:w="3544" w:type="dxa"/>
            <w:tcMar>
              <w:top w:w="28" w:type="dxa"/>
              <w:left w:w="85" w:type="dxa"/>
            </w:tcMar>
          </w:tcPr>
          <w:p>
            <w:pPr>
              <w:pStyle w:val="yTableNAm"/>
              <w:tabs>
                <w:tab w:val="clear" w:pos="567"/>
                <w:tab w:val="left" w:leader="dot" w:pos="3260"/>
              </w:tabs>
              <w:spacing w:before="0"/>
              <w:rPr>
                <w:iCs/>
              </w:rPr>
            </w:pPr>
            <w:r>
              <w:rPr>
                <w:u w:val="single"/>
              </w:rPr>
              <w:t>Family</w:t>
            </w:r>
            <w:r>
              <w:t xml:space="preserve"> Terapontidae</w:t>
            </w:r>
          </w:p>
        </w:tc>
      </w:tr>
      <w:tr>
        <w:tc>
          <w:tcPr>
            <w:tcW w:w="3541" w:type="dxa"/>
            <w:tcMar>
              <w:top w:w="28" w:type="dxa"/>
              <w:left w:w="85" w:type="dxa"/>
            </w:tcMar>
          </w:tcPr>
          <w:p>
            <w:pPr>
              <w:pStyle w:val="yTableNAm"/>
              <w:tabs>
                <w:tab w:val="clear" w:pos="567"/>
                <w:tab w:val="right" w:leader="dot" w:pos="3315"/>
              </w:tabs>
              <w:spacing w:before="0"/>
            </w:pPr>
            <w:r>
              <w:t xml:space="preserve">Grunter, Sooty </w:t>
            </w:r>
            <w:r>
              <w:tab/>
            </w:r>
          </w:p>
        </w:tc>
        <w:tc>
          <w:tcPr>
            <w:tcW w:w="3544" w:type="dxa"/>
            <w:tcMar>
              <w:top w:w="28" w:type="dxa"/>
              <w:left w:w="85"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left w:w="85" w:type="dxa"/>
            </w:tcMar>
          </w:tcPr>
          <w:p>
            <w:pPr>
              <w:pStyle w:val="yTableNAm"/>
              <w:tabs>
                <w:tab w:val="clear" w:pos="567"/>
                <w:tab w:val="right" w:leader="dot" w:pos="3315"/>
              </w:tabs>
              <w:spacing w:before="0"/>
            </w:pPr>
            <w:r>
              <w:t xml:space="preserve">Perch, Golden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left w:w="85" w:type="dxa"/>
            </w:tcMar>
          </w:tcPr>
          <w:p>
            <w:pPr>
              <w:pStyle w:val="yTableNAm"/>
              <w:tabs>
                <w:tab w:val="clear" w:pos="567"/>
                <w:tab w:val="right" w:leader="dot" w:pos="3315"/>
              </w:tabs>
              <w:spacing w:before="0"/>
            </w:pPr>
            <w:r>
              <w:t>Perch, Redfin (English or European)</w:t>
            </w:r>
            <w:r>
              <w:tab/>
            </w:r>
          </w:p>
        </w:tc>
        <w:tc>
          <w:tcPr>
            <w:tcW w:w="3544" w:type="dxa"/>
            <w:tcMar>
              <w:top w:w="28" w:type="dxa"/>
              <w:left w:w="85"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left w:w="85" w:type="dxa"/>
            </w:tcMar>
          </w:tcPr>
          <w:p>
            <w:pPr>
              <w:pStyle w:val="yTableNAm"/>
              <w:tabs>
                <w:tab w:val="clear" w:pos="567"/>
                <w:tab w:val="right" w:leader="dot" w:pos="3315"/>
              </w:tabs>
              <w:spacing w:before="0"/>
            </w:pPr>
            <w:r>
              <w:t xml:space="preserve">Perch, Silver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left w:w="85" w:type="dxa"/>
            </w:tcMar>
          </w:tcPr>
          <w:p>
            <w:pPr>
              <w:pStyle w:val="yTableNAm"/>
              <w:tabs>
                <w:tab w:val="clear" w:pos="567"/>
                <w:tab w:val="right" w:leader="dot" w:pos="3315"/>
              </w:tabs>
              <w:spacing w:before="0"/>
            </w:pPr>
            <w:r>
              <w:t xml:space="preserve">Sawfish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left w:w="85" w:type="dxa"/>
            </w:tcMar>
          </w:tcPr>
          <w:p>
            <w:pPr>
              <w:pStyle w:val="yTableNAm"/>
              <w:tabs>
                <w:tab w:val="clear" w:pos="567"/>
                <w:tab w:val="right" w:leader="dot" w:pos="3315"/>
              </w:tabs>
              <w:spacing w:before="0"/>
            </w:pPr>
            <w:r>
              <w:t xml:space="preserve">Trout, Brown </w:t>
            </w:r>
            <w:r>
              <w:tab/>
            </w:r>
          </w:p>
        </w:tc>
        <w:tc>
          <w:tcPr>
            <w:tcW w:w="3544" w:type="dxa"/>
            <w:tcMar>
              <w:top w:w="28" w:type="dxa"/>
              <w:left w:w="85"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left w:w="85" w:type="dxa"/>
            </w:tcMar>
          </w:tcPr>
          <w:p>
            <w:pPr>
              <w:pStyle w:val="yTableNAm"/>
              <w:tabs>
                <w:tab w:val="clear" w:pos="567"/>
                <w:tab w:val="right" w:leader="dot" w:pos="3315"/>
              </w:tabs>
              <w:spacing w:before="0"/>
            </w:pPr>
            <w:r>
              <w:t xml:space="preserve">Trout, Rainbow </w:t>
            </w:r>
            <w:r>
              <w:tab/>
            </w:r>
          </w:p>
        </w:tc>
        <w:tc>
          <w:tcPr>
            <w:tcW w:w="3544" w:type="dxa"/>
            <w:tcBorders>
              <w:bottom w:val="single" w:sz="4" w:space="0" w:color="auto"/>
            </w:tcBorders>
            <w:tcMar>
              <w:top w:w="28" w:type="dxa"/>
              <w:left w:w="85" w:type="dxa"/>
            </w:tcMar>
          </w:tcPr>
          <w:p>
            <w:pPr>
              <w:pStyle w:val="yTableNAm"/>
              <w:tabs>
                <w:tab w:val="clear" w:pos="567"/>
                <w:tab w:val="left" w:leader="dot" w:pos="3260"/>
              </w:tabs>
              <w:spacing w:before="0"/>
              <w:rPr>
                <w:i/>
                <w:iCs/>
              </w:rPr>
            </w:pPr>
            <w:r>
              <w:rPr>
                <w:i/>
                <w:iCs/>
              </w:rPr>
              <w:t>Oncorhynchus mykiss</w:t>
            </w:r>
          </w:p>
        </w:tc>
      </w:tr>
    </w:tbl>
    <w:p>
      <w:pPr>
        <w:pStyle w:val="yFootnotesection"/>
      </w:pPr>
      <w:r>
        <w:tab/>
        <w:t>[Division 2 amended in Gazette 22 Dec 2005 p. 6239; 13 Nov 2007 p. 5693; 23 Jul 2010 p. 3406; 29 Jan 2013 p. 318.]</w:t>
      </w:r>
    </w:p>
    <w:p>
      <w:pPr>
        <w:pStyle w:val="yHeading3"/>
        <w:pageBreakBefore/>
      </w:pPr>
      <w:bookmarkStart w:id="1502" w:name="_Toc339626126"/>
      <w:bookmarkStart w:id="1503" w:name="_Toc342397878"/>
      <w:bookmarkStart w:id="1504" w:name="_Toc343520135"/>
      <w:bookmarkStart w:id="1505" w:name="_Toc343520592"/>
      <w:bookmarkStart w:id="1506" w:name="_Toc344712157"/>
      <w:bookmarkStart w:id="1507" w:name="_Toc344712673"/>
      <w:bookmarkStart w:id="1508" w:name="_Toc347307920"/>
      <w:bookmarkStart w:id="1509" w:name="_Toc349822833"/>
      <w:bookmarkStart w:id="1510" w:name="_Toc349823253"/>
      <w:bookmarkStart w:id="1511" w:name="_Toc349831235"/>
      <w:bookmarkStart w:id="1512" w:name="_Toc359249027"/>
      <w:bookmarkStart w:id="1513" w:name="_Toc359316984"/>
      <w:r>
        <w:rPr>
          <w:rStyle w:val="CharSDivNo"/>
        </w:rPr>
        <w:t>Division 3</w:t>
      </w:r>
      <w:r>
        <w:t> — </w:t>
      </w:r>
      <w:r>
        <w:rPr>
          <w:rStyle w:val="CharSDivText"/>
        </w:rPr>
        <w:t>Crustaceans</w:t>
      </w:r>
      <w:bookmarkEnd w:id="1502"/>
      <w:bookmarkEnd w:id="1503"/>
      <w:bookmarkEnd w:id="1504"/>
      <w:bookmarkEnd w:id="1505"/>
      <w:bookmarkEnd w:id="1506"/>
      <w:bookmarkEnd w:id="1507"/>
      <w:bookmarkEnd w:id="1508"/>
      <w:bookmarkEnd w:id="1509"/>
      <w:bookmarkEnd w:id="1510"/>
      <w:bookmarkEnd w:id="1511"/>
      <w:bookmarkEnd w:id="1512"/>
      <w:bookmarkEnd w:id="1513"/>
    </w:p>
    <w:p>
      <w:pPr>
        <w:pStyle w:val="yFootnoteheading"/>
        <w:spacing w:after="24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260"/>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Cherabin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Macrobrachium </w:t>
            </w:r>
            <w:r>
              <w:t>spp</w:t>
            </w:r>
            <w:r>
              <w:rPr>
                <w:i/>
                <w:iCs/>
              </w:rPr>
              <w:t>.</w:t>
            </w:r>
          </w:p>
        </w:tc>
      </w:tr>
      <w:tr>
        <w:tc>
          <w:tcPr>
            <w:tcW w:w="3541" w:type="dxa"/>
            <w:tcMar>
              <w:top w:w="28" w:type="dxa"/>
              <w:left w:w="85" w:type="dxa"/>
            </w:tcMar>
          </w:tcPr>
          <w:p>
            <w:pPr>
              <w:pStyle w:val="yTableNAm"/>
              <w:tabs>
                <w:tab w:val="clear" w:pos="567"/>
                <w:tab w:val="right" w:leader="dot" w:pos="3315"/>
              </w:tabs>
              <w:spacing w:before="0"/>
            </w:pPr>
            <w:r>
              <w:t xml:space="preserve">Crab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left w:w="85" w:type="dxa"/>
            </w:tcMar>
          </w:tcPr>
          <w:p>
            <w:pPr>
              <w:pStyle w:val="yTableNAm"/>
              <w:tabs>
                <w:tab w:val="clear" w:pos="567"/>
                <w:tab w:val="right" w:leader="dot" w:pos="3315"/>
              </w:tabs>
              <w:spacing w:before="0"/>
            </w:pPr>
            <w:r>
              <w:t xml:space="preserve">Crab, Blue Manna (Blue Swimmer)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left w:w="85" w:type="dxa"/>
            </w:tcMar>
          </w:tcPr>
          <w:p>
            <w:pPr>
              <w:pStyle w:val="yTableNAm"/>
              <w:tabs>
                <w:tab w:val="clear" w:pos="567"/>
                <w:tab w:val="right" w:leader="dot" w:pos="3315"/>
              </w:tabs>
              <w:spacing w:before="0"/>
            </w:pPr>
            <w:r>
              <w:t xml:space="preserve">Crab, </w:t>
            </w:r>
            <w:smartTag w:uri="urn:schemas-microsoft-com:office:smarttags" w:element="place">
              <w:smartTag w:uri="urn:schemas-microsoft-com:office:smarttags" w:element="State">
                <w:r>
                  <w:t>Champagne</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left w:w="85" w:type="dxa"/>
            </w:tcMar>
          </w:tcPr>
          <w:p>
            <w:pPr>
              <w:pStyle w:val="yTableNAm"/>
              <w:tabs>
                <w:tab w:val="clear" w:pos="567"/>
                <w:tab w:val="right" w:leader="dot" w:pos="3315"/>
              </w:tabs>
              <w:spacing w:before="0"/>
            </w:pPr>
            <w:r>
              <w:t xml:space="preserve">Crab, Crystal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left w:w="85" w:type="dxa"/>
            </w:tcMar>
          </w:tcPr>
          <w:p>
            <w:pPr>
              <w:pStyle w:val="yTableNAm"/>
              <w:tabs>
                <w:tab w:val="clear" w:pos="567"/>
                <w:tab w:val="right" w:leader="dot" w:pos="3315"/>
              </w:tabs>
              <w:spacing w:before="0"/>
            </w:pPr>
            <w:r>
              <w:t xml:space="preserve">Crab, Giant </w:t>
            </w:r>
            <w:r>
              <w:tab/>
            </w:r>
          </w:p>
        </w:tc>
        <w:tc>
          <w:tcPr>
            <w:tcW w:w="3544" w:type="dxa"/>
            <w:tcMar>
              <w:top w:w="28" w:type="dxa"/>
              <w:left w:w="85"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left w:w="85" w:type="dxa"/>
            </w:tcMar>
          </w:tcPr>
          <w:p>
            <w:pPr>
              <w:pStyle w:val="yTableNAm"/>
              <w:tabs>
                <w:tab w:val="clear" w:pos="567"/>
                <w:tab w:val="right" w:leader="dot" w:pos="3315"/>
              </w:tabs>
              <w:spacing w:before="0"/>
            </w:pPr>
            <w:r>
              <w:t xml:space="preserve">Crab, Mud (Brown) </w:t>
            </w:r>
            <w:r>
              <w:tab/>
            </w:r>
          </w:p>
        </w:tc>
        <w:tc>
          <w:tcPr>
            <w:tcW w:w="3544" w:type="dxa"/>
            <w:tcMar>
              <w:top w:w="28" w:type="dxa"/>
              <w:left w:w="85" w:type="dxa"/>
            </w:tcMar>
          </w:tcPr>
          <w:p>
            <w:pPr>
              <w:pStyle w:val="yTableNAm"/>
              <w:tabs>
                <w:tab w:val="clear" w:pos="567"/>
                <w:tab w:val="left" w:leader="dot" w:pos="3260"/>
              </w:tabs>
              <w:spacing w:before="0"/>
              <w:rPr>
                <w:i/>
                <w:iCs/>
              </w:rPr>
            </w:pPr>
            <w:r>
              <w:rPr>
                <w:i/>
              </w:rPr>
              <w:t>Scylla olivacea</w:t>
            </w:r>
          </w:p>
        </w:tc>
      </w:tr>
      <w:tr>
        <w:tc>
          <w:tcPr>
            <w:tcW w:w="3541" w:type="dxa"/>
            <w:tcMar>
              <w:top w:w="28" w:type="dxa"/>
              <w:left w:w="85" w:type="dxa"/>
            </w:tcMar>
          </w:tcPr>
          <w:p>
            <w:pPr>
              <w:pStyle w:val="yTableNAm"/>
              <w:tabs>
                <w:tab w:val="clear" w:pos="567"/>
                <w:tab w:val="right" w:leader="dot" w:pos="3315"/>
              </w:tabs>
              <w:spacing w:before="0"/>
            </w:pPr>
            <w:r>
              <w:t xml:space="preserve">Crab, Mud (Green) </w:t>
            </w:r>
            <w:r>
              <w:tab/>
            </w:r>
          </w:p>
        </w:tc>
        <w:tc>
          <w:tcPr>
            <w:tcW w:w="3544" w:type="dxa"/>
            <w:tcMar>
              <w:top w:w="28" w:type="dxa"/>
              <w:left w:w="85" w:type="dxa"/>
            </w:tcMar>
          </w:tcPr>
          <w:p>
            <w:pPr>
              <w:pStyle w:val="yTableNAm"/>
              <w:tabs>
                <w:tab w:val="clear" w:pos="567"/>
                <w:tab w:val="left" w:leader="dot" w:pos="3260"/>
              </w:tabs>
              <w:spacing w:before="0"/>
              <w:rPr>
                <w:i/>
              </w:rPr>
            </w:pPr>
            <w:r>
              <w:rPr>
                <w:i/>
              </w:rPr>
              <w:t>Scylla serrata</w:t>
            </w:r>
          </w:p>
        </w:tc>
      </w:tr>
      <w:tr>
        <w:tc>
          <w:tcPr>
            <w:tcW w:w="3541" w:type="dxa"/>
            <w:tcMar>
              <w:top w:w="28" w:type="dxa"/>
              <w:left w:w="85" w:type="dxa"/>
            </w:tcMar>
          </w:tcPr>
          <w:p>
            <w:pPr>
              <w:pStyle w:val="yTableNAm"/>
              <w:tabs>
                <w:tab w:val="clear" w:pos="567"/>
                <w:tab w:val="right" w:leader="dot" w:pos="3315"/>
              </w:tabs>
              <w:spacing w:before="0"/>
            </w:pPr>
            <w:r>
              <w:t xml:space="preserve">Crab, White Spotted Sand </w:t>
            </w:r>
            <w:r>
              <w:tab/>
            </w:r>
          </w:p>
        </w:tc>
        <w:tc>
          <w:tcPr>
            <w:tcW w:w="3544" w:type="dxa"/>
            <w:tcMar>
              <w:top w:w="28" w:type="dxa"/>
              <w:left w:w="85"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left w:w="85" w:type="dxa"/>
            </w:tcMar>
          </w:tcPr>
          <w:p>
            <w:pPr>
              <w:pStyle w:val="yTableNAm"/>
              <w:tabs>
                <w:tab w:val="clear" w:pos="567"/>
                <w:tab w:val="right" w:leader="dot" w:pos="3315"/>
              </w:tabs>
              <w:spacing w:before="0"/>
            </w:pPr>
            <w:r>
              <w:t xml:space="preserve">Freshwater Crayfish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w:t>
            </w:r>
            <w:r>
              <w:t>spp</w:t>
            </w:r>
            <w:r>
              <w:rPr>
                <w:i/>
                <w:iCs/>
              </w:rPr>
              <w:t xml:space="preserve">. </w:t>
            </w:r>
            <w:r>
              <w:t xml:space="preserve">excluding </w:t>
            </w:r>
            <w:r>
              <w:rPr>
                <w:i/>
                <w:iCs/>
              </w:rPr>
              <w:t xml:space="preserve">C.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Gilgie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left w:w="85" w:type="dxa"/>
            </w:tcMar>
          </w:tcPr>
          <w:p>
            <w:pPr>
              <w:pStyle w:val="yTableNAm"/>
              <w:tabs>
                <w:tab w:val="clear" w:pos="567"/>
                <w:tab w:val="right" w:leader="dot" w:pos="3315"/>
              </w:tabs>
              <w:spacing w:before="0"/>
            </w:pPr>
            <w:r>
              <w:t xml:space="preserve">Koonac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left w:w="85" w:type="dxa"/>
            </w:tcMar>
          </w:tcPr>
          <w:p>
            <w:pPr>
              <w:pStyle w:val="yTableNAm"/>
              <w:tabs>
                <w:tab w:val="clear" w:pos="567"/>
                <w:tab w:val="right" w:leader="dot" w:pos="3315"/>
              </w:tabs>
              <w:spacing w:before="0"/>
            </w:pPr>
            <w:r>
              <w:t xml:space="preserve">Marron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Marron, Blue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left w:w="85" w:type="dxa"/>
            </w:tcMar>
          </w:tcPr>
          <w:p>
            <w:pPr>
              <w:pStyle w:val="yTableNAm"/>
              <w:tabs>
                <w:tab w:val="clear" w:pos="567"/>
                <w:tab w:val="right" w:leader="dot" w:pos="3315"/>
              </w:tabs>
              <w:spacing w:before="0"/>
            </w:pPr>
            <w:r>
              <w:t xml:space="preserve">Prawn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left w:w="85" w:type="dxa"/>
            </w:tcMar>
          </w:tcPr>
          <w:p>
            <w:pPr>
              <w:pStyle w:val="yTableNAm"/>
              <w:tabs>
                <w:tab w:val="clear" w:pos="567"/>
                <w:tab w:val="right" w:leader="dot" w:pos="3315"/>
              </w:tabs>
              <w:spacing w:before="0"/>
            </w:pPr>
            <w:r>
              <w:t xml:space="preserve">Prawn, Banana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left w:w="85" w:type="dxa"/>
            </w:tcMar>
          </w:tcPr>
          <w:p>
            <w:pPr>
              <w:pStyle w:val="yTableNAm"/>
              <w:tabs>
                <w:tab w:val="clear" w:pos="567"/>
                <w:tab w:val="right" w:leader="dot" w:pos="3315"/>
              </w:tabs>
              <w:spacing w:before="0"/>
            </w:pPr>
            <w:r>
              <w:t xml:space="preserve">Prawn, Brown Tiger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left w:w="85" w:type="dxa"/>
            </w:tcMar>
          </w:tcPr>
          <w:p>
            <w:pPr>
              <w:pStyle w:val="yTableNAm"/>
              <w:tabs>
                <w:tab w:val="clear" w:pos="567"/>
                <w:tab w:val="right" w:leader="dot" w:pos="3315"/>
              </w:tabs>
              <w:spacing w:before="0"/>
            </w:pPr>
            <w:r>
              <w:t xml:space="preserve">Prawn, Western King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left w:w="85" w:type="dxa"/>
            </w:tcMar>
          </w:tcPr>
          <w:p>
            <w:pPr>
              <w:pStyle w:val="yTableNAm"/>
              <w:tabs>
                <w:tab w:val="clear" w:pos="567"/>
                <w:tab w:val="right" w:leader="dot" w:pos="3315"/>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left w:w="85" w:type="dxa"/>
            </w:tcMar>
          </w:tcPr>
          <w:p>
            <w:pPr>
              <w:pStyle w:val="yTableNAm"/>
              <w:tabs>
                <w:tab w:val="clear" w:pos="567"/>
                <w:tab w:val="right" w:leader="dot" w:pos="3315"/>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left w:w="85" w:type="dxa"/>
            </w:tcMar>
          </w:tcPr>
          <w:p>
            <w:pPr>
              <w:pStyle w:val="yTableNAm"/>
              <w:tabs>
                <w:tab w:val="clear" w:pos="567"/>
                <w:tab w:val="right" w:leader="dot" w:pos="3315"/>
              </w:tabs>
              <w:spacing w:before="0"/>
            </w:pPr>
            <w:r>
              <w:t xml:space="preserve">Rock Lobster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left w:w="85" w:type="dxa"/>
            </w:tcMar>
          </w:tcPr>
          <w:p>
            <w:pPr>
              <w:pStyle w:val="yTableNAm"/>
              <w:tabs>
                <w:tab w:val="clear" w:pos="567"/>
                <w:tab w:val="right" w:leader="dot" w:pos="3315"/>
              </w:tabs>
              <w:spacing w:before="0"/>
            </w:pPr>
            <w:r>
              <w:t xml:space="preserve">Rock Lobster, Ornate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left w:w="85" w:type="dxa"/>
            </w:tcMar>
          </w:tcPr>
          <w:p>
            <w:pPr>
              <w:pStyle w:val="yTableNAm"/>
              <w:tabs>
                <w:tab w:val="clear" w:pos="567"/>
                <w:tab w:val="right" w:leader="dot" w:pos="3315"/>
              </w:tabs>
              <w:spacing w:before="0"/>
            </w:pPr>
            <w:r>
              <w:t xml:space="preserve">Rock Lobster, Southern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left w:w="85" w:type="dxa"/>
            </w:tcMar>
          </w:tcPr>
          <w:p>
            <w:pPr>
              <w:pStyle w:val="yTableNAm"/>
              <w:tabs>
                <w:tab w:val="clear" w:pos="567"/>
                <w:tab w:val="right" w:leader="dot" w:pos="3315"/>
              </w:tabs>
              <w:spacing w:before="0"/>
            </w:pPr>
            <w:r>
              <w:t xml:space="preserve">Rock Lobster, Tropical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left w:w="85" w:type="dxa"/>
            </w:tcMar>
          </w:tcPr>
          <w:p>
            <w:pPr>
              <w:pStyle w:val="yTableNAm"/>
              <w:keepNext/>
              <w:tabs>
                <w:tab w:val="clear" w:pos="567"/>
                <w:tab w:val="right" w:leader="dot" w:pos="3315"/>
              </w:tabs>
              <w:spacing w:before="0"/>
            </w:pPr>
            <w:r>
              <w:t xml:space="preserve">Rock Lobster, Western </w:t>
            </w:r>
            <w:r>
              <w:tab/>
            </w:r>
          </w:p>
        </w:tc>
        <w:tc>
          <w:tcPr>
            <w:tcW w:w="3544" w:type="dxa"/>
            <w:tcMar>
              <w:top w:w="28" w:type="dxa"/>
              <w:left w:w="85" w:type="dxa"/>
            </w:tcMar>
          </w:tcPr>
          <w:p>
            <w:pPr>
              <w:pStyle w:val="yTableNAm"/>
              <w:keepNext/>
              <w:tabs>
                <w:tab w:val="clear" w:pos="567"/>
                <w:tab w:val="left" w:leader="dot" w:pos="3260"/>
              </w:tabs>
              <w:spacing w:before="0"/>
              <w:rPr>
                <w:i/>
                <w:iCs/>
              </w:rPr>
            </w:pPr>
            <w:r>
              <w:rPr>
                <w:i/>
                <w:iCs/>
              </w:rPr>
              <w:t>Panulirus cygnus</w:t>
            </w:r>
          </w:p>
        </w:tc>
      </w:tr>
      <w:tr>
        <w:tc>
          <w:tcPr>
            <w:tcW w:w="3541" w:type="dxa"/>
            <w:tcMar>
              <w:top w:w="28" w:type="dxa"/>
              <w:left w:w="85" w:type="dxa"/>
            </w:tcMar>
          </w:tcPr>
          <w:p>
            <w:pPr>
              <w:pStyle w:val="yTableNAm"/>
              <w:keepNext/>
              <w:tabs>
                <w:tab w:val="clear" w:pos="567"/>
                <w:tab w:val="right" w:leader="dot" w:pos="3315"/>
              </w:tabs>
              <w:spacing w:before="0"/>
            </w:pPr>
            <w:r>
              <w:t xml:space="preserve">Yabbie, Common </w:t>
            </w:r>
            <w:r>
              <w:tab/>
            </w:r>
          </w:p>
        </w:tc>
        <w:tc>
          <w:tcPr>
            <w:tcW w:w="3544" w:type="dxa"/>
            <w:tcMar>
              <w:top w:w="28" w:type="dxa"/>
              <w:left w:w="85" w:type="dxa"/>
            </w:tcMar>
          </w:tcPr>
          <w:p>
            <w:pPr>
              <w:pStyle w:val="yTableNAm"/>
              <w:keepNext/>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left w:w="85" w:type="dxa"/>
            </w:tcMar>
          </w:tcPr>
          <w:p>
            <w:pPr>
              <w:pStyle w:val="yTableNAm"/>
              <w:keepNext/>
              <w:tabs>
                <w:tab w:val="clear" w:pos="567"/>
                <w:tab w:val="right" w:leader="dot" w:pos="3315"/>
              </w:tabs>
              <w:spacing w:before="0"/>
            </w:pPr>
            <w:r>
              <w:t xml:space="preserve">Yabbie, White </w:t>
            </w:r>
            <w:r>
              <w:tab/>
            </w:r>
          </w:p>
        </w:tc>
        <w:tc>
          <w:tcPr>
            <w:tcW w:w="3544" w:type="dxa"/>
            <w:tcBorders>
              <w:bottom w:val="single" w:sz="8" w:space="0" w:color="auto"/>
            </w:tcBorders>
            <w:tcMar>
              <w:top w:w="28" w:type="dxa"/>
              <w:left w:w="85" w:type="dxa"/>
            </w:tcMar>
          </w:tcPr>
          <w:p>
            <w:pPr>
              <w:pStyle w:val="yTableNAm"/>
              <w:keepNext/>
              <w:tabs>
                <w:tab w:val="clear" w:pos="567"/>
                <w:tab w:val="left" w:leader="dot" w:pos="3260"/>
              </w:tabs>
              <w:spacing w:before="0"/>
              <w:rPr>
                <w:i/>
                <w:iCs/>
              </w:rPr>
            </w:pPr>
            <w:r>
              <w:rPr>
                <w:i/>
                <w:iCs/>
              </w:rPr>
              <w:t>Cherax albidus</w:t>
            </w:r>
          </w:p>
        </w:tc>
      </w:tr>
    </w:tbl>
    <w:p>
      <w:pPr>
        <w:pStyle w:val="yFootnotesection"/>
      </w:pPr>
      <w:r>
        <w:tab/>
        <w:t>[Division 3 amended in Gazette 30 Aug 1996 p. 4321; 15 Jan 1999 p. 113; 21 Dec 1999 p. 6410; 13 Dec 2002 p. 5798; 22 Dec 2005 p. 6239; 13 Nov 2007 p. 5692</w:t>
      </w:r>
      <w:r>
        <w:noBreakHyphen/>
        <w:t>3; 24 Feb 2012 p. 803.]</w:t>
      </w:r>
    </w:p>
    <w:p>
      <w:pPr>
        <w:pStyle w:val="yHeading3"/>
        <w:pageBreakBefore/>
      </w:pPr>
      <w:bookmarkStart w:id="1514" w:name="_Toc339626127"/>
      <w:bookmarkStart w:id="1515" w:name="_Toc342397879"/>
      <w:bookmarkStart w:id="1516" w:name="_Toc343520136"/>
      <w:bookmarkStart w:id="1517" w:name="_Toc343520593"/>
      <w:bookmarkStart w:id="1518" w:name="_Toc344712158"/>
      <w:bookmarkStart w:id="1519" w:name="_Toc344712674"/>
      <w:bookmarkStart w:id="1520" w:name="_Toc347307921"/>
      <w:bookmarkStart w:id="1521" w:name="_Toc349822834"/>
      <w:bookmarkStart w:id="1522" w:name="_Toc349823254"/>
      <w:bookmarkStart w:id="1523" w:name="_Toc349831236"/>
      <w:bookmarkStart w:id="1524" w:name="_Toc359249028"/>
      <w:bookmarkStart w:id="1525" w:name="_Toc359316985"/>
      <w:r>
        <w:rPr>
          <w:rStyle w:val="CharSDivNo"/>
        </w:rPr>
        <w:t>Division 4</w:t>
      </w:r>
      <w:r>
        <w:t> — </w:t>
      </w:r>
      <w:r>
        <w:rPr>
          <w:rStyle w:val="CharSDivText"/>
        </w:rPr>
        <w:t>Molluscs</w:t>
      </w:r>
      <w:bookmarkEnd w:id="1514"/>
      <w:bookmarkEnd w:id="1515"/>
      <w:bookmarkEnd w:id="1516"/>
      <w:bookmarkEnd w:id="1517"/>
      <w:bookmarkEnd w:id="1518"/>
      <w:bookmarkEnd w:id="1519"/>
      <w:bookmarkEnd w:id="1520"/>
      <w:bookmarkEnd w:id="1521"/>
      <w:bookmarkEnd w:id="1522"/>
      <w:bookmarkEnd w:id="1523"/>
      <w:bookmarkEnd w:id="1524"/>
      <w:bookmarkEnd w:id="1525"/>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725"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360" w:type="dxa"/>
            <w:tcMar>
              <w:top w:w="28" w:type="dxa"/>
              <w:left w:w="85" w:type="dxa"/>
            </w:tcMar>
          </w:tcPr>
          <w:p>
            <w:pPr>
              <w:pStyle w:val="yTableNAm"/>
              <w:tabs>
                <w:tab w:val="clear" w:pos="567"/>
                <w:tab w:val="right" w:leader="dot" w:pos="3969"/>
              </w:tabs>
              <w:spacing w:before="0"/>
            </w:pPr>
            <w:r>
              <w:t>CEPHALOPODS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Cuttlefish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360" w:type="dxa"/>
            <w:tcMar>
              <w:top w:w="28" w:type="dxa"/>
              <w:left w:w="85" w:type="dxa"/>
            </w:tcMar>
          </w:tcPr>
          <w:p>
            <w:pPr>
              <w:pStyle w:val="yTableNAm"/>
              <w:tabs>
                <w:tab w:val="clear" w:pos="567"/>
                <w:tab w:val="right" w:leader="dot" w:pos="3099"/>
              </w:tabs>
              <w:spacing w:before="0"/>
            </w:pPr>
            <w:r>
              <w:t xml:space="preserve">Octopus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360" w:type="dxa"/>
            <w:tcMar>
              <w:top w:w="28" w:type="dxa"/>
              <w:left w:w="85" w:type="dxa"/>
            </w:tcMar>
          </w:tcPr>
          <w:p>
            <w:pPr>
              <w:pStyle w:val="yTableNAm"/>
              <w:tabs>
                <w:tab w:val="clear" w:pos="567"/>
                <w:tab w:val="right" w:leader="dot" w:pos="3099"/>
              </w:tabs>
              <w:spacing w:before="0"/>
            </w:pPr>
            <w:r>
              <w:t xml:space="preserve">Squid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969"/>
              </w:tabs>
              <w:spacing w:before="0"/>
            </w:pPr>
            <w:r>
              <w:t>GASTROPODS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Abalone (all species)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 xml:space="preserve">Haliotis </w:t>
            </w:r>
            <w:r>
              <w:t>spp.</w:t>
            </w:r>
          </w:p>
        </w:tc>
      </w:tr>
      <w:tr>
        <w:tc>
          <w:tcPr>
            <w:tcW w:w="3360" w:type="dxa"/>
            <w:tcMar>
              <w:top w:w="28" w:type="dxa"/>
              <w:left w:w="85" w:type="dxa"/>
            </w:tcMar>
          </w:tcPr>
          <w:p>
            <w:pPr>
              <w:pStyle w:val="yTableNAm"/>
              <w:tabs>
                <w:tab w:val="clear" w:pos="567"/>
                <w:tab w:val="right" w:leader="dot" w:pos="3099"/>
              </w:tabs>
              <w:spacing w:before="0"/>
            </w:pPr>
            <w:r>
              <w:t xml:space="preserve">Abalone, Brownlip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conicopora</w:t>
            </w:r>
          </w:p>
        </w:tc>
      </w:tr>
      <w:tr>
        <w:tc>
          <w:tcPr>
            <w:tcW w:w="3360" w:type="dxa"/>
            <w:tcMar>
              <w:top w:w="28" w:type="dxa"/>
              <w:left w:w="85" w:type="dxa"/>
            </w:tcMar>
          </w:tcPr>
          <w:p>
            <w:pPr>
              <w:pStyle w:val="yTableNAm"/>
              <w:tabs>
                <w:tab w:val="clear" w:pos="567"/>
                <w:tab w:val="right" w:leader="dot" w:pos="3099"/>
              </w:tabs>
              <w:spacing w:before="0"/>
            </w:pPr>
            <w:r>
              <w:t xml:space="preserve">Abalone, Greenlip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laevigata</w:t>
            </w:r>
          </w:p>
        </w:tc>
      </w:tr>
      <w:tr>
        <w:tc>
          <w:tcPr>
            <w:tcW w:w="3360" w:type="dxa"/>
            <w:tcMar>
              <w:top w:w="28" w:type="dxa"/>
              <w:left w:w="85" w:type="dxa"/>
            </w:tcMar>
          </w:tcPr>
          <w:p>
            <w:pPr>
              <w:pStyle w:val="yTableNAm"/>
              <w:tabs>
                <w:tab w:val="clear" w:pos="567"/>
                <w:tab w:val="right" w:leader="dot" w:pos="3099"/>
              </w:tabs>
              <w:spacing w:before="0"/>
            </w:pPr>
            <w:r>
              <w:t xml:space="preserve">Abalone, Roe’s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roei</w:t>
            </w:r>
          </w:p>
        </w:tc>
      </w:tr>
      <w:tr>
        <w:tc>
          <w:tcPr>
            <w:tcW w:w="3360" w:type="dxa"/>
            <w:tcMar>
              <w:top w:w="28" w:type="dxa"/>
              <w:left w:w="85" w:type="dxa"/>
            </w:tcMar>
          </w:tcPr>
          <w:p>
            <w:pPr>
              <w:pStyle w:val="yTableNAm"/>
              <w:tabs>
                <w:tab w:val="clear" w:pos="567"/>
                <w:tab w:val="right" w:leader="dot" w:pos="3099"/>
              </w:tabs>
              <w:spacing w:before="0"/>
            </w:pPr>
            <w:r>
              <w:t>Conch</w:t>
            </w:r>
            <w:r>
              <w:tab/>
            </w:r>
          </w:p>
        </w:tc>
        <w:tc>
          <w:tcPr>
            <w:tcW w:w="3725" w:type="dxa"/>
            <w:tcMar>
              <w:top w:w="28" w:type="dxa"/>
              <w:left w:w="85" w:type="dxa"/>
            </w:tcMar>
          </w:tcPr>
          <w:p>
            <w:pPr>
              <w:pStyle w:val="yTableNAm"/>
              <w:tabs>
                <w:tab w:val="clear" w:pos="567"/>
                <w:tab w:val="left" w:leader="dot" w:pos="3260"/>
              </w:tabs>
              <w:spacing w:before="0"/>
              <w:rPr>
                <w:i/>
                <w:iCs/>
              </w:rPr>
            </w:pPr>
            <w:r>
              <w:rPr>
                <w:u w:val="single"/>
              </w:rPr>
              <w:t>Family</w:t>
            </w:r>
            <w:r>
              <w:t xml:space="preserve"> Stromidae</w:t>
            </w:r>
          </w:p>
        </w:tc>
      </w:tr>
      <w:tr>
        <w:tc>
          <w:tcPr>
            <w:tcW w:w="3360" w:type="dxa"/>
            <w:tcMar>
              <w:top w:w="28" w:type="dxa"/>
              <w:left w:w="85" w:type="dxa"/>
            </w:tcMar>
          </w:tcPr>
          <w:p>
            <w:pPr>
              <w:pStyle w:val="yTableNAm"/>
              <w:tabs>
                <w:tab w:val="clear" w:pos="567"/>
                <w:tab w:val="right" w:leader="dot" w:pos="3099"/>
              </w:tabs>
              <w:spacing w:before="0"/>
            </w:pPr>
            <w:r>
              <w:t xml:space="preserve">Trochus </w:t>
            </w:r>
            <w:r>
              <w:tab/>
            </w:r>
          </w:p>
        </w:tc>
        <w:tc>
          <w:tcPr>
            <w:tcW w:w="3725" w:type="dxa"/>
            <w:tcMar>
              <w:top w:w="28" w:type="dxa"/>
              <w:left w:w="85" w:type="dxa"/>
            </w:tcMar>
          </w:tcPr>
          <w:p>
            <w:pPr>
              <w:pStyle w:val="yTableNAm"/>
              <w:tabs>
                <w:tab w:val="clear" w:pos="567"/>
                <w:tab w:val="left" w:leader="dot" w:pos="3260"/>
              </w:tabs>
              <w:spacing w:before="0"/>
              <w:rPr>
                <w:i/>
                <w:iCs/>
              </w:rPr>
            </w:pPr>
            <w:r>
              <w:rPr>
                <w:i/>
                <w:iCs/>
              </w:rPr>
              <w:t>Tectus niloticus</w:t>
            </w:r>
          </w:p>
        </w:tc>
      </w:tr>
      <w:tr>
        <w:tc>
          <w:tcPr>
            <w:tcW w:w="3360" w:type="dxa"/>
            <w:tcMar>
              <w:top w:w="28" w:type="dxa"/>
              <w:left w:w="85" w:type="dxa"/>
            </w:tcMar>
          </w:tcPr>
          <w:p>
            <w:pPr>
              <w:pStyle w:val="yTableNAm"/>
              <w:tabs>
                <w:tab w:val="clear" w:pos="567"/>
                <w:tab w:val="right" w:leader="dot" w:pos="3099"/>
              </w:tabs>
              <w:spacing w:before="0"/>
            </w:pPr>
            <w:r>
              <w:t xml:space="preserve">Volute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Volutidae</w:t>
            </w:r>
          </w:p>
        </w:tc>
      </w:tr>
      <w:tr>
        <w:tc>
          <w:tcPr>
            <w:tcW w:w="3360" w:type="dxa"/>
            <w:tcMar>
              <w:top w:w="28" w:type="dxa"/>
              <w:left w:w="85" w:type="dxa"/>
            </w:tcMar>
          </w:tcPr>
          <w:p>
            <w:pPr>
              <w:pStyle w:val="yTableNAm"/>
              <w:tabs>
                <w:tab w:val="clear" w:pos="567"/>
                <w:tab w:val="right" w:leader="dot" w:pos="3099"/>
              </w:tabs>
              <w:spacing w:before="0"/>
            </w:pPr>
            <w:r>
              <w:t xml:space="preserve">Zoila Cowry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Cypraeidae</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rPr>
                <w:u w:val="single"/>
              </w:rPr>
            </w:pPr>
          </w:p>
        </w:tc>
      </w:tr>
      <w:tr>
        <w:tc>
          <w:tcPr>
            <w:tcW w:w="3360" w:type="dxa"/>
            <w:tcMar>
              <w:top w:w="28" w:type="dxa"/>
              <w:left w:w="85" w:type="dxa"/>
            </w:tcMar>
          </w:tcPr>
          <w:p>
            <w:pPr>
              <w:pStyle w:val="yTableNAm"/>
              <w:keepNext/>
              <w:tabs>
                <w:tab w:val="clear" w:pos="567"/>
                <w:tab w:val="right" w:leader="dot" w:pos="3969"/>
              </w:tabs>
              <w:spacing w:before="0"/>
            </w:pPr>
            <w:r>
              <w:t>BIVALVES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smartTag w:uri="urn:schemas-microsoft-com:office:smarttags" w:element="place">
              <w:smartTag w:uri="urn:schemas-microsoft-com:office:smarttags" w:element="State">
                <w:r>
                  <w:t>Ark</w:t>
                </w:r>
              </w:smartTag>
            </w:smartTag>
            <w:r>
              <w:t xml:space="preserve"> Shell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Arcidae</w:t>
            </w:r>
          </w:p>
        </w:tc>
      </w:tr>
      <w:tr>
        <w:tc>
          <w:tcPr>
            <w:tcW w:w="3360" w:type="dxa"/>
            <w:tcMar>
              <w:top w:w="28" w:type="dxa"/>
              <w:left w:w="85" w:type="dxa"/>
            </w:tcMar>
          </w:tcPr>
          <w:p>
            <w:pPr>
              <w:pStyle w:val="yTableNAm"/>
              <w:tabs>
                <w:tab w:val="clear" w:pos="567"/>
                <w:tab w:val="right" w:leader="dot" w:pos="3099"/>
              </w:tabs>
              <w:spacing w:before="0"/>
            </w:pPr>
            <w:r>
              <w:t xml:space="preserve">Clam, Venus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Veneridae, Katelysia spp.</w:t>
            </w:r>
          </w:p>
        </w:tc>
      </w:tr>
      <w:tr>
        <w:tc>
          <w:tcPr>
            <w:tcW w:w="3360" w:type="dxa"/>
            <w:tcMar>
              <w:top w:w="28" w:type="dxa"/>
              <w:left w:w="85" w:type="dxa"/>
            </w:tcMar>
          </w:tcPr>
          <w:p>
            <w:pPr>
              <w:pStyle w:val="yTableNAm"/>
              <w:tabs>
                <w:tab w:val="clear" w:pos="567"/>
                <w:tab w:val="right" w:leader="dot" w:pos="3099"/>
              </w:tabs>
              <w:spacing w:before="0"/>
            </w:pPr>
            <w:r>
              <w:t xml:space="preserve">Cockle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Cardiidae</w:t>
            </w:r>
          </w:p>
        </w:tc>
      </w:tr>
      <w:tr>
        <w:tc>
          <w:tcPr>
            <w:tcW w:w="3360" w:type="dxa"/>
            <w:tcMar>
              <w:top w:w="28" w:type="dxa"/>
              <w:left w:w="85" w:type="dxa"/>
            </w:tcMar>
          </w:tcPr>
          <w:p>
            <w:pPr>
              <w:pStyle w:val="yTableNAm"/>
              <w:tabs>
                <w:tab w:val="clear" w:pos="567"/>
                <w:tab w:val="right" w:leader="dot" w:pos="3099"/>
              </w:tabs>
              <w:spacing w:before="0"/>
            </w:pPr>
            <w:r>
              <w:t xml:space="preserve">Mussel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Mytilidae</w:t>
            </w:r>
          </w:p>
        </w:tc>
      </w:tr>
      <w:tr>
        <w:tc>
          <w:tcPr>
            <w:tcW w:w="3360" w:type="dxa"/>
            <w:tcMar>
              <w:top w:w="28" w:type="dxa"/>
              <w:left w:w="85" w:type="dxa"/>
            </w:tcMar>
          </w:tcPr>
          <w:p>
            <w:pPr>
              <w:pStyle w:val="yTableNAm"/>
              <w:tabs>
                <w:tab w:val="clear" w:pos="567"/>
                <w:tab w:val="right" w:leader="dot" w:pos="3099"/>
              </w:tabs>
              <w:spacing w:before="0"/>
            </w:pPr>
            <w:r>
              <w:t xml:space="preserve">Mussel, Blue </w:t>
            </w:r>
            <w:r>
              <w:tab/>
            </w:r>
          </w:p>
        </w:tc>
        <w:tc>
          <w:tcPr>
            <w:tcW w:w="3725" w:type="dxa"/>
            <w:tcMar>
              <w:top w:w="28" w:type="dxa"/>
              <w:left w:w="85" w:type="dxa"/>
            </w:tcMar>
          </w:tcPr>
          <w:p>
            <w:pPr>
              <w:pStyle w:val="yTableNAm"/>
              <w:tabs>
                <w:tab w:val="clear" w:pos="567"/>
                <w:tab w:val="left" w:leader="dot" w:pos="3260"/>
              </w:tabs>
              <w:spacing w:before="0"/>
            </w:pPr>
            <w:r>
              <w:rPr>
                <w:i/>
                <w:iCs/>
              </w:rPr>
              <w:t>Mytilus</w:t>
            </w:r>
            <w:r>
              <w:t xml:space="preserve"> </w:t>
            </w:r>
            <w:r>
              <w:rPr>
                <w:i/>
                <w:iCs/>
              </w:rPr>
              <w:t>edulis</w:t>
            </w:r>
          </w:p>
        </w:tc>
      </w:tr>
      <w:tr>
        <w:tc>
          <w:tcPr>
            <w:tcW w:w="3360" w:type="dxa"/>
            <w:tcMar>
              <w:top w:w="28" w:type="dxa"/>
              <w:left w:w="85" w:type="dxa"/>
            </w:tcMar>
          </w:tcPr>
          <w:p>
            <w:pPr>
              <w:pStyle w:val="yTableNAm"/>
              <w:tabs>
                <w:tab w:val="clear" w:pos="567"/>
                <w:tab w:val="right" w:leader="dot" w:pos="3099"/>
              </w:tabs>
              <w:spacing w:before="0"/>
            </w:pPr>
            <w:r>
              <w:t xml:space="preserve">Oyster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Ostreidae</w:t>
            </w:r>
          </w:p>
        </w:tc>
      </w:tr>
      <w:tr>
        <w:tc>
          <w:tcPr>
            <w:tcW w:w="3360" w:type="dxa"/>
            <w:tcMar>
              <w:top w:w="28" w:type="dxa"/>
              <w:left w:w="85" w:type="dxa"/>
            </w:tcMar>
          </w:tcPr>
          <w:p>
            <w:pPr>
              <w:pStyle w:val="yTableNAm"/>
              <w:tabs>
                <w:tab w:val="clear" w:pos="567"/>
                <w:tab w:val="right" w:leader="dot" w:pos="3099"/>
              </w:tabs>
              <w:spacing w:before="0"/>
            </w:pPr>
            <w:r>
              <w:t xml:space="preserve">Pipis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Donacidae</w:t>
            </w:r>
          </w:p>
        </w:tc>
      </w:tr>
      <w:tr>
        <w:tc>
          <w:tcPr>
            <w:tcW w:w="3360" w:type="dxa"/>
            <w:tcMar>
              <w:top w:w="28" w:type="dxa"/>
              <w:left w:w="85" w:type="dxa"/>
            </w:tcMar>
          </w:tcPr>
          <w:p>
            <w:pPr>
              <w:pStyle w:val="yTableNAm"/>
              <w:tabs>
                <w:tab w:val="clear" w:pos="567"/>
                <w:tab w:val="right" w:leader="dot" w:pos="3099"/>
              </w:tabs>
              <w:spacing w:before="0"/>
            </w:pPr>
            <w:r>
              <w:t>Razor shell</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Pinnidae</w:t>
            </w:r>
          </w:p>
        </w:tc>
      </w:tr>
      <w:tr>
        <w:tc>
          <w:tcPr>
            <w:tcW w:w="3360" w:type="dxa"/>
            <w:tcBorders>
              <w:bottom w:val="single" w:sz="8" w:space="0" w:color="auto"/>
            </w:tcBorders>
            <w:tcMar>
              <w:top w:w="28" w:type="dxa"/>
              <w:left w:w="85" w:type="dxa"/>
            </w:tcMar>
          </w:tcPr>
          <w:p>
            <w:pPr>
              <w:pStyle w:val="yTableNAm"/>
              <w:tabs>
                <w:tab w:val="clear" w:pos="567"/>
                <w:tab w:val="right" w:leader="dot" w:pos="3099"/>
              </w:tabs>
              <w:spacing w:before="0"/>
            </w:pPr>
            <w:r>
              <w:t xml:space="preserve">Scallop </w:t>
            </w:r>
            <w:r>
              <w:tab/>
            </w:r>
          </w:p>
        </w:tc>
        <w:tc>
          <w:tcPr>
            <w:tcW w:w="3725"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 23 Jul 2010 p. 3406; 29 Jan 2013 p. 319.]</w:t>
      </w:r>
    </w:p>
    <w:p>
      <w:pPr>
        <w:pStyle w:val="yHeading3"/>
        <w:pageBreakBefore/>
        <w:rPr>
          <w:snapToGrid w:val="0"/>
        </w:rPr>
      </w:pPr>
      <w:bookmarkStart w:id="1526" w:name="_Toc339626128"/>
      <w:bookmarkStart w:id="1527" w:name="_Toc342397880"/>
      <w:bookmarkStart w:id="1528" w:name="_Toc343520137"/>
      <w:bookmarkStart w:id="1529" w:name="_Toc343520594"/>
      <w:bookmarkStart w:id="1530" w:name="_Toc344712159"/>
      <w:bookmarkStart w:id="1531" w:name="_Toc344712675"/>
      <w:bookmarkStart w:id="1532" w:name="_Toc347307922"/>
      <w:bookmarkStart w:id="1533" w:name="_Toc349822835"/>
      <w:bookmarkStart w:id="1534" w:name="_Toc349823255"/>
      <w:bookmarkStart w:id="1535" w:name="_Toc349831237"/>
      <w:bookmarkStart w:id="1536" w:name="_Toc359249029"/>
      <w:bookmarkStart w:id="1537" w:name="_Toc359316986"/>
      <w:r>
        <w:rPr>
          <w:rStyle w:val="CharSDivNo"/>
        </w:rPr>
        <w:t>Division 5</w:t>
      </w:r>
      <w:r>
        <w:t> — </w:t>
      </w:r>
      <w:r>
        <w:rPr>
          <w:rStyle w:val="CharSDivText"/>
        </w:rPr>
        <w:t>Other</w:t>
      </w:r>
      <w:bookmarkEnd w:id="1526"/>
      <w:bookmarkEnd w:id="1527"/>
      <w:bookmarkEnd w:id="1528"/>
      <w:bookmarkEnd w:id="1529"/>
      <w:bookmarkEnd w:id="1530"/>
      <w:bookmarkEnd w:id="1531"/>
      <w:bookmarkEnd w:id="1532"/>
      <w:bookmarkEnd w:id="1533"/>
      <w:bookmarkEnd w:id="1534"/>
      <w:bookmarkEnd w:id="1535"/>
      <w:bookmarkEnd w:id="1536"/>
      <w:bookmarkEnd w:id="1537"/>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rPr>
          <w:tblHeader/>
        </w:trPr>
        <w:tc>
          <w:tcPr>
            <w:tcW w:w="3541" w:type="dxa"/>
            <w:tcBorders>
              <w:top w:val="single" w:sz="8" w:space="0" w:color="auto"/>
            </w:tcBorders>
            <w:tcMar>
              <w:top w:w="28" w:type="dxa"/>
              <w:left w:w="85" w:type="dxa"/>
            </w:tcMar>
          </w:tcPr>
          <w:p>
            <w:pPr>
              <w:pStyle w:val="yTableNAm"/>
              <w:tabs>
                <w:tab w:val="clear" w:pos="567"/>
                <w:tab w:val="right" w:leader="dot" w:pos="3969"/>
              </w:tabs>
              <w:spacing w:before="0"/>
              <w:rPr>
                <w:b/>
                <w:bCs/>
              </w:rPr>
            </w:pPr>
            <w:r>
              <w:t>Bloodworm</w:t>
            </w:r>
            <w:r>
              <w:tab/>
            </w:r>
          </w:p>
        </w:tc>
        <w:tc>
          <w:tcPr>
            <w:tcW w:w="3544" w:type="dxa"/>
            <w:tcBorders>
              <w:top w:val="single" w:sz="8" w:space="0" w:color="auto"/>
            </w:tcBorders>
            <w:tcMar>
              <w:top w:w="28" w:type="dxa"/>
              <w:left w:w="85" w:type="dxa"/>
            </w:tcMar>
          </w:tcPr>
          <w:p>
            <w:pPr>
              <w:pStyle w:val="yTableNAm"/>
              <w:tabs>
                <w:tab w:val="clear" w:pos="567"/>
                <w:tab w:val="left" w:leader="dot" w:pos="3260"/>
              </w:tabs>
              <w:spacing w:before="0"/>
              <w:rPr>
                <w:b/>
                <w:bCs/>
              </w:rPr>
            </w:pPr>
            <w:r>
              <w:rPr>
                <w:i/>
              </w:rPr>
              <w:t>Polycirrus spp.</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Coral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Live Rock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rPr>
                <w:lang w:val="fr-FR"/>
              </w:rPr>
            </w:pPr>
            <w:r>
              <w:rPr>
                <w:lang w:val="fr-FR"/>
              </w:rPr>
              <w:t>Sea Cucumber (Beche</w:t>
            </w:r>
            <w:r>
              <w:rPr>
                <w:lang w:val="fr-FR"/>
              </w:rPr>
              <w:noBreakHyphen/>
              <w:t>de</w:t>
            </w:r>
            <w:r>
              <w:rPr>
                <w:lang w:val="fr-FR"/>
              </w:rPr>
              <w:noBreakHyphen/>
              <w:t>mer, Trepang)</w:t>
            </w:r>
            <w:r>
              <w:rPr>
                <w:lang w:val="fr-FR"/>
              </w:rPr>
              <w:tab/>
            </w:r>
          </w:p>
        </w:tc>
        <w:tc>
          <w:tcPr>
            <w:tcW w:w="3544" w:type="dxa"/>
            <w:tcMar>
              <w:top w:w="28" w:type="dxa"/>
              <w:left w:w="85" w:type="dxa"/>
            </w:tcMar>
          </w:tcPr>
          <w:p>
            <w:pPr>
              <w:pStyle w:val="yTableNAm"/>
              <w:tabs>
                <w:tab w:val="clear" w:pos="567"/>
                <w:tab w:val="left" w:leader="dot" w:pos="3260"/>
              </w:tabs>
              <w:spacing w:before="0"/>
            </w:pPr>
            <w:r>
              <w:rPr>
                <w:u w:val="single"/>
                <w:lang w:val="fr-FR"/>
              </w:rPr>
              <w:br/>
            </w:r>
            <w:r>
              <w:rPr>
                <w:u w:val="single"/>
              </w:rPr>
              <w:t>Class</w:t>
            </w:r>
            <w:r>
              <w:t xml:space="preserve"> Holothurioidae</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Sea Urchin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 29 Jan 2013 p. 319.]</w:t>
      </w:r>
    </w:p>
    <w:p>
      <w:pPr>
        <w:tabs>
          <w:tab w:val="right" w:leader="dot" w:pos="3969"/>
        </w:tabs>
        <w:sectPr>
          <w:headerReference w:type="even" r:id="rId32"/>
          <w:headerReference w:type="default" r:id="rId33"/>
          <w:pgSz w:w="11906" w:h="16838" w:code="9"/>
          <w:pgMar w:top="2381" w:right="2409" w:bottom="3543" w:left="2409" w:header="720" w:footer="3380" w:gutter="0"/>
          <w:cols w:space="720"/>
          <w:noEndnote/>
          <w:docGrid w:linePitch="326"/>
        </w:sectPr>
      </w:pPr>
    </w:p>
    <w:p>
      <w:pPr>
        <w:pStyle w:val="yScheduleHeading"/>
      </w:pPr>
      <w:bookmarkStart w:id="1538" w:name="_Toc339626129"/>
      <w:bookmarkStart w:id="1539" w:name="_Toc342397881"/>
      <w:bookmarkStart w:id="1540" w:name="_Toc343520138"/>
      <w:bookmarkStart w:id="1541" w:name="_Toc343520595"/>
      <w:bookmarkStart w:id="1542" w:name="_Toc344712160"/>
      <w:bookmarkStart w:id="1543" w:name="_Toc344712676"/>
      <w:bookmarkStart w:id="1544" w:name="_Toc347307923"/>
      <w:bookmarkStart w:id="1545" w:name="_Toc349822836"/>
      <w:bookmarkStart w:id="1546" w:name="_Toc349823256"/>
      <w:bookmarkStart w:id="1547" w:name="_Toc349831238"/>
      <w:bookmarkStart w:id="1548" w:name="_Toc359249030"/>
      <w:bookmarkStart w:id="1549" w:name="_Toc359316987"/>
      <w:r>
        <w:rPr>
          <w:rStyle w:val="CharSchNo"/>
        </w:rPr>
        <w:t>Schedule 8</w:t>
      </w:r>
      <w:bookmarkEnd w:id="1538"/>
      <w:bookmarkEnd w:id="1539"/>
      <w:bookmarkEnd w:id="1540"/>
      <w:bookmarkEnd w:id="1541"/>
      <w:bookmarkEnd w:id="1542"/>
      <w:bookmarkEnd w:id="1543"/>
      <w:bookmarkEnd w:id="1544"/>
      <w:bookmarkEnd w:id="1545"/>
      <w:bookmarkEnd w:id="1546"/>
      <w:bookmarkEnd w:id="1547"/>
      <w:bookmarkEnd w:id="1548"/>
      <w:bookmarkEnd w:id="1549"/>
    </w:p>
    <w:p>
      <w:pPr>
        <w:pStyle w:val="yShoulderClause"/>
        <w:rPr>
          <w:snapToGrid w:val="0"/>
        </w:rPr>
      </w:pPr>
      <w:r>
        <w:rPr>
          <w:snapToGrid w:val="0"/>
        </w:rPr>
        <w:t>[reg. 151]</w:t>
      </w:r>
    </w:p>
    <w:p>
      <w:pPr>
        <w:pStyle w:val="yHeading2"/>
      </w:pPr>
      <w:bookmarkStart w:id="1550" w:name="_Toc339626130"/>
      <w:bookmarkStart w:id="1551" w:name="_Toc342397882"/>
      <w:bookmarkStart w:id="1552" w:name="_Toc343520139"/>
      <w:bookmarkStart w:id="1553" w:name="_Toc343520596"/>
      <w:bookmarkStart w:id="1554" w:name="_Toc344712161"/>
      <w:bookmarkStart w:id="1555" w:name="_Toc344712677"/>
      <w:bookmarkStart w:id="1556" w:name="_Toc347307924"/>
      <w:bookmarkStart w:id="1557" w:name="_Toc349822837"/>
      <w:bookmarkStart w:id="1558" w:name="_Toc349823257"/>
      <w:bookmarkStart w:id="1559" w:name="_Toc349831239"/>
      <w:bookmarkStart w:id="1560" w:name="_Toc359249031"/>
      <w:bookmarkStart w:id="1561" w:name="_Toc359316988"/>
      <w:r>
        <w:rPr>
          <w:rStyle w:val="CharSchText"/>
        </w:rPr>
        <w:t>Determination of characteristics of fish</w:t>
      </w:r>
      <w:bookmarkEnd w:id="1550"/>
      <w:bookmarkEnd w:id="1551"/>
      <w:bookmarkEnd w:id="1552"/>
      <w:bookmarkEnd w:id="1553"/>
      <w:bookmarkEnd w:id="1554"/>
      <w:bookmarkEnd w:id="1555"/>
      <w:bookmarkEnd w:id="1556"/>
      <w:bookmarkEnd w:id="1557"/>
      <w:bookmarkEnd w:id="1558"/>
      <w:bookmarkEnd w:id="1559"/>
      <w:bookmarkEnd w:id="1560"/>
      <w:bookmarkEnd w:id="1561"/>
    </w:p>
    <w:p>
      <w:pPr>
        <w:pStyle w:val="yHeading2"/>
        <w:spacing w:after="120"/>
      </w:pPr>
      <w:bookmarkStart w:id="1562" w:name="_Toc339626131"/>
      <w:bookmarkStart w:id="1563" w:name="_Toc342397883"/>
      <w:bookmarkStart w:id="1564" w:name="_Toc343520140"/>
      <w:bookmarkStart w:id="1565" w:name="_Toc343520597"/>
      <w:bookmarkStart w:id="1566" w:name="_Toc344712162"/>
      <w:bookmarkStart w:id="1567" w:name="_Toc344712678"/>
      <w:bookmarkStart w:id="1568" w:name="_Toc347307925"/>
      <w:bookmarkStart w:id="1569" w:name="_Toc349822838"/>
      <w:bookmarkStart w:id="1570" w:name="_Toc349823258"/>
      <w:bookmarkStart w:id="1571" w:name="_Toc349831240"/>
      <w:bookmarkStart w:id="1572" w:name="_Toc359249032"/>
      <w:bookmarkStart w:id="1573" w:name="_Toc359316989"/>
      <w:r>
        <w:rPr>
          <w:rStyle w:val="CharSDivNo"/>
          <w:sz w:val="28"/>
        </w:rPr>
        <w:t>Part 1</w:t>
      </w:r>
      <w:r>
        <w:t> — </w:t>
      </w:r>
      <w:r>
        <w:rPr>
          <w:rStyle w:val="CharSDivText"/>
          <w:sz w:val="28"/>
        </w:rPr>
        <w:t>Length</w:t>
      </w:r>
      <w:bookmarkEnd w:id="1562"/>
      <w:bookmarkEnd w:id="1563"/>
      <w:bookmarkEnd w:id="1564"/>
      <w:bookmarkEnd w:id="1565"/>
      <w:bookmarkEnd w:id="1566"/>
      <w:bookmarkEnd w:id="1567"/>
      <w:bookmarkEnd w:id="1568"/>
      <w:bookmarkEnd w:id="1569"/>
      <w:bookmarkEnd w:id="1570"/>
      <w:bookmarkEnd w:id="1571"/>
      <w:bookmarkEnd w:id="1572"/>
      <w:bookmarkEnd w:id="1573"/>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r>
            <w:smartTag w:uri="urn:schemas-microsoft-com:office:smarttags" w:element="place">
              <w:smartTag w:uri="urn:schemas-microsoft-com:office:smarttags" w:element="City">
                <w:r>
                  <w:t>Crab</w:t>
                </w:r>
              </w:smartTag>
              <w:r>
                <w:t xml:space="preserve">, </w:t>
              </w:r>
              <w:smartTag w:uri="urn:schemas-microsoft-com:office:smarttags" w:element="State">
                <w:r>
                  <w:t>Champagne</w:t>
                </w:r>
              </w:smartTag>
            </w:smartTag>
            <w:r>
              <w:t xml:space="preserv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1574" w:name="_Toc339626132"/>
      <w:bookmarkStart w:id="1575" w:name="_Toc342397884"/>
      <w:bookmarkStart w:id="1576" w:name="_Toc343520141"/>
      <w:bookmarkStart w:id="1577" w:name="_Toc343520598"/>
      <w:bookmarkStart w:id="1578" w:name="_Toc344712163"/>
      <w:bookmarkStart w:id="1579" w:name="_Toc344712679"/>
      <w:bookmarkStart w:id="1580" w:name="_Toc347307926"/>
      <w:bookmarkStart w:id="1581" w:name="_Toc349822839"/>
      <w:bookmarkStart w:id="1582" w:name="_Toc349823259"/>
      <w:bookmarkStart w:id="1583" w:name="_Toc349831241"/>
      <w:bookmarkStart w:id="1584" w:name="_Toc359249033"/>
      <w:bookmarkStart w:id="1585" w:name="_Toc359316990"/>
      <w:r>
        <w:rPr>
          <w:rStyle w:val="CharSDivNo"/>
          <w:sz w:val="28"/>
        </w:rPr>
        <w:t>Part 2</w:t>
      </w:r>
      <w:r>
        <w:t> — </w:t>
      </w:r>
      <w:r>
        <w:rPr>
          <w:rStyle w:val="CharSDivText"/>
          <w:sz w:val="28"/>
        </w:rPr>
        <w:t>Method of determining the volume of fish</w:t>
      </w:r>
      <w:bookmarkEnd w:id="1574"/>
      <w:bookmarkEnd w:id="1575"/>
      <w:bookmarkEnd w:id="1576"/>
      <w:bookmarkEnd w:id="1577"/>
      <w:bookmarkEnd w:id="1578"/>
      <w:bookmarkEnd w:id="1579"/>
      <w:bookmarkEnd w:id="1580"/>
      <w:bookmarkEnd w:id="1581"/>
      <w:bookmarkEnd w:id="1582"/>
      <w:bookmarkEnd w:id="1583"/>
      <w:bookmarkEnd w:id="1584"/>
      <w:bookmarkEnd w:id="1585"/>
    </w:p>
    <w:p>
      <w:pPr>
        <w:pStyle w:val="ySubsection"/>
      </w:pPr>
      <w:r>
        <w:tab/>
      </w:r>
      <w:r>
        <w:tab/>
        <w:t>The volume of space which is filled by whole, undamaged fish without compressing those fish.</w:t>
      </w:r>
    </w:p>
    <w:p>
      <w:pPr>
        <w:pStyle w:val="yHeading2"/>
      </w:pPr>
      <w:bookmarkStart w:id="1586" w:name="_Toc339626133"/>
      <w:bookmarkStart w:id="1587" w:name="_Toc342397885"/>
      <w:bookmarkStart w:id="1588" w:name="_Toc343520142"/>
      <w:bookmarkStart w:id="1589" w:name="_Toc343520599"/>
      <w:bookmarkStart w:id="1590" w:name="_Toc344712164"/>
      <w:bookmarkStart w:id="1591" w:name="_Toc344712680"/>
      <w:bookmarkStart w:id="1592" w:name="_Toc347307927"/>
      <w:bookmarkStart w:id="1593" w:name="_Toc349822840"/>
      <w:bookmarkStart w:id="1594" w:name="_Toc349823260"/>
      <w:bookmarkStart w:id="1595" w:name="_Toc349831242"/>
      <w:bookmarkStart w:id="1596" w:name="_Toc359249034"/>
      <w:bookmarkStart w:id="1597" w:name="_Toc359316991"/>
      <w:r>
        <w:rPr>
          <w:rStyle w:val="CharSDivNo"/>
          <w:sz w:val="28"/>
        </w:rPr>
        <w:t>Part 3</w:t>
      </w:r>
      <w:r>
        <w:t> — </w:t>
      </w:r>
      <w:r>
        <w:rPr>
          <w:rStyle w:val="CharSDivText"/>
          <w:sz w:val="28"/>
        </w:rPr>
        <w:t>Method of determining the length of fish trunks and fillets</w:t>
      </w:r>
      <w:bookmarkEnd w:id="1586"/>
      <w:bookmarkEnd w:id="1587"/>
      <w:bookmarkEnd w:id="1588"/>
      <w:bookmarkEnd w:id="1589"/>
      <w:bookmarkEnd w:id="1590"/>
      <w:bookmarkEnd w:id="1591"/>
      <w:bookmarkEnd w:id="1592"/>
      <w:bookmarkEnd w:id="1593"/>
      <w:bookmarkEnd w:id="1594"/>
      <w:bookmarkEnd w:id="1595"/>
      <w:bookmarkEnd w:id="1596"/>
      <w:bookmarkEnd w:id="1597"/>
    </w:p>
    <w:p>
      <w:pPr>
        <w:pStyle w:val="yFootnoteheading"/>
      </w:pPr>
      <w:r>
        <w:tab/>
        <w:t>[Heading inserted in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1598" w:name="_Toc339626134"/>
      <w:bookmarkStart w:id="1599" w:name="_Toc342397886"/>
      <w:bookmarkStart w:id="1600" w:name="_Toc343520143"/>
      <w:bookmarkStart w:id="1601" w:name="_Toc343520600"/>
      <w:bookmarkStart w:id="1602" w:name="_Toc344712165"/>
      <w:bookmarkStart w:id="1603" w:name="_Toc344712681"/>
      <w:bookmarkStart w:id="1604" w:name="_Toc347307928"/>
      <w:bookmarkStart w:id="1605" w:name="_Toc349822841"/>
      <w:bookmarkStart w:id="1606" w:name="_Toc349823261"/>
      <w:bookmarkStart w:id="1607" w:name="_Toc349831243"/>
      <w:bookmarkStart w:id="1608" w:name="_Toc359249035"/>
      <w:bookmarkStart w:id="1609" w:name="_Toc359316992"/>
      <w:r>
        <w:rPr>
          <w:rStyle w:val="CharSchNo"/>
        </w:rPr>
        <w:t>Schedule 9</w:t>
      </w:r>
      <w:r>
        <w:rPr>
          <w:rStyle w:val="CharSDivNo"/>
        </w:rPr>
        <w:t> </w:t>
      </w:r>
      <w:r>
        <w:t>—</w:t>
      </w:r>
      <w:r>
        <w:rPr>
          <w:rStyle w:val="CharSDivText"/>
        </w:rPr>
        <w:t> </w:t>
      </w:r>
      <w:r>
        <w:rPr>
          <w:rStyle w:val="CharSchText"/>
        </w:rPr>
        <w:t>Determining the value of fish</w:t>
      </w:r>
      <w:bookmarkEnd w:id="1598"/>
      <w:bookmarkEnd w:id="1599"/>
      <w:bookmarkEnd w:id="1600"/>
      <w:bookmarkEnd w:id="1601"/>
      <w:bookmarkEnd w:id="1602"/>
      <w:bookmarkEnd w:id="1603"/>
      <w:bookmarkEnd w:id="1604"/>
      <w:bookmarkEnd w:id="1605"/>
      <w:bookmarkEnd w:id="1606"/>
      <w:bookmarkEnd w:id="1607"/>
      <w:bookmarkEnd w:id="1608"/>
      <w:bookmarkEnd w:id="1609"/>
    </w:p>
    <w:p>
      <w:pPr>
        <w:pStyle w:val="yShoulderClause"/>
      </w:pPr>
      <w:r>
        <w:t>[s. 222(2) and r. 157]</w:t>
      </w:r>
    </w:p>
    <w:p>
      <w:pPr>
        <w:pStyle w:val="yFootnoteheading"/>
        <w:spacing w:after="12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spacing w:before="0"/>
              <w:rPr>
                <w:b/>
                <w:bCs/>
              </w:rPr>
            </w:pPr>
            <w:r>
              <w:rPr>
                <w:b/>
                <w:bCs/>
              </w:rPr>
              <w:t>Species of fish</w:t>
            </w:r>
          </w:p>
        </w:tc>
        <w:tc>
          <w:tcPr>
            <w:tcW w:w="1384" w:type="dxa"/>
            <w:tcBorders>
              <w:top w:val="single" w:sz="8" w:space="0" w:color="auto"/>
              <w:bottom w:val="single" w:sz="8" w:space="0" w:color="auto"/>
            </w:tcBorders>
            <w:vAlign w:val="center"/>
          </w:tcPr>
          <w:p>
            <w:pPr>
              <w:pStyle w:val="yTableNAm"/>
              <w:spacing w:before="0"/>
              <w:ind w:left="46"/>
              <w:rPr>
                <w:b/>
                <w:bCs/>
              </w:rPr>
            </w:pPr>
            <w:r>
              <w:rPr>
                <w:b/>
                <w:bCs/>
              </w:rPr>
              <w:t>Value per unit of weight</w:t>
            </w:r>
          </w:p>
          <w:p>
            <w:pPr>
              <w:pStyle w:val="yTableNAm"/>
              <w:spacing w:before="0"/>
              <w:ind w:left="46" w:right="219"/>
              <w:rPr>
                <w:b/>
                <w:bCs/>
              </w:rPr>
            </w:pPr>
            <w:r>
              <w:rPr>
                <w:b/>
                <w:bCs/>
              </w:rPr>
              <w:t>($/kgm)</w:t>
            </w:r>
          </w:p>
        </w:tc>
        <w:tc>
          <w:tcPr>
            <w:tcW w:w="1384" w:type="dxa"/>
            <w:tcBorders>
              <w:top w:val="single" w:sz="8" w:space="0" w:color="auto"/>
              <w:bottom w:val="single" w:sz="8" w:space="0" w:color="auto"/>
            </w:tcBorders>
            <w:vAlign w:val="center"/>
          </w:tcPr>
          <w:p>
            <w:pPr>
              <w:pStyle w:val="yTableNAm"/>
              <w:tabs>
                <w:tab w:val="clear" w:pos="567"/>
              </w:tabs>
              <w:spacing w:before="0"/>
              <w:ind w:left="275"/>
              <w:rPr>
                <w:b/>
                <w:bCs/>
              </w:rPr>
            </w:pPr>
            <w:r>
              <w:rPr>
                <w:b/>
                <w:bCs/>
              </w:rPr>
              <w:br/>
              <w:t xml:space="preserve">Value </w:t>
            </w:r>
            <w:r>
              <w:rPr>
                <w:b/>
                <w:bCs/>
              </w:rPr>
              <w:br/>
              <w:t>per fish</w:t>
            </w:r>
          </w:p>
          <w:p>
            <w:pPr>
              <w:pStyle w:val="yTableNAm"/>
              <w:tabs>
                <w:tab w:val="clear" w:pos="567"/>
              </w:tabs>
              <w:spacing w:before="0"/>
              <w:ind w:left="275"/>
              <w:rPr>
                <w:b/>
                <w:bCs/>
              </w:rPr>
            </w:pPr>
            <w:r>
              <w:rPr>
                <w:b/>
                <w:bCs/>
              </w:rPr>
              <w:t>($)</w:t>
            </w:r>
          </w:p>
        </w:tc>
      </w:tr>
      <w:tr>
        <w:tc>
          <w:tcPr>
            <w:tcW w:w="4320" w:type="dxa"/>
          </w:tcPr>
          <w:p>
            <w:pPr>
              <w:pStyle w:val="yTableNAm"/>
              <w:spacing w:before="0"/>
            </w:pPr>
            <w:r>
              <w:t>Abalone, Brownlip (shucked) .......................</w:t>
            </w:r>
          </w:p>
        </w:tc>
        <w:tc>
          <w:tcPr>
            <w:tcW w:w="1384" w:type="dxa"/>
          </w:tcPr>
          <w:p>
            <w:pPr>
              <w:pStyle w:val="yTableNAm"/>
              <w:spacing w:before="0"/>
              <w:ind w:right="284"/>
              <w:jc w:val="right"/>
            </w:pPr>
            <w:r>
              <w:t>90.00</w:t>
            </w:r>
          </w:p>
        </w:tc>
        <w:tc>
          <w:tcPr>
            <w:tcW w:w="1384" w:type="dxa"/>
          </w:tcPr>
          <w:p>
            <w:pPr>
              <w:pStyle w:val="yTableNAm"/>
              <w:spacing w:before="0"/>
              <w:ind w:right="284"/>
              <w:jc w:val="right"/>
            </w:pPr>
            <w:r>
              <w:t>24.00</w:t>
            </w:r>
          </w:p>
        </w:tc>
      </w:tr>
      <w:tr>
        <w:tc>
          <w:tcPr>
            <w:tcW w:w="4320" w:type="dxa"/>
          </w:tcPr>
          <w:p>
            <w:pPr>
              <w:pStyle w:val="yTableNAm"/>
              <w:spacing w:before="0"/>
            </w:pPr>
            <w:r>
              <w:t>Abalone, Brownlip (whole weight) ...............</w:t>
            </w:r>
          </w:p>
        </w:tc>
        <w:tc>
          <w:tcPr>
            <w:tcW w:w="1384" w:type="dxa"/>
          </w:tcPr>
          <w:p>
            <w:pPr>
              <w:pStyle w:val="yTableNAm"/>
              <w:spacing w:before="0"/>
              <w:ind w:right="284"/>
              <w:jc w:val="right"/>
            </w:pPr>
            <w:r>
              <w:t>36.00</w:t>
            </w:r>
          </w:p>
        </w:tc>
        <w:tc>
          <w:tcPr>
            <w:tcW w:w="1384" w:type="dxa"/>
          </w:tcPr>
          <w:p>
            <w:pPr>
              <w:pStyle w:val="yTableNAm"/>
              <w:spacing w:before="0"/>
              <w:ind w:right="284"/>
              <w:jc w:val="right"/>
            </w:pPr>
            <w:r>
              <w:t>24.00</w:t>
            </w:r>
          </w:p>
        </w:tc>
      </w:tr>
      <w:tr>
        <w:tc>
          <w:tcPr>
            <w:tcW w:w="4320" w:type="dxa"/>
          </w:tcPr>
          <w:p>
            <w:pPr>
              <w:pStyle w:val="yTableNAm"/>
              <w:spacing w:before="0"/>
            </w:pPr>
            <w:r>
              <w:t>Abalone, Greenlip (shucked) ........................</w:t>
            </w:r>
          </w:p>
        </w:tc>
        <w:tc>
          <w:tcPr>
            <w:tcW w:w="1384" w:type="dxa"/>
          </w:tcPr>
          <w:p>
            <w:pPr>
              <w:pStyle w:val="yTableNAm"/>
              <w:spacing w:before="0"/>
              <w:ind w:right="284"/>
              <w:jc w:val="right"/>
            </w:pPr>
            <w:r>
              <w:t>110.00</w:t>
            </w:r>
          </w:p>
        </w:tc>
        <w:tc>
          <w:tcPr>
            <w:tcW w:w="1384" w:type="dxa"/>
          </w:tcPr>
          <w:p>
            <w:pPr>
              <w:pStyle w:val="yTableNAm"/>
              <w:spacing w:before="0"/>
              <w:ind w:right="284"/>
              <w:jc w:val="right"/>
            </w:pPr>
            <w:r>
              <w:t>25.00</w:t>
            </w:r>
          </w:p>
        </w:tc>
      </w:tr>
      <w:tr>
        <w:tc>
          <w:tcPr>
            <w:tcW w:w="4320" w:type="dxa"/>
          </w:tcPr>
          <w:p>
            <w:pPr>
              <w:pStyle w:val="yTableNAm"/>
              <w:spacing w:before="0"/>
            </w:pPr>
            <w:r>
              <w:t>Abalone, Greenlip (whole weight) ................</w:t>
            </w:r>
          </w:p>
        </w:tc>
        <w:tc>
          <w:tcPr>
            <w:tcW w:w="1384" w:type="dxa"/>
          </w:tcPr>
          <w:p>
            <w:pPr>
              <w:pStyle w:val="yTableNAm"/>
              <w:spacing w:before="0"/>
              <w:ind w:right="284"/>
              <w:jc w:val="right"/>
            </w:pPr>
            <w:r>
              <w:t>40.00</w:t>
            </w:r>
          </w:p>
        </w:tc>
        <w:tc>
          <w:tcPr>
            <w:tcW w:w="1384" w:type="dxa"/>
          </w:tcPr>
          <w:p>
            <w:pPr>
              <w:pStyle w:val="yTableNAm"/>
              <w:spacing w:before="0"/>
              <w:ind w:right="284"/>
              <w:jc w:val="right"/>
            </w:pPr>
            <w:r>
              <w:t>25.00</w:t>
            </w:r>
          </w:p>
        </w:tc>
      </w:tr>
      <w:tr>
        <w:tc>
          <w:tcPr>
            <w:tcW w:w="4320" w:type="dxa"/>
          </w:tcPr>
          <w:p>
            <w:pPr>
              <w:pStyle w:val="yTableNAm"/>
              <w:spacing w:before="0"/>
            </w:pPr>
            <w:r>
              <w:t>Abalone, Roe’s (shucked) .............................</w:t>
            </w:r>
          </w:p>
        </w:tc>
        <w:tc>
          <w:tcPr>
            <w:tcW w:w="1384" w:type="dxa"/>
          </w:tcPr>
          <w:p>
            <w:pPr>
              <w:pStyle w:val="yTableNAm"/>
              <w:spacing w:before="0"/>
              <w:ind w:right="284"/>
              <w:jc w:val="right"/>
            </w:pPr>
            <w:r>
              <w:t>60.00</w:t>
            </w:r>
          </w:p>
        </w:tc>
        <w:tc>
          <w:tcPr>
            <w:tcW w:w="1384" w:type="dxa"/>
          </w:tcPr>
          <w:p>
            <w:pPr>
              <w:pStyle w:val="yTableNAm"/>
              <w:spacing w:before="0"/>
              <w:ind w:right="284"/>
              <w:jc w:val="right"/>
            </w:pPr>
            <w:r>
              <w:t>3.00</w:t>
            </w:r>
          </w:p>
        </w:tc>
      </w:tr>
      <w:tr>
        <w:tc>
          <w:tcPr>
            <w:tcW w:w="4320" w:type="dxa"/>
          </w:tcPr>
          <w:p>
            <w:pPr>
              <w:pStyle w:val="yTableNAm"/>
              <w:spacing w:before="0"/>
            </w:pPr>
            <w:r>
              <w:t>Abalone, Roe’s (whole weight) ....................</w:t>
            </w:r>
          </w:p>
        </w:tc>
        <w:tc>
          <w:tcPr>
            <w:tcW w:w="1384" w:type="dxa"/>
          </w:tcPr>
          <w:p>
            <w:pPr>
              <w:pStyle w:val="yTableNAm"/>
              <w:spacing w:before="0"/>
              <w:ind w:right="284"/>
              <w:jc w:val="right"/>
            </w:pPr>
            <w:r>
              <w:t>25.00</w:t>
            </w:r>
          </w:p>
        </w:tc>
        <w:tc>
          <w:tcPr>
            <w:tcW w:w="1384" w:type="dxa"/>
          </w:tcPr>
          <w:p>
            <w:pPr>
              <w:pStyle w:val="yTableNAm"/>
              <w:spacing w:before="0"/>
              <w:ind w:right="284"/>
              <w:jc w:val="right"/>
            </w:pPr>
            <w:r>
              <w:t>3.00</w:t>
            </w:r>
          </w:p>
        </w:tc>
      </w:tr>
      <w:tr>
        <w:tc>
          <w:tcPr>
            <w:tcW w:w="4320" w:type="dxa"/>
          </w:tcPr>
          <w:p>
            <w:pPr>
              <w:pStyle w:val="yTableNAm"/>
              <w:spacing w:before="0"/>
            </w:pPr>
            <w:r>
              <w:t>Amberjack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smartTag w:uri="urn:schemas-microsoft-com:office:smarttags" w:element="place">
              <w:smartTag w:uri="urn:schemas-microsoft-com:office:smarttags" w:element="State">
                <w:r>
                  <w:t>Ark</w:t>
                </w:r>
              </w:smartTag>
            </w:smartTag>
            <w:r>
              <w:t xml:space="preserve"> Shell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0.25</w:t>
            </w:r>
          </w:p>
        </w:tc>
      </w:tr>
      <w:tr>
        <w:tc>
          <w:tcPr>
            <w:tcW w:w="4320" w:type="dxa"/>
          </w:tcPr>
          <w:p>
            <w:pPr>
              <w:pStyle w:val="yTableNAm"/>
              <w:spacing w:before="0"/>
            </w:pPr>
            <w:r>
              <w:t>Barracuda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r>
              <w:t>Barramundi ....................................................</w:t>
            </w:r>
          </w:p>
        </w:tc>
        <w:tc>
          <w:tcPr>
            <w:tcW w:w="1384" w:type="dxa"/>
          </w:tcPr>
          <w:p>
            <w:pPr>
              <w:pStyle w:val="yTableNAm"/>
              <w:spacing w:before="0"/>
              <w:ind w:right="284"/>
              <w:jc w:val="right"/>
            </w:pPr>
            <w:r>
              <w:t>14.50</w:t>
            </w:r>
          </w:p>
        </w:tc>
        <w:tc>
          <w:tcPr>
            <w:tcW w:w="1384" w:type="dxa"/>
          </w:tcPr>
          <w:p>
            <w:pPr>
              <w:pStyle w:val="yTableNAm"/>
              <w:spacing w:before="0"/>
              <w:ind w:right="284"/>
              <w:jc w:val="right"/>
            </w:pPr>
            <w:r>
              <w:t>58.00</w:t>
            </w:r>
          </w:p>
        </w:tc>
      </w:tr>
      <w:tr>
        <w:tc>
          <w:tcPr>
            <w:tcW w:w="4320" w:type="dxa"/>
          </w:tcPr>
          <w:p>
            <w:pPr>
              <w:pStyle w:val="yTableNAm"/>
              <w:spacing w:before="0"/>
            </w:pPr>
            <w:r>
              <w:t>Boarfish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Bonito ............................................................</w:t>
            </w:r>
          </w:p>
        </w:tc>
        <w:tc>
          <w:tcPr>
            <w:tcW w:w="1384" w:type="dxa"/>
          </w:tcPr>
          <w:p>
            <w:pPr>
              <w:pStyle w:val="yTableNAm"/>
              <w:spacing w:before="0"/>
              <w:ind w:right="284"/>
              <w:jc w:val="right"/>
            </w:pPr>
            <w:r>
              <w:t>1.50</w:t>
            </w:r>
          </w:p>
        </w:tc>
        <w:tc>
          <w:tcPr>
            <w:tcW w:w="1384" w:type="dxa"/>
          </w:tcPr>
          <w:p>
            <w:pPr>
              <w:pStyle w:val="yTableNAm"/>
              <w:spacing w:before="0"/>
              <w:ind w:right="284"/>
              <w:jc w:val="right"/>
            </w:pPr>
            <w:r>
              <w:t>5.00</w:t>
            </w:r>
          </w:p>
        </w:tc>
      </w:tr>
      <w:tr>
        <w:tc>
          <w:tcPr>
            <w:tcW w:w="4320" w:type="dxa"/>
          </w:tcPr>
          <w:p>
            <w:pPr>
              <w:pStyle w:val="yTableNAm"/>
              <w:spacing w:before="0"/>
            </w:pPr>
            <w:r>
              <w:t>Bream, Black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5.00</w:t>
            </w:r>
          </w:p>
        </w:tc>
      </w:tr>
      <w:tr>
        <w:tc>
          <w:tcPr>
            <w:tcW w:w="4320" w:type="dxa"/>
          </w:tcPr>
          <w:p>
            <w:pPr>
              <w:pStyle w:val="yTableNAm"/>
              <w:spacing w:before="0"/>
            </w:pPr>
            <w:r>
              <w:t>Bream, Fingermark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10.00</w:t>
            </w:r>
          </w:p>
        </w:tc>
      </w:tr>
      <w:tr>
        <w:tc>
          <w:tcPr>
            <w:tcW w:w="4320" w:type="dxa"/>
          </w:tcPr>
          <w:p>
            <w:pPr>
              <w:pStyle w:val="yTableNAm"/>
              <w:spacing w:before="0"/>
            </w:pPr>
            <w:r>
              <w:t>Bream, Northwest</w:t>
            </w:r>
            <w:r>
              <w:noBreakHyphen/>
              <w:t>Black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spacing w:before="0"/>
            </w:pPr>
            <w:r>
              <w:t>Bream, Yellowfin ..........................................</w:t>
            </w:r>
          </w:p>
        </w:tc>
        <w:tc>
          <w:tcPr>
            <w:tcW w:w="1384" w:type="dxa"/>
          </w:tcPr>
          <w:p>
            <w:pPr>
              <w:pStyle w:val="yTableNAm"/>
              <w:spacing w:before="0"/>
              <w:ind w:right="284"/>
              <w:jc w:val="right"/>
            </w:pPr>
            <w:r>
              <w:t>6.50</w:t>
            </w:r>
          </w:p>
        </w:tc>
        <w:tc>
          <w:tcPr>
            <w:tcW w:w="1384" w:type="dxa"/>
          </w:tcPr>
          <w:p>
            <w:pPr>
              <w:pStyle w:val="yTableNAm"/>
              <w:spacing w:before="0"/>
              <w:ind w:right="284"/>
              <w:jc w:val="right"/>
            </w:pPr>
            <w:r>
              <w:t>3.00</w:t>
            </w:r>
          </w:p>
        </w:tc>
      </w:tr>
      <w:tr>
        <w:tc>
          <w:tcPr>
            <w:tcW w:w="4320" w:type="dxa"/>
          </w:tcPr>
          <w:p>
            <w:pPr>
              <w:pStyle w:val="yTableNAm"/>
              <w:spacing w:before="0"/>
            </w:pPr>
            <w:r>
              <w:t>Catfish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spacing w:before="0"/>
            </w:pPr>
            <w:r>
              <w:t>Cherabin ........................................................</w:t>
            </w:r>
          </w:p>
        </w:tc>
        <w:tc>
          <w:tcPr>
            <w:tcW w:w="1384" w:type="dxa"/>
          </w:tcPr>
          <w:p>
            <w:pPr>
              <w:pStyle w:val="yTableNAm"/>
              <w:spacing w:before="0"/>
              <w:ind w:right="284"/>
              <w:jc w:val="right"/>
            </w:pPr>
            <w:r>
              <w:t>7.00</w:t>
            </w:r>
          </w:p>
        </w:tc>
        <w:tc>
          <w:tcPr>
            <w:tcW w:w="1384" w:type="dxa"/>
          </w:tcPr>
          <w:p>
            <w:pPr>
              <w:pStyle w:val="yTableNAm"/>
              <w:spacing w:before="0"/>
              <w:ind w:right="284"/>
              <w:jc w:val="right"/>
            </w:pPr>
            <w:r>
              <w:t>0.30</w:t>
            </w:r>
          </w:p>
        </w:tc>
      </w:tr>
      <w:tr>
        <w:tc>
          <w:tcPr>
            <w:tcW w:w="4320" w:type="dxa"/>
          </w:tcPr>
          <w:p>
            <w:pPr>
              <w:pStyle w:val="yTableNAm"/>
              <w:spacing w:before="0"/>
            </w:pPr>
            <w:r>
              <w:t>Clam, Venus ..................................................</w:t>
            </w:r>
          </w:p>
        </w:tc>
        <w:tc>
          <w:tcPr>
            <w:tcW w:w="1384" w:type="dxa"/>
          </w:tcPr>
          <w:p>
            <w:pPr>
              <w:pStyle w:val="yTableNAm"/>
              <w:spacing w:before="0"/>
              <w:ind w:right="284"/>
              <w:jc w:val="right"/>
            </w:pPr>
            <w:r>
              <w:t>8.00</w:t>
            </w:r>
          </w:p>
        </w:tc>
        <w:tc>
          <w:tcPr>
            <w:tcW w:w="1384" w:type="dxa"/>
          </w:tcPr>
          <w:p>
            <w:pPr>
              <w:pStyle w:val="yTableNAm"/>
              <w:spacing w:before="0"/>
              <w:ind w:right="284"/>
              <w:jc w:val="right"/>
            </w:pPr>
            <w:r>
              <w:t>0.20</w:t>
            </w:r>
          </w:p>
        </w:tc>
      </w:tr>
      <w:tr>
        <w:tc>
          <w:tcPr>
            <w:tcW w:w="4320" w:type="dxa"/>
          </w:tcPr>
          <w:p>
            <w:pPr>
              <w:pStyle w:val="yTableNAm"/>
              <w:spacing w:before="0"/>
            </w:pPr>
            <w:r>
              <w:t>Cobbler (Estuary Catfish) .............................</w:t>
            </w:r>
          </w:p>
        </w:tc>
        <w:tc>
          <w:tcPr>
            <w:tcW w:w="1384" w:type="dxa"/>
          </w:tcPr>
          <w:p>
            <w:pPr>
              <w:pStyle w:val="yTableNAm"/>
              <w:spacing w:before="0"/>
              <w:ind w:right="284"/>
              <w:jc w:val="right"/>
            </w:pPr>
            <w:r>
              <w:t>6.50</w:t>
            </w:r>
          </w:p>
        </w:tc>
        <w:tc>
          <w:tcPr>
            <w:tcW w:w="1384" w:type="dxa"/>
          </w:tcPr>
          <w:p>
            <w:pPr>
              <w:pStyle w:val="yTableNAm"/>
              <w:spacing w:before="0"/>
              <w:ind w:right="284"/>
              <w:jc w:val="right"/>
            </w:pPr>
            <w:r>
              <w:t>4.00</w:t>
            </w:r>
          </w:p>
        </w:tc>
      </w:tr>
      <w:tr>
        <w:tc>
          <w:tcPr>
            <w:tcW w:w="4320" w:type="dxa"/>
          </w:tcPr>
          <w:p>
            <w:pPr>
              <w:pStyle w:val="yTableNAm"/>
              <w:spacing w:before="0"/>
            </w:pPr>
            <w:r>
              <w:t>Cobia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spacing w:before="0"/>
            </w:pPr>
            <w:r>
              <w:t>Cockle Shell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Cod, Breaksea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spacing w:before="0"/>
            </w:pPr>
            <w:r>
              <w:t>Cod, Estuary ..................................................</w:t>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spacing w:before="0"/>
            </w:pPr>
            <w:r>
              <w:t>Cod, Grey Banded Rock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54.00</w:t>
            </w:r>
          </w:p>
        </w:tc>
      </w:tr>
      <w:tr>
        <w:tc>
          <w:tcPr>
            <w:tcW w:w="4320" w:type="dxa"/>
          </w:tcPr>
          <w:p>
            <w:pPr>
              <w:pStyle w:val="yTableNAm"/>
              <w:spacing w:before="0"/>
            </w:pPr>
            <w:r>
              <w:t>Cod, Potato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spacing w:before="0"/>
            </w:pPr>
            <w:r>
              <w:t>Cod, Rankin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38.00</w:t>
            </w:r>
          </w:p>
        </w:tc>
      </w:tr>
      <w:tr>
        <w:tc>
          <w:tcPr>
            <w:tcW w:w="4320" w:type="dxa"/>
          </w:tcPr>
          <w:p>
            <w:pPr>
              <w:pStyle w:val="yTableNAm"/>
              <w:spacing w:before="0"/>
            </w:pPr>
            <w:r>
              <w:t>Coral ..............................................................</w:t>
            </w:r>
          </w:p>
        </w:tc>
        <w:tc>
          <w:tcPr>
            <w:tcW w:w="1384" w:type="dxa"/>
          </w:tcPr>
          <w:p>
            <w:pPr>
              <w:pStyle w:val="yTableNAm"/>
              <w:spacing w:before="0"/>
              <w:ind w:right="284"/>
              <w:jc w:val="right"/>
            </w:pPr>
            <w:r>
              <w:t>80.00</w:t>
            </w:r>
          </w:p>
        </w:tc>
        <w:tc>
          <w:tcPr>
            <w:tcW w:w="1384" w:type="dxa"/>
          </w:tcPr>
          <w:p>
            <w:pPr>
              <w:pStyle w:val="yTableNAm"/>
              <w:spacing w:before="0"/>
              <w:ind w:right="284"/>
              <w:jc w:val="right"/>
            </w:pPr>
            <w:r>
              <w:noBreakHyphen/>
            </w:r>
          </w:p>
        </w:tc>
      </w:tr>
      <w:tr>
        <w:tc>
          <w:tcPr>
            <w:tcW w:w="4320" w:type="dxa"/>
          </w:tcPr>
          <w:p>
            <w:pPr>
              <w:pStyle w:val="yTableNAm"/>
              <w:spacing w:before="0"/>
            </w:pPr>
            <w:r>
              <w:t>Coral Trout ....................................................</w:t>
            </w:r>
          </w:p>
        </w:tc>
        <w:tc>
          <w:tcPr>
            <w:tcW w:w="1384" w:type="dxa"/>
          </w:tcPr>
          <w:p>
            <w:pPr>
              <w:pStyle w:val="yTableNAm"/>
              <w:spacing w:before="0"/>
              <w:ind w:right="284"/>
              <w:jc w:val="right"/>
            </w:pPr>
            <w:r>
              <w:t>20.00</w:t>
            </w:r>
          </w:p>
        </w:tc>
        <w:tc>
          <w:tcPr>
            <w:tcW w:w="1384" w:type="dxa"/>
          </w:tcPr>
          <w:p>
            <w:pPr>
              <w:pStyle w:val="yTableNAm"/>
              <w:spacing w:before="0"/>
              <w:ind w:right="284"/>
              <w:jc w:val="right"/>
            </w:pPr>
            <w:r>
              <w:t>45.00</w:t>
            </w:r>
          </w:p>
        </w:tc>
      </w:tr>
      <w:tr>
        <w:tc>
          <w:tcPr>
            <w:tcW w:w="4320" w:type="dxa"/>
          </w:tcPr>
          <w:p>
            <w:pPr>
              <w:pStyle w:val="yTableNAm"/>
              <w:spacing w:before="0"/>
            </w:pPr>
            <w:r>
              <w:t>Crab, Blue Manna (Blue Swimmer)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4.00</w:t>
            </w:r>
          </w:p>
        </w:tc>
      </w:tr>
      <w:tr>
        <w:tc>
          <w:tcPr>
            <w:tcW w:w="4320" w:type="dxa"/>
          </w:tcPr>
          <w:p>
            <w:pPr>
              <w:pStyle w:val="yTableNAm"/>
              <w:spacing w:before="0"/>
            </w:pPr>
            <w:r>
              <w:t xml:space="preserve">Crab, </w:t>
            </w:r>
            <w:smartTag w:uri="urn:schemas-microsoft-com:office:smarttags" w:element="place">
              <w:smartTag w:uri="urn:schemas-microsoft-com:office:smarttags" w:element="State">
                <w:r>
                  <w:t>Champagne</w:t>
                </w:r>
              </w:smartTag>
            </w:smartTag>
            <w:r>
              <w:t xml:space="preserve"> ..........................................</w:t>
            </w:r>
          </w:p>
        </w:tc>
        <w:tc>
          <w:tcPr>
            <w:tcW w:w="1384" w:type="dxa"/>
          </w:tcPr>
          <w:p>
            <w:pPr>
              <w:pStyle w:val="yTableNAm"/>
              <w:spacing w:before="0"/>
              <w:ind w:right="284"/>
              <w:jc w:val="right"/>
            </w:pPr>
            <w:r>
              <w:t>15.00</w:t>
            </w:r>
          </w:p>
        </w:tc>
        <w:tc>
          <w:tcPr>
            <w:tcW w:w="1384" w:type="dxa"/>
          </w:tcPr>
          <w:p>
            <w:pPr>
              <w:pStyle w:val="yTableNAm"/>
              <w:spacing w:before="0"/>
              <w:ind w:right="284"/>
              <w:jc w:val="right"/>
            </w:pPr>
            <w:r>
              <w:t>30.00</w:t>
            </w:r>
          </w:p>
        </w:tc>
      </w:tr>
      <w:tr>
        <w:tc>
          <w:tcPr>
            <w:tcW w:w="4320" w:type="dxa"/>
          </w:tcPr>
          <w:p>
            <w:pPr>
              <w:pStyle w:val="yTableNAm"/>
              <w:spacing w:before="0"/>
            </w:pPr>
            <w:r>
              <w:t>Crab, Crystal .................................................</w:t>
            </w:r>
          </w:p>
        </w:tc>
        <w:tc>
          <w:tcPr>
            <w:tcW w:w="1384" w:type="dxa"/>
          </w:tcPr>
          <w:p>
            <w:pPr>
              <w:pStyle w:val="yTableNAm"/>
              <w:spacing w:before="0"/>
              <w:ind w:right="284"/>
              <w:jc w:val="right"/>
            </w:pPr>
            <w:r>
              <w:t>20.00</w:t>
            </w:r>
          </w:p>
        </w:tc>
        <w:tc>
          <w:tcPr>
            <w:tcW w:w="1384" w:type="dxa"/>
          </w:tcPr>
          <w:p>
            <w:pPr>
              <w:pStyle w:val="yTableNAm"/>
              <w:spacing w:before="0"/>
              <w:ind w:right="284"/>
              <w:jc w:val="right"/>
            </w:pPr>
            <w:r>
              <w:t>50.00</w:t>
            </w:r>
          </w:p>
        </w:tc>
      </w:tr>
      <w:tr>
        <w:tc>
          <w:tcPr>
            <w:tcW w:w="4320" w:type="dxa"/>
          </w:tcPr>
          <w:p>
            <w:pPr>
              <w:pStyle w:val="yTableNAm"/>
              <w:spacing w:before="0"/>
            </w:pPr>
            <w:r>
              <w:t>Crab, Giant ....................................................</w:t>
            </w:r>
          </w:p>
        </w:tc>
        <w:tc>
          <w:tcPr>
            <w:tcW w:w="1384" w:type="dxa"/>
          </w:tcPr>
          <w:p>
            <w:pPr>
              <w:pStyle w:val="yTableNAm"/>
              <w:spacing w:before="0"/>
              <w:ind w:right="284"/>
              <w:jc w:val="right"/>
            </w:pPr>
            <w:r>
              <w:t>35.00</w:t>
            </w:r>
          </w:p>
        </w:tc>
        <w:tc>
          <w:tcPr>
            <w:tcW w:w="1384" w:type="dxa"/>
          </w:tcPr>
          <w:p>
            <w:pPr>
              <w:pStyle w:val="yTableNAm"/>
              <w:spacing w:before="0"/>
              <w:ind w:right="284"/>
              <w:jc w:val="right"/>
            </w:pPr>
            <w:r>
              <w:t>115.00</w:t>
            </w:r>
          </w:p>
        </w:tc>
      </w:tr>
      <w:tr>
        <w:tc>
          <w:tcPr>
            <w:tcW w:w="4320" w:type="dxa"/>
          </w:tcPr>
          <w:p>
            <w:pPr>
              <w:pStyle w:val="yTableNAm"/>
              <w:spacing w:before="0"/>
            </w:pPr>
            <w:r>
              <w:t>Crab, Mud (Brown)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spacing w:before="0"/>
            </w:pPr>
            <w:r>
              <w:t>Crab, Mud (Green)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spacing w:before="0"/>
            </w:pPr>
            <w:r>
              <w:t>Cuttlefish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spacing w:before="0"/>
            </w:pPr>
            <w:r>
              <w:t>Dart ................................................................</w:t>
            </w:r>
          </w:p>
        </w:tc>
        <w:tc>
          <w:tcPr>
            <w:tcW w:w="1384" w:type="dxa"/>
          </w:tcPr>
          <w:p>
            <w:pPr>
              <w:pStyle w:val="yTableNAm"/>
              <w:spacing w:before="0"/>
              <w:ind w:right="284"/>
              <w:jc w:val="right"/>
            </w:pPr>
            <w:r>
              <w:t>1.00</w:t>
            </w:r>
          </w:p>
        </w:tc>
        <w:tc>
          <w:tcPr>
            <w:tcW w:w="1384" w:type="dxa"/>
          </w:tcPr>
          <w:p>
            <w:pPr>
              <w:pStyle w:val="yTableNAm"/>
              <w:spacing w:before="0"/>
              <w:ind w:right="284"/>
              <w:jc w:val="right"/>
            </w:pPr>
            <w:r>
              <w:t>1.00</w:t>
            </w:r>
          </w:p>
        </w:tc>
      </w:tr>
      <w:tr>
        <w:tc>
          <w:tcPr>
            <w:tcW w:w="4320" w:type="dxa"/>
          </w:tcPr>
          <w:p>
            <w:pPr>
              <w:pStyle w:val="yTableNAm"/>
              <w:spacing w:before="0"/>
            </w:pPr>
            <w:r>
              <w:t>Dhufish, West Australian ..............................</w:t>
            </w:r>
          </w:p>
        </w:tc>
        <w:tc>
          <w:tcPr>
            <w:tcW w:w="1384" w:type="dxa"/>
          </w:tcPr>
          <w:p>
            <w:pPr>
              <w:pStyle w:val="yTableNAm"/>
              <w:spacing w:before="0"/>
              <w:ind w:right="284"/>
              <w:jc w:val="right"/>
            </w:pPr>
            <w:r>
              <w:t>18.00</w:t>
            </w:r>
          </w:p>
        </w:tc>
        <w:tc>
          <w:tcPr>
            <w:tcW w:w="1384" w:type="dxa"/>
          </w:tcPr>
          <w:p>
            <w:pPr>
              <w:pStyle w:val="yTableNAm"/>
              <w:spacing w:before="0"/>
              <w:ind w:right="284"/>
              <w:jc w:val="right"/>
            </w:pPr>
            <w:r>
              <w:t>72.00</w:t>
            </w:r>
          </w:p>
        </w:tc>
      </w:tr>
      <w:tr>
        <w:tc>
          <w:tcPr>
            <w:tcW w:w="4320" w:type="dxa"/>
          </w:tcPr>
          <w:p>
            <w:pPr>
              <w:pStyle w:val="yTableNAm"/>
              <w:spacing w:before="0"/>
            </w:pPr>
            <w:r>
              <w:t>Dolphinfish (Mahi Mahi) ..............................</w:t>
            </w:r>
          </w:p>
        </w:tc>
        <w:tc>
          <w:tcPr>
            <w:tcW w:w="1384" w:type="dxa"/>
          </w:tcPr>
          <w:p>
            <w:pPr>
              <w:pStyle w:val="yTableNAm"/>
              <w:spacing w:before="0"/>
              <w:ind w:right="284"/>
              <w:jc w:val="right"/>
            </w:pPr>
            <w:r>
              <w:t>2.00</w:t>
            </w:r>
          </w:p>
        </w:tc>
        <w:tc>
          <w:tcPr>
            <w:tcW w:w="1384" w:type="dxa"/>
          </w:tcPr>
          <w:p>
            <w:pPr>
              <w:pStyle w:val="yTableNAm"/>
              <w:spacing w:before="0"/>
              <w:ind w:right="284"/>
              <w:jc w:val="right"/>
            </w:pPr>
            <w:r>
              <w:t>4.00</w:t>
            </w:r>
          </w:p>
        </w:tc>
      </w:tr>
      <w:tr>
        <w:tc>
          <w:tcPr>
            <w:tcW w:w="4320" w:type="dxa"/>
          </w:tcPr>
          <w:p>
            <w:pPr>
              <w:pStyle w:val="yTableNAm"/>
              <w:spacing w:before="0"/>
            </w:pPr>
            <w:r>
              <w:t>Dory, John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pPr>
            <w:r>
              <w:t>Emperor, Bluespotted ....................................</w:t>
            </w:r>
          </w:p>
        </w:tc>
        <w:tc>
          <w:tcPr>
            <w:tcW w:w="1384" w:type="dxa"/>
          </w:tcPr>
          <w:p>
            <w:pPr>
              <w:pStyle w:val="yTableNAm"/>
              <w:spacing w:before="0"/>
              <w:ind w:right="284"/>
              <w:jc w:val="right"/>
            </w:pPr>
            <w:r>
              <w:t>5.00</w:t>
            </w:r>
          </w:p>
        </w:tc>
        <w:tc>
          <w:tcPr>
            <w:tcW w:w="1384" w:type="dxa"/>
          </w:tcPr>
          <w:p>
            <w:pPr>
              <w:pStyle w:val="yTableNAm"/>
              <w:spacing w:before="0"/>
              <w:ind w:right="284"/>
              <w:jc w:val="right"/>
            </w:pPr>
            <w:r>
              <w:t>12.00</w:t>
            </w:r>
          </w:p>
        </w:tc>
      </w:tr>
      <w:tr>
        <w:tc>
          <w:tcPr>
            <w:tcW w:w="4320" w:type="dxa"/>
          </w:tcPr>
          <w:p>
            <w:pPr>
              <w:pStyle w:val="yTableNAm"/>
              <w:spacing w:before="0"/>
            </w:pPr>
            <w:r>
              <w:t>Emperor, Blue</w:t>
            </w:r>
            <w:r>
              <w:noBreakHyphen/>
              <w:t>lined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10.00</w:t>
            </w:r>
          </w:p>
        </w:tc>
      </w:tr>
      <w:tr>
        <w:tc>
          <w:tcPr>
            <w:tcW w:w="4320" w:type="dxa"/>
          </w:tcPr>
          <w:p>
            <w:pPr>
              <w:pStyle w:val="yTableNAm"/>
              <w:spacing w:before="0"/>
            </w:pPr>
            <w:r>
              <w:t>Emperor, Red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spacing w:before="0"/>
            </w:pPr>
            <w:r>
              <w:t>Emperor, Spangled ........................................</w:t>
            </w:r>
          </w:p>
        </w:tc>
        <w:tc>
          <w:tcPr>
            <w:tcW w:w="1384" w:type="dxa"/>
          </w:tcPr>
          <w:p>
            <w:pPr>
              <w:pStyle w:val="yTableNAm"/>
              <w:spacing w:before="0"/>
              <w:ind w:right="284"/>
              <w:jc w:val="right"/>
            </w:pPr>
            <w:r>
              <w:t>7.00</w:t>
            </w:r>
          </w:p>
        </w:tc>
        <w:tc>
          <w:tcPr>
            <w:tcW w:w="1384" w:type="dxa"/>
          </w:tcPr>
          <w:p>
            <w:pPr>
              <w:pStyle w:val="yTableNAm"/>
              <w:spacing w:before="0"/>
              <w:ind w:right="284"/>
              <w:jc w:val="right"/>
            </w:pPr>
            <w:r>
              <w:t>17.50</w:t>
            </w:r>
          </w:p>
        </w:tc>
      </w:tr>
      <w:tr>
        <w:tc>
          <w:tcPr>
            <w:tcW w:w="4320" w:type="dxa"/>
          </w:tcPr>
          <w:p>
            <w:pPr>
              <w:pStyle w:val="yTableNAm"/>
              <w:spacing w:before="0"/>
            </w:pPr>
            <w:r>
              <w:t>Flathead .........................................................</w:t>
            </w:r>
          </w:p>
        </w:tc>
        <w:tc>
          <w:tcPr>
            <w:tcW w:w="1384" w:type="dxa"/>
          </w:tcPr>
          <w:p>
            <w:pPr>
              <w:pStyle w:val="yTableNAm"/>
              <w:spacing w:before="0"/>
              <w:ind w:right="284"/>
              <w:jc w:val="right"/>
            </w:pPr>
            <w:r>
              <w:t>6.00</w:t>
            </w:r>
          </w:p>
        </w:tc>
        <w:tc>
          <w:tcPr>
            <w:tcW w:w="1384" w:type="dxa"/>
          </w:tcPr>
          <w:p>
            <w:pPr>
              <w:pStyle w:val="yTableNAm"/>
              <w:spacing w:before="0"/>
              <w:ind w:right="284"/>
              <w:jc w:val="right"/>
            </w:pPr>
            <w:r>
              <w:t>5.00</w:t>
            </w:r>
          </w:p>
        </w:tc>
      </w:tr>
      <w:tr>
        <w:tc>
          <w:tcPr>
            <w:tcW w:w="4320" w:type="dxa"/>
          </w:tcPr>
          <w:p>
            <w:pPr>
              <w:pStyle w:val="yTableNAm"/>
              <w:spacing w:before="0"/>
            </w:pPr>
            <w:r>
              <w:t>Flounder ........................................................</w:t>
            </w:r>
          </w:p>
        </w:tc>
        <w:tc>
          <w:tcPr>
            <w:tcW w:w="1384" w:type="dxa"/>
          </w:tcPr>
          <w:p>
            <w:pPr>
              <w:pStyle w:val="yTableNAm"/>
              <w:spacing w:before="0"/>
              <w:ind w:right="284"/>
              <w:jc w:val="right"/>
            </w:pPr>
            <w:r>
              <w:t>11.00</w:t>
            </w:r>
          </w:p>
        </w:tc>
        <w:tc>
          <w:tcPr>
            <w:tcW w:w="1384" w:type="dxa"/>
          </w:tcPr>
          <w:p>
            <w:pPr>
              <w:pStyle w:val="yTableNAm"/>
              <w:spacing w:before="0"/>
              <w:ind w:right="284"/>
              <w:jc w:val="right"/>
            </w:pPr>
            <w:r>
              <w:t>5.00</w:t>
            </w:r>
          </w:p>
        </w:tc>
      </w:tr>
      <w:tr>
        <w:tc>
          <w:tcPr>
            <w:tcW w:w="4320" w:type="dxa"/>
          </w:tcPr>
          <w:p>
            <w:pPr>
              <w:pStyle w:val="yTableNAm"/>
              <w:spacing w:before="0"/>
            </w:pPr>
            <w:r>
              <w:t>Foxfish, Western ...........................................</w:t>
            </w:r>
          </w:p>
        </w:tc>
        <w:tc>
          <w:tcPr>
            <w:tcW w:w="1384" w:type="dxa"/>
          </w:tcPr>
          <w:p>
            <w:pPr>
              <w:pStyle w:val="yTableNAm"/>
              <w:spacing w:before="0"/>
              <w:ind w:right="284"/>
              <w:jc w:val="right"/>
            </w:pPr>
            <w:r>
              <w:t>5.50</w:t>
            </w:r>
          </w:p>
        </w:tc>
        <w:tc>
          <w:tcPr>
            <w:tcW w:w="1384" w:type="dxa"/>
          </w:tcPr>
          <w:p>
            <w:pPr>
              <w:pStyle w:val="yTableNAm"/>
              <w:spacing w:before="0"/>
              <w:ind w:right="284"/>
              <w:jc w:val="right"/>
            </w:pPr>
            <w:r>
              <w:t>3.00</w:t>
            </w:r>
          </w:p>
        </w:tc>
      </w:tr>
      <w:tr>
        <w:tc>
          <w:tcPr>
            <w:tcW w:w="4320" w:type="dxa"/>
          </w:tcPr>
          <w:p>
            <w:pPr>
              <w:pStyle w:val="yTableNAm"/>
              <w:spacing w:before="0"/>
            </w:pPr>
            <w:r>
              <w:t>Garfish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2.50</w:t>
            </w:r>
          </w:p>
        </w:tc>
      </w:tr>
      <w:tr>
        <w:tc>
          <w:tcPr>
            <w:tcW w:w="4320" w:type="dxa"/>
          </w:tcPr>
          <w:p>
            <w:pPr>
              <w:pStyle w:val="yTableNAm"/>
              <w:spacing w:before="0"/>
            </w:pPr>
            <w:r>
              <w:t>Goatfish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2.00</w:t>
            </w:r>
          </w:p>
        </w:tc>
      </w:tr>
      <w:tr>
        <w:tc>
          <w:tcPr>
            <w:tcW w:w="4320" w:type="dxa"/>
          </w:tcPr>
          <w:p>
            <w:pPr>
              <w:pStyle w:val="yTableNAm"/>
              <w:spacing w:before="0"/>
            </w:pPr>
            <w:r>
              <w:t>Groper, Baldchin ...........................................</w:t>
            </w:r>
          </w:p>
        </w:tc>
        <w:tc>
          <w:tcPr>
            <w:tcW w:w="1384" w:type="dxa"/>
          </w:tcPr>
          <w:p>
            <w:pPr>
              <w:pStyle w:val="yTableNAm"/>
              <w:spacing w:before="0"/>
              <w:ind w:right="284"/>
              <w:jc w:val="right"/>
            </w:pPr>
            <w:r>
              <w:t>12.00</w:t>
            </w:r>
          </w:p>
        </w:tc>
        <w:tc>
          <w:tcPr>
            <w:tcW w:w="1384" w:type="dxa"/>
          </w:tcPr>
          <w:p>
            <w:pPr>
              <w:pStyle w:val="yTableNAm"/>
              <w:spacing w:before="0"/>
              <w:ind w:right="284"/>
              <w:jc w:val="right"/>
            </w:pPr>
            <w:r>
              <w:t>36.00</w:t>
            </w:r>
          </w:p>
        </w:tc>
      </w:tr>
      <w:tr>
        <w:tc>
          <w:tcPr>
            <w:tcW w:w="4320" w:type="dxa"/>
          </w:tcPr>
          <w:p>
            <w:pPr>
              <w:pStyle w:val="yTableNAm"/>
              <w:spacing w:before="0"/>
            </w:pPr>
            <w:r>
              <w:t>Groper, Bass ..................................................</w:t>
            </w:r>
          </w:p>
        </w:tc>
        <w:tc>
          <w:tcPr>
            <w:tcW w:w="1384" w:type="dxa"/>
          </w:tcPr>
          <w:p>
            <w:pPr>
              <w:pStyle w:val="yTableNAm"/>
              <w:spacing w:before="0"/>
              <w:ind w:right="284"/>
              <w:jc w:val="right"/>
            </w:pPr>
            <w:r>
              <w:t>8.50</w:t>
            </w:r>
          </w:p>
        </w:tc>
        <w:tc>
          <w:tcPr>
            <w:tcW w:w="1384" w:type="dxa"/>
          </w:tcPr>
          <w:p>
            <w:pPr>
              <w:pStyle w:val="yTableNAm"/>
              <w:spacing w:before="0"/>
              <w:ind w:right="284"/>
              <w:jc w:val="right"/>
            </w:pPr>
            <w:r>
              <w:t>51.00</w:t>
            </w:r>
          </w:p>
        </w:tc>
      </w:tr>
      <w:tr>
        <w:tc>
          <w:tcPr>
            <w:tcW w:w="4320" w:type="dxa"/>
          </w:tcPr>
          <w:p>
            <w:pPr>
              <w:pStyle w:val="yTableNAm"/>
              <w:spacing w:before="0"/>
            </w:pPr>
            <w:r>
              <w:t xml:space="preserve">Groper, </w:t>
            </w:r>
            <w:smartTag w:uri="urn:schemas-microsoft-com:office:smarttags" w:element="place">
              <w:smartTag w:uri="urn:schemas-microsoft-com:office:smarttags" w:element="State">
                <w:r>
                  <w:t>Queensland</w:t>
                </w:r>
              </w:smartTag>
            </w:smartTag>
            <w:r>
              <w:t xml:space="preserv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spacing w:before="0"/>
            </w:pPr>
            <w:r>
              <w:t>Groper, Western Blue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spacing w:before="0"/>
            </w:pPr>
            <w:r>
              <w:t>Grunter, Sooty................................................</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spacing w:before="0"/>
            </w:pPr>
            <w:r>
              <w:t>Hapuku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spacing w:before="0"/>
            </w:pPr>
            <w:r>
              <w:t>Hardyhead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pPr>
            <w:r>
              <w:t>Harlequin 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7.00</w:t>
            </w:r>
          </w:p>
        </w:tc>
      </w:tr>
      <w:tr>
        <w:tc>
          <w:tcPr>
            <w:tcW w:w="4320" w:type="dxa"/>
          </w:tcPr>
          <w:p>
            <w:pPr>
              <w:pStyle w:val="yTableNAm"/>
              <w:spacing w:before="0"/>
            </w:pPr>
            <w:r>
              <w:t>Herring, Australian (Tommy Ruff) ...............</w:t>
            </w:r>
          </w:p>
        </w:tc>
        <w:tc>
          <w:tcPr>
            <w:tcW w:w="1384" w:type="dxa"/>
          </w:tcPr>
          <w:p>
            <w:pPr>
              <w:pStyle w:val="yTableNAm"/>
              <w:spacing w:before="0"/>
              <w:ind w:right="284"/>
              <w:jc w:val="right"/>
            </w:pPr>
            <w:r>
              <w:t>4.50</w:t>
            </w:r>
          </w:p>
        </w:tc>
        <w:tc>
          <w:tcPr>
            <w:tcW w:w="1384" w:type="dxa"/>
          </w:tcPr>
          <w:p>
            <w:pPr>
              <w:pStyle w:val="yTableNAm"/>
              <w:spacing w:before="0"/>
              <w:ind w:right="284"/>
              <w:jc w:val="right"/>
            </w:pPr>
            <w:r>
              <w:t>2.00</w:t>
            </w:r>
          </w:p>
        </w:tc>
      </w:tr>
      <w:tr>
        <w:tc>
          <w:tcPr>
            <w:tcW w:w="4320" w:type="dxa"/>
          </w:tcPr>
          <w:p>
            <w:pPr>
              <w:pStyle w:val="yTableNAm"/>
              <w:spacing w:before="0"/>
            </w:pPr>
            <w:r>
              <w:t>Javelinfish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5.00</w:t>
            </w:r>
          </w:p>
        </w:tc>
      </w:tr>
      <w:tr>
        <w:tc>
          <w:tcPr>
            <w:tcW w:w="4320" w:type="dxa"/>
          </w:tcPr>
          <w:p>
            <w:pPr>
              <w:pStyle w:val="yTableNAm"/>
              <w:spacing w:before="0"/>
            </w:pPr>
            <w:r>
              <w:t>Kingfish, Yellowtail ......................................</w:t>
            </w:r>
          </w:p>
        </w:tc>
        <w:tc>
          <w:tcPr>
            <w:tcW w:w="1384" w:type="dxa"/>
          </w:tcPr>
          <w:p>
            <w:pPr>
              <w:pStyle w:val="yTableNAm"/>
              <w:spacing w:before="0"/>
              <w:ind w:right="284"/>
              <w:jc w:val="right"/>
            </w:pPr>
            <w:r>
              <w:t>1.50</w:t>
            </w:r>
          </w:p>
        </w:tc>
        <w:tc>
          <w:tcPr>
            <w:tcW w:w="1384" w:type="dxa"/>
          </w:tcPr>
          <w:p>
            <w:pPr>
              <w:pStyle w:val="yTableNAm"/>
              <w:spacing w:before="0"/>
              <w:ind w:right="284"/>
              <w:jc w:val="right"/>
            </w:pPr>
            <w:r>
              <w:t>7.50</w:t>
            </w:r>
          </w:p>
        </w:tc>
      </w:tr>
      <w:tr>
        <w:tc>
          <w:tcPr>
            <w:tcW w:w="4320" w:type="dxa"/>
          </w:tcPr>
          <w:p>
            <w:pPr>
              <w:pStyle w:val="yTableNAm"/>
              <w:spacing w:before="0"/>
            </w:pPr>
            <w:r>
              <w:t>Leafy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spacing w:before="0"/>
            </w:pPr>
            <w:r>
              <w:t>Leatherjacket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w:t>
            </w:r>
          </w:p>
        </w:tc>
      </w:tr>
      <w:tr>
        <w:tc>
          <w:tcPr>
            <w:tcW w:w="4320" w:type="dxa"/>
          </w:tcPr>
          <w:p>
            <w:pPr>
              <w:pStyle w:val="yTableNAm"/>
              <w:spacing w:before="0"/>
            </w:pPr>
            <w:r>
              <w:t>Live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noBreakHyphen/>
            </w:r>
          </w:p>
        </w:tc>
      </w:tr>
      <w:tr>
        <w:tc>
          <w:tcPr>
            <w:tcW w:w="4320" w:type="dxa"/>
          </w:tcPr>
          <w:p>
            <w:pPr>
              <w:pStyle w:val="yTableNAm"/>
              <w:spacing w:before="0"/>
            </w:pPr>
            <w:r>
              <w:t>Longtom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spacing w:before="0"/>
            </w:pPr>
            <w:r>
              <w:t>Mackerel, Blue (Common)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pPr>
            <w:r>
              <w:t>Mackerel, Broad</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spacing w:before="0"/>
            </w:pPr>
            <w:r>
              <w:t>Mackerel, Narrow</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spacing w:before="0"/>
            </w:pPr>
            <w:r>
              <w:t>Mackerel, Shark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w:t>
            </w:r>
          </w:p>
        </w:tc>
      </w:tr>
      <w:tr>
        <w:tc>
          <w:tcPr>
            <w:tcW w:w="4320" w:type="dxa"/>
          </w:tcPr>
          <w:p>
            <w:pPr>
              <w:pStyle w:val="yTableNAm"/>
              <w:spacing w:before="0"/>
            </w:pPr>
            <w:r>
              <w:t>Mackerel, Wahoo ..........................................</w:t>
            </w:r>
          </w:p>
        </w:tc>
        <w:tc>
          <w:tcPr>
            <w:tcW w:w="1384" w:type="dxa"/>
          </w:tcPr>
          <w:p>
            <w:pPr>
              <w:pStyle w:val="yTableNAm"/>
              <w:spacing w:before="0"/>
              <w:ind w:right="284"/>
              <w:jc w:val="right"/>
            </w:pPr>
            <w:r>
              <w:t>7.00</w:t>
            </w:r>
          </w:p>
        </w:tc>
        <w:tc>
          <w:tcPr>
            <w:tcW w:w="1384" w:type="dxa"/>
          </w:tcPr>
          <w:p>
            <w:pPr>
              <w:pStyle w:val="yTableNAm"/>
              <w:spacing w:before="0"/>
              <w:ind w:right="284"/>
              <w:jc w:val="right"/>
            </w:pPr>
            <w:r>
              <w:t>28.00</w:t>
            </w:r>
          </w:p>
        </w:tc>
      </w:tr>
      <w:tr>
        <w:tc>
          <w:tcPr>
            <w:tcW w:w="4320" w:type="dxa"/>
          </w:tcPr>
          <w:p>
            <w:pPr>
              <w:pStyle w:val="yTableNAm"/>
              <w:spacing w:before="0"/>
            </w:pPr>
            <w:r>
              <w:t>Mangrove Jack ..............................................</w:t>
            </w:r>
          </w:p>
        </w:tc>
        <w:tc>
          <w:tcPr>
            <w:tcW w:w="1384" w:type="dxa"/>
          </w:tcPr>
          <w:p>
            <w:pPr>
              <w:pStyle w:val="yTableNAm"/>
              <w:spacing w:before="0"/>
              <w:ind w:right="284"/>
              <w:jc w:val="right"/>
            </w:pPr>
            <w:r>
              <w:t>5.50</w:t>
            </w:r>
          </w:p>
        </w:tc>
        <w:tc>
          <w:tcPr>
            <w:tcW w:w="1384" w:type="dxa"/>
          </w:tcPr>
          <w:p>
            <w:pPr>
              <w:pStyle w:val="yTableNAm"/>
              <w:spacing w:before="0"/>
              <w:ind w:right="284"/>
              <w:jc w:val="right"/>
            </w:pPr>
            <w:r>
              <w:t>14.00</w:t>
            </w:r>
          </w:p>
        </w:tc>
      </w:tr>
      <w:tr>
        <w:tc>
          <w:tcPr>
            <w:tcW w:w="4320" w:type="dxa"/>
          </w:tcPr>
          <w:p>
            <w:pPr>
              <w:pStyle w:val="yTableNAm"/>
              <w:spacing w:before="0"/>
            </w:pPr>
            <w:r>
              <w:t>Marlin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100.00</w:t>
            </w:r>
          </w:p>
        </w:tc>
      </w:tr>
      <w:tr>
        <w:tc>
          <w:tcPr>
            <w:tcW w:w="4320" w:type="dxa"/>
          </w:tcPr>
          <w:p>
            <w:pPr>
              <w:pStyle w:val="yTableNAm"/>
              <w:spacing w:before="0"/>
            </w:pPr>
            <w:r>
              <w:t>Marron ...........................................................</w:t>
            </w:r>
          </w:p>
        </w:tc>
        <w:tc>
          <w:tcPr>
            <w:tcW w:w="1384" w:type="dxa"/>
          </w:tcPr>
          <w:p>
            <w:pPr>
              <w:pStyle w:val="yTableNAm"/>
              <w:spacing w:before="0"/>
              <w:ind w:right="284"/>
              <w:jc w:val="right"/>
            </w:pPr>
            <w:r>
              <w:t>36.00</w:t>
            </w:r>
          </w:p>
        </w:tc>
        <w:tc>
          <w:tcPr>
            <w:tcW w:w="1384" w:type="dxa"/>
          </w:tcPr>
          <w:p>
            <w:pPr>
              <w:pStyle w:val="yTableNAm"/>
              <w:spacing w:before="0"/>
              <w:ind w:right="284"/>
              <w:jc w:val="right"/>
            </w:pPr>
            <w:r>
              <w:t>5.00</w:t>
            </w:r>
          </w:p>
        </w:tc>
      </w:tr>
      <w:tr>
        <w:tc>
          <w:tcPr>
            <w:tcW w:w="4320" w:type="dxa"/>
          </w:tcPr>
          <w:p>
            <w:pPr>
              <w:pStyle w:val="yTableNAm"/>
              <w:spacing w:before="0"/>
            </w:pPr>
            <w:r>
              <w:t>Mullet ............................................................</w:t>
            </w:r>
          </w:p>
        </w:tc>
        <w:tc>
          <w:tcPr>
            <w:tcW w:w="1384" w:type="dxa"/>
          </w:tcPr>
          <w:p>
            <w:pPr>
              <w:pStyle w:val="yTableNAm"/>
              <w:spacing w:before="0"/>
              <w:ind w:right="284"/>
              <w:jc w:val="right"/>
            </w:pPr>
            <w:r>
              <w:t>4.50</w:t>
            </w:r>
          </w:p>
        </w:tc>
        <w:tc>
          <w:tcPr>
            <w:tcW w:w="1384" w:type="dxa"/>
          </w:tcPr>
          <w:p>
            <w:pPr>
              <w:pStyle w:val="yTableNAm"/>
              <w:spacing w:before="0"/>
              <w:ind w:right="284"/>
              <w:jc w:val="right"/>
            </w:pPr>
            <w:r>
              <w:t>3.00</w:t>
            </w:r>
          </w:p>
        </w:tc>
      </w:tr>
      <w:tr>
        <w:tc>
          <w:tcPr>
            <w:tcW w:w="4320" w:type="dxa"/>
          </w:tcPr>
          <w:p>
            <w:pPr>
              <w:pStyle w:val="yTableNAm"/>
              <w:spacing w:before="0"/>
            </w:pPr>
            <w:r>
              <w:t>Mulloway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spacing w:before="0"/>
            </w:pPr>
            <w:r>
              <w:t>Mulloway, Northern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spacing w:before="0"/>
            </w:pPr>
            <w:r>
              <w:t>Mussel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Nannygai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20.00</w:t>
            </w:r>
          </w:p>
        </w:tc>
      </w:tr>
      <w:tr>
        <w:tc>
          <w:tcPr>
            <w:tcW w:w="4320" w:type="dxa"/>
          </w:tcPr>
          <w:p>
            <w:pPr>
              <w:pStyle w:val="yTableNAm"/>
              <w:spacing w:before="0"/>
            </w:pPr>
            <w:r>
              <w:t>Octopus .........................................................</w:t>
            </w:r>
          </w:p>
        </w:tc>
        <w:tc>
          <w:tcPr>
            <w:tcW w:w="1384" w:type="dxa"/>
          </w:tcPr>
          <w:p>
            <w:pPr>
              <w:pStyle w:val="yTableNAm"/>
              <w:spacing w:before="0"/>
              <w:ind w:right="284"/>
              <w:jc w:val="right"/>
            </w:pPr>
            <w:r>
              <w:t>12.00</w:t>
            </w:r>
          </w:p>
        </w:tc>
        <w:tc>
          <w:tcPr>
            <w:tcW w:w="1384" w:type="dxa"/>
          </w:tcPr>
          <w:p>
            <w:pPr>
              <w:pStyle w:val="yTableNAm"/>
              <w:spacing w:before="0"/>
              <w:ind w:right="284"/>
              <w:jc w:val="right"/>
            </w:pPr>
            <w:r>
              <w:t>6.00</w:t>
            </w:r>
          </w:p>
        </w:tc>
      </w:tr>
      <w:tr>
        <w:tc>
          <w:tcPr>
            <w:tcW w:w="4320" w:type="dxa"/>
          </w:tcPr>
          <w:p>
            <w:pPr>
              <w:pStyle w:val="yTableNAm"/>
              <w:spacing w:before="0"/>
            </w:pPr>
            <w:r>
              <w:t>Oyster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0.60</w:t>
            </w:r>
          </w:p>
        </w:tc>
      </w:tr>
      <w:tr>
        <w:tc>
          <w:tcPr>
            <w:tcW w:w="4320" w:type="dxa"/>
          </w:tcPr>
          <w:p>
            <w:pPr>
              <w:pStyle w:val="yTableNAm"/>
              <w:spacing w:before="0"/>
            </w:pPr>
            <w:r>
              <w:t>Parrot 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spacing w:before="0"/>
            </w:pPr>
            <w:r>
              <w:t>Pearl Perch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pPr>
            <w:r>
              <w:t>Pigfish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spacing w:before="0"/>
            </w:pPr>
            <w:r>
              <w:t>Pike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2.00</w:t>
            </w:r>
          </w:p>
        </w:tc>
      </w:tr>
      <w:tr>
        <w:tc>
          <w:tcPr>
            <w:tcW w:w="4320" w:type="dxa"/>
          </w:tcPr>
          <w:p>
            <w:pPr>
              <w:pStyle w:val="yTableNAm"/>
              <w:spacing w:before="0"/>
            </w:pPr>
            <w:r>
              <w:t>Pilchard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pPr>
            <w:r>
              <w:t>Pipi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Prawn, Brown Tiger ......................................</w:t>
            </w:r>
          </w:p>
        </w:tc>
        <w:tc>
          <w:tcPr>
            <w:tcW w:w="1384" w:type="dxa"/>
          </w:tcPr>
          <w:p>
            <w:pPr>
              <w:pStyle w:val="yTableNAm"/>
              <w:spacing w:before="0"/>
              <w:ind w:right="284"/>
              <w:jc w:val="right"/>
            </w:pPr>
            <w:r>
              <w:t>15.00</w:t>
            </w:r>
          </w:p>
        </w:tc>
        <w:tc>
          <w:tcPr>
            <w:tcW w:w="1384" w:type="dxa"/>
          </w:tcPr>
          <w:p>
            <w:pPr>
              <w:pStyle w:val="yTableNAm"/>
              <w:spacing w:before="0"/>
              <w:ind w:right="284"/>
              <w:jc w:val="right"/>
            </w:pPr>
            <w:r>
              <w:t>1.00</w:t>
            </w:r>
          </w:p>
        </w:tc>
      </w:tr>
      <w:tr>
        <w:tc>
          <w:tcPr>
            <w:tcW w:w="4320" w:type="dxa"/>
          </w:tcPr>
          <w:p>
            <w:pPr>
              <w:pStyle w:val="yTableNAm"/>
              <w:spacing w:before="0"/>
            </w:pPr>
            <w:r>
              <w:t>Prawn, Western King ....................................</w:t>
            </w:r>
          </w:p>
        </w:tc>
        <w:tc>
          <w:tcPr>
            <w:tcW w:w="1384" w:type="dxa"/>
          </w:tcPr>
          <w:p>
            <w:pPr>
              <w:pStyle w:val="yTableNAm"/>
              <w:spacing w:before="0"/>
              <w:ind w:right="284"/>
              <w:jc w:val="right"/>
            </w:pPr>
            <w:r>
              <w:t>13.00</w:t>
            </w:r>
          </w:p>
        </w:tc>
        <w:tc>
          <w:tcPr>
            <w:tcW w:w="1384" w:type="dxa"/>
          </w:tcPr>
          <w:p>
            <w:pPr>
              <w:pStyle w:val="yTableNAm"/>
              <w:spacing w:before="0"/>
              <w:ind w:right="284"/>
              <w:jc w:val="right"/>
            </w:pPr>
            <w:r>
              <w:t>1.00</w:t>
            </w:r>
          </w:p>
        </w:tc>
      </w:tr>
      <w:tr>
        <w:tc>
          <w:tcPr>
            <w:tcW w:w="4320" w:type="dxa"/>
          </w:tcPr>
          <w:p>
            <w:pPr>
              <w:pStyle w:val="yTableNAm"/>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p>
        </w:tc>
        <w:tc>
          <w:tcPr>
            <w:tcW w:w="1384" w:type="dxa"/>
          </w:tcPr>
          <w:p>
            <w:pPr>
              <w:pStyle w:val="yTableNAm"/>
              <w:spacing w:before="0"/>
              <w:ind w:right="284"/>
              <w:jc w:val="right"/>
            </w:pPr>
            <w:r>
              <w:t>4.00</w:t>
            </w:r>
          </w:p>
        </w:tc>
        <w:tc>
          <w:tcPr>
            <w:tcW w:w="1384" w:type="dxa"/>
          </w:tcPr>
          <w:p>
            <w:pPr>
              <w:pStyle w:val="yTableNAm"/>
              <w:spacing w:before="0"/>
              <w:ind w:right="284"/>
              <w:jc w:val="right"/>
            </w:pPr>
            <w:r>
              <w:t>0.50</w:t>
            </w:r>
          </w:p>
        </w:tc>
      </w:tr>
      <w:tr>
        <w:tc>
          <w:tcPr>
            <w:tcW w:w="4320" w:type="dxa"/>
          </w:tcPr>
          <w:p>
            <w:pPr>
              <w:pStyle w:val="yTableNAm"/>
              <w:spacing w:before="0"/>
            </w:pPr>
            <w:r>
              <w:t>Prawn (other)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0.50</w:t>
            </w:r>
          </w:p>
        </w:tc>
      </w:tr>
      <w:tr>
        <w:tc>
          <w:tcPr>
            <w:tcW w:w="4320" w:type="dxa"/>
          </w:tcPr>
          <w:p>
            <w:pPr>
              <w:pStyle w:val="yTableNAm"/>
              <w:spacing w:before="0"/>
            </w:pPr>
            <w:r>
              <w:t>Queenfish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10.00</w:t>
            </w:r>
          </w:p>
        </w:tc>
      </w:tr>
      <w:tr>
        <w:tc>
          <w:tcPr>
            <w:tcW w:w="4320" w:type="dxa"/>
          </w:tcPr>
          <w:p>
            <w:pPr>
              <w:pStyle w:val="yTableNAm"/>
              <w:spacing w:before="0"/>
            </w:pPr>
            <w:r>
              <w:t>Rays ...............................................................</w:t>
            </w:r>
          </w:p>
        </w:tc>
        <w:tc>
          <w:tcPr>
            <w:tcW w:w="1384" w:type="dxa"/>
          </w:tcPr>
          <w:p>
            <w:pPr>
              <w:pStyle w:val="yTableNAm"/>
              <w:spacing w:before="0"/>
              <w:ind w:right="284"/>
              <w:jc w:val="right"/>
            </w:pPr>
            <w:r>
              <w:t>4.00</w:t>
            </w:r>
          </w:p>
        </w:tc>
        <w:tc>
          <w:tcPr>
            <w:tcW w:w="1384" w:type="dxa"/>
          </w:tcPr>
          <w:p>
            <w:pPr>
              <w:pStyle w:val="yTableNAm"/>
              <w:spacing w:before="0"/>
              <w:ind w:right="284"/>
              <w:jc w:val="right"/>
            </w:pPr>
            <w:r>
              <w:t>60.00</w:t>
            </w:r>
          </w:p>
        </w:tc>
      </w:tr>
      <w:tr>
        <w:tc>
          <w:tcPr>
            <w:tcW w:w="4320" w:type="dxa"/>
          </w:tcPr>
          <w:p>
            <w:pPr>
              <w:pStyle w:val="yTableNAm"/>
              <w:spacing w:before="0"/>
            </w:pPr>
            <w:r>
              <w:t>Razor shell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w:t>
            </w:r>
          </w:p>
        </w:tc>
      </w:tr>
      <w:tr>
        <w:tc>
          <w:tcPr>
            <w:tcW w:w="4320" w:type="dxa"/>
          </w:tcPr>
          <w:p>
            <w:pPr>
              <w:pStyle w:val="yTableNAm"/>
              <w:spacing w:before="0"/>
            </w:pPr>
            <w:r>
              <w:t>Rock Lobster ..................................................</w:t>
            </w:r>
          </w:p>
        </w:tc>
        <w:tc>
          <w:tcPr>
            <w:tcW w:w="1384" w:type="dxa"/>
          </w:tcPr>
          <w:p>
            <w:pPr>
              <w:pStyle w:val="yTableNAm"/>
              <w:spacing w:before="0"/>
              <w:ind w:right="284"/>
              <w:jc w:val="right"/>
            </w:pPr>
            <w:r>
              <w:t>50.00</w:t>
            </w:r>
          </w:p>
        </w:tc>
        <w:tc>
          <w:tcPr>
            <w:tcW w:w="1384" w:type="dxa"/>
          </w:tcPr>
          <w:p>
            <w:pPr>
              <w:pStyle w:val="yTableNAm"/>
              <w:spacing w:before="0"/>
              <w:ind w:right="284"/>
              <w:jc w:val="right"/>
            </w:pPr>
            <w:r>
              <w:t>25.00</w:t>
            </w:r>
          </w:p>
        </w:tc>
      </w:tr>
      <w:tr>
        <w:tc>
          <w:tcPr>
            <w:tcW w:w="4320" w:type="dxa"/>
          </w:tcPr>
          <w:p>
            <w:pPr>
              <w:pStyle w:val="yTableNAm"/>
              <w:spacing w:before="0"/>
            </w:pPr>
            <w:r>
              <w:t>Rock Lobster (tail weight) ............................</w:t>
            </w:r>
          </w:p>
        </w:tc>
        <w:tc>
          <w:tcPr>
            <w:tcW w:w="1384" w:type="dxa"/>
          </w:tcPr>
          <w:p>
            <w:pPr>
              <w:pStyle w:val="yTableNAm"/>
              <w:spacing w:before="0"/>
              <w:ind w:right="284"/>
              <w:jc w:val="right"/>
            </w:pPr>
            <w:r>
              <w:t>60.00</w:t>
            </w:r>
          </w:p>
        </w:tc>
        <w:tc>
          <w:tcPr>
            <w:tcW w:w="1384" w:type="dxa"/>
          </w:tcPr>
          <w:p>
            <w:pPr>
              <w:pStyle w:val="yTableNAm"/>
              <w:spacing w:before="0"/>
              <w:ind w:right="284"/>
              <w:jc w:val="right"/>
            </w:pPr>
            <w:r>
              <w:t>15.00</w:t>
            </w:r>
          </w:p>
        </w:tc>
      </w:tr>
      <w:tr>
        <w:tc>
          <w:tcPr>
            <w:tcW w:w="4320" w:type="dxa"/>
          </w:tcPr>
          <w:p>
            <w:pPr>
              <w:pStyle w:val="yTableNAm"/>
              <w:spacing w:before="0"/>
            </w:pPr>
            <w:r>
              <w:t>Sailfish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40.00</w:t>
            </w:r>
          </w:p>
        </w:tc>
      </w:tr>
      <w:tr>
        <w:tc>
          <w:tcPr>
            <w:tcW w:w="4320" w:type="dxa"/>
          </w:tcPr>
          <w:p>
            <w:pPr>
              <w:pStyle w:val="yTableNAm"/>
              <w:spacing w:before="0"/>
            </w:pPr>
            <w:r>
              <w:t>Salmon, Australian ........................................</w:t>
            </w:r>
          </w:p>
        </w:tc>
        <w:tc>
          <w:tcPr>
            <w:tcW w:w="1384" w:type="dxa"/>
          </w:tcPr>
          <w:p>
            <w:pPr>
              <w:pStyle w:val="yTableNAm"/>
              <w:spacing w:before="0"/>
              <w:ind w:right="284"/>
              <w:jc w:val="right"/>
            </w:pPr>
            <w:r>
              <w:t>1.50</w:t>
            </w:r>
          </w:p>
        </w:tc>
        <w:tc>
          <w:tcPr>
            <w:tcW w:w="1384" w:type="dxa"/>
          </w:tcPr>
          <w:p>
            <w:pPr>
              <w:pStyle w:val="yTableNAm"/>
              <w:spacing w:before="0"/>
              <w:ind w:right="284"/>
              <w:jc w:val="right"/>
            </w:pPr>
            <w:r>
              <w:t>3.75</w:t>
            </w:r>
          </w:p>
        </w:tc>
      </w:tr>
      <w:tr>
        <w:tc>
          <w:tcPr>
            <w:tcW w:w="4320" w:type="dxa"/>
          </w:tcPr>
          <w:p>
            <w:pPr>
              <w:pStyle w:val="yTableNAm"/>
              <w:spacing w:before="0"/>
            </w:pPr>
            <w:r>
              <w:t>Samson Fish (Sea Kingfish)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r>
              <w:t>Sawfish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Scallop (shucked) ..........................................</w:t>
            </w:r>
          </w:p>
        </w:tc>
        <w:tc>
          <w:tcPr>
            <w:tcW w:w="1384" w:type="dxa"/>
          </w:tcPr>
          <w:p>
            <w:pPr>
              <w:pStyle w:val="yTableNAm"/>
              <w:spacing w:before="0"/>
              <w:ind w:right="284"/>
              <w:jc w:val="right"/>
            </w:pPr>
            <w:r>
              <w:t>18.00</w:t>
            </w:r>
          </w:p>
        </w:tc>
        <w:tc>
          <w:tcPr>
            <w:tcW w:w="1384" w:type="dxa"/>
          </w:tcPr>
          <w:p>
            <w:pPr>
              <w:pStyle w:val="yTableNAm"/>
              <w:spacing w:before="0"/>
              <w:ind w:right="284"/>
              <w:jc w:val="right"/>
            </w:pPr>
            <w:r>
              <w:t>0.50</w:t>
            </w:r>
          </w:p>
        </w:tc>
      </w:tr>
      <w:tr>
        <w:tc>
          <w:tcPr>
            <w:tcW w:w="4320" w:type="dxa"/>
          </w:tcPr>
          <w:p>
            <w:pPr>
              <w:pStyle w:val="yTableNAm"/>
              <w:spacing w:before="0"/>
            </w:pPr>
            <w:r>
              <w:t>Scallop (whole weight) .................................</w:t>
            </w:r>
          </w:p>
        </w:tc>
        <w:tc>
          <w:tcPr>
            <w:tcW w:w="1384" w:type="dxa"/>
          </w:tcPr>
          <w:p>
            <w:pPr>
              <w:pStyle w:val="yTableNAm"/>
              <w:spacing w:before="0"/>
              <w:ind w:right="284"/>
              <w:jc w:val="right"/>
            </w:pPr>
            <w:r>
              <w:t>3.60</w:t>
            </w:r>
          </w:p>
        </w:tc>
        <w:tc>
          <w:tcPr>
            <w:tcW w:w="1384" w:type="dxa"/>
          </w:tcPr>
          <w:p>
            <w:pPr>
              <w:pStyle w:val="yTableNAm"/>
              <w:spacing w:before="0"/>
              <w:ind w:right="284"/>
              <w:jc w:val="right"/>
            </w:pPr>
            <w:r>
              <w:t>0.50</w:t>
            </w:r>
          </w:p>
        </w:tc>
      </w:tr>
      <w:tr>
        <w:tc>
          <w:tcPr>
            <w:tcW w:w="4320" w:type="dxa"/>
          </w:tcPr>
          <w:p>
            <w:pPr>
              <w:pStyle w:val="yTableNAm"/>
              <w:spacing w:before="0"/>
              <w:rPr>
                <w:lang w:val="fr-FR"/>
              </w:rPr>
            </w:pPr>
            <w:r>
              <w:rPr>
                <w:lang w:val="fr-FR"/>
              </w:rPr>
              <w:t>Sea Cucumber (Beche</w:t>
            </w:r>
            <w:r>
              <w:rPr>
                <w:lang w:val="fr-FR"/>
              </w:rPr>
              <w:noBreakHyphen/>
              <w:t>de</w:t>
            </w:r>
            <w:r>
              <w:rPr>
                <w:lang w:val="fr-FR"/>
              </w:rPr>
              <w:noBreakHyphen/>
              <w:t>mer, Trepang) ......</w:t>
            </w:r>
          </w:p>
        </w:tc>
        <w:tc>
          <w:tcPr>
            <w:tcW w:w="1384" w:type="dxa"/>
          </w:tcPr>
          <w:p>
            <w:pPr>
              <w:pStyle w:val="yTableNAm"/>
              <w:spacing w:before="0"/>
              <w:ind w:right="284"/>
              <w:jc w:val="right"/>
            </w:pPr>
            <w:r>
              <w:t>9.50</w:t>
            </w:r>
          </w:p>
        </w:tc>
        <w:tc>
          <w:tcPr>
            <w:tcW w:w="1384" w:type="dxa"/>
          </w:tcPr>
          <w:p>
            <w:pPr>
              <w:pStyle w:val="yTableNAm"/>
              <w:spacing w:before="0"/>
              <w:ind w:right="284"/>
              <w:jc w:val="right"/>
            </w:pPr>
            <w:r>
              <w:t>4.00</w:t>
            </w:r>
          </w:p>
        </w:tc>
      </w:tr>
      <w:tr>
        <w:tc>
          <w:tcPr>
            <w:tcW w:w="4320" w:type="dxa"/>
          </w:tcPr>
          <w:p>
            <w:pPr>
              <w:pStyle w:val="yTableNAm"/>
              <w:spacing w:before="0"/>
            </w:pPr>
            <w:r>
              <w:t>Sea Urchin .....................................................</w:t>
            </w:r>
          </w:p>
        </w:tc>
        <w:tc>
          <w:tcPr>
            <w:tcW w:w="1384" w:type="dxa"/>
          </w:tcPr>
          <w:p>
            <w:pPr>
              <w:pStyle w:val="yTableNAm"/>
              <w:spacing w:before="0"/>
              <w:ind w:right="284"/>
              <w:jc w:val="right"/>
            </w:pPr>
            <w:r>
              <w:t>20.00</w:t>
            </w:r>
          </w:p>
        </w:tc>
        <w:tc>
          <w:tcPr>
            <w:tcW w:w="1384" w:type="dxa"/>
          </w:tcPr>
          <w:p>
            <w:pPr>
              <w:pStyle w:val="yTableNAm"/>
              <w:spacing w:before="0"/>
              <w:ind w:right="284"/>
              <w:jc w:val="right"/>
            </w:pPr>
            <w:r>
              <w:t>2.00</w:t>
            </w:r>
          </w:p>
        </w:tc>
      </w:tr>
      <w:tr>
        <w:tc>
          <w:tcPr>
            <w:tcW w:w="4320" w:type="dxa"/>
          </w:tcPr>
          <w:p>
            <w:pPr>
              <w:pStyle w:val="yTableNAm"/>
              <w:spacing w:before="0"/>
            </w:pPr>
            <w:r>
              <w:t>Shark, Great White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 Speartooth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 Whale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Sharks (other) ................................................</w:t>
            </w:r>
          </w:p>
        </w:tc>
        <w:tc>
          <w:tcPr>
            <w:tcW w:w="1384" w:type="dxa"/>
          </w:tcPr>
          <w:p>
            <w:pPr>
              <w:pStyle w:val="yTableNAm"/>
              <w:spacing w:before="0"/>
              <w:ind w:right="284"/>
              <w:jc w:val="right"/>
            </w:pPr>
            <w:r>
              <w:t>6.00</w:t>
            </w:r>
          </w:p>
        </w:tc>
        <w:tc>
          <w:tcPr>
            <w:tcW w:w="1384" w:type="dxa"/>
          </w:tcPr>
          <w:p>
            <w:pPr>
              <w:pStyle w:val="yTableNAm"/>
              <w:spacing w:before="0"/>
              <w:ind w:right="284"/>
              <w:jc w:val="right"/>
            </w:pPr>
            <w:r>
              <w:t>90.00</w:t>
            </w:r>
          </w:p>
        </w:tc>
      </w:tr>
      <w:tr>
        <w:tc>
          <w:tcPr>
            <w:tcW w:w="4320" w:type="dxa"/>
          </w:tcPr>
          <w:p>
            <w:pPr>
              <w:pStyle w:val="yTableNAm"/>
              <w:spacing w:before="0"/>
            </w:pPr>
            <w:r>
              <w:t>Snapper, Deep water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Snapper, Goldband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Snapper, Northwest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spacing w:before="0"/>
            </w:pPr>
            <w:r>
              <w:t>Snapper, Pink ................................................</w:t>
            </w:r>
          </w:p>
        </w:tc>
        <w:tc>
          <w:tcPr>
            <w:tcW w:w="1384" w:type="dxa"/>
          </w:tcPr>
          <w:p>
            <w:pPr>
              <w:pStyle w:val="yTableNAm"/>
              <w:spacing w:before="0"/>
              <w:ind w:right="284"/>
              <w:jc w:val="right"/>
            </w:pPr>
            <w:r>
              <w:t>9.50</w:t>
            </w:r>
          </w:p>
        </w:tc>
        <w:tc>
          <w:tcPr>
            <w:tcW w:w="1384" w:type="dxa"/>
          </w:tcPr>
          <w:p>
            <w:pPr>
              <w:pStyle w:val="yTableNAm"/>
              <w:spacing w:before="0"/>
              <w:ind w:right="284"/>
              <w:jc w:val="right"/>
            </w:pPr>
            <w:r>
              <w:t>28.50</w:t>
            </w:r>
          </w:p>
        </w:tc>
      </w:tr>
      <w:tr>
        <w:tc>
          <w:tcPr>
            <w:tcW w:w="4320" w:type="dxa"/>
          </w:tcPr>
          <w:p>
            <w:pPr>
              <w:pStyle w:val="yTableNAm"/>
              <w:spacing w:before="0"/>
              <w:rPr>
                <w:iCs/>
              </w:rPr>
            </w:pPr>
            <w:r>
              <w:rPr>
                <w:iCs/>
              </w:rPr>
              <w:t>Snapper, Queen (Blue Morwong) .................</w:t>
            </w:r>
          </w:p>
        </w:tc>
        <w:tc>
          <w:tcPr>
            <w:tcW w:w="1384" w:type="dxa"/>
          </w:tcPr>
          <w:p>
            <w:pPr>
              <w:pStyle w:val="yTableNAm"/>
              <w:spacing w:before="0"/>
              <w:ind w:right="284"/>
              <w:jc w:val="right"/>
            </w:pPr>
            <w:r>
              <w:t>3.50</w:t>
            </w:r>
          </w:p>
        </w:tc>
        <w:tc>
          <w:tcPr>
            <w:tcW w:w="1384" w:type="dxa"/>
          </w:tcPr>
          <w:p>
            <w:pPr>
              <w:pStyle w:val="yTableNAm"/>
              <w:spacing w:before="0"/>
              <w:ind w:right="284"/>
              <w:jc w:val="right"/>
            </w:pPr>
            <w:r>
              <w:t>8.75</w:t>
            </w:r>
          </w:p>
        </w:tc>
      </w:tr>
      <w:tr>
        <w:tc>
          <w:tcPr>
            <w:tcW w:w="4320" w:type="dxa"/>
          </w:tcPr>
          <w:p>
            <w:pPr>
              <w:pStyle w:val="yTableNAm"/>
              <w:spacing w:before="0"/>
              <w:rPr>
                <w:iCs/>
              </w:rPr>
            </w:pPr>
            <w:r>
              <w:rPr>
                <w:iCs/>
              </w:rPr>
              <w:t>Snapper, Red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6.00</w:t>
            </w:r>
          </w:p>
        </w:tc>
      </w:tr>
      <w:tr>
        <w:tc>
          <w:tcPr>
            <w:tcW w:w="4320" w:type="dxa"/>
          </w:tcPr>
          <w:p>
            <w:pPr>
              <w:pStyle w:val="yTableNAm"/>
              <w:spacing w:before="0"/>
              <w:rPr>
                <w:iCs/>
              </w:rPr>
            </w:pPr>
            <w:r>
              <w:rPr>
                <w:iCs/>
              </w:rPr>
              <w:t>Snook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spacing w:before="0"/>
              <w:rPr>
                <w:iCs/>
              </w:rPr>
            </w:pPr>
            <w:r>
              <w:rPr>
                <w:iCs/>
              </w:rPr>
              <w:t>Sole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spacing w:before="0"/>
              <w:rPr>
                <w:iCs/>
              </w:rPr>
            </w:pPr>
            <w:r>
              <w:rPr>
                <w:iCs/>
              </w:rPr>
              <w:t>Spearfish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25.00</w:t>
            </w:r>
          </w:p>
        </w:tc>
      </w:tr>
      <w:tr>
        <w:tc>
          <w:tcPr>
            <w:tcW w:w="4320" w:type="dxa"/>
          </w:tcPr>
          <w:p>
            <w:pPr>
              <w:pStyle w:val="yTableNAm"/>
              <w:spacing w:before="0"/>
              <w:rPr>
                <w:iCs/>
              </w:rPr>
            </w:pPr>
            <w:r>
              <w:rPr>
                <w:iCs/>
              </w:rPr>
              <w:t xml:space="preserve">Sprat, </w:t>
            </w:r>
            <w:smartTag w:uri="urn:schemas-microsoft-com:office:smarttags" w:element="place">
              <w:smartTag w:uri="urn:schemas-microsoft-com:office:smarttags" w:element="City">
                <w:r>
                  <w:rPr>
                    <w:iCs/>
                  </w:rPr>
                  <w:t>Sandy</w:t>
                </w:r>
              </w:smartTag>
            </w:smartTag>
            <w:r>
              <w:rPr>
                <w:iCs/>
              </w:rPr>
              <w:t xml:space="preserve"> (Whitebait)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rPr>
                <w:iCs/>
              </w:rPr>
            </w:pPr>
            <w:r>
              <w:rPr>
                <w:iCs/>
              </w:rPr>
              <w:t>Squid .............................................................</w:t>
            </w:r>
          </w:p>
        </w:tc>
        <w:tc>
          <w:tcPr>
            <w:tcW w:w="1384" w:type="dxa"/>
          </w:tcPr>
          <w:p>
            <w:pPr>
              <w:pStyle w:val="yTableNAm"/>
              <w:spacing w:before="0"/>
              <w:ind w:right="284"/>
              <w:jc w:val="right"/>
            </w:pPr>
            <w:r>
              <w:t>9.00</w:t>
            </w:r>
          </w:p>
        </w:tc>
        <w:tc>
          <w:tcPr>
            <w:tcW w:w="1384" w:type="dxa"/>
          </w:tcPr>
          <w:p>
            <w:pPr>
              <w:pStyle w:val="yTableNAm"/>
              <w:spacing w:before="0"/>
              <w:ind w:right="284"/>
              <w:jc w:val="right"/>
            </w:pPr>
            <w:r>
              <w:t>2.50</w:t>
            </w:r>
          </w:p>
        </w:tc>
      </w:tr>
      <w:tr>
        <w:tc>
          <w:tcPr>
            <w:tcW w:w="4320" w:type="dxa"/>
          </w:tcPr>
          <w:p>
            <w:pPr>
              <w:pStyle w:val="yTableNAm"/>
              <w:spacing w:before="0"/>
              <w:rPr>
                <w:iCs/>
              </w:rPr>
            </w:pPr>
            <w:r>
              <w:rPr>
                <w:iCs/>
              </w:rPr>
              <w:t>Swallowtail ....................................................</w:t>
            </w:r>
          </w:p>
        </w:tc>
        <w:tc>
          <w:tcPr>
            <w:tcW w:w="1384" w:type="dxa"/>
          </w:tcPr>
          <w:p>
            <w:pPr>
              <w:pStyle w:val="yTableNAm"/>
              <w:spacing w:before="0"/>
              <w:ind w:right="284"/>
              <w:jc w:val="right"/>
            </w:pPr>
            <w:r>
              <w:t>3.50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Sweep, Banded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spacing w:before="0"/>
              <w:rPr>
                <w:iCs/>
              </w:rPr>
            </w:pPr>
            <w:r>
              <w:rPr>
                <w:iCs/>
              </w:rPr>
              <w:t>Sweep, Sea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Sweetlips .......................................................</w:t>
            </w:r>
          </w:p>
        </w:tc>
        <w:tc>
          <w:tcPr>
            <w:tcW w:w="1384" w:type="dxa"/>
          </w:tcPr>
          <w:p>
            <w:pPr>
              <w:pStyle w:val="yTableNAm"/>
              <w:spacing w:before="0"/>
              <w:ind w:right="284"/>
              <w:jc w:val="right"/>
            </w:pPr>
            <w:r>
              <w:t>4.50</w:t>
            </w:r>
          </w:p>
        </w:tc>
        <w:tc>
          <w:tcPr>
            <w:tcW w:w="1384" w:type="dxa"/>
          </w:tcPr>
          <w:p>
            <w:pPr>
              <w:pStyle w:val="yTableNAm"/>
              <w:spacing w:before="0"/>
              <w:ind w:right="284"/>
              <w:jc w:val="right"/>
            </w:pPr>
            <w:r>
              <w:t>4.50</w:t>
            </w:r>
          </w:p>
        </w:tc>
      </w:tr>
      <w:tr>
        <w:tc>
          <w:tcPr>
            <w:tcW w:w="4320" w:type="dxa"/>
          </w:tcPr>
          <w:p>
            <w:pPr>
              <w:pStyle w:val="yTableNAm"/>
              <w:spacing w:before="0"/>
              <w:rPr>
                <w:iCs/>
              </w:rPr>
            </w:pPr>
            <w:r>
              <w:rPr>
                <w:iCs/>
              </w:rPr>
              <w:t>Swordfish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w:t>
            </w:r>
          </w:p>
        </w:tc>
      </w:tr>
      <w:tr>
        <w:tc>
          <w:tcPr>
            <w:tcW w:w="4320" w:type="dxa"/>
          </w:tcPr>
          <w:p>
            <w:pPr>
              <w:pStyle w:val="yTableNAm"/>
              <w:spacing w:before="0"/>
              <w:rPr>
                <w:iCs/>
              </w:rPr>
            </w:pPr>
            <w:r>
              <w:rPr>
                <w:iCs/>
              </w:rPr>
              <w:t>Tailor .............................................................</w:t>
            </w:r>
          </w:p>
        </w:tc>
        <w:tc>
          <w:tcPr>
            <w:tcW w:w="1384" w:type="dxa"/>
          </w:tcPr>
          <w:p>
            <w:pPr>
              <w:pStyle w:val="yTableNAm"/>
              <w:spacing w:before="0"/>
              <w:ind w:right="284"/>
              <w:jc w:val="right"/>
            </w:pPr>
            <w:r>
              <w:t>7.00</w:t>
            </w:r>
          </w:p>
        </w:tc>
        <w:tc>
          <w:tcPr>
            <w:tcW w:w="1384" w:type="dxa"/>
          </w:tcPr>
          <w:p>
            <w:pPr>
              <w:pStyle w:val="yTableNAm"/>
              <w:spacing w:before="0"/>
              <w:ind w:right="284"/>
              <w:jc w:val="right"/>
            </w:pPr>
            <w:r>
              <w:t>5.00</w:t>
            </w:r>
          </w:p>
        </w:tc>
      </w:tr>
      <w:tr>
        <w:tc>
          <w:tcPr>
            <w:tcW w:w="4320" w:type="dxa"/>
          </w:tcPr>
          <w:p>
            <w:pPr>
              <w:pStyle w:val="yTableNAm"/>
              <w:spacing w:before="0"/>
              <w:rPr>
                <w:iCs/>
              </w:rPr>
            </w:pPr>
            <w:r>
              <w:rPr>
                <w:iCs/>
              </w:rPr>
              <w:t>Tarwhine (Silver Bream) ..............................</w:t>
            </w:r>
          </w:p>
        </w:tc>
        <w:tc>
          <w:tcPr>
            <w:tcW w:w="1384" w:type="dxa"/>
          </w:tcPr>
          <w:p>
            <w:pPr>
              <w:pStyle w:val="yTableNAm"/>
              <w:spacing w:before="0"/>
              <w:ind w:right="284"/>
              <w:jc w:val="right"/>
            </w:pPr>
            <w:r>
              <w:t>6.00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Threadfin, Blue .............................................</w:t>
            </w:r>
          </w:p>
        </w:tc>
        <w:tc>
          <w:tcPr>
            <w:tcW w:w="1384" w:type="dxa"/>
          </w:tcPr>
          <w:p>
            <w:pPr>
              <w:pStyle w:val="yTableNAm"/>
              <w:spacing w:before="0"/>
              <w:ind w:right="284"/>
              <w:jc w:val="right"/>
            </w:pPr>
            <w:r>
              <w:t>4.00</w:t>
            </w:r>
          </w:p>
        </w:tc>
        <w:tc>
          <w:tcPr>
            <w:tcW w:w="1384" w:type="dxa"/>
          </w:tcPr>
          <w:p>
            <w:pPr>
              <w:pStyle w:val="yTableNAm"/>
              <w:spacing w:before="0"/>
              <w:ind w:right="284"/>
              <w:jc w:val="right"/>
            </w:pPr>
            <w:r>
              <w:t>12.00</w:t>
            </w:r>
          </w:p>
        </w:tc>
      </w:tr>
      <w:tr>
        <w:tc>
          <w:tcPr>
            <w:tcW w:w="4320" w:type="dxa"/>
          </w:tcPr>
          <w:p>
            <w:pPr>
              <w:pStyle w:val="yTableNAm"/>
              <w:spacing w:before="0"/>
              <w:rPr>
                <w:iCs/>
              </w:rPr>
            </w:pPr>
            <w:r>
              <w:rPr>
                <w:iCs/>
              </w:rPr>
              <w:t>Threadfin, Giant ............................................</w:t>
            </w:r>
          </w:p>
        </w:tc>
        <w:tc>
          <w:tcPr>
            <w:tcW w:w="1384" w:type="dxa"/>
          </w:tcPr>
          <w:p>
            <w:pPr>
              <w:pStyle w:val="yTableNAm"/>
              <w:spacing w:before="0"/>
              <w:ind w:right="284"/>
              <w:jc w:val="right"/>
            </w:pPr>
            <w:r>
              <w:t>11.00</w:t>
            </w:r>
          </w:p>
        </w:tc>
        <w:tc>
          <w:tcPr>
            <w:tcW w:w="1384" w:type="dxa"/>
          </w:tcPr>
          <w:p>
            <w:pPr>
              <w:pStyle w:val="yTableNAm"/>
              <w:spacing w:before="0"/>
              <w:ind w:right="284"/>
              <w:jc w:val="right"/>
            </w:pPr>
            <w:r>
              <w:t>33.00</w:t>
            </w:r>
          </w:p>
        </w:tc>
      </w:tr>
      <w:tr>
        <w:tc>
          <w:tcPr>
            <w:tcW w:w="4320" w:type="dxa"/>
          </w:tcPr>
          <w:p>
            <w:pPr>
              <w:pStyle w:val="yTableNAm"/>
              <w:spacing w:before="0"/>
              <w:rPr>
                <w:iCs/>
              </w:rPr>
            </w:pPr>
            <w:r>
              <w:rPr>
                <w:iCs/>
              </w:rPr>
              <w:t>Trevalla .........................................................</w:t>
            </w:r>
          </w:p>
        </w:tc>
        <w:tc>
          <w:tcPr>
            <w:tcW w:w="1384" w:type="dxa"/>
          </w:tcPr>
          <w:p>
            <w:pPr>
              <w:pStyle w:val="yTableNAm"/>
              <w:spacing w:before="0"/>
              <w:ind w:right="284"/>
              <w:jc w:val="right"/>
            </w:pPr>
            <w:r>
              <w:t>6.00</w:t>
            </w:r>
          </w:p>
        </w:tc>
        <w:tc>
          <w:tcPr>
            <w:tcW w:w="1384" w:type="dxa"/>
          </w:tcPr>
          <w:p>
            <w:pPr>
              <w:pStyle w:val="yTableNAm"/>
              <w:spacing w:before="0"/>
              <w:ind w:right="284"/>
              <w:jc w:val="right"/>
            </w:pPr>
            <w:r>
              <w:t>24.00</w:t>
            </w:r>
          </w:p>
        </w:tc>
      </w:tr>
      <w:tr>
        <w:tc>
          <w:tcPr>
            <w:tcW w:w="4320" w:type="dxa"/>
          </w:tcPr>
          <w:p>
            <w:pPr>
              <w:pStyle w:val="yTableNAm"/>
              <w:spacing w:before="0"/>
              <w:rPr>
                <w:iCs/>
              </w:rPr>
            </w:pPr>
            <w:r>
              <w:rPr>
                <w:iCs/>
              </w:rPr>
              <w:t>Trevally, Giant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Trevally, Golden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Trevally, Silver (Skipjack) ............................</w:t>
            </w:r>
          </w:p>
        </w:tc>
        <w:tc>
          <w:tcPr>
            <w:tcW w:w="1384" w:type="dxa"/>
          </w:tcPr>
          <w:p>
            <w:pPr>
              <w:pStyle w:val="yTableNAm"/>
              <w:spacing w:before="0"/>
              <w:ind w:right="284"/>
              <w:jc w:val="right"/>
            </w:pPr>
            <w:r>
              <w:t>3.50</w:t>
            </w:r>
          </w:p>
        </w:tc>
        <w:tc>
          <w:tcPr>
            <w:tcW w:w="1384" w:type="dxa"/>
          </w:tcPr>
          <w:p>
            <w:pPr>
              <w:pStyle w:val="yTableNAm"/>
              <w:spacing w:before="0"/>
              <w:ind w:right="284"/>
              <w:jc w:val="right"/>
            </w:pPr>
            <w:r>
              <w:t>1.00</w:t>
            </w:r>
          </w:p>
        </w:tc>
      </w:tr>
      <w:tr>
        <w:tc>
          <w:tcPr>
            <w:tcW w:w="4320" w:type="dxa"/>
          </w:tcPr>
          <w:p>
            <w:pPr>
              <w:pStyle w:val="yTableNAm"/>
              <w:spacing w:before="0"/>
              <w:rPr>
                <w:iCs/>
              </w:rPr>
            </w:pPr>
            <w:r>
              <w:rPr>
                <w:iCs/>
              </w:rPr>
              <w:t>Trochus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Trout, Brown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Trout, Rainbow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Tripletail ........................................................</w:t>
            </w:r>
          </w:p>
        </w:tc>
        <w:tc>
          <w:tcPr>
            <w:tcW w:w="1384" w:type="dxa"/>
          </w:tcPr>
          <w:p>
            <w:pPr>
              <w:pStyle w:val="yTableNAm"/>
              <w:spacing w:before="0"/>
              <w:ind w:right="284"/>
              <w:jc w:val="right"/>
            </w:pPr>
            <w:r>
              <w:t>8.00</w:t>
            </w:r>
          </w:p>
        </w:tc>
        <w:tc>
          <w:tcPr>
            <w:tcW w:w="1384" w:type="dxa"/>
          </w:tcPr>
          <w:p>
            <w:pPr>
              <w:pStyle w:val="yTableNAm"/>
              <w:spacing w:before="0"/>
              <w:ind w:right="284"/>
              <w:jc w:val="right"/>
            </w:pPr>
            <w:r>
              <w:t>20.00</w:t>
            </w:r>
          </w:p>
        </w:tc>
      </w:tr>
      <w:tr>
        <w:tc>
          <w:tcPr>
            <w:tcW w:w="4320" w:type="dxa"/>
          </w:tcPr>
          <w:p>
            <w:pPr>
              <w:pStyle w:val="yTableNAm"/>
              <w:spacing w:before="0"/>
              <w:rPr>
                <w:iCs/>
              </w:rPr>
            </w:pPr>
            <w:r>
              <w:rPr>
                <w:iCs/>
              </w:rPr>
              <w:t>Tuna, Albacore ..............................................</w:t>
            </w:r>
          </w:p>
        </w:tc>
        <w:tc>
          <w:tcPr>
            <w:tcW w:w="1384" w:type="dxa"/>
          </w:tcPr>
          <w:p>
            <w:pPr>
              <w:pStyle w:val="yTableNAm"/>
              <w:spacing w:before="0"/>
              <w:ind w:right="284"/>
              <w:jc w:val="right"/>
            </w:pPr>
            <w:r>
              <w:t>3.50</w:t>
            </w:r>
          </w:p>
        </w:tc>
        <w:tc>
          <w:tcPr>
            <w:tcW w:w="1384" w:type="dxa"/>
          </w:tcPr>
          <w:p>
            <w:pPr>
              <w:pStyle w:val="yTableNAm"/>
              <w:spacing w:before="0"/>
              <w:ind w:right="284"/>
              <w:jc w:val="right"/>
            </w:pPr>
            <w:r>
              <w:t>14.00</w:t>
            </w:r>
          </w:p>
        </w:tc>
      </w:tr>
      <w:tr>
        <w:tc>
          <w:tcPr>
            <w:tcW w:w="4320" w:type="dxa"/>
          </w:tcPr>
          <w:p>
            <w:pPr>
              <w:pStyle w:val="yTableNAm"/>
              <w:spacing w:before="0"/>
              <w:rPr>
                <w:iCs/>
              </w:rPr>
            </w:pPr>
            <w:r>
              <w:rPr>
                <w:iCs/>
              </w:rPr>
              <w:t>Tuna, Bigeye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30.00</w:t>
            </w:r>
          </w:p>
        </w:tc>
      </w:tr>
      <w:tr>
        <w:tc>
          <w:tcPr>
            <w:tcW w:w="4320" w:type="dxa"/>
          </w:tcPr>
          <w:p>
            <w:pPr>
              <w:pStyle w:val="yTableNAm"/>
              <w:spacing w:before="0"/>
              <w:rPr>
                <w:iCs/>
              </w:rPr>
            </w:pPr>
            <w:r>
              <w:rPr>
                <w:iCs/>
              </w:rPr>
              <w:t>Tuna, Dogtooth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20.00</w:t>
            </w:r>
          </w:p>
        </w:tc>
      </w:tr>
      <w:tr>
        <w:tc>
          <w:tcPr>
            <w:tcW w:w="4320" w:type="dxa"/>
          </w:tcPr>
          <w:p>
            <w:pPr>
              <w:pStyle w:val="yTableNAm"/>
              <w:spacing w:before="0"/>
              <w:rPr>
                <w:iCs/>
              </w:rPr>
            </w:pPr>
            <w:r>
              <w:rPr>
                <w:iCs/>
              </w:rPr>
              <w:t xml:space="preserve">Tuna, </w:t>
            </w:r>
            <w:smartTag w:uri="urn:schemas-microsoft-com:office:smarttags" w:element="place">
              <w:r>
                <w:rPr>
                  <w:iCs/>
                </w:rPr>
                <w:t>Northern Bluefin</w:t>
              </w:r>
            </w:smartTag>
            <w:r>
              <w:rPr>
                <w:iCs/>
              </w:rPr>
              <w:t xml:space="preserve"> .................................</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25.00</w:t>
            </w:r>
          </w:p>
        </w:tc>
      </w:tr>
      <w:tr>
        <w:tc>
          <w:tcPr>
            <w:tcW w:w="4320" w:type="dxa"/>
          </w:tcPr>
          <w:p>
            <w:pPr>
              <w:pStyle w:val="yTableNAm"/>
              <w:spacing w:before="0"/>
              <w:rPr>
                <w:iCs/>
              </w:rPr>
            </w:pPr>
            <w:r>
              <w:rPr>
                <w:iCs/>
              </w:rPr>
              <w:t>Tuna, Skipjack ..............................................</w:t>
            </w:r>
          </w:p>
        </w:tc>
        <w:tc>
          <w:tcPr>
            <w:tcW w:w="1384" w:type="dxa"/>
          </w:tcPr>
          <w:p>
            <w:pPr>
              <w:pStyle w:val="yTableNAm"/>
              <w:spacing w:before="0"/>
              <w:ind w:right="284"/>
              <w:jc w:val="right"/>
            </w:pPr>
            <w:r>
              <w:t>1.00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 xml:space="preserve">Tuna, </w:t>
            </w:r>
            <w:smartTag w:uri="urn:schemas-microsoft-com:office:smarttags" w:element="place">
              <w:r>
                <w:rPr>
                  <w:iCs/>
                </w:rPr>
                <w:t>Southern Bluefin</w:t>
              </w:r>
            </w:smartTag>
            <w:r>
              <w:rPr>
                <w:iCs/>
              </w:rPr>
              <w:t xml:space="preserve">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rPr>
                <w:iCs/>
              </w:rPr>
            </w:pPr>
            <w:r>
              <w:rPr>
                <w:iCs/>
              </w:rPr>
              <w:t>Tuna, Yellowfin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19.00</w:t>
            </w:r>
          </w:p>
        </w:tc>
      </w:tr>
      <w:tr>
        <w:tc>
          <w:tcPr>
            <w:tcW w:w="4320" w:type="dxa"/>
          </w:tcPr>
          <w:p>
            <w:pPr>
              <w:pStyle w:val="yTableNAm"/>
              <w:spacing w:before="0"/>
              <w:rPr>
                <w:iCs/>
              </w:rPr>
            </w:pPr>
            <w:r>
              <w:rPr>
                <w:iCs/>
              </w:rPr>
              <w:t>Tuskfish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18.00</w:t>
            </w:r>
          </w:p>
        </w:tc>
      </w:tr>
      <w:tr>
        <w:tc>
          <w:tcPr>
            <w:tcW w:w="4320" w:type="dxa"/>
          </w:tcPr>
          <w:p>
            <w:pPr>
              <w:pStyle w:val="yTableNAm"/>
              <w:spacing w:before="0"/>
              <w:rPr>
                <w:iCs/>
              </w:rPr>
            </w:pPr>
            <w:r>
              <w:t>Weedy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spacing w:before="0"/>
            </w:pPr>
            <w:r>
              <w:t>Whiting, King George (Spotted) ...................</w:t>
            </w:r>
          </w:p>
        </w:tc>
        <w:tc>
          <w:tcPr>
            <w:tcW w:w="1384" w:type="dxa"/>
          </w:tcPr>
          <w:p>
            <w:pPr>
              <w:pStyle w:val="yTableNAm"/>
              <w:spacing w:before="0"/>
              <w:ind w:right="284"/>
              <w:jc w:val="right"/>
            </w:pPr>
            <w:r>
              <w:t>20.00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Whiting, Yellow</w:t>
            </w:r>
            <w:r>
              <w:rPr>
                <w:iCs/>
              </w:rPr>
              <w:noBreakHyphen/>
              <w:t>finned</w:t>
            </w:r>
            <w:r>
              <w:t xml:space="preserve">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w:t>
            </w:r>
          </w:p>
        </w:tc>
      </w:tr>
      <w:tr>
        <w:tc>
          <w:tcPr>
            <w:tcW w:w="4320" w:type="dxa"/>
          </w:tcPr>
          <w:p>
            <w:pPr>
              <w:pStyle w:val="yTableNAm"/>
              <w:spacing w:before="0"/>
              <w:rPr>
                <w:iCs/>
              </w:rPr>
            </w:pPr>
            <w:r>
              <w:rPr>
                <w:iCs/>
              </w:rPr>
              <w:t>Whiting (other)</w:t>
            </w:r>
            <w:r>
              <w:t xml:space="preserve"> ..............................................</w:t>
            </w:r>
          </w:p>
        </w:tc>
        <w:tc>
          <w:tcPr>
            <w:tcW w:w="1384" w:type="dxa"/>
          </w:tcPr>
          <w:p>
            <w:pPr>
              <w:pStyle w:val="yTableNAm"/>
              <w:spacing w:before="0"/>
              <w:ind w:right="284"/>
              <w:jc w:val="right"/>
            </w:pPr>
            <w:r>
              <w:t>6.50</w:t>
            </w:r>
          </w:p>
        </w:tc>
        <w:tc>
          <w:tcPr>
            <w:tcW w:w="1384" w:type="dxa"/>
          </w:tcPr>
          <w:p>
            <w:pPr>
              <w:pStyle w:val="yTableNAm"/>
              <w:spacing w:before="0"/>
              <w:ind w:right="284"/>
              <w:jc w:val="right"/>
            </w:pPr>
            <w:r>
              <w:t>1.70</w:t>
            </w:r>
          </w:p>
        </w:tc>
      </w:tr>
      <w:tr>
        <w:tc>
          <w:tcPr>
            <w:tcW w:w="4320" w:type="dxa"/>
          </w:tcPr>
          <w:p>
            <w:pPr>
              <w:pStyle w:val="yTableNAm"/>
              <w:spacing w:before="0"/>
              <w:rPr>
                <w:iCs/>
              </w:rPr>
            </w:pPr>
            <w:r>
              <w:rPr>
                <w:iCs/>
              </w:rPr>
              <w:t xml:space="preserve">Wrasse, Brown spot </w:t>
            </w:r>
            <w:r>
              <w:t>......................................</w:t>
            </w:r>
          </w:p>
        </w:tc>
        <w:tc>
          <w:tcPr>
            <w:tcW w:w="1384" w:type="dxa"/>
          </w:tcPr>
          <w:p>
            <w:pPr>
              <w:pStyle w:val="yTableNAm"/>
              <w:spacing w:before="0"/>
              <w:ind w:right="284"/>
              <w:jc w:val="right"/>
            </w:pPr>
            <w:r>
              <w:t>5.00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Wrasse, Humphead Maori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100.00</w:t>
            </w:r>
          </w:p>
        </w:tc>
      </w:tr>
      <w:tr>
        <w:tc>
          <w:tcPr>
            <w:tcW w:w="4320" w:type="dxa"/>
          </w:tcPr>
          <w:p>
            <w:pPr>
              <w:pStyle w:val="yTableNAm"/>
              <w:spacing w:before="0"/>
              <w:rPr>
                <w:iCs/>
              </w:rPr>
            </w:pPr>
            <w:r>
              <w:rPr>
                <w:iCs/>
              </w:rPr>
              <w:t xml:space="preserve">Wrasse, King </w:t>
            </w:r>
            <w:r>
              <w:t>.................................................</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 xml:space="preserve">Yabbie </w:t>
            </w:r>
            <w:r>
              <w:t>...........................................................</w:t>
            </w:r>
          </w:p>
        </w:tc>
        <w:tc>
          <w:tcPr>
            <w:tcW w:w="1384" w:type="dxa"/>
          </w:tcPr>
          <w:p>
            <w:pPr>
              <w:pStyle w:val="yTableNAm"/>
              <w:spacing w:before="0"/>
              <w:ind w:right="284"/>
              <w:jc w:val="right"/>
            </w:pPr>
            <w:r>
              <w:t>12.00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 xml:space="preserve">Zoila Cowry </w:t>
            </w:r>
            <w:r>
              <w:t>..................................................</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50.00</w:t>
            </w:r>
          </w:p>
        </w:tc>
      </w:tr>
      <w:tr>
        <w:tc>
          <w:tcPr>
            <w:tcW w:w="4320" w:type="dxa"/>
            <w:tcBorders>
              <w:bottom w:val="single" w:sz="8" w:space="0" w:color="auto"/>
            </w:tcBorders>
          </w:tcPr>
          <w:p>
            <w:pPr>
              <w:pStyle w:val="yTableNAm"/>
              <w:spacing w:before="0"/>
            </w:pPr>
            <w:r>
              <w:t xml:space="preserve">All fish not otherwise listed in this Schedule </w:t>
            </w:r>
          </w:p>
        </w:tc>
        <w:tc>
          <w:tcPr>
            <w:tcW w:w="1384" w:type="dxa"/>
            <w:tcBorders>
              <w:bottom w:val="single" w:sz="8" w:space="0" w:color="auto"/>
            </w:tcBorders>
          </w:tcPr>
          <w:p>
            <w:pPr>
              <w:pStyle w:val="yTableNAm"/>
              <w:spacing w:before="0"/>
              <w:ind w:right="284"/>
              <w:jc w:val="right"/>
            </w:pPr>
            <w:r>
              <w:t>1.00</w:t>
            </w:r>
          </w:p>
        </w:tc>
        <w:tc>
          <w:tcPr>
            <w:tcW w:w="1384" w:type="dxa"/>
            <w:tcBorders>
              <w:bottom w:val="single" w:sz="8" w:space="0" w:color="auto"/>
            </w:tcBorders>
          </w:tcPr>
          <w:p>
            <w:pPr>
              <w:pStyle w:val="yTableNAm"/>
              <w:spacing w:before="0"/>
              <w:ind w:right="284"/>
              <w:jc w:val="right"/>
            </w:pPr>
            <w:r>
              <w:t>1.00</w:t>
            </w:r>
          </w:p>
        </w:tc>
      </w:tr>
    </w:tbl>
    <w:p>
      <w:pPr>
        <w:pStyle w:val="yFootnotesection"/>
      </w:pPr>
      <w:r>
        <w:tab/>
        <w:t>[Schedule 9 inserted in Gazette 29 Sep 2009 p. 3875</w:t>
      </w:r>
      <w:r>
        <w:noBreakHyphen/>
        <w:t>82; amended in Gazette 1 Mar 2011 p. 675; 24 Aug 2011 p. 3409; 24 Feb 2012 p. 803; 22 Jun 2012 p. 2779.]</w:t>
      </w:r>
    </w:p>
    <w:p>
      <w:pPr>
        <w:pStyle w:val="yScheduleHeading"/>
      </w:pPr>
      <w:bookmarkStart w:id="1610" w:name="_Toc339626135"/>
      <w:bookmarkStart w:id="1611" w:name="_Toc342397887"/>
      <w:bookmarkStart w:id="1612" w:name="_Toc343520144"/>
      <w:bookmarkStart w:id="1613" w:name="_Toc343520601"/>
      <w:bookmarkStart w:id="1614" w:name="_Toc344712166"/>
      <w:bookmarkStart w:id="1615" w:name="_Toc344712682"/>
      <w:bookmarkStart w:id="1616" w:name="_Toc347307929"/>
      <w:bookmarkStart w:id="1617" w:name="_Toc349822842"/>
      <w:bookmarkStart w:id="1618" w:name="_Toc349823262"/>
      <w:bookmarkStart w:id="1619" w:name="_Toc349831244"/>
      <w:bookmarkStart w:id="1620" w:name="_Toc359249036"/>
      <w:bookmarkStart w:id="1621" w:name="_Toc359316993"/>
      <w:r>
        <w:rPr>
          <w:rStyle w:val="CharSchNo"/>
        </w:rPr>
        <w:t>Schedule 10</w:t>
      </w:r>
      <w:bookmarkEnd w:id="1610"/>
      <w:bookmarkEnd w:id="1611"/>
      <w:bookmarkEnd w:id="1612"/>
      <w:bookmarkEnd w:id="1613"/>
      <w:bookmarkEnd w:id="1614"/>
      <w:bookmarkEnd w:id="1615"/>
      <w:bookmarkEnd w:id="1616"/>
      <w:bookmarkEnd w:id="1617"/>
      <w:bookmarkEnd w:id="1618"/>
      <w:bookmarkEnd w:id="1619"/>
      <w:bookmarkEnd w:id="1620"/>
      <w:bookmarkEnd w:id="1621"/>
    </w:p>
    <w:p>
      <w:pPr>
        <w:pStyle w:val="yShoulderClause"/>
        <w:rPr>
          <w:snapToGrid w:val="0"/>
        </w:rPr>
      </w:pPr>
      <w:r>
        <w:rPr>
          <w:snapToGrid w:val="0"/>
        </w:rPr>
        <w:t>[reg. 176]</w:t>
      </w:r>
    </w:p>
    <w:p>
      <w:pPr>
        <w:pStyle w:val="yHeading2"/>
      </w:pPr>
      <w:bookmarkStart w:id="1622" w:name="_Toc339626136"/>
      <w:bookmarkStart w:id="1623" w:name="_Toc342397888"/>
      <w:bookmarkStart w:id="1624" w:name="_Toc343520145"/>
      <w:bookmarkStart w:id="1625" w:name="_Toc343520602"/>
      <w:bookmarkStart w:id="1626" w:name="_Toc344712167"/>
      <w:bookmarkStart w:id="1627" w:name="_Toc344712683"/>
      <w:bookmarkStart w:id="1628" w:name="_Toc347307930"/>
      <w:bookmarkStart w:id="1629" w:name="_Toc349822843"/>
      <w:bookmarkStart w:id="1630" w:name="_Toc349823263"/>
      <w:bookmarkStart w:id="1631" w:name="_Toc349831245"/>
      <w:bookmarkStart w:id="1632" w:name="_Toc359249037"/>
      <w:bookmarkStart w:id="1633" w:name="_Toc359316994"/>
      <w:r>
        <w:rPr>
          <w:rStyle w:val="CharSchText"/>
        </w:rPr>
        <w:t>Non</w:t>
      </w:r>
      <w:r>
        <w:rPr>
          <w:rStyle w:val="CharSchText"/>
        </w:rPr>
        <w:noBreakHyphen/>
        <w:t>endemic species of fish permitted to be brought into the State</w:t>
      </w:r>
      <w:bookmarkEnd w:id="1622"/>
      <w:bookmarkEnd w:id="1623"/>
      <w:bookmarkEnd w:id="1624"/>
      <w:bookmarkEnd w:id="1625"/>
      <w:bookmarkEnd w:id="1626"/>
      <w:bookmarkEnd w:id="1627"/>
      <w:bookmarkEnd w:id="1628"/>
      <w:bookmarkEnd w:id="1629"/>
      <w:bookmarkEnd w:id="1630"/>
      <w:bookmarkEnd w:id="1631"/>
      <w:bookmarkEnd w:id="1632"/>
      <w:bookmarkEnd w:id="1633"/>
    </w:p>
    <w:p>
      <w:pPr>
        <w:pStyle w:val="yHeading2"/>
      </w:pPr>
      <w:bookmarkStart w:id="1634" w:name="_Toc339626137"/>
      <w:bookmarkStart w:id="1635" w:name="_Toc342397889"/>
      <w:bookmarkStart w:id="1636" w:name="_Toc343520146"/>
      <w:bookmarkStart w:id="1637" w:name="_Toc343520603"/>
      <w:bookmarkStart w:id="1638" w:name="_Toc344712168"/>
      <w:bookmarkStart w:id="1639" w:name="_Toc344712684"/>
      <w:bookmarkStart w:id="1640" w:name="_Toc347307931"/>
      <w:bookmarkStart w:id="1641" w:name="_Toc349822844"/>
      <w:bookmarkStart w:id="1642" w:name="_Toc349823264"/>
      <w:bookmarkStart w:id="1643" w:name="_Toc349831246"/>
      <w:bookmarkStart w:id="1644" w:name="_Toc359249038"/>
      <w:bookmarkStart w:id="1645" w:name="_Toc359316995"/>
      <w:r>
        <w:rPr>
          <w:rStyle w:val="CharSDivNo"/>
          <w:sz w:val="28"/>
        </w:rPr>
        <w:t>Part 1</w:t>
      </w:r>
      <w:r>
        <w:t> — </w:t>
      </w:r>
      <w:r>
        <w:rPr>
          <w:rStyle w:val="CharSDivText"/>
          <w:sz w:val="28"/>
        </w:rPr>
        <w:t>Species of fish endemic to areas of Australia outside the State</w:t>
      </w:r>
      <w:bookmarkEnd w:id="1634"/>
      <w:bookmarkEnd w:id="1635"/>
      <w:bookmarkEnd w:id="1636"/>
      <w:bookmarkEnd w:id="1637"/>
      <w:bookmarkEnd w:id="1638"/>
      <w:bookmarkEnd w:id="1639"/>
      <w:bookmarkEnd w:id="1640"/>
      <w:bookmarkEnd w:id="1641"/>
      <w:bookmarkEnd w:id="1642"/>
      <w:bookmarkEnd w:id="1643"/>
      <w:bookmarkEnd w:id="1644"/>
      <w:bookmarkEnd w:id="1645"/>
    </w:p>
    <w:p>
      <w:pPr>
        <w:pStyle w:val="yNumberedItem"/>
        <w:rPr>
          <w:snapToGrid w:val="0"/>
        </w:rPr>
      </w:pPr>
      <w:r>
        <w:rPr>
          <w:snapToGrid w:val="0"/>
        </w:rPr>
        <w:t>1.</w:t>
      </w:r>
      <w:r>
        <w:rPr>
          <w:snapToGrid w:val="0"/>
        </w:rPr>
        <w:tab/>
        <w:t xml:space="preserve">Cod, </w:t>
      </w:r>
      <w:smartTag w:uri="urn:schemas-microsoft-com:office:smarttags" w:element="place">
        <w:smartTag w:uri="urn:schemas-microsoft-com:office:smarttags" w:element="City">
          <w:r>
            <w:rPr>
              <w:snapToGrid w:val="0"/>
            </w:rPr>
            <w:t>Murray</w:t>
          </w:r>
        </w:smartTag>
      </w:smartTag>
    </w:p>
    <w:p>
      <w:pPr>
        <w:pStyle w:val="yNumberedItem"/>
        <w:spacing w:before="0"/>
        <w:rPr>
          <w:snapToGrid w:val="0"/>
        </w:rPr>
      </w:pPr>
      <w:r>
        <w:rPr>
          <w:snapToGrid w:val="0"/>
        </w:rPr>
        <w:t>2.</w:t>
      </w:r>
      <w:r>
        <w:rPr>
          <w:snapToGrid w:val="0"/>
        </w:rPr>
        <w:tab/>
        <w:t>Eel, Short</w:t>
      </w:r>
      <w:r>
        <w:rPr>
          <w:snapToGrid w:val="0"/>
        </w:rPr>
        <w:noBreakHyphen/>
        <w:t>finned</w:t>
      </w:r>
    </w:p>
    <w:p>
      <w:pPr>
        <w:pStyle w:val="yNumberedItem"/>
        <w:spacing w:before="0"/>
        <w:rPr>
          <w:snapToGrid w:val="0"/>
        </w:rPr>
      </w:pPr>
      <w:r>
        <w:rPr>
          <w:snapToGrid w:val="0"/>
        </w:rPr>
        <w:t>3.</w:t>
      </w:r>
      <w:r>
        <w:rPr>
          <w:snapToGrid w:val="0"/>
        </w:rPr>
        <w:tab/>
        <w:t>Perch, Golden</w:t>
      </w:r>
    </w:p>
    <w:p>
      <w:pPr>
        <w:pStyle w:val="yNumberedItem"/>
        <w:spacing w:before="0"/>
        <w:rPr>
          <w:snapToGrid w:val="0"/>
        </w:rPr>
      </w:pPr>
      <w:r>
        <w:rPr>
          <w:snapToGrid w:val="0"/>
        </w:rPr>
        <w:t>4.</w:t>
      </w:r>
      <w:r>
        <w:rPr>
          <w:snapToGrid w:val="0"/>
        </w:rPr>
        <w:tab/>
        <w:t>Perch, Silver</w:t>
      </w:r>
    </w:p>
    <w:p>
      <w:pPr>
        <w:pStyle w:val="yNumberedItem"/>
        <w:spacing w:before="0"/>
        <w:rPr>
          <w:snapToGrid w:val="0"/>
        </w:rPr>
      </w:pPr>
      <w:r>
        <w:rPr>
          <w:snapToGrid w:val="0"/>
        </w:rPr>
        <w:t>5.</w:t>
      </w:r>
      <w:r>
        <w:rPr>
          <w:snapToGrid w:val="0"/>
        </w:rPr>
        <w:tab/>
      </w:r>
      <w:smartTag w:uri="urn:schemas-microsoft-com:office:smarttags" w:element="place">
        <w:smartTag w:uri="urn:schemas-microsoft-com:office:smarttags" w:element="City">
          <w:r>
            <w:rPr>
              <w:snapToGrid w:val="0"/>
            </w:rPr>
            <w:t>Redclaw</w:t>
          </w:r>
        </w:smartTag>
        <w:r>
          <w:rPr>
            <w:snapToGrid w:val="0"/>
          </w:rPr>
          <w:t xml:space="preserve">, </w:t>
        </w:r>
        <w:smartTag w:uri="urn:schemas-microsoft-com:office:smarttags" w:element="State">
          <w:r>
            <w:rPr>
              <w:snapToGrid w:val="0"/>
            </w:rPr>
            <w:t>Queensland</w:t>
          </w:r>
        </w:smartTag>
      </w:smartTag>
    </w:p>
    <w:p>
      <w:pPr>
        <w:pStyle w:val="yNumberedItem"/>
        <w:spacing w:before="0"/>
        <w:rPr>
          <w:snapToGrid w:val="0"/>
        </w:rPr>
      </w:pPr>
      <w:r>
        <w:rPr>
          <w:snapToGrid w:val="0"/>
        </w:rPr>
        <w:t>6.</w:t>
      </w:r>
      <w:r>
        <w:rPr>
          <w:snapToGrid w:val="0"/>
        </w:rPr>
        <w:tab/>
        <w:t>Yabbie, Common</w:t>
      </w:r>
    </w:p>
    <w:p>
      <w:pPr>
        <w:pStyle w:val="yNumberedItem"/>
        <w:spacing w:before="0"/>
        <w:rPr>
          <w:snapToGrid w:val="0"/>
        </w:rPr>
      </w:pPr>
      <w:r>
        <w:rPr>
          <w:snapToGrid w:val="0"/>
        </w:rPr>
        <w:t>7.</w:t>
      </w:r>
      <w:r>
        <w:rPr>
          <w:snapToGrid w:val="0"/>
        </w:rPr>
        <w:tab/>
        <w:t>Yabbie, White</w:t>
      </w:r>
    </w:p>
    <w:p>
      <w:pPr>
        <w:pStyle w:val="yHeading2"/>
      </w:pPr>
      <w:bookmarkStart w:id="1646" w:name="_Toc339626138"/>
      <w:bookmarkStart w:id="1647" w:name="_Toc342397890"/>
      <w:bookmarkStart w:id="1648" w:name="_Toc343520147"/>
      <w:bookmarkStart w:id="1649" w:name="_Toc343520604"/>
      <w:bookmarkStart w:id="1650" w:name="_Toc344712169"/>
      <w:bookmarkStart w:id="1651" w:name="_Toc344712685"/>
      <w:bookmarkStart w:id="1652" w:name="_Toc347307932"/>
      <w:bookmarkStart w:id="1653" w:name="_Toc349822845"/>
      <w:bookmarkStart w:id="1654" w:name="_Toc349823265"/>
      <w:bookmarkStart w:id="1655" w:name="_Toc349831247"/>
      <w:bookmarkStart w:id="1656" w:name="_Toc359249039"/>
      <w:bookmarkStart w:id="1657" w:name="_Toc359316996"/>
      <w:r>
        <w:rPr>
          <w:rStyle w:val="CharSDivNo"/>
          <w:sz w:val="28"/>
        </w:rPr>
        <w:t>Part 2</w:t>
      </w:r>
      <w:r>
        <w:t> — </w:t>
      </w:r>
      <w:r>
        <w:rPr>
          <w:rStyle w:val="CharSDivText"/>
          <w:sz w:val="28"/>
        </w:rPr>
        <w:t>Species of fish not endemic to Australia</w:t>
      </w:r>
      <w:bookmarkEnd w:id="1646"/>
      <w:bookmarkEnd w:id="1647"/>
      <w:bookmarkEnd w:id="1648"/>
      <w:bookmarkEnd w:id="1649"/>
      <w:bookmarkEnd w:id="1650"/>
      <w:bookmarkEnd w:id="1651"/>
      <w:bookmarkEnd w:id="1652"/>
      <w:bookmarkEnd w:id="1653"/>
      <w:bookmarkEnd w:id="1654"/>
      <w:bookmarkEnd w:id="1655"/>
      <w:bookmarkEnd w:id="1656"/>
      <w:bookmarkEnd w:id="1657"/>
    </w:p>
    <w:p>
      <w:pPr>
        <w:pStyle w:val="yNumberedItem"/>
        <w:rPr>
          <w:snapToGrid w:val="0"/>
        </w:rPr>
      </w:pPr>
      <w:r>
        <w:rPr>
          <w:snapToGrid w:val="0"/>
        </w:rPr>
        <w:t>1.</w:t>
      </w:r>
      <w:r>
        <w:rPr>
          <w:snapToGrid w:val="0"/>
        </w:rPr>
        <w:tab/>
        <w:t>Perch, Redfin</w:t>
      </w:r>
    </w:p>
    <w:p>
      <w:pPr>
        <w:pStyle w:val="yNumberedItem"/>
        <w:spacing w:before="0"/>
        <w:rPr>
          <w:snapToGrid w:val="0"/>
        </w:rPr>
      </w:pPr>
      <w:r>
        <w:rPr>
          <w:snapToGrid w:val="0"/>
        </w:rPr>
        <w:t>2.</w:t>
      </w:r>
      <w:r>
        <w:rPr>
          <w:snapToGrid w:val="0"/>
        </w:rPr>
        <w:tab/>
        <w:t xml:space="preserve">Salmon, </w:t>
      </w:r>
      <w:smartTag w:uri="urn:schemas-microsoft-com:office:smarttags" w:element="place">
        <w:r>
          <w:rPr>
            <w:snapToGrid w:val="0"/>
          </w:rPr>
          <w:t>Atlantic</w:t>
        </w:r>
      </w:smartTag>
    </w:p>
    <w:p>
      <w:pPr>
        <w:pStyle w:val="yNumberedItem"/>
        <w:spacing w:before="0"/>
        <w:rPr>
          <w:snapToGrid w:val="0"/>
        </w:rPr>
      </w:pPr>
      <w:r>
        <w:rPr>
          <w:snapToGrid w:val="0"/>
        </w:rPr>
        <w:t>3.</w:t>
      </w:r>
      <w:r>
        <w:rPr>
          <w:snapToGrid w:val="0"/>
        </w:rPr>
        <w:tab/>
        <w:t>Trout, Brown</w:t>
      </w:r>
    </w:p>
    <w:p>
      <w:pPr>
        <w:pStyle w:val="yNumberedItem"/>
        <w:spacing w:before="0"/>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34"/>
          <w:headerReference w:type="default" r:id="rId35"/>
          <w:pgSz w:w="11906" w:h="16838" w:code="9"/>
          <w:pgMar w:top="2381" w:right="2409" w:bottom="3543" w:left="2409" w:header="720" w:footer="3380" w:gutter="0"/>
          <w:cols w:space="720"/>
          <w:noEndnote/>
          <w:docGrid w:linePitch="326"/>
        </w:sectPr>
      </w:pPr>
    </w:p>
    <w:p>
      <w:pPr>
        <w:pStyle w:val="yScheduleHeading"/>
      </w:pPr>
      <w:bookmarkStart w:id="1658" w:name="_Toc339626139"/>
      <w:bookmarkStart w:id="1659" w:name="_Toc342397891"/>
      <w:bookmarkStart w:id="1660" w:name="_Toc343520148"/>
      <w:bookmarkStart w:id="1661" w:name="_Toc343520605"/>
      <w:bookmarkStart w:id="1662" w:name="_Toc344712170"/>
      <w:bookmarkStart w:id="1663" w:name="_Toc344712686"/>
      <w:bookmarkStart w:id="1664" w:name="_Toc347307933"/>
      <w:bookmarkStart w:id="1665" w:name="_Toc349822846"/>
      <w:bookmarkStart w:id="1666" w:name="_Toc349823266"/>
      <w:bookmarkStart w:id="1667" w:name="_Toc349831248"/>
      <w:bookmarkStart w:id="1668" w:name="_Toc359249040"/>
      <w:bookmarkStart w:id="1669" w:name="_Toc359316997"/>
      <w:r>
        <w:rPr>
          <w:rStyle w:val="CharSchNo"/>
        </w:rPr>
        <w:t>Schedule 11</w:t>
      </w:r>
      <w:bookmarkEnd w:id="1658"/>
      <w:bookmarkEnd w:id="1659"/>
      <w:bookmarkEnd w:id="1660"/>
      <w:bookmarkEnd w:id="1661"/>
      <w:bookmarkEnd w:id="1662"/>
      <w:bookmarkEnd w:id="1663"/>
      <w:bookmarkEnd w:id="1664"/>
      <w:bookmarkEnd w:id="1665"/>
      <w:bookmarkEnd w:id="1666"/>
      <w:bookmarkEnd w:id="1667"/>
      <w:bookmarkEnd w:id="1668"/>
      <w:bookmarkEnd w:id="1669"/>
    </w:p>
    <w:p>
      <w:pPr>
        <w:pStyle w:val="yShoulderClause"/>
        <w:rPr>
          <w:snapToGrid w:val="0"/>
        </w:rPr>
      </w:pPr>
      <w:r>
        <w:rPr>
          <w:snapToGrid w:val="0"/>
        </w:rPr>
        <w:t>[reg. 59]</w:t>
      </w:r>
    </w:p>
    <w:p>
      <w:pPr>
        <w:pStyle w:val="yHeading2"/>
        <w:spacing w:after="120"/>
      </w:pPr>
      <w:bookmarkStart w:id="1670" w:name="_Toc339626140"/>
      <w:bookmarkStart w:id="1671" w:name="_Toc342397892"/>
      <w:bookmarkStart w:id="1672" w:name="_Toc343520149"/>
      <w:bookmarkStart w:id="1673" w:name="_Toc343520606"/>
      <w:bookmarkStart w:id="1674" w:name="_Toc344712171"/>
      <w:bookmarkStart w:id="1675" w:name="_Toc344712687"/>
      <w:bookmarkStart w:id="1676" w:name="_Toc347307934"/>
      <w:bookmarkStart w:id="1677" w:name="_Toc349822847"/>
      <w:bookmarkStart w:id="1678" w:name="_Toc349823267"/>
      <w:bookmarkStart w:id="1679" w:name="_Toc349831249"/>
      <w:bookmarkStart w:id="1680" w:name="_Toc359249041"/>
      <w:bookmarkStart w:id="1681" w:name="_Toc359316998"/>
      <w:r>
        <w:rPr>
          <w:rStyle w:val="CharSchText"/>
        </w:rPr>
        <w:t>Authorised trade names of fish</w:t>
      </w:r>
      <w:bookmarkEnd w:id="1670"/>
      <w:bookmarkEnd w:id="1671"/>
      <w:bookmarkEnd w:id="1672"/>
      <w:bookmarkEnd w:id="1673"/>
      <w:bookmarkEnd w:id="1674"/>
      <w:bookmarkEnd w:id="1675"/>
      <w:bookmarkEnd w:id="1676"/>
      <w:bookmarkEnd w:id="1677"/>
      <w:bookmarkEnd w:id="1678"/>
      <w:bookmarkEnd w:id="1679"/>
      <w:bookmarkEnd w:id="1680"/>
      <w:bookmarkEnd w:id="1681"/>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1682" w:name="_Toc339626141"/>
      <w:bookmarkStart w:id="1683" w:name="_Toc342397893"/>
      <w:bookmarkStart w:id="1684" w:name="_Toc343520150"/>
      <w:bookmarkStart w:id="1685" w:name="_Toc343520607"/>
      <w:bookmarkStart w:id="1686" w:name="_Toc344712172"/>
      <w:bookmarkStart w:id="1687" w:name="_Toc344712688"/>
      <w:bookmarkStart w:id="1688" w:name="_Toc347307935"/>
      <w:bookmarkStart w:id="1689" w:name="_Toc349822848"/>
      <w:bookmarkStart w:id="1690" w:name="_Toc349823268"/>
      <w:bookmarkStart w:id="1691" w:name="_Toc349831250"/>
      <w:bookmarkStart w:id="1692" w:name="_Toc359249042"/>
      <w:bookmarkStart w:id="1693" w:name="_Toc359316999"/>
      <w:r>
        <w:rPr>
          <w:rStyle w:val="CharSchNo"/>
        </w:rPr>
        <w:t>Schedule 12</w:t>
      </w:r>
      <w:bookmarkEnd w:id="1682"/>
      <w:bookmarkEnd w:id="1683"/>
      <w:bookmarkEnd w:id="1684"/>
      <w:bookmarkEnd w:id="1685"/>
      <w:bookmarkEnd w:id="1686"/>
      <w:bookmarkEnd w:id="1687"/>
      <w:bookmarkEnd w:id="1688"/>
      <w:bookmarkEnd w:id="1689"/>
      <w:bookmarkEnd w:id="1690"/>
      <w:bookmarkEnd w:id="1691"/>
      <w:bookmarkEnd w:id="1692"/>
      <w:bookmarkEnd w:id="1693"/>
    </w:p>
    <w:p>
      <w:pPr>
        <w:pStyle w:val="yHeading2"/>
        <w:spacing w:before="120"/>
      </w:pPr>
      <w:bookmarkStart w:id="1694" w:name="_Toc339626142"/>
      <w:bookmarkStart w:id="1695" w:name="_Toc342397894"/>
      <w:bookmarkStart w:id="1696" w:name="_Toc343520151"/>
      <w:bookmarkStart w:id="1697" w:name="_Toc343520608"/>
      <w:bookmarkStart w:id="1698" w:name="_Toc344712173"/>
      <w:bookmarkStart w:id="1699" w:name="_Toc344712689"/>
      <w:bookmarkStart w:id="1700" w:name="_Toc347307936"/>
      <w:bookmarkStart w:id="1701" w:name="_Toc349822849"/>
      <w:bookmarkStart w:id="1702" w:name="_Toc349823269"/>
      <w:bookmarkStart w:id="1703" w:name="_Toc349831251"/>
      <w:bookmarkStart w:id="1704" w:name="_Toc359249043"/>
      <w:bookmarkStart w:id="1705" w:name="_Toc359317000"/>
      <w:r>
        <w:rPr>
          <w:rStyle w:val="CharSchText"/>
        </w:rPr>
        <w:t>Modified penalties</w:t>
      </w:r>
      <w:bookmarkEnd w:id="1694"/>
      <w:bookmarkEnd w:id="1695"/>
      <w:bookmarkEnd w:id="1696"/>
      <w:bookmarkEnd w:id="1697"/>
      <w:bookmarkEnd w:id="1698"/>
      <w:bookmarkEnd w:id="1699"/>
      <w:bookmarkEnd w:id="1700"/>
      <w:bookmarkEnd w:id="1701"/>
      <w:bookmarkEnd w:id="1702"/>
      <w:bookmarkEnd w:id="1703"/>
      <w:bookmarkEnd w:id="1704"/>
      <w:bookmarkEnd w:id="1705"/>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right" w:leader="dot" w:pos="5618"/>
              </w:tabs>
              <w:spacing w:before="0"/>
              <w:ind w:left="599" w:hanging="599"/>
            </w:pPr>
            <w:r>
              <w:t>1A.</w:t>
            </w:r>
            <w:r>
              <w:tab/>
              <w:t xml:space="preserve">Section 7(7), for a contravention of a condition of an exemption granted for purposes mentioned in section 7(2)(e) </w:t>
            </w:r>
            <w:r>
              <w:tab/>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br/>
            </w:r>
            <w:r>
              <w:br/>
              <w:t>750.00</w:t>
            </w:r>
          </w:p>
        </w:tc>
      </w:tr>
      <w:tr>
        <w:tc>
          <w:tcPr>
            <w:tcW w:w="5971" w:type="dxa"/>
            <w:tcMar>
              <w:top w:w="28" w:type="dxa"/>
              <w:left w:w="113" w:type="dxa"/>
              <w:right w:w="113" w:type="dxa"/>
            </w:tcMar>
          </w:tcPr>
          <w:p>
            <w:pPr>
              <w:pStyle w:val="yTableNAm"/>
              <w:tabs>
                <w:tab w:val="clear" w:pos="567"/>
                <w:tab w:val="left" w:pos="578"/>
                <w:tab w:val="left" w:pos="1058"/>
                <w:tab w:val="left" w:leader="dot" w:pos="3260"/>
                <w:tab w:val="right" w:leader="dot" w:pos="3969"/>
              </w:tabs>
              <w:spacing w:before="0"/>
            </w:pPr>
            <w:r>
              <w:t>1.</w:t>
            </w:r>
            <w:r>
              <w:tab/>
              <w:t>Section 43(3), relating to — </w:t>
            </w:r>
          </w:p>
        </w:tc>
        <w:tc>
          <w:tcPr>
            <w:tcW w:w="1234" w:type="dxa"/>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ind w:left="1062" w:hanging="1062"/>
              <w:rPr>
                <w:i/>
              </w:rPr>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2.</w:t>
            </w:r>
            <w:r>
              <w:tab/>
              <w:t>Section 46, relating to —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ind w:left="1055" w:hanging="1055"/>
              <w:rPr>
                <w:i/>
              </w:rPr>
            </w:pPr>
            <w:r>
              <w:tab/>
              <w:t>(a)</w:t>
            </w:r>
            <w:r>
              <w:tab/>
              <w:t xml:space="preserve">a quantity of category 1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ind w:left="1055" w:hanging="1055"/>
              <w:rPr>
                <w:i/>
              </w:rPr>
            </w:pPr>
            <w:r>
              <w:tab/>
              <w:t>(b)</w:t>
            </w:r>
            <w:r>
              <w:tab/>
              <w:t xml:space="preserve">a quantity of category 1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ind w:left="1062" w:hanging="1062"/>
              <w:rPr>
                <w:i/>
              </w:rPr>
            </w:pPr>
            <w:r>
              <w:tab/>
              <w:t>(c)</w:t>
            </w:r>
            <w:r>
              <w:tab/>
              <w:t xml:space="preserve">a quantity of category 2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ind w:left="1062" w:hanging="1062"/>
              <w:rPr>
                <w:i/>
              </w:rPr>
            </w:pPr>
            <w:r>
              <w:tab/>
              <w:t>(d)</w:t>
            </w:r>
            <w:r>
              <w:tab/>
              <w:t xml:space="preserve">a quantity of category 2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ind w:left="1062" w:hanging="1062"/>
              <w:rPr>
                <w:i/>
              </w:rPr>
            </w:pPr>
            <w:r>
              <w:tab/>
              <w:t>(e)</w:t>
            </w:r>
            <w:r>
              <w:tab/>
              <w:t xml:space="preserve">a quantity of category 3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ind w:left="1062" w:hanging="1062"/>
              <w:rPr>
                <w:i/>
              </w:rPr>
            </w:pPr>
            <w:r>
              <w:tab/>
              <w:t>(f)</w:t>
            </w:r>
            <w:r>
              <w:tab/>
              <w:t xml:space="preserve">a quantity of category 3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ind w:left="1062" w:hanging="1062"/>
              <w:rPr>
                <w:i/>
              </w:rPr>
            </w:pPr>
            <w:r>
              <w:tab/>
              <w:t>(g)</w:t>
            </w:r>
            <w:r>
              <w:tab/>
              <w:t xml:space="preserve">a quantity of category 4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ind w:left="1062" w:hanging="1062"/>
              <w:rPr>
                <w:i/>
              </w:rPr>
            </w:pPr>
            <w:r>
              <w:tab/>
              <w:t>(h)</w:t>
            </w:r>
            <w:r>
              <w:tab/>
              <w:t xml:space="preserve">a quantity of category 4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3.</w:t>
            </w:r>
            <w:r>
              <w:tab/>
              <w:t>Section 47,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rPr>
                <w:i/>
              </w:rPr>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ind w:left="1055" w:hanging="1055"/>
              <w:rPr>
                <w:i/>
              </w:rPr>
            </w:pPr>
            <w:r>
              <w:tab/>
              <w:t>(a)</w:t>
            </w:r>
            <w:r>
              <w:tab/>
              <w:t xml:space="preserve">a quantity of category 1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ind w:left="1055" w:hanging="1055"/>
              <w:rPr>
                <w:i/>
              </w:rPr>
            </w:pPr>
            <w:r>
              <w:tab/>
              <w:t>(b)</w:t>
            </w:r>
            <w:r>
              <w:tab/>
              <w:t xml:space="preserve">a quantity of category 1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ind w:left="1055" w:hanging="1055"/>
              <w:rPr>
                <w:i/>
              </w:rPr>
            </w:pPr>
            <w:r>
              <w:tab/>
              <w:t>(c)</w:t>
            </w:r>
            <w:r>
              <w:tab/>
              <w:t xml:space="preserve">a quantity of category 2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ind w:left="1055" w:hanging="1055"/>
              <w:rPr>
                <w:i/>
              </w:rPr>
            </w:pPr>
            <w:r>
              <w:tab/>
              <w:t>(d)</w:t>
            </w:r>
            <w:r>
              <w:tab/>
              <w:t xml:space="preserve">a quantity of category 2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ind w:left="1055" w:hanging="1055"/>
              <w:rPr>
                <w:i/>
              </w:rPr>
            </w:pPr>
            <w:r>
              <w:tab/>
              <w:t>(e)</w:t>
            </w:r>
            <w:r>
              <w:tab/>
              <w:t xml:space="preserve">a quantity of category 3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ind w:left="1055" w:hanging="1055"/>
              <w:rPr>
                <w:i/>
              </w:rPr>
            </w:pPr>
            <w:r>
              <w:tab/>
              <w:t>(f)</w:t>
            </w:r>
            <w:r>
              <w:tab/>
              <w:t xml:space="preserve">a quantity of category 3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ind w:left="1055" w:hanging="1055"/>
              <w:rPr>
                <w:i/>
              </w:rPr>
            </w:pPr>
            <w:r>
              <w:tab/>
              <w:t>(g)</w:t>
            </w:r>
            <w:r>
              <w:tab/>
              <w:t xml:space="preserve">a quantity of category 4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ind w:left="1055" w:hanging="1055"/>
              <w:rPr>
                <w:i/>
              </w:rPr>
            </w:pPr>
            <w:r>
              <w:tab/>
              <w:t>(h)</w:t>
            </w:r>
            <w:r>
              <w:tab/>
              <w:t xml:space="preserve">a quantity of category 4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6.</w:t>
            </w:r>
            <w:r>
              <w:tab/>
              <w:t>Section 51(2),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ind w:left="1055" w:hanging="1055"/>
              <w:rPr>
                <w:i/>
              </w:rPr>
            </w:pPr>
            <w:r>
              <w:tab/>
              <w:t>(a)</w:t>
            </w:r>
            <w:r>
              <w:tab/>
              <w:t xml:space="preserve">a quantity of category 1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ind w:left="1055" w:hanging="1055"/>
              <w:rPr>
                <w:i/>
              </w:rPr>
            </w:pPr>
            <w:r>
              <w:tab/>
              <w:t>(b)</w:t>
            </w:r>
            <w:r>
              <w:tab/>
              <w:t xml:space="preserve">a quantity of category 1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ind w:left="1055" w:hanging="1055"/>
              <w:rPr>
                <w:i/>
              </w:rPr>
            </w:pPr>
            <w:r>
              <w:tab/>
              <w:t>(c)</w:t>
            </w:r>
            <w:r>
              <w:tab/>
              <w:t xml:space="preserve">a quantity of category 2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ind w:left="1055" w:hanging="1055"/>
              <w:rPr>
                <w:i/>
              </w:rPr>
            </w:pPr>
            <w:r>
              <w:tab/>
              <w:t>(d)</w:t>
            </w:r>
            <w:r>
              <w:tab/>
              <w:t xml:space="preserve">a quantity of category 2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ind w:left="1055" w:hanging="1055"/>
              <w:rPr>
                <w:i/>
              </w:rPr>
            </w:pPr>
            <w:r>
              <w:tab/>
              <w:t>(e)</w:t>
            </w:r>
            <w:r>
              <w:tab/>
              <w:t xml:space="preserve">a quantity of category 3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ind w:left="1055" w:hanging="1055"/>
              <w:rPr>
                <w:i/>
              </w:rPr>
            </w:pPr>
            <w:r>
              <w:tab/>
              <w:t>(f)</w:t>
            </w:r>
            <w:r>
              <w:tab/>
              <w:t xml:space="preserve">a quantity of category 3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ind w:left="1055" w:hanging="1055"/>
              <w:rPr>
                <w:i/>
              </w:rPr>
            </w:pPr>
            <w:r>
              <w:tab/>
              <w:t>(g)</w:t>
            </w:r>
            <w:r>
              <w:tab/>
              <w:t xml:space="preserve">a quantity of category 4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ind w:left="1055" w:hanging="1055"/>
              <w:rPr>
                <w:i/>
              </w:rPr>
            </w:pPr>
            <w:r>
              <w:tab/>
              <w:t>(h)</w:t>
            </w:r>
            <w:r>
              <w:tab/>
              <w:t xml:space="preserve">a quantity of category 4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7AA.</w:t>
            </w:r>
            <w:r>
              <w:tab/>
              <w:t>Section 74(2), for a contravention of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ind w:left="1055" w:hanging="1055"/>
            </w:pPr>
            <w:r>
              <w:tab/>
              <w:t>(a)</w:t>
            </w:r>
            <w:r>
              <w:tab/>
              <w:t xml:space="preserve">a provision of a management plan that prohibits a person from doing any thing in excess of an entitlement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rPr>
                <w:lang w:val="fr-FR"/>
              </w:rPr>
            </w:pPr>
            <w:r>
              <w:rPr>
                <w:lang w:val="en-US"/>
              </w:rPr>
              <w:br/>
            </w:r>
            <w:r>
              <w:rPr>
                <w:lang w:val="en-US"/>
              </w:rPr>
              <w:br/>
            </w:r>
            <w:r>
              <w:rPr>
                <w:lang w:val="fr-FR"/>
              </w:rPr>
              <w:t>3 000.00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ind w:left="1055" w:hanging="1055"/>
            </w:pPr>
            <w:r>
              <w:tab/>
              <w:t>(b)</w:t>
            </w:r>
            <w:r>
              <w:tab/>
              <w:t xml:space="preserve">any other provision of a management plan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rPr>
                <w:lang w:val="en-US"/>
              </w:rPr>
            </w:pPr>
            <w:r>
              <w:t>750.00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ind w:left="1055" w:hanging="1055"/>
            </w:pPr>
            <w:r>
              <w:t>7AB.</w:t>
            </w:r>
            <w:r>
              <w:tab/>
              <w:t xml:space="preserve">Section 77(2)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rPr>
                <w:lang w:val="fr-FR"/>
              </w:rPr>
            </w:pPr>
            <w:r>
              <w:rPr>
                <w:lang w:val="fr-FR"/>
              </w:rPr>
              <w:t>7A.</w:t>
            </w:r>
            <w:r>
              <w:rPr>
                <w:lang w:val="fr-FR"/>
              </w:rPr>
              <w:tab/>
              <w:t xml:space="preserve">Section 96 </w:t>
            </w:r>
            <w:r>
              <w:rPr>
                <w:lang w:val="fr-FR"/>
              </w:rP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rPr>
                <w:lang w:val="fr-FR"/>
              </w:rPr>
            </w:pPr>
            <w:r>
              <w:rPr>
                <w:lang w:val="fr-FR"/>
              </w:rPr>
              <w:t>400.00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rPr>
                <w:lang w:val="fr-FR"/>
              </w:rPr>
            </w:pPr>
            <w:r>
              <w:rPr>
                <w:lang w:val="fr-FR"/>
              </w:rPr>
              <w:t>7.</w:t>
            </w:r>
            <w:r>
              <w:rPr>
                <w:lang w:val="fr-FR"/>
              </w:rPr>
              <w:tab/>
              <w:t xml:space="preserve">Section 104 </w:t>
            </w:r>
            <w:r>
              <w:rPr>
                <w:lang w:val="fr-FR"/>
              </w:rP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rPr>
                <w:lang w:val="fr-FR"/>
              </w:rPr>
            </w:pPr>
            <w:r>
              <w:rPr>
                <w:lang w:val="fr-FR"/>
              </w:rP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rPr>
                <w:lang w:val="fr-FR"/>
              </w:rPr>
            </w:pPr>
            <w:r>
              <w:rPr>
                <w:lang w:val="fr-FR"/>
              </w:rPr>
              <w:t>8.</w:t>
            </w:r>
            <w:r>
              <w:rPr>
                <w:lang w:val="fr-FR"/>
              </w:rPr>
              <w:tab/>
              <w:t xml:space="preserve">Section 105 </w:t>
            </w:r>
            <w:r>
              <w:rPr>
                <w:lang w:val="fr-FR"/>
              </w:rP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rPr>
                <w:lang w:val="fr-FR"/>
              </w:rPr>
            </w:pPr>
            <w:r>
              <w:rPr>
                <w:lang w:val="fr-FR"/>
              </w:rP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618"/>
              </w:tabs>
              <w:spacing w:before="0"/>
              <w:rPr>
                <w:lang w:val="fr-FR"/>
              </w:rPr>
            </w:pPr>
            <w:r>
              <w:rPr>
                <w:lang w:val="fr-FR"/>
              </w:rPr>
              <w:t>9.</w:t>
            </w:r>
            <w:r>
              <w:rPr>
                <w:lang w:val="fr-FR"/>
              </w:rPr>
              <w:tab/>
              <w:t xml:space="preserve">Section 106(2) </w:t>
            </w:r>
            <w:r>
              <w:rPr>
                <w:lang w:val="fr-FR"/>
              </w:rP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rPr>
                <w:lang w:val="fr-FR"/>
              </w:rPr>
            </w:pPr>
            <w:r>
              <w:rPr>
                <w:lang w:val="fr-FR"/>
              </w:rP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618"/>
              </w:tabs>
              <w:spacing w:before="0"/>
              <w:rPr>
                <w:lang w:val="fr-FR"/>
              </w:rPr>
            </w:pPr>
            <w:r>
              <w:rPr>
                <w:lang w:val="fr-FR"/>
              </w:rPr>
              <w:t>10.</w:t>
            </w:r>
            <w:r>
              <w:rPr>
                <w:lang w:val="fr-FR"/>
              </w:rPr>
              <w:tab/>
              <w:t xml:space="preserve">Section 170(1) </w:t>
            </w:r>
            <w:r>
              <w:rPr>
                <w:lang w:val="fr-FR"/>
              </w:rP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rPr>
                <w:lang w:val="fr-FR"/>
              </w:rPr>
              <w:t>20</w:t>
            </w:r>
            <w:r>
              <w:t>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tabs>
                <w:tab w:val="clear" w:pos="567"/>
                <w:tab w:val="left" w:pos="578"/>
                <w:tab w:val="left" w:pos="938"/>
                <w:tab w:val="right" w:leader="dot" w:pos="5618"/>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 24 Feb 2012 p. 803; 18 Dec 2012 p. 6591; 18 Jun 2013 p. 2297-9.]</w:t>
      </w:r>
    </w:p>
    <w:p>
      <w:pPr>
        <w:rPr>
          <w:sz w:val="16"/>
        </w:rPr>
      </w:pPr>
    </w:p>
    <w:tbl>
      <w:tblPr>
        <w:tblW w:w="7205" w:type="dxa"/>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51"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54"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jc w:val="center"/>
            </w:pPr>
            <w:r>
              <w:t>50</w:t>
            </w:r>
          </w:p>
        </w:tc>
      </w:tr>
      <w:tr>
        <w:tc>
          <w:tcPr>
            <w:tcW w:w="5954" w:type="dxa"/>
            <w:tcMar>
              <w:top w:w="28" w:type="dxa"/>
              <w:left w:w="113" w:type="dxa"/>
              <w:right w:w="113"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75</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3.</w:t>
            </w:r>
            <w:r>
              <w:tab/>
              <w:t xml:space="preserve">Regulations 14, 15, 16, 22, 32(1), </w:t>
            </w:r>
            <w:r>
              <w:rPr>
                <w:szCs w:val="22"/>
              </w:rPr>
              <w:t>44A(2), 55F(1),</w:t>
            </w:r>
            <w:r>
              <w:t xml:space="preserve"> 56, 60, 61, 64F, 64G, 64H, 64I(5), 64J, 64K, 64Q, 74, 75, 77, 79, 80, 81, 84, 85, 86, 91, 96, 97, 98, 99, 100, 101, 102, 103, 104, 105, 106, 107, 109, 110, 111, 112, 113, 113A(5), 113A(6), 113B(2), 113B(3), 113C(2), 113E(3), 117(4), 123(1), 124B(2), 128D, 128E(2) (in the case of an individual), 128L(3), 130A and 144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t>100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4.</w:t>
            </w:r>
            <w:r>
              <w:tab/>
              <w:t xml:space="preserve">Regulations 12(1) and (2), 16E(3C), 16GA, 31, 31A(1), 35, 36(1), 38, 38B, 38C, 38D(2), 38E, </w:t>
            </w:r>
            <w:r>
              <w:rPr>
                <w:szCs w:val="22"/>
              </w:rPr>
              <w:t xml:space="preserve">38F, 38GA, </w:t>
            </w:r>
            <w:r>
              <w:t xml:space="preserve">41, 56A, 57(1), 62, 63, 64, 64C(1), 64DA, 64E, 64NA, 64O, 64OAA(2), 64OAA(3), 64OB, 64OD, 64OE, 64P, 71, 113A(1), 113A(2), 113A(4), 113B(1), 113C(1), 113E(1), 128A(1), 128C, 128E(1), 128E(2) (in the case of a body corporate), 128E(4), 128E(6), 128H, 128L(1), 128M, 128S(2) and 145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200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Regulations 16E(3E), 38H, 38I(1), 38J, 38K, 38L, 38M, 38N(1), 38O(1), 45(2), 64S(1), 64S(3), 64T, 117(1), (2), (6), (7) and (8), 119(2) and (6), 121(1) and (2), 125(1) and (2), 128G(1) and (2), 128I, 128K, 128P, 128R and 128S(3) and </w:t>
            </w:r>
            <w:r>
              <w:rPr>
                <w:szCs w:val="22"/>
              </w:rPr>
              <w:t>(4)</w:t>
            </w:r>
            <w:r>
              <w:t xml:space="preserve">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r>
          </w:p>
          <w:p>
            <w:pPr>
              <w:pStyle w:val="yTableNAm"/>
              <w:tabs>
                <w:tab w:val="clear" w:pos="567"/>
                <w:tab w:val="left" w:leader="dot" w:pos="3260"/>
              </w:tabs>
              <w:spacing w:before="0"/>
              <w:jc w:val="center"/>
            </w:pPr>
            <w:r>
              <w:t>400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tabs>
                <w:tab w:val="clear" w:pos="567"/>
                <w:tab w:val="left" w:leader="dot" w:pos="3260"/>
              </w:tabs>
              <w:spacing w:before="0"/>
              <w:jc w:val="center"/>
            </w:pP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400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200</w:t>
            </w:r>
          </w:p>
        </w:tc>
      </w:tr>
      <w:tr>
        <w:tc>
          <w:tcPr>
            <w:tcW w:w="5954" w:type="dxa"/>
            <w:tcMar>
              <w:top w:w="28" w:type="dxa"/>
              <w:left w:w="113" w:type="dxa"/>
              <w:right w:w="113" w:type="dxa"/>
            </w:tcMar>
          </w:tcPr>
          <w:p>
            <w:pPr>
              <w:pStyle w:val="yTableNAm"/>
              <w:keepNext/>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keepNext/>
              <w:tabs>
                <w:tab w:val="clear" w:pos="567"/>
                <w:tab w:val="left" w:leader="dot" w:pos="3260"/>
              </w:tabs>
              <w:spacing w:before="0"/>
              <w:jc w:val="center"/>
            </w:pPr>
            <w:r>
              <w:t>100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100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7.</w:t>
            </w:r>
            <w:r>
              <w:tab/>
              <w:t xml:space="preserve">Regulation 130(4), for a contravention of a condition of — </w:t>
            </w:r>
          </w:p>
        </w:tc>
        <w:tc>
          <w:tcPr>
            <w:tcW w:w="1251" w:type="dxa"/>
            <w:tcMar>
              <w:top w:w="28" w:type="dxa"/>
              <w:left w:w="113" w:type="dxa"/>
              <w:right w:w="113" w:type="dxa"/>
            </w:tcMar>
          </w:tcPr>
          <w:p>
            <w:pPr>
              <w:pStyle w:val="yTableNAm"/>
              <w:tabs>
                <w:tab w:val="clear" w:pos="567"/>
                <w:tab w:val="left" w:leader="dot" w:pos="3260"/>
              </w:tabs>
              <w:spacing w:before="0"/>
              <w:jc w:val="center"/>
            </w:pP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(a)</w:t>
            </w:r>
            <w:r>
              <w:tab/>
              <w:t xml:space="preserve">a fishing boat licence, carrier boat licence, commercial fishing licence or rock lobster pot licence </w:t>
            </w:r>
            <w:r>
              <w:tab/>
            </w:r>
          </w:p>
        </w:tc>
        <w:tc>
          <w:tcPr>
            <w:tcW w:w="1251" w:type="dxa"/>
            <w:tcMar>
              <w:top w:w="28" w:type="dxa"/>
              <w:left w:w="113" w:type="dxa"/>
              <w:right w:w="113" w:type="dxa"/>
            </w:tcMar>
          </w:tcPr>
          <w:p>
            <w:pPr>
              <w:pStyle w:val="yTableNAm"/>
              <w:tabs>
                <w:tab w:val="clear" w:pos="567"/>
                <w:tab w:val="left" w:leader="dot" w:pos="3260"/>
              </w:tabs>
              <w:spacing w:before="0"/>
              <w:jc w:val="center"/>
            </w:pPr>
            <w:r>
              <w:br/>
            </w:r>
            <w:r>
              <w:br/>
              <w:t>400.00</w:t>
            </w:r>
          </w:p>
        </w:tc>
      </w:tr>
      <w:tr>
        <w:tc>
          <w:tcPr>
            <w:tcW w:w="5954" w:type="dxa"/>
            <w:tcBorders>
              <w:bottom w:val="single" w:sz="8" w:space="0" w:color="auto"/>
            </w:tcBorders>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(b)</w:t>
            </w:r>
            <w:r>
              <w:tab/>
              <w:t xml:space="preserve">any other licence granted under Part 11 </w:t>
            </w:r>
            <w:r>
              <w:tab/>
            </w:r>
          </w:p>
        </w:tc>
        <w:tc>
          <w:tcPr>
            <w:tcW w:w="1251" w:type="dxa"/>
            <w:tcBorders>
              <w:bottom w:val="single" w:sz="8" w:space="0" w:color="auto"/>
            </w:tcBorders>
            <w:tcMar>
              <w:top w:w="28" w:type="dxa"/>
              <w:left w:w="113" w:type="dxa"/>
              <w:right w:w="113" w:type="dxa"/>
            </w:tcMar>
          </w:tcPr>
          <w:p>
            <w:pPr>
              <w:pStyle w:val="yTableNAm"/>
              <w:tabs>
                <w:tab w:val="clear" w:pos="567"/>
                <w:tab w:val="left" w:leader="dot" w:pos="3260"/>
              </w:tabs>
              <w:spacing w:before="0"/>
              <w:jc w:val="center"/>
              <w:rPr>
                <w:b/>
              </w:rPr>
            </w:pPr>
            <w:r>
              <w:t>100.00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 18 Dec 2012 p. 6591-2; 29 Jan 2013 p. 319.]</w:t>
      </w:r>
    </w:p>
    <w:p>
      <w:pPr>
        <w:tabs>
          <w:tab w:val="left" w:pos="938"/>
          <w:tab w:val="left" w:pos="1058"/>
          <w:tab w:val="right" w:leader="dot" w:pos="5978"/>
        </w:tabs>
        <w:spacing w:before="60"/>
        <w:sectPr>
          <w:headerReference w:type="even" r:id="rId36"/>
          <w:headerReference w:type="default" r:id="rId37"/>
          <w:pgSz w:w="11906" w:h="16838" w:code="9"/>
          <w:pgMar w:top="2381" w:right="2409" w:bottom="3543" w:left="2409" w:header="720" w:footer="3380" w:gutter="0"/>
          <w:cols w:space="720"/>
          <w:noEndnote/>
          <w:docGrid w:linePitch="326"/>
        </w:sectPr>
      </w:pPr>
    </w:p>
    <w:p>
      <w:pPr>
        <w:pStyle w:val="yScheduleHeading"/>
      </w:pPr>
      <w:bookmarkStart w:id="1706" w:name="_Toc339626143"/>
      <w:bookmarkStart w:id="1707" w:name="_Toc342397895"/>
      <w:bookmarkStart w:id="1708" w:name="_Toc343520152"/>
      <w:bookmarkStart w:id="1709" w:name="_Toc343520609"/>
      <w:bookmarkStart w:id="1710" w:name="_Toc344712174"/>
      <w:bookmarkStart w:id="1711" w:name="_Toc344712690"/>
      <w:bookmarkStart w:id="1712" w:name="_Toc347307937"/>
      <w:bookmarkStart w:id="1713" w:name="_Toc349822850"/>
      <w:bookmarkStart w:id="1714" w:name="_Toc349823270"/>
      <w:bookmarkStart w:id="1715" w:name="_Toc349831252"/>
      <w:bookmarkStart w:id="1716" w:name="_Toc359249044"/>
      <w:bookmarkStart w:id="1717" w:name="_Toc359317001"/>
      <w:r>
        <w:rPr>
          <w:rStyle w:val="CharSchNo"/>
        </w:rPr>
        <w:t>Schedule 13</w:t>
      </w:r>
      <w:bookmarkEnd w:id="1706"/>
      <w:bookmarkEnd w:id="1707"/>
      <w:bookmarkEnd w:id="1708"/>
      <w:bookmarkEnd w:id="1709"/>
      <w:bookmarkEnd w:id="1710"/>
      <w:bookmarkEnd w:id="1711"/>
      <w:bookmarkEnd w:id="1712"/>
      <w:bookmarkEnd w:id="1713"/>
      <w:bookmarkEnd w:id="1714"/>
      <w:bookmarkEnd w:id="1715"/>
      <w:bookmarkEnd w:id="1716"/>
      <w:bookmarkEnd w:id="1717"/>
    </w:p>
    <w:p>
      <w:pPr>
        <w:pStyle w:val="yShoulderClause"/>
        <w:rPr>
          <w:snapToGrid w:val="0"/>
        </w:rPr>
      </w:pPr>
      <w:r>
        <w:rPr>
          <w:snapToGrid w:val="0"/>
        </w:rPr>
        <w:t>[reg. 38]</w:t>
      </w:r>
    </w:p>
    <w:p>
      <w:pPr>
        <w:pStyle w:val="yHeading2"/>
        <w:spacing w:before="120"/>
      </w:pPr>
      <w:bookmarkStart w:id="1718" w:name="_Toc339626144"/>
      <w:bookmarkStart w:id="1719" w:name="_Toc342397896"/>
      <w:bookmarkStart w:id="1720" w:name="_Toc343520153"/>
      <w:bookmarkStart w:id="1721" w:name="_Toc343520610"/>
      <w:bookmarkStart w:id="1722" w:name="_Toc344712175"/>
      <w:bookmarkStart w:id="1723" w:name="_Toc344712691"/>
      <w:bookmarkStart w:id="1724" w:name="_Toc347307938"/>
      <w:bookmarkStart w:id="1725" w:name="_Toc349822851"/>
      <w:bookmarkStart w:id="1726" w:name="_Toc349823271"/>
      <w:bookmarkStart w:id="1727" w:name="_Toc349831253"/>
      <w:bookmarkStart w:id="1728" w:name="_Toc359249045"/>
      <w:bookmarkStart w:id="1729" w:name="_Toc359317002"/>
      <w:r>
        <w:rPr>
          <w:rStyle w:val="CharSchText"/>
        </w:rPr>
        <w:t>Specifications for rock lobster pots</w:t>
      </w:r>
      <w:bookmarkEnd w:id="1718"/>
      <w:bookmarkEnd w:id="1719"/>
      <w:bookmarkEnd w:id="1720"/>
      <w:bookmarkEnd w:id="1721"/>
      <w:bookmarkEnd w:id="1722"/>
      <w:bookmarkEnd w:id="1723"/>
      <w:bookmarkEnd w:id="1724"/>
      <w:bookmarkEnd w:id="1725"/>
      <w:bookmarkEnd w:id="1726"/>
      <w:bookmarkEnd w:id="1727"/>
      <w:bookmarkEnd w:id="1728"/>
      <w:bookmarkEnd w:id="1729"/>
    </w:p>
    <w:p>
      <w:pPr>
        <w:pStyle w:val="yHeading2"/>
        <w:spacing w:before="120"/>
      </w:pPr>
      <w:bookmarkStart w:id="1730" w:name="_Toc339626145"/>
      <w:bookmarkStart w:id="1731" w:name="_Toc342397897"/>
      <w:bookmarkStart w:id="1732" w:name="_Toc343520154"/>
      <w:bookmarkStart w:id="1733" w:name="_Toc343520611"/>
      <w:bookmarkStart w:id="1734" w:name="_Toc344712176"/>
      <w:bookmarkStart w:id="1735" w:name="_Toc344712692"/>
      <w:bookmarkStart w:id="1736" w:name="_Toc347307939"/>
      <w:bookmarkStart w:id="1737" w:name="_Toc349822852"/>
      <w:bookmarkStart w:id="1738" w:name="_Toc349823272"/>
      <w:bookmarkStart w:id="1739" w:name="_Toc349831254"/>
      <w:bookmarkStart w:id="1740" w:name="_Toc359249046"/>
      <w:bookmarkStart w:id="1741" w:name="_Toc359317003"/>
      <w:r>
        <w:rPr>
          <w:rStyle w:val="CharSDivNo"/>
          <w:sz w:val="28"/>
        </w:rPr>
        <w:t>Part 1</w:t>
      </w:r>
      <w:r>
        <w:t> — </w:t>
      </w:r>
      <w:r>
        <w:rPr>
          <w:rStyle w:val="CharSDivText"/>
          <w:sz w:val="28"/>
        </w:rPr>
        <w:t>Waters north of 21˚ 44′ south latitude</w:t>
      </w:r>
      <w:bookmarkEnd w:id="1730"/>
      <w:bookmarkEnd w:id="1731"/>
      <w:bookmarkEnd w:id="1732"/>
      <w:bookmarkEnd w:id="1733"/>
      <w:bookmarkEnd w:id="1734"/>
      <w:bookmarkEnd w:id="1735"/>
      <w:bookmarkEnd w:id="1736"/>
      <w:bookmarkEnd w:id="1737"/>
      <w:bookmarkEnd w:id="1738"/>
      <w:bookmarkEnd w:id="1739"/>
      <w:bookmarkEnd w:id="1740"/>
      <w:bookmarkEnd w:id="1741"/>
    </w:p>
    <w:p>
      <w:pPr>
        <w:pStyle w:val="yHeading5"/>
      </w:pPr>
      <w:bookmarkStart w:id="1742" w:name="_Toc359317004"/>
      <w:r>
        <w:rPr>
          <w:rStyle w:val="CharSClsNo"/>
        </w:rPr>
        <w:t>1</w:t>
      </w:r>
      <w:r>
        <w:t>.</w:t>
      </w:r>
      <w:r>
        <w:tab/>
        <w:t>Entrance or neck of pot</w:t>
      </w:r>
      <w:bookmarkEnd w:id="1742"/>
    </w:p>
    <w:p>
      <w:pPr>
        <w:pStyle w:val="ySubsection"/>
        <w:rPr>
          <w:snapToGrid w:val="0"/>
        </w:rPr>
      </w:pPr>
      <w:r>
        <w:rPr>
          <w:snapToGrid w:val="0"/>
        </w:rPr>
        <w:tab/>
      </w:r>
      <w:r>
        <w:rPr>
          <w:snapToGrid w:val="0"/>
        </w:rPr>
        <w:tab/>
        <w:t>Every rock lobster pot must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120"/>
      </w:pPr>
      <w:bookmarkStart w:id="1743" w:name="_Toc339626147"/>
      <w:bookmarkStart w:id="1744" w:name="_Toc342397899"/>
      <w:bookmarkStart w:id="1745" w:name="_Toc343520156"/>
      <w:bookmarkStart w:id="1746" w:name="_Toc343520613"/>
      <w:bookmarkStart w:id="1747" w:name="_Toc344712178"/>
      <w:bookmarkStart w:id="1748" w:name="_Toc344712694"/>
      <w:bookmarkStart w:id="1749" w:name="_Toc347307941"/>
      <w:bookmarkStart w:id="1750" w:name="_Toc349822854"/>
      <w:bookmarkStart w:id="1751" w:name="_Toc349823274"/>
      <w:bookmarkStart w:id="1752" w:name="_Toc349831256"/>
      <w:bookmarkStart w:id="1753" w:name="_Toc359249048"/>
      <w:bookmarkStart w:id="1754" w:name="_Toc359317005"/>
      <w:r>
        <w:rPr>
          <w:rStyle w:val="CharSDivNo"/>
          <w:sz w:val="28"/>
        </w:rPr>
        <w:t>Part 2 </w:t>
      </w:r>
      <w:r>
        <w:t>— </w:t>
      </w:r>
      <w:r>
        <w:rPr>
          <w:rStyle w:val="CharSDivText"/>
          <w:sz w:val="28"/>
        </w:rPr>
        <w:t xml:space="preserve">Waters between 21˚ 44′ south latitude and 34˚ 24′ south latitude (excluding some waters off the </w:t>
      </w:r>
      <w:smartTag w:uri="urn:schemas-microsoft-com:office:smarttags" w:element="place">
        <w:smartTag w:uri="urn:schemas-microsoft-com:office:smarttags" w:element="PlaceName">
          <w:r>
            <w:rPr>
              <w:rStyle w:val="CharSDivText"/>
              <w:sz w:val="28"/>
            </w:rPr>
            <w:t>South</w:t>
          </w:r>
        </w:smartTag>
        <w:r>
          <w:rPr>
            <w:rStyle w:val="CharSDivText"/>
            <w:sz w:val="28"/>
          </w:rPr>
          <w:t> </w:t>
        </w:r>
        <w:smartTag w:uri="urn:schemas-microsoft-com:office:smarttags" w:element="PlaceType">
          <w:r>
            <w:rPr>
              <w:rStyle w:val="CharSDivText"/>
              <w:sz w:val="28"/>
            </w:rPr>
            <w:t>Coast</w:t>
          </w:r>
        </w:smartTag>
      </w:smartTag>
      <w:r>
        <w:rPr>
          <w:rStyle w:val="CharSDivText"/>
          <w:sz w:val="28"/>
        </w:rPr>
        <w:t>)</w:t>
      </w:r>
      <w:bookmarkEnd w:id="1743"/>
      <w:bookmarkEnd w:id="1744"/>
      <w:bookmarkEnd w:id="1745"/>
      <w:bookmarkEnd w:id="1746"/>
      <w:bookmarkEnd w:id="1747"/>
      <w:bookmarkEnd w:id="1748"/>
      <w:bookmarkEnd w:id="1749"/>
      <w:bookmarkEnd w:id="1750"/>
      <w:bookmarkEnd w:id="1751"/>
      <w:bookmarkEnd w:id="1752"/>
      <w:bookmarkEnd w:id="1753"/>
      <w:bookmarkEnd w:id="1754"/>
    </w:p>
    <w:p>
      <w:pPr>
        <w:pStyle w:val="yEdnotesection"/>
      </w:pPr>
      <w:r>
        <w:t>[</w:t>
      </w:r>
      <w:r>
        <w:rPr>
          <w:b/>
        </w:rPr>
        <w:t>2A.</w:t>
      </w:r>
      <w:r>
        <w:tab/>
        <w:t>Deleted in Gazette 27 Aug 2010 p. 4107.]</w:t>
      </w:r>
    </w:p>
    <w:p>
      <w:pPr>
        <w:pStyle w:val="yHeading5"/>
      </w:pPr>
      <w:bookmarkStart w:id="1755" w:name="_Toc359317006"/>
      <w:r>
        <w:rPr>
          <w:rStyle w:val="CharSClsNo"/>
        </w:rPr>
        <w:t>2</w:t>
      </w:r>
      <w:r>
        <w:t>.</w:t>
      </w:r>
      <w:r>
        <w:tab/>
        <w:t>Entrance or neck of pot</w:t>
      </w:r>
      <w:bookmarkEnd w:id="1755"/>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w:t>
      </w:r>
    </w:p>
    <w:p>
      <w:pPr>
        <w:pStyle w:val="yIndenta"/>
        <w:rPr>
          <w:snapToGrid w:val="0"/>
        </w:rPr>
      </w:pPr>
      <w:r>
        <w:rPr>
          <w:snapToGrid w:val="0"/>
        </w:rPr>
        <w:tab/>
        <w:t>(a)</w:t>
      </w:r>
      <w:r>
        <w:rPr>
          <w:snapToGrid w:val="0"/>
        </w:rPr>
        <w:tab/>
        <w:t>where the entrance or neck is circular, 160 mm diameter; or</w:t>
      </w:r>
    </w:p>
    <w:p>
      <w:pPr>
        <w:pStyle w:val="yIndenta"/>
        <w:rPr>
          <w:snapToGrid w:val="0"/>
        </w:rPr>
      </w:pPr>
      <w:r>
        <w:rPr>
          <w:snapToGrid w:val="0"/>
        </w:rPr>
        <w:tab/>
        <w:t>(b)</w:t>
      </w:r>
      <w:r>
        <w:rPr>
          <w:snapToGrid w:val="0"/>
        </w:rPr>
        <w:tab/>
        <w:t>where the entrance or neck is rectangular, 160 mm by 160 mm,</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1756" w:name="_Toc359317007"/>
      <w:r>
        <w:rPr>
          <w:rStyle w:val="CharSClsNo"/>
        </w:rPr>
        <w:t>3</w:t>
      </w:r>
      <w:r>
        <w:t>.</w:t>
      </w:r>
      <w:r>
        <w:tab/>
        <w:t>Beehive pots</w:t>
      </w:r>
      <w:bookmarkEnd w:id="1756"/>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mm in length</w:t>
      </w:r>
      <w:r>
        <w:t xml:space="preserve"> and not less than </w:t>
      </w:r>
      <w:r>
        <w:rPr>
          <w:szCs w:val="22"/>
        </w:rPr>
        <w:t>54 mm</w:t>
      </w:r>
      <w:r>
        <w:t xml:space="preserve"> in height (see Diagram 1(a)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mm from the base of the pot and are to be positioned in accordance with Diagram 2(a) in the Table; and</w:t>
      </w:r>
    </w:p>
    <w:p>
      <w:pPr>
        <w:pStyle w:val="yIndenta"/>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A beehive rock lobster pot that is constructed using stick or cane or both stick and cane, unless approved by the CEO, is not to exceed, when measured externally —</w:t>
      </w:r>
    </w:p>
    <w:p>
      <w:pPr>
        <w:pStyle w:val="yIndenta"/>
      </w:pPr>
      <w:r>
        <w:tab/>
        <w:t>(a)</w:t>
      </w:r>
      <w:r>
        <w:tab/>
        <w:t>975 mm in diameter; and</w:t>
      </w:r>
    </w:p>
    <w:p>
      <w:pPr>
        <w:pStyle w:val="yIndenta"/>
      </w:pPr>
      <w:r>
        <w:tab/>
        <w:t>(b)</w:t>
      </w:r>
      <w:r>
        <w:tab/>
        <w:t>470 mm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mm in diameter; and</w:t>
      </w:r>
    </w:p>
    <w:p>
      <w:pPr>
        <w:pStyle w:val="yIndenta"/>
      </w:pPr>
      <w:r>
        <w:tab/>
        <w:t>(b)</w:t>
      </w:r>
      <w:r>
        <w:tab/>
        <w:t>420 mm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 27 Aug 2010 p. 4107; 25 Sep 2012 p. 4520.]</w:t>
      </w:r>
    </w:p>
    <w:p>
      <w:pPr>
        <w:pStyle w:val="yHeading5"/>
      </w:pPr>
      <w:bookmarkStart w:id="1757" w:name="_Toc359317008"/>
      <w:r>
        <w:rPr>
          <w:rStyle w:val="CharSClsNo"/>
        </w:rPr>
        <w:t>4</w:t>
      </w:r>
      <w:r>
        <w:t>.</w:t>
      </w:r>
      <w:r>
        <w:tab/>
        <w:t>Batten pots</w:t>
      </w:r>
      <w:bookmarkEnd w:id="1757"/>
    </w:p>
    <w:p>
      <w:pPr>
        <w:pStyle w:val="ySubsection"/>
        <w:rPr>
          <w:snapToGrid w:val="0"/>
        </w:rPr>
      </w:pPr>
      <w:r>
        <w:rPr>
          <w:snapToGrid w:val="0"/>
        </w:rPr>
        <w:tab/>
        <w:t>(1)</w:t>
      </w:r>
      <w:r>
        <w:rPr>
          <w:snapToGrid w:val="0"/>
        </w:rPr>
        <w:tab/>
        <w:t>This clause applies to batten rock lobster pots.</w:t>
      </w:r>
    </w:p>
    <w:p>
      <w:pPr>
        <w:pStyle w:val="ySubsection"/>
      </w:pPr>
      <w:r>
        <w:tab/>
        <w:t>(2)</w:t>
      </w:r>
      <w:r>
        <w:tab/>
        <w:t xml:space="preserve">Subject to this clause, every batten rock lobster pot is to have inserted in it a device or devices to create a minimum of 3 escape gaps that are as nearly as practicable rectangular in shape, and when measured internally each measures not less than 305 mm in length and not less than </w:t>
      </w:r>
      <w:r>
        <w:rPr>
          <w:szCs w:val="22"/>
        </w:rPr>
        <w:t>54 mm</w:t>
      </w:r>
      <w:r>
        <w:t xml:space="preserve"> in height.</w:t>
      </w:r>
    </w:p>
    <w:p>
      <w:pPr>
        <w:pStyle w:val="ySubsection"/>
        <w:keepNext/>
        <w:rPr>
          <w:snapToGrid w:val="0"/>
        </w:rPr>
      </w:pPr>
      <w:r>
        <w:rPr>
          <w:snapToGrid w:val="0"/>
        </w:rPr>
        <w:tab/>
        <w:t>(3)</w:t>
      </w:r>
      <w:r>
        <w:rPr>
          <w:snapToGrid w:val="0"/>
        </w:rPr>
        <w:tab/>
        <w:t>Where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mm,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1 220 mm, except as otherwise permitted under this clause.</w:t>
      </w:r>
    </w:p>
    <w:p>
      <w:pPr>
        <w:pStyle w:val="ySubsection"/>
        <w:rPr>
          <w:snapToGrid w:val="0"/>
        </w:rPr>
      </w:pPr>
      <w:r>
        <w:rPr>
          <w:snapToGrid w:val="0"/>
        </w:rPr>
        <w:tab/>
        <w:t>(4)</w:t>
      </w:r>
      <w:r>
        <w:rPr>
          <w:snapToGrid w:val="0"/>
        </w:rPr>
        <w:tab/>
        <w:t>Where —</w:t>
      </w:r>
    </w:p>
    <w:p>
      <w:pPr>
        <w:pStyle w:val="yIndenta"/>
        <w:spacing w:before="60"/>
        <w:rPr>
          <w:snapToGrid w:val="0"/>
        </w:rPr>
      </w:pPr>
      <w:r>
        <w:rPr>
          <w:snapToGrid w:val="0"/>
        </w:rPr>
        <w:tab/>
        <w:t>(a)</w:t>
      </w:r>
      <w:r>
        <w:rPr>
          <w:snapToGrid w:val="0"/>
        </w:rPr>
        <w:tab/>
        <w:t xml:space="preserve">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w:t>
      </w:r>
      <w:r>
        <w:t xml:space="preserve">Diagram 3(a) </w:t>
      </w:r>
      <w:r>
        <w:rPr>
          <w:snapToGrid w:val="0"/>
        </w:rPr>
        <w:t>in the Table; or</w:t>
      </w:r>
    </w:p>
    <w:p>
      <w:pPr>
        <w:pStyle w:val="yIndenta"/>
        <w:spacing w:before="60"/>
        <w:rPr>
          <w:snapToGrid w:val="0"/>
        </w:rPr>
      </w:pPr>
      <w:r>
        <w:rPr>
          <w:snapToGrid w:val="0"/>
        </w:rPr>
        <w:tab/>
        <w:t>(b)</w:t>
      </w:r>
      <w:r>
        <w:rPr>
          <w:snapToGrid w:val="0"/>
        </w:rPr>
        <w:tab/>
        <w:t>3 escape gaps are fitted, and the length of the rock lobster pot does not exceed 770 mm,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mm provided that —</w:t>
      </w:r>
    </w:p>
    <w:p>
      <w:pPr>
        <w:pStyle w:val="yIndenti0"/>
        <w:spacing w:before="60"/>
        <w:rPr>
          <w:snapToGrid w:val="0"/>
        </w:rPr>
      </w:pPr>
      <w:r>
        <w:rPr>
          <w:snapToGrid w:val="0"/>
        </w:rPr>
        <w:tab/>
        <w:t>(i)</w:t>
      </w:r>
      <w:r>
        <w:rPr>
          <w:snapToGrid w:val="0"/>
        </w:rPr>
        <w:tab/>
        <w:t>the combined length of the 2 escape gaps on each side of the pot is not less than 610 mm; and</w:t>
      </w:r>
    </w:p>
    <w:p>
      <w:pPr>
        <w:pStyle w:val="yIndenti0"/>
        <w:spacing w:before="60"/>
        <w:rPr>
          <w:snapToGrid w:val="0"/>
        </w:rPr>
      </w:pPr>
      <w:r>
        <w:rPr>
          <w:snapToGrid w:val="0"/>
        </w:rPr>
        <w:tab/>
        <w:t>(ii)</w:t>
      </w:r>
      <w:r>
        <w:rPr>
          <w:snapToGrid w:val="0"/>
        </w:rPr>
        <w:tab/>
        <w:t>the smallest gap on each side of the pot is not less than 200 mm;</w:t>
      </w:r>
    </w:p>
    <w:p>
      <w:pPr>
        <w:pStyle w:val="yIndenta"/>
        <w:spacing w:before="60"/>
        <w:rPr>
          <w:snapToGrid w:val="0"/>
        </w:rPr>
      </w:pPr>
      <w:r>
        <w:rPr>
          <w:snapToGrid w:val="0"/>
        </w:rPr>
        <w:tab/>
      </w:r>
      <w:r>
        <w:rPr>
          <w:snapToGrid w:val="0"/>
        </w:rPr>
        <w:tab/>
        <w:t>or</w:t>
      </w:r>
    </w:p>
    <w:p>
      <w:pPr>
        <w:pStyle w:val="yIndenta"/>
        <w:spacing w:before="60"/>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mm provided that —</w:t>
      </w:r>
    </w:p>
    <w:p>
      <w:pPr>
        <w:pStyle w:val="yIndenti0"/>
        <w:spacing w:before="60"/>
        <w:rPr>
          <w:snapToGrid w:val="0"/>
        </w:rPr>
      </w:pPr>
      <w:r>
        <w:rPr>
          <w:snapToGrid w:val="0"/>
        </w:rPr>
        <w:tab/>
        <w:t>(i)</w:t>
      </w:r>
      <w:r>
        <w:rPr>
          <w:snapToGrid w:val="0"/>
        </w:rPr>
        <w:tab/>
        <w:t>the centre support of the end of the pot to which the escape gap is attached does not exceed 50 mm in width; and</w:t>
      </w:r>
    </w:p>
    <w:p>
      <w:pPr>
        <w:pStyle w:val="yIndenti0"/>
        <w:spacing w:before="60"/>
        <w:rPr>
          <w:snapToGrid w:val="0"/>
        </w:rPr>
      </w:pPr>
      <w:r>
        <w:rPr>
          <w:snapToGrid w:val="0"/>
        </w:rPr>
        <w:tab/>
        <w:t>(ii)</w:t>
      </w:r>
      <w:r>
        <w:rPr>
          <w:snapToGrid w:val="0"/>
        </w:rPr>
        <w:tab/>
        <w:t>the smallest gap is not less than 250 mm.</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mm from the base of the pot.</w:t>
      </w:r>
    </w:p>
    <w:p>
      <w:pPr>
        <w:pStyle w:val="ySubsection"/>
        <w:keepNext/>
        <w:rPr>
          <w:snapToGrid w:val="0"/>
        </w:rPr>
      </w:pPr>
      <w:r>
        <w:rPr>
          <w:snapToGrid w:val="0"/>
        </w:rPr>
        <w:tab/>
        <w:t>(7)</w:t>
      </w:r>
      <w:r>
        <w:rPr>
          <w:snapToGrid w:val="0"/>
        </w:rPr>
        <w:tab/>
        <w:t>Escape gaps are to be of —</w:t>
      </w:r>
    </w:p>
    <w:p>
      <w:pPr>
        <w:pStyle w:val="yIndenta"/>
        <w:spacing w:before="60"/>
        <w:rPr>
          <w:snapToGrid w:val="0"/>
        </w:rPr>
      </w:pPr>
      <w:r>
        <w:rPr>
          <w:snapToGrid w:val="0"/>
        </w:rPr>
        <w:tab/>
        <w:t>(a)</w:t>
      </w:r>
      <w:r>
        <w:rPr>
          <w:snapToGrid w:val="0"/>
        </w:rPr>
        <w:tab/>
        <w:t>steel flat</w:t>
      </w:r>
      <w:r>
        <w:rPr>
          <w:snapToGrid w:val="0"/>
        </w:rPr>
        <w:noBreakHyphen/>
        <w:t>bar with a width of not less than 20 mm and a thickness of not less than 3 mm and not more than 6 mm and are to be constructed in accordance with Diagram 4 in the Table; or</w:t>
      </w:r>
    </w:p>
    <w:p>
      <w:pPr>
        <w:pStyle w:val="yIndenta"/>
        <w:spacing w:before="60"/>
        <w:rPr>
          <w:snapToGrid w:val="0"/>
        </w:rPr>
      </w:pPr>
      <w:r>
        <w:rPr>
          <w:snapToGrid w:val="0"/>
        </w:rPr>
        <w:tab/>
        <w:t>(b)</w:t>
      </w:r>
      <w:r>
        <w:rPr>
          <w:snapToGrid w:val="0"/>
        </w:rPr>
        <w:tab/>
        <w:t>aluminium with a width of not less than 20 mm and a thickness of not less than 4 mm and not more than 6 mm and are to be constructed in accordance with Diagram 5 in the Table; or</w:t>
      </w:r>
    </w:p>
    <w:p>
      <w:pPr>
        <w:pStyle w:val="yIndenta"/>
        <w:spacing w:before="60"/>
        <w:rPr>
          <w:snapToGrid w:val="0"/>
        </w:rPr>
      </w:pPr>
      <w:r>
        <w:rPr>
          <w:snapToGrid w:val="0"/>
        </w:rPr>
        <w:tab/>
        <w:t>(c)</w:t>
      </w:r>
      <w:r>
        <w:rPr>
          <w:snapToGrid w:val="0"/>
        </w:rPr>
        <w:tab/>
        <w:t>fibreglass with a thickness of not less than 3 mm and not more than 6 mm with reinforcing on the lip of the gap with a thickness of not less than 5 mm and not more than 8 mm and the widest measurement of the lip of the gap is not to exceed 12 mm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mm and a thickness of not less than 2 mm and not more than 3 mm, when incorporating an internal pressed lip of a depth not less than 6 mm or more than 10 mm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w:t>
      </w:r>
    </w:p>
    <w:p>
      <w:pPr>
        <w:pStyle w:val="yIndenta"/>
        <w:rPr>
          <w:snapToGrid w:val="0"/>
        </w:rPr>
      </w:pPr>
      <w:r>
        <w:rPr>
          <w:snapToGrid w:val="0"/>
        </w:rPr>
        <w:tab/>
        <w:t>(a)</w:t>
      </w:r>
      <w:r>
        <w:rPr>
          <w:snapToGrid w:val="0"/>
        </w:rPr>
        <w:tab/>
        <w:t>915 mm in length; or</w:t>
      </w:r>
    </w:p>
    <w:p>
      <w:pPr>
        <w:pStyle w:val="yIndenta"/>
        <w:rPr>
          <w:snapToGrid w:val="0"/>
        </w:rPr>
      </w:pPr>
      <w:r>
        <w:rPr>
          <w:snapToGrid w:val="0"/>
        </w:rPr>
        <w:tab/>
        <w:t>(b)</w:t>
      </w:r>
      <w:r>
        <w:rPr>
          <w:snapToGrid w:val="0"/>
        </w:rPr>
        <w:tab/>
        <w:t>420 mm in height; or</w:t>
      </w:r>
    </w:p>
    <w:p>
      <w:pPr>
        <w:pStyle w:val="yIndenta"/>
        <w:rPr>
          <w:snapToGrid w:val="0"/>
        </w:rPr>
      </w:pPr>
      <w:r>
        <w:rPr>
          <w:snapToGrid w:val="0"/>
        </w:rPr>
        <w:tab/>
        <w:t>(c)</w:t>
      </w:r>
      <w:r>
        <w:rPr>
          <w:snapToGrid w:val="0"/>
        </w:rPr>
        <w:tab/>
        <w:t>800 mm base width; or</w:t>
      </w:r>
    </w:p>
    <w:p>
      <w:pPr>
        <w:pStyle w:val="yIndenta"/>
        <w:rPr>
          <w:snapToGrid w:val="0"/>
        </w:rPr>
      </w:pPr>
      <w:r>
        <w:rPr>
          <w:snapToGrid w:val="0"/>
        </w:rPr>
        <w:tab/>
        <w:t>(d)</w:t>
      </w:r>
      <w:r>
        <w:rPr>
          <w:snapToGrid w:val="0"/>
        </w:rPr>
        <w:tab/>
        <w:t>540 mm top width,</w:t>
      </w:r>
    </w:p>
    <w:p>
      <w:pPr>
        <w:pStyle w:val="ySubsection"/>
        <w:spacing w:before="120"/>
        <w:rPr>
          <w:snapToGrid w:val="0"/>
        </w:rPr>
      </w:pPr>
      <w:r>
        <w:rPr>
          <w:snapToGrid w:val="0"/>
        </w:rPr>
        <w:tab/>
      </w:r>
      <w:r>
        <w:rPr>
          <w:snapToGrid w:val="0"/>
        </w:rPr>
        <w:tab/>
        <w:t>except that where the height of the pot is less than 420 mm, the top width of the pot may be increased by 5 mm for every 10 mm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 2009 p. 4414; 27 Aug 2010 p. 4107; 25 Sep 2012 p. 4520.]</w:t>
      </w:r>
    </w:p>
    <w:p>
      <w:pPr>
        <w:pStyle w:val="yHeading5"/>
      </w:pPr>
      <w:bookmarkStart w:id="1758" w:name="_Toc359317009"/>
      <w:r>
        <w:rPr>
          <w:rStyle w:val="CharSClsNo"/>
        </w:rPr>
        <w:t>5</w:t>
      </w:r>
      <w:r>
        <w:t>.</w:t>
      </w:r>
      <w:r>
        <w:tab/>
        <w:t>Other pots</w:t>
      </w:r>
      <w:bookmarkEnd w:id="1758"/>
    </w:p>
    <w:p>
      <w:pPr>
        <w:pStyle w:val="ySubsection"/>
      </w:pPr>
      <w:r>
        <w:tab/>
        <w:t>(1)</w:t>
      </w:r>
      <w:r>
        <w:tab/>
        <w:t>This clause applies to rock lobster pots that are not beehive pots or batten pots.</w:t>
      </w:r>
    </w:p>
    <w:p>
      <w:pPr>
        <w:pStyle w:val="ySubsection"/>
        <w:rPr>
          <w:snapToGrid w:val="0"/>
        </w:rPr>
      </w:pPr>
      <w:r>
        <w:tab/>
        <w:t>(2)</w:t>
      </w:r>
      <w:r>
        <w:tab/>
      </w:r>
      <w:r>
        <w:rPr>
          <w:snapToGrid w:val="0"/>
        </w:rPr>
        <w:t xml:space="preserve">A rock lobster pot is to have inserted in it a device or devices </w:t>
      </w:r>
      <w:r>
        <w:t>to create a minimum of 3 escape gaps</w:t>
      </w:r>
      <w:r>
        <w:rPr>
          <w:snapToGrid w:val="0"/>
        </w:rPr>
        <w:t xml:space="preserve"> that are as nearly as practicable rectangular in shape and when measured internally each is to measure not less than 305 mm in length and not less than </w:t>
      </w:r>
      <w:r>
        <w:rPr>
          <w:szCs w:val="22"/>
        </w:rPr>
        <w:t>54 mm</w:t>
      </w:r>
      <w:r>
        <w:rPr>
          <w:snapToGrid w:val="0"/>
        </w:rPr>
        <w:t xml:space="preserve"> in height.</w:t>
      </w:r>
    </w:p>
    <w:p>
      <w:pPr>
        <w:pStyle w:val="ySubsection"/>
        <w:spacing w:before="120"/>
        <w:rPr>
          <w:snapToGrid w:val="0"/>
        </w:rPr>
      </w:pPr>
      <w:r>
        <w:rPr>
          <w:snapToGrid w:val="0"/>
        </w:rPr>
        <w:tab/>
        <w:t>(3)</w:t>
      </w:r>
      <w:r>
        <w:rPr>
          <w:snapToGrid w:val="0"/>
        </w:rPr>
        <w:tab/>
        <w:t>The escape gaps are to be positioned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mm from the base of the pot.</w:t>
      </w:r>
    </w:p>
    <w:p>
      <w:pPr>
        <w:pStyle w:val="ySubsection"/>
        <w:rPr>
          <w:snapToGrid w:val="0"/>
        </w:rPr>
      </w:pPr>
      <w:r>
        <w:rPr>
          <w:snapToGrid w:val="0"/>
        </w:rPr>
        <w:tab/>
        <w:t>(4)</w:t>
      </w:r>
      <w:r>
        <w:rPr>
          <w:snapToGrid w:val="0"/>
        </w:rPr>
        <w:tab/>
        <w:t>Escape gaps are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rPr>
          <w:snapToGrid w:val="0"/>
        </w:rPr>
      </w:pPr>
      <w:r>
        <w:rPr>
          <w:snapToGrid w:val="0"/>
        </w:rPr>
        <w:tab/>
        <w:t>(5)</w:t>
      </w:r>
      <w:r>
        <w:rPr>
          <w:snapToGrid w:val="0"/>
        </w:rPr>
        <w:tab/>
        <w:t>The material to which the escape gaps is attached in the horizontal plane is not to be —</w:t>
      </w:r>
    </w:p>
    <w:p>
      <w:pPr>
        <w:pStyle w:val="yIndenta"/>
        <w:rPr>
          <w:snapToGrid w:val="0"/>
        </w:rPr>
      </w:pPr>
      <w:r>
        <w:rPr>
          <w:snapToGrid w:val="0"/>
        </w:rPr>
        <w:tab/>
        <w:t>(a)</w:t>
      </w:r>
      <w:r>
        <w:rPr>
          <w:snapToGrid w:val="0"/>
        </w:rPr>
        <w:tab/>
        <w:t>constructed of material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5 amended in Gazette 29 Nov 2002 p. 5656; 5 Nov 2009 p. 4414; 12 Feb 2010 p. 588; 27 Aug 2010 p. 4107; 25 Sep 2012 p. 4521.]</w:t>
      </w:r>
    </w:p>
    <w:p>
      <w:pPr>
        <w:pStyle w:val="yEdnotesection"/>
      </w:pPr>
      <w:r>
        <w:t>[</w:t>
      </w:r>
      <w:r>
        <w:rPr>
          <w:b/>
          <w:bCs/>
        </w:rPr>
        <w:t>6.</w:t>
      </w:r>
      <w:r>
        <w:tab/>
        <w:t>Deleted in Gazette 12 Feb 2010 p. 588.]</w:t>
      </w:r>
    </w:p>
    <w:p>
      <w:pPr>
        <w:pStyle w:val="yHeading5"/>
      </w:pPr>
      <w:bookmarkStart w:id="1759" w:name="_Toc359317010"/>
      <w:r>
        <w:rPr>
          <w:rStyle w:val="CharSClsNo"/>
        </w:rPr>
        <w:t>7</w:t>
      </w:r>
      <w:r>
        <w:t>.</w:t>
      </w:r>
      <w:r>
        <w:tab/>
        <w:t>All pots</w:t>
      </w:r>
      <w:bookmarkEnd w:id="1759"/>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m</w:t>
      </w:r>
      <w:r>
        <w:rPr>
          <w:snapToGrid w:val="0"/>
          <w:vertAlign w:val="superscript"/>
        </w:rPr>
        <w:t>3</w:t>
      </w:r>
      <w:r>
        <w:rPr>
          <w:snapToGrid w:val="0"/>
        </w:rPr>
        <w:t>.</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1760" w:name="_Toc339626153"/>
      <w:bookmarkStart w:id="1761" w:name="_Toc342397905"/>
      <w:bookmarkStart w:id="1762" w:name="_Toc343520162"/>
      <w:bookmarkStart w:id="1763" w:name="_Toc343520619"/>
      <w:bookmarkStart w:id="1764" w:name="_Toc344712184"/>
      <w:bookmarkStart w:id="1765" w:name="_Toc344712700"/>
      <w:bookmarkStart w:id="1766" w:name="_Toc347307947"/>
      <w:bookmarkStart w:id="1767" w:name="_Toc349822860"/>
      <w:bookmarkStart w:id="1768" w:name="_Toc349823280"/>
      <w:bookmarkStart w:id="1769" w:name="_Toc349831262"/>
      <w:bookmarkStart w:id="1770" w:name="_Toc359249054"/>
      <w:bookmarkStart w:id="1771" w:name="_Toc359317011"/>
      <w:r>
        <w:rPr>
          <w:rStyle w:val="CharSDivNo"/>
          <w:sz w:val="28"/>
        </w:rPr>
        <w:t>Part 3</w:t>
      </w:r>
      <w:r>
        <w:t> — </w:t>
      </w:r>
      <w:r>
        <w:rPr>
          <w:rStyle w:val="CharSDivText"/>
          <w:sz w:val="28"/>
        </w:rPr>
        <w:t>All other waters</w:t>
      </w:r>
      <w:bookmarkEnd w:id="1760"/>
      <w:bookmarkEnd w:id="1761"/>
      <w:bookmarkEnd w:id="1762"/>
      <w:bookmarkEnd w:id="1763"/>
      <w:bookmarkEnd w:id="1764"/>
      <w:bookmarkEnd w:id="1765"/>
      <w:bookmarkEnd w:id="1766"/>
      <w:bookmarkEnd w:id="1767"/>
      <w:bookmarkEnd w:id="1768"/>
      <w:bookmarkEnd w:id="1769"/>
      <w:bookmarkEnd w:id="1770"/>
      <w:bookmarkEnd w:id="1771"/>
    </w:p>
    <w:p>
      <w:pPr>
        <w:pStyle w:val="yHeading5"/>
      </w:pPr>
      <w:bookmarkStart w:id="1772" w:name="_Toc359317012"/>
      <w:r>
        <w:rPr>
          <w:rStyle w:val="CharSClsNo"/>
        </w:rPr>
        <w:t>8</w:t>
      </w:r>
      <w:r>
        <w:t>.</w:t>
      </w:r>
      <w:r>
        <w:tab/>
        <w:t>Entrance or neck of pot</w:t>
      </w:r>
      <w:bookmarkEnd w:id="1772"/>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1773" w:name="_Toc359317013"/>
      <w:r>
        <w:rPr>
          <w:rStyle w:val="CharSClsNo"/>
        </w:rPr>
        <w:t>9</w:t>
      </w:r>
      <w:r>
        <w:t>.</w:t>
      </w:r>
      <w:r>
        <w:tab/>
        <w:t>Beehive pots</w:t>
      </w:r>
      <w:bookmarkEnd w:id="1773"/>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rPr>
          <w:snapToGrid w:val="0"/>
        </w:rPr>
      </w:pPr>
      <w:r>
        <w:rPr>
          <w:snapToGrid w:val="0"/>
        </w:rPr>
        <w:tab/>
        <w:t>(a)</w:t>
      </w:r>
      <w:r>
        <w:rPr>
          <w:snapToGrid w:val="0"/>
        </w:rPr>
        <w:tab/>
        <w:t xml:space="preserve">is to have inserted in it a device to create an escape gap that is as nearly as practicable rectangular in shape and when measured internally is not less than 305 mm in length and not less than 54 mm in height (see </w:t>
      </w:r>
      <w:r>
        <w:t xml:space="preserve">Diagram 1(b) </w:t>
      </w:r>
      <w:r>
        <w:rPr>
          <w:snapToGrid w:val="0"/>
        </w:rPr>
        <w:t>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mm from the base of the pot and is to be positioned in accordance with Diagram 2(b) 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spacing w:before="60"/>
        <w:rPr>
          <w:snapToGrid w:val="0"/>
        </w:rPr>
      </w:pPr>
      <w:r>
        <w:rPr>
          <w:snapToGrid w:val="0"/>
        </w:rPr>
        <w:tab/>
        <w:t>(ii)</w:t>
      </w:r>
      <w:r>
        <w:rPr>
          <w:snapToGrid w:val="0"/>
        </w:rPr>
        <w:tab/>
        <w:t>pressed steel or aluminium and constructed to the specifications set out in clause 4(7)(d).</w:t>
      </w:r>
    </w:p>
    <w:p>
      <w:pPr>
        <w:pStyle w:val="yFootnotesection"/>
      </w:pPr>
      <w:r>
        <w:tab/>
        <w:t>[Clause 9 amended in Gazette 27 Aug 2010 p. 4107.]</w:t>
      </w:r>
    </w:p>
    <w:p>
      <w:pPr>
        <w:pStyle w:val="yHeading5"/>
      </w:pPr>
      <w:bookmarkStart w:id="1774" w:name="_Toc359317014"/>
      <w:r>
        <w:rPr>
          <w:rStyle w:val="CharSClsNo"/>
        </w:rPr>
        <w:t>10</w:t>
      </w:r>
      <w:r>
        <w:t>.</w:t>
      </w:r>
      <w:r>
        <w:tab/>
        <w:t>Batten pots</w:t>
      </w:r>
      <w:bookmarkEnd w:id="1774"/>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mm in length and not less than 54 mm in height.</w:t>
      </w:r>
    </w:p>
    <w:p>
      <w:pPr>
        <w:pStyle w:val="ySubsection"/>
        <w:rPr>
          <w:snapToGrid w:val="0"/>
        </w:rPr>
      </w:pPr>
      <w:r>
        <w:rPr>
          <w:snapToGrid w:val="0"/>
        </w:rPr>
        <w:tab/>
        <w:t>(3)</w:t>
      </w:r>
      <w:r>
        <w:rPr>
          <w:snapToGrid w:val="0"/>
        </w:rPr>
        <w:tab/>
        <w:t>The escape gap in a batten rock lobster pot is to be —</w:t>
      </w:r>
    </w:p>
    <w:p>
      <w:pPr>
        <w:pStyle w:val="yIndenta"/>
        <w:spacing w:before="60"/>
        <w:rPr>
          <w:snapToGrid w:val="0"/>
        </w:rPr>
      </w:pPr>
      <w:r>
        <w:rPr>
          <w:snapToGrid w:val="0"/>
        </w:rPr>
        <w:tab/>
        <w:t>(a)</w:t>
      </w:r>
      <w:r>
        <w:rPr>
          <w:snapToGrid w:val="0"/>
        </w:rPr>
        <w:tab/>
        <w:t xml:space="preserve">positioned on a side of the pot, other than the base, in the rear half of the pot or at the end opposite the hauling rope attachment point or points and is to be positioned in accordance with </w:t>
      </w:r>
      <w:r>
        <w:t xml:space="preserve">Diagram 3(b) </w:t>
      </w:r>
      <w:r>
        <w:rPr>
          <w:snapToGrid w:val="0"/>
        </w:rPr>
        <w:t>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mm from the base of the pot.</w:t>
      </w:r>
    </w:p>
    <w:p>
      <w:pPr>
        <w:pStyle w:val="ySubsection"/>
        <w:rPr>
          <w:snapToGrid w:val="0"/>
        </w:rPr>
      </w:pPr>
      <w:r>
        <w:rPr>
          <w:snapToGrid w:val="0"/>
        </w:rPr>
        <w:tab/>
        <w:t>(5)</w:t>
      </w:r>
      <w:r>
        <w:rPr>
          <w:snapToGrid w:val="0"/>
        </w:rPr>
        <w:tab/>
        <w:t>An escape gap is to be constructed of the materials and to the specifications set out in clause 4(7).</w:t>
      </w:r>
    </w:p>
    <w:p>
      <w:pPr>
        <w:pStyle w:val="ySubsection"/>
        <w:keepNext/>
        <w:rPr>
          <w:snapToGrid w:val="0"/>
        </w:rPr>
      </w:pPr>
      <w:r>
        <w:rPr>
          <w:snapToGrid w:val="0"/>
        </w:rPr>
        <w:tab/>
        <w:t>(6)</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Footnotesection"/>
      </w:pPr>
      <w:r>
        <w:tab/>
        <w:t>[Clause 10 amended in Gazette 27 Aug 2010 p. 4107.]</w:t>
      </w:r>
    </w:p>
    <w:p>
      <w:pPr>
        <w:pStyle w:val="yHeading5"/>
      </w:pPr>
      <w:bookmarkStart w:id="1775" w:name="_Toc359317015"/>
      <w:r>
        <w:rPr>
          <w:rStyle w:val="CharSClsNo"/>
        </w:rPr>
        <w:t>11</w:t>
      </w:r>
      <w:r>
        <w:t>.</w:t>
      </w:r>
      <w:r>
        <w:tab/>
        <w:t>Other pots</w:t>
      </w:r>
      <w:bookmarkEnd w:id="1775"/>
    </w:p>
    <w:p>
      <w:pPr>
        <w:pStyle w:val="ySubsection"/>
      </w:pPr>
      <w:r>
        <w:tab/>
        <w:t>(1)</w:t>
      </w:r>
      <w:r>
        <w:tab/>
        <w:t>This clause applies to rock lobster pots that are not beehive pots or batten pots.</w:t>
      </w:r>
    </w:p>
    <w:p>
      <w:pPr>
        <w:pStyle w:val="ySubsection"/>
        <w:spacing w:before="100"/>
        <w:rPr>
          <w:snapToGrid w:val="0"/>
        </w:rPr>
      </w:pPr>
      <w:r>
        <w:rPr>
          <w:snapToGrid w:val="0"/>
        </w:rPr>
        <w:tab/>
        <w:t>(2)</w:t>
      </w:r>
      <w:r>
        <w:rPr>
          <w:snapToGrid w:val="0"/>
        </w:rPr>
        <w:tab/>
        <w:t>A rock lobster pot is to have inserted in it a device to create an escape gap that is as nearly as practicable rectangular in shape and when measured internally is to measure not less than 305 mm in length and not less than 54 mm in height.</w:t>
      </w:r>
    </w:p>
    <w:p>
      <w:pPr>
        <w:pStyle w:val="ySubsection"/>
        <w:spacing w:before="100"/>
        <w:rPr>
          <w:snapToGrid w:val="0"/>
        </w:rPr>
      </w:pPr>
      <w:r>
        <w:rPr>
          <w:snapToGrid w:val="0"/>
        </w:rPr>
        <w:tab/>
        <w:t>(3)</w:t>
      </w:r>
      <w:r>
        <w:rPr>
          <w:snapToGrid w:val="0"/>
        </w:rPr>
        <w:tab/>
        <w:t>The escape gap in a rock lobster pot is to be positioned —</w:t>
      </w:r>
    </w:p>
    <w:p>
      <w:pPr>
        <w:pStyle w:val="yIndenta"/>
        <w:rPr>
          <w:snapToGrid w:val="0"/>
        </w:rPr>
      </w:pPr>
      <w:r>
        <w:rPr>
          <w:snapToGrid w:val="0"/>
        </w:rPr>
        <w:tab/>
        <w:t>(a)</w:t>
      </w:r>
      <w:r>
        <w:rPr>
          <w:snapToGrid w:val="0"/>
        </w:rPr>
        <w:tab/>
        <w:t>on a side, other than the base, in the rear half of the pot opposite the hauling rope attachment point or points; and</w:t>
      </w:r>
    </w:p>
    <w:p>
      <w:pPr>
        <w:pStyle w:val="yIndenta"/>
        <w:rPr>
          <w:snapToGrid w:val="0"/>
        </w:rPr>
      </w:pPr>
      <w:r>
        <w:rPr>
          <w:snapToGrid w:val="0"/>
        </w:rPr>
        <w:tab/>
        <w:t>(b)</w:t>
      </w:r>
      <w:r>
        <w:rPr>
          <w:snapToGrid w:val="0"/>
        </w:rPr>
        <w:tab/>
        <w:t xml:space="preserve">so that the longer sides of the gap are generally parallel to the base of the pot and the lower internal edge of the escape gap is no more than 110 mm from the base of the </w:t>
      </w:r>
      <w:r>
        <w:t>pot; and</w:t>
      </w:r>
    </w:p>
    <w:p>
      <w:pPr>
        <w:pStyle w:val="yIndenta"/>
        <w:rPr>
          <w:snapToGrid w:val="0"/>
        </w:rPr>
      </w:pPr>
      <w:r>
        <w:rPr>
          <w:snapToGrid w:val="0"/>
        </w:rPr>
        <w:tab/>
        <w:t>(c)</w:t>
      </w:r>
      <w:r>
        <w:rPr>
          <w:snapToGrid w:val="0"/>
        </w:rPr>
        <w:tab/>
        <w:t>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keepNext/>
        <w:rPr>
          <w:snapToGrid w:val="0"/>
        </w:rPr>
      </w:pPr>
      <w:r>
        <w:rPr>
          <w:snapToGrid w:val="0"/>
        </w:rPr>
        <w:tab/>
        <w:t>(5)</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material which is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11 amended in Gazette 12 Feb 2010 p. 588.]</w:t>
      </w:r>
    </w:p>
    <w:p>
      <w:pPr>
        <w:pStyle w:val="yEdnotesection"/>
      </w:pPr>
      <w:r>
        <w:t>[</w:t>
      </w:r>
      <w:r>
        <w:rPr>
          <w:b/>
          <w:bCs/>
        </w:rPr>
        <w:t>12.</w:t>
      </w:r>
      <w:r>
        <w:tab/>
        <w:t>Deleted in Gazette 12 Feb 2010 p. 588.]</w:t>
      </w:r>
    </w:p>
    <w:p>
      <w:pPr>
        <w:pStyle w:val="yHeading5"/>
      </w:pPr>
      <w:bookmarkStart w:id="1776" w:name="_Toc359317016"/>
      <w:r>
        <w:rPr>
          <w:rStyle w:val="CharSClsNo"/>
        </w:rPr>
        <w:t>13</w:t>
      </w:r>
      <w:r>
        <w:t>.</w:t>
      </w:r>
      <w:r>
        <w:tab/>
        <w:t>All pots</w:t>
      </w:r>
      <w:bookmarkEnd w:id="1776"/>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0"/>
              <w:jc w:val="center"/>
              <w:rPr>
                <w:b/>
                <w:bCs/>
                <w:sz w:val="20"/>
              </w:rPr>
            </w:pPr>
            <w:r>
              <w:rPr>
                <w:b/>
                <w:bCs/>
                <w:sz w:val="20"/>
              </w:rPr>
              <w:t>Diagram 1(a) — Beehive pots</w:t>
            </w:r>
          </w:p>
        </w:tc>
      </w:tr>
      <w:tr>
        <w:tc>
          <w:tcPr>
            <w:tcW w:w="7230" w:type="dxa"/>
          </w:tcPr>
          <w:p>
            <w:pPr>
              <w:pStyle w:val="yTableNAm"/>
              <w:keepNext/>
              <w:tabs>
                <w:tab w:val="clear" w:pos="567"/>
                <w:tab w:val="left" w:leader="dot" w:pos="3260"/>
              </w:tabs>
              <w:spacing w:before="0"/>
              <w:jc w:val="center"/>
              <w:rPr>
                <w:sz w:val="20"/>
              </w:rPr>
            </w:pPr>
            <w:r>
              <w:rPr>
                <w:sz w:val="20"/>
              </w:rPr>
              <w:t>(Clause 3(2)(a))</w:t>
            </w:r>
          </w:p>
        </w:tc>
      </w:tr>
      <w:tr>
        <w:tc>
          <w:tcPr>
            <w:tcW w:w="7230" w:type="dxa"/>
          </w:tcPr>
          <w:p>
            <w:pPr>
              <w:pStyle w:val="yTableNAm"/>
              <w:tabs>
                <w:tab w:val="clear" w:pos="567"/>
                <w:tab w:val="left" w:leader="dot" w:pos="3260"/>
              </w:tabs>
              <w:spacing w:before="0"/>
              <w:jc w:val="center"/>
              <w:rPr>
                <w:sz w:val="20"/>
              </w:rPr>
            </w:pPr>
            <w:r>
              <w:rPr>
                <w:noProof/>
                <w:lang w:eastAsia="en-AU"/>
              </w:rPr>
              <w:drawing>
                <wp:inline distT="0" distB="0" distL="0" distR="0">
                  <wp:extent cx="2971800" cy="24288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971800" cy="2428875"/>
                          </a:xfrm>
                          <a:prstGeom prst="rect">
                            <a:avLst/>
                          </a:prstGeom>
                          <a:noFill/>
                          <a:ln>
                            <a:noFill/>
                          </a:ln>
                        </pic:spPr>
                      </pic:pic>
                    </a:graphicData>
                  </a:graphic>
                </wp:inline>
              </w:drawing>
            </w:r>
          </w:p>
        </w:tc>
      </w:tr>
    </w:tbl>
    <w:p>
      <w:pPr>
        <w:pStyle w:val="yFootnotesection"/>
      </w:pPr>
      <w:r>
        <w:tab/>
        <w:t>[Diagram 1(a) inserted in Gazette 27 Aug 2010 p. 4108.]</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320"/>
              <w:jc w:val="center"/>
              <w:rPr>
                <w:b/>
                <w:bCs/>
                <w:sz w:val="20"/>
              </w:rPr>
            </w:pPr>
            <w:r>
              <w:rPr>
                <w:b/>
                <w:bCs/>
                <w:sz w:val="20"/>
              </w:rPr>
              <w:t>Diagram 1(b) — Beehive pots</w:t>
            </w:r>
          </w:p>
        </w:tc>
      </w:tr>
      <w:tr>
        <w:tc>
          <w:tcPr>
            <w:tcW w:w="7230" w:type="dxa"/>
          </w:tcPr>
          <w:p>
            <w:pPr>
              <w:pStyle w:val="yTableNAm"/>
              <w:keepNext/>
              <w:tabs>
                <w:tab w:val="clear" w:pos="567"/>
                <w:tab w:val="left" w:leader="dot" w:pos="3260"/>
              </w:tabs>
              <w:spacing w:before="0"/>
              <w:jc w:val="center"/>
              <w:rPr>
                <w:sz w:val="20"/>
              </w:rPr>
            </w:pPr>
            <w:r>
              <w:rPr>
                <w:sz w:val="20"/>
              </w:rPr>
              <w:t>(Clause 9(2)(a))</w:t>
            </w:r>
          </w:p>
        </w:tc>
      </w:tr>
      <w:tr>
        <w:tc>
          <w:tcPr>
            <w:tcW w:w="7230" w:type="dxa"/>
          </w:tcPr>
          <w:p>
            <w:pPr>
              <w:pStyle w:val="yTableNAm"/>
              <w:tabs>
                <w:tab w:val="clear" w:pos="567"/>
                <w:tab w:val="left" w:leader="dot" w:pos="3260"/>
              </w:tabs>
              <w:spacing w:before="0"/>
              <w:jc w:val="center"/>
              <w:rPr>
                <w:sz w:val="20"/>
              </w:rPr>
            </w:pPr>
            <w:r>
              <w:rPr>
                <w:b/>
                <w:noProof/>
                <w:lang w:eastAsia="en-AU"/>
              </w:rPr>
              <w:drawing>
                <wp:inline distT="0" distB="0" distL="0" distR="0">
                  <wp:extent cx="2752725" cy="2305050"/>
                  <wp:effectExtent l="0" t="0" r="9525" b="0"/>
                  <wp:docPr id="2" name="Picture 2"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sh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p>
        </w:tc>
      </w:tr>
    </w:tbl>
    <w:p>
      <w:pPr>
        <w:pStyle w:val="yFootnotesection"/>
      </w:pPr>
      <w:r>
        <w:tab/>
        <w:t>[Diagram 1(b) inserted in Gazette 27 Aug 2010 p. 4108.]</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2(a) — Beehive pots</w:t>
            </w:r>
          </w:p>
        </w:tc>
      </w:tr>
      <w:tr>
        <w:tc>
          <w:tcPr>
            <w:tcW w:w="7088" w:type="dxa"/>
          </w:tcPr>
          <w:p>
            <w:pPr>
              <w:pStyle w:val="yTableNAm"/>
              <w:keepNext/>
              <w:keepLines/>
              <w:tabs>
                <w:tab w:val="clear" w:pos="567"/>
                <w:tab w:val="left" w:leader="dot" w:pos="3260"/>
              </w:tabs>
              <w:spacing w:before="0"/>
              <w:jc w:val="center"/>
              <w:rPr>
                <w:sz w:val="20"/>
              </w:rPr>
            </w:pPr>
            <w:r>
              <w:rPr>
                <w:sz w:val="20"/>
              </w:rPr>
              <w:t>(Clause 3(3)(a))</w:t>
            </w:r>
          </w:p>
        </w:tc>
      </w:tr>
      <w:tr>
        <w:tc>
          <w:tcPr>
            <w:tcW w:w="7088" w:type="dxa"/>
          </w:tcPr>
          <w:p>
            <w:pPr>
              <w:pStyle w:val="yTableNAm"/>
              <w:keepLines/>
              <w:tabs>
                <w:tab w:val="clear" w:pos="567"/>
                <w:tab w:val="left" w:leader="dot" w:pos="3260"/>
              </w:tabs>
              <w:spacing w:before="0"/>
              <w:rPr>
                <w:sz w:val="20"/>
              </w:rPr>
            </w:pPr>
            <w:r>
              <w:rPr>
                <w:noProof/>
                <w:lang w:eastAsia="en-AU"/>
              </w:rPr>
              <w:drawing>
                <wp:inline distT="0" distB="0" distL="0" distR="0">
                  <wp:extent cx="4572000" cy="36385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572000" cy="3638550"/>
                          </a:xfrm>
                          <a:prstGeom prst="rect">
                            <a:avLst/>
                          </a:prstGeom>
                          <a:noFill/>
                          <a:ln>
                            <a:noFill/>
                          </a:ln>
                        </pic:spPr>
                      </pic:pic>
                    </a:graphicData>
                  </a:graphic>
                </wp:inline>
              </w:drawing>
            </w:r>
          </w:p>
        </w:tc>
      </w:tr>
    </w:tbl>
    <w:p>
      <w:pPr>
        <w:pStyle w:val="yFootnotesection"/>
      </w:pPr>
      <w:r>
        <w:tab/>
        <w:t>[Diagram 2(a) inserted in Gazette 27 Aug 2010 p. 4108.]</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2(b) — Beehive pots</w:t>
            </w:r>
          </w:p>
        </w:tc>
      </w:tr>
      <w:tr>
        <w:tc>
          <w:tcPr>
            <w:tcW w:w="7088" w:type="dxa"/>
          </w:tcPr>
          <w:p>
            <w:pPr>
              <w:pStyle w:val="yTableNAm"/>
              <w:keepNext/>
              <w:keepLines/>
              <w:tabs>
                <w:tab w:val="clear" w:pos="567"/>
                <w:tab w:val="left" w:leader="dot" w:pos="3260"/>
              </w:tabs>
              <w:spacing w:before="0"/>
              <w:jc w:val="center"/>
              <w:rPr>
                <w:sz w:val="20"/>
              </w:rPr>
            </w:pPr>
            <w:r>
              <w:rPr>
                <w:sz w:val="20"/>
              </w:rPr>
              <w:t>(Clause 9(3)(a))</w:t>
            </w:r>
          </w:p>
        </w:tc>
      </w:tr>
      <w:tr>
        <w:tc>
          <w:tcPr>
            <w:tcW w:w="7088" w:type="dxa"/>
          </w:tcPr>
          <w:p>
            <w:pPr>
              <w:pStyle w:val="yTableNAm"/>
              <w:tabs>
                <w:tab w:val="clear" w:pos="567"/>
                <w:tab w:val="left" w:leader="dot" w:pos="3260"/>
              </w:tabs>
              <w:spacing w:before="0"/>
              <w:rPr>
                <w:sz w:val="20"/>
              </w:rPr>
            </w:pPr>
            <w:r>
              <w:rPr>
                <w:noProof/>
                <w:sz w:val="20"/>
                <w:lang w:eastAsia="en-AU"/>
              </w:rPr>
              <w:drawing>
                <wp:inline distT="0" distB="0" distL="0" distR="0">
                  <wp:extent cx="4495800" cy="4029075"/>
                  <wp:effectExtent l="0" t="0" r="0" b="9525"/>
                  <wp:docPr id="4" name="Picture 4"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ish3"/>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p>
        </w:tc>
      </w:tr>
    </w:tbl>
    <w:p>
      <w:pPr>
        <w:pStyle w:val="yFootnotesection"/>
      </w:pPr>
      <w:r>
        <w:tab/>
        <w:t>[Diagram 2(b) inserted in Gazette 27 Aug 2010 p. 4109.]</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3(a)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4(4)(a))</w:t>
            </w:r>
          </w:p>
        </w:tc>
      </w:tr>
      <w:tr>
        <w:tc>
          <w:tcPr>
            <w:tcW w:w="7088" w:type="dxa"/>
          </w:tcPr>
          <w:p>
            <w:pPr>
              <w:pStyle w:val="yTableNAm"/>
              <w:tabs>
                <w:tab w:val="clear" w:pos="567"/>
                <w:tab w:val="left" w:leader="dot" w:pos="3260"/>
              </w:tabs>
              <w:spacing w:before="0"/>
              <w:rPr>
                <w:sz w:val="20"/>
              </w:rPr>
            </w:pPr>
            <w:r>
              <w:rPr>
                <w:noProof/>
                <w:lang w:eastAsia="en-AU"/>
              </w:rPr>
              <w:drawing>
                <wp:inline distT="0" distB="0" distL="0" distR="0">
                  <wp:extent cx="4572000" cy="29718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572000" cy="2971800"/>
                          </a:xfrm>
                          <a:prstGeom prst="rect">
                            <a:avLst/>
                          </a:prstGeom>
                          <a:noFill/>
                          <a:ln>
                            <a:noFill/>
                          </a:ln>
                        </pic:spPr>
                      </pic:pic>
                    </a:graphicData>
                  </a:graphic>
                </wp:inline>
              </w:drawing>
            </w:r>
          </w:p>
        </w:tc>
      </w:tr>
    </w:tbl>
    <w:p>
      <w:pPr>
        <w:pStyle w:val="yFootnotesection"/>
      </w:pPr>
      <w:r>
        <w:tab/>
        <w:t>[Diagram 3(a) inserted in Gazette 27 Aug 2010 p. 4109.]</w:t>
      </w:r>
    </w:p>
    <w:tbl>
      <w:tblPr>
        <w:tblW w:w="7230" w:type="dxa"/>
        <w:tblInd w:w="108" w:type="dxa"/>
        <w:tblLayout w:type="fixed"/>
        <w:tblLook w:val="0000" w:firstRow="0" w:lastRow="0" w:firstColumn="0" w:lastColumn="0" w:noHBand="0" w:noVBand="0"/>
      </w:tblPr>
      <w:tblGrid>
        <w:gridCol w:w="7230"/>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3(b)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10(3)(a))</w:t>
            </w:r>
          </w:p>
        </w:tc>
      </w:tr>
      <w:tr>
        <w:tc>
          <w:tcPr>
            <w:tcW w:w="7088" w:type="dxa"/>
          </w:tcPr>
          <w:p>
            <w:pPr>
              <w:pStyle w:val="yTableNAm"/>
              <w:tabs>
                <w:tab w:val="clear" w:pos="567"/>
                <w:tab w:val="left" w:leader="dot" w:pos="3260"/>
              </w:tabs>
              <w:spacing w:before="0"/>
              <w:rPr>
                <w:sz w:val="20"/>
              </w:rPr>
            </w:pPr>
            <w:r>
              <w:rPr>
                <w:noProof/>
                <w:sz w:val="20"/>
                <w:lang w:eastAsia="en-AU"/>
              </w:rPr>
              <w:drawing>
                <wp:inline distT="0" distB="0" distL="0" distR="0">
                  <wp:extent cx="3219450" cy="2971800"/>
                  <wp:effectExtent l="0" t="0" r="0" b="0"/>
                  <wp:docPr id="6" name="Picture 6"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ish4"/>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p>
        </w:tc>
      </w:tr>
    </w:tbl>
    <w:p>
      <w:pPr>
        <w:pStyle w:val="yFootnotesection"/>
      </w:pPr>
      <w:r>
        <w:tab/>
        <w:t>[Diagram 3(b)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tabs>
                <w:tab w:val="clear" w:pos="567"/>
                <w:tab w:val="left" w:leader="dot" w:pos="3260"/>
              </w:tabs>
              <w:spacing w:before="520"/>
              <w:jc w:val="center"/>
              <w:rPr>
                <w:sz w:val="20"/>
              </w:rPr>
            </w:pPr>
            <w:r>
              <w:rPr>
                <w:b/>
                <w:bCs/>
                <w:sz w:val="20"/>
              </w:rPr>
              <w:t>Diagram 4 — Batten pots</w:t>
            </w:r>
          </w:p>
        </w:tc>
      </w:tr>
      <w:tr>
        <w:tc>
          <w:tcPr>
            <w:tcW w:w="7088" w:type="dxa"/>
          </w:tcPr>
          <w:p>
            <w:pPr>
              <w:pStyle w:val="yTableNAm"/>
              <w:tabs>
                <w:tab w:val="clear" w:pos="567"/>
                <w:tab w:val="left" w:leader="dot" w:pos="3260"/>
              </w:tabs>
              <w:spacing w:before="0"/>
              <w:jc w:val="center"/>
              <w:rPr>
                <w:sz w:val="20"/>
              </w:rPr>
            </w:pPr>
            <w:r>
              <w:rPr>
                <w:sz w:val="20"/>
              </w:rPr>
              <w:t>(Clause 4(7)(a))</w:t>
            </w:r>
          </w:p>
        </w:tc>
      </w:tr>
      <w:tr>
        <w:tc>
          <w:tcPr>
            <w:tcW w:w="7088" w:type="dxa"/>
          </w:tcPr>
          <w:p>
            <w:pPr>
              <w:pStyle w:val="yTableNAm"/>
              <w:tabs>
                <w:tab w:val="clear" w:pos="567"/>
                <w:tab w:val="left" w:leader="dot" w:pos="3260"/>
              </w:tabs>
              <w:spacing w:before="0"/>
              <w:jc w:val="center"/>
              <w:rPr>
                <w:b/>
                <w:bCs/>
                <w:sz w:val="20"/>
              </w:rPr>
            </w:pPr>
            <w:r>
              <w:rPr>
                <w:b/>
                <w:bCs/>
                <w:sz w:val="20"/>
              </w:rPr>
              <w:t>(Steel flat </w:t>
            </w:r>
            <w:r>
              <w:rPr>
                <w:b/>
                <w:bCs/>
                <w:sz w:val="20"/>
              </w:rPr>
              <w:noBreakHyphen/>
              <w:t> bar)</w:t>
            </w:r>
          </w:p>
        </w:tc>
      </w:tr>
      <w:tr>
        <w:tc>
          <w:tcPr>
            <w:tcW w:w="7088" w:type="dxa"/>
          </w:tcPr>
          <w:p>
            <w:pPr>
              <w:pStyle w:val="yTableNAm"/>
              <w:tabs>
                <w:tab w:val="clear" w:pos="567"/>
                <w:tab w:val="left" w:leader="dot" w:pos="3260"/>
              </w:tabs>
              <w:spacing w:before="0"/>
              <w:jc w:val="center"/>
              <w:rPr>
                <w:sz w:val="20"/>
              </w:rPr>
            </w:pPr>
            <w:r>
              <w:rPr>
                <w:noProof/>
                <w:lang w:eastAsia="en-AU"/>
              </w:rPr>
              <w:drawing>
                <wp:inline distT="0" distB="0" distL="0" distR="0">
                  <wp:extent cx="2466975" cy="19526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466975" cy="1952625"/>
                          </a:xfrm>
                          <a:prstGeom prst="rect">
                            <a:avLst/>
                          </a:prstGeom>
                          <a:noFill/>
                          <a:ln>
                            <a:noFill/>
                          </a:ln>
                        </pic:spPr>
                      </pic:pic>
                    </a:graphicData>
                  </a:graphic>
                </wp:inline>
              </w:drawing>
            </w:r>
          </w:p>
        </w:tc>
      </w:tr>
    </w:tbl>
    <w:p>
      <w:pPr>
        <w:pStyle w:val="yFootnotesection"/>
      </w:pPr>
      <w:r>
        <w:tab/>
        <w:t>[Diagram 4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5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4(7)(b))</w:t>
            </w:r>
          </w:p>
        </w:tc>
      </w:tr>
      <w:tr>
        <w:tc>
          <w:tcPr>
            <w:tcW w:w="7088" w:type="dxa"/>
          </w:tcPr>
          <w:p>
            <w:pPr>
              <w:pStyle w:val="yTableNAm"/>
              <w:keepNext/>
              <w:keepLines/>
              <w:tabs>
                <w:tab w:val="clear" w:pos="567"/>
                <w:tab w:val="left" w:leader="dot" w:pos="3260"/>
              </w:tabs>
              <w:spacing w:before="0"/>
              <w:jc w:val="center"/>
              <w:rPr>
                <w:b/>
                <w:bCs/>
                <w:sz w:val="20"/>
              </w:rPr>
            </w:pPr>
            <w:r>
              <w:rPr>
                <w:b/>
                <w:bCs/>
                <w:sz w:val="20"/>
              </w:rPr>
              <w:t>(Aluminium)</w:t>
            </w:r>
          </w:p>
        </w:tc>
      </w:tr>
      <w:tr>
        <w:tc>
          <w:tcPr>
            <w:tcW w:w="7088" w:type="dxa"/>
          </w:tcPr>
          <w:p>
            <w:pPr>
              <w:pStyle w:val="yTableNAm"/>
              <w:tabs>
                <w:tab w:val="clear" w:pos="567"/>
                <w:tab w:val="left" w:leader="dot" w:pos="3260"/>
              </w:tabs>
              <w:spacing w:before="300"/>
              <w:jc w:val="center"/>
              <w:rPr>
                <w:sz w:val="20"/>
              </w:rPr>
            </w:pPr>
            <w:r>
              <w:rPr>
                <w:noProof/>
                <w:lang w:eastAsia="en-AU"/>
              </w:rPr>
              <w:drawing>
                <wp:inline distT="0" distB="0" distL="0" distR="0">
                  <wp:extent cx="4543425" cy="23622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5">
                            <a:extLst>
                              <a:ext uri="{28A0092B-C50C-407E-A947-70E740481C1C}">
                                <a14:useLocalDpi xmlns:a14="http://schemas.microsoft.com/office/drawing/2010/main" val="0"/>
                              </a:ext>
                            </a:extLst>
                          </a:blip>
                          <a:srcRect b="5544"/>
                          <a:stretch>
                            <a:fillRect/>
                          </a:stretch>
                        </pic:blipFill>
                        <pic:spPr bwMode="auto">
                          <a:xfrm>
                            <a:off x="0" y="0"/>
                            <a:ext cx="4543425" cy="2362200"/>
                          </a:xfrm>
                          <a:prstGeom prst="rect">
                            <a:avLst/>
                          </a:prstGeom>
                          <a:noFill/>
                          <a:ln>
                            <a:noFill/>
                          </a:ln>
                        </pic:spPr>
                      </pic:pic>
                    </a:graphicData>
                  </a:graphic>
                </wp:inline>
              </w:drawing>
            </w:r>
          </w:p>
        </w:tc>
      </w:tr>
    </w:tbl>
    <w:p>
      <w:pPr>
        <w:pStyle w:val="yFootnotesection"/>
        <w:rPr>
          <w:sz w:val="20"/>
        </w:rPr>
      </w:pPr>
      <w:r>
        <w:tab/>
        <w:t>[Diagram 5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6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4(7)(c))</w:t>
            </w:r>
          </w:p>
        </w:tc>
      </w:tr>
      <w:tr>
        <w:tc>
          <w:tcPr>
            <w:tcW w:w="7088" w:type="dxa"/>
          </w:tcPr>
          <w:p>
            <w:pPr>
              <w:pStyle w:val="yTableNAm"/>
              <w:keepNext/>
              <w:keepLines/>
              <w:tabs>
                <w:tab w:val="clear" w:pos="567"/>
                <w:tab w:val="left" w:leader="dot" w:pos="3260"/>
              </w:tabs>
              <w:spacing w:before="0"/>
              <w:jc w:val="center"/>
              <w:rPr>
                <w:b/>
                <w:bCs/>
                <w:sz w:val="20"/>
              </w:rPr>
            </w:pPr>
            <w:r>
              <w:rPr>
                <w:b/>
                <w:bCs/>
                <w:sz w:val="20"/>
              </w:rPr>
              <w:t>(Fibreglass)</w:t>
            </w:r>
          </w:p>
        </w:tc>
      </w:tr>
      <w:tr>
        <w:tc>
          <w:tcPr>
            <w:tcW w:w="7088" w:type="dxa"/>
          </w:tcPr>
          <w:p>
            <w:pPr>
              <w:pStyle w:val="yTableNAm"/>
              <w:keepNext/>
              <w:tabs>
                <w:tab w:val="clear" w:pos="567"/>
                <w:tab w:val="left" w:leader="dot" w:pos="3260"/>
              </w:tabs>
              <w:spacing w:before="0"/>
              <w:jc w:val="center"/>
              <w:rPr>
                <w:sz w:val="20"/>
              </w:rPr>
            </w:pPr>
            <w:r>
              <w:rPr>
                <w:noProof/>
                <w:lang w:eastAsia="en-AU"/>
              </w:rPr>
              <w:drawing>
                <wp:inline distT="0" distB="0" distL="0" distR="0">
                  <wp:extent cx="4543425" cy="310515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6">
                            <a:extLst>
                              <a:ext uri="{28A0092B-C50C-407E-A947-70E740481C1C}">
                                <a14:useLocalDpi xmlns:a14="http://schemas.microsoft.com/office/drawing/2010/main" val="0"/>
                              </a:ext>
                            </a:extLst>
                          </a:blip>
                          <a:srcRect t="7565" b="10904"/>
                          <a:stretch>
                            <a:fillRect/>
                          </a:stretch>
                        </pic:blipFill>
                        <pic:spPr bwMode="auto">
                          <a:xfrm>
                            <a:off x="0" y="0"/>
                            <a:ext cx="4543425" cy="3105150"/>
                          </a:xfrm>
                          <a:prstGeom prst="rect">
                            <a:avLst/>
                          </a:prstGeom>
                          <a:noFill/>
                          <a:ln>
                            <a:noFill/>
                          </a:ln>
                        </pic:spPr>
                      </pic:pic>
                    </a:graphicData>
                  </a:graphic>
                </wp:inline>
              </w:drawing>
            </w:r>
          </w:p>
        </w:tc>
      </w:tr>
    </w:tbl>
    <w:p>
      <w:pPr>
        <w:pStyle w:val="yFootnotesection"/>
      </w:pPr>
      <w:r>
        <w:tab/>
        <w:t>[Diagram 6 inserted in Gazette 27 Aug 2010 p. 4111.]</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keepLines/>
              <w:tabs>
                <w:tab w:val="clear" w:pos="567"/>
                <w:tab w:val="left" w:leader="dot" w:pos="3260"/>
              </w:tabs>
              <w:spacing w:before="0"/>
              <w:jc w:val="center"/>
              <w:rPr>
                <w:b/>
                <w:bCs/>
                <w:sz w:val="20"/>
              </w:rPr>
            </w:pPr>
            <w:r>
              <w:rPr>
                <w:b/>
                <w:bCs/>
                <w:sz w:val="20"/>
              </w:rPr>
              <w:t>Diagram 7 — Batten pots</w:t>
            </w:r>
          </w:p>
        </w:tc>
      </w:tr>
      <w:tr>
        <w:tc>
          <w:tcPr>
            <w:tcW w:w="7230" w:type="dxa"/>
          </w:tcPr>
          <w:p>
            <w:pPr>
              <w:pStyle w:val="yTableNAm"/>
              <w:keepNext/>
              <w:keepLines/>
              <w:tabs>
                <w:tab w:val="clear" w:pos="567"/>
                <w:tab w:val="left" w:leader="dot" w:pos="3260"/>
              </w:tabs>
              <w:spacing w:before="0"/>
              <w:jc w:val="center"/>
              <w:rPr>
                <w:sz w:val="20"/>
              </w:rPr>
            </w:pPr>
            <w:r>
              <w:rPr>
                <w:sz w:val="20"/>
              </w:rPr>
              <w:t>(Clause 4(7)(d))</w:t>
            </w:r>
          </w:p>
        </w:tc>
      </w:tr>
      <w:tr>
        <w:tc>
          <w:tcPr>
            <w:tcW w:w="7230" w:type="dxa"/>
          </w:tcPr>
          <w:p>
            <w:pPr>
              <w:pStyle w:val="yTableNAm"/>
              <w:keepNext/>
              <w:keepLines/>
              <w:tabs>
                <w:tab w:val="clear" w:pos="567"/>
                <w:tab w:val="left" w:leader="dot" w:pos="3260"/>
              </w:tabs>
              <w:spacing w:before="0"/>
              <w:jc w:val="center"/>
              <w:rPr>
                <w:b/>
                <w:bCs/>
                <w:sz w:val="20"/>
              </w:rPr>
            </w:pPr>
            <w:r>
              <w:rPr>
                <w:b/>
                <w:bCs/>
                <w:sz w:val="20"/>
              </w:rPr>
              <w:t>(Steel or aluminium with internal lip)</w:t>
            </w:r>
          </w:p>
        </w:tc>
      </w:tr>
      <w:tr>
        <w:tc>
          <w:tcPr>
            <w:tcW w:w="7230" w:type="dxa"/>
          </w:tcPr>
          <w:p>
            <w:pPr>
              <w:pStyle w:val="yTableNAm"/>
              <w:keepNext/>
              <w:keepLines/>
              <w:tabs>
                <w:tab w:val="clear" w:pos="567"/>
                <w:tab w:val="left" w:leader="dot" w:pos="3260"/>
              </w:tabs>
              <w:spacing w:before="0"/>
              <w:jc w:val="center"/>
              <w:rPr>
                <w:sz w:val="20"/>
              </w:rPr>
            </w:pPr>
            <w:r>
              <w:rPr>
                <w:noProof/>
                <w:lang w:eastAsia="en-AU"/>
              </w:rPr>
              <w:drawing>
                <wp:inline distT="0" distB="0" distL="0" distR="0">
                  <wp:extent cx="4486275" cy="278130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486275" cy="2781300"/>
                          </a:xfrm>
                          <a:prstGeom prst="rect">
                            <a:avLst/>
                          </a:prstGeom>
                          <a:noFill/>
                          <a:ln>
                            <a:noFill/>
                          </a:ln>
                        </pic:spPr>
                      </pic:pic>
                    </a:graphicData>
                  </a:graphic>
                </wp:inline>
              </w:drawing>
            </w:r>
          </w:p>
        </w:tc>
      </w:tr>
    </w:tbl>
    <w:p>
      <w:pPr>
        <w:pStyle w:val="yFootnotesection"/>
      </w:pPr>
      <w:r>
        <w:tab/>
        <w:t>[Diagram 7 inserted in Gazette 27 Aug 2010 p. 4111.]</w:t>
      </w:r>
    </w:p>
    <w:p>
      <w:pPr>
        <w:pStyle w:val="yEdnotesection"/>
      </w:pPr>
      <w:r>
        <w:tab/>
        <w:t>[Diagram 8 deleted in Gazette 12 Feb 2010 p. 588.]</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9 — Batten pots</w:t>
            </w:r>
          </w:p>
        </w:tc>
      </w:tr>
      <w:tr>
        <w:tc>
          <w:tcPr>
            <w:tcW w:w="7375" w:type="dxa"/>
          </w:tcPr>
          <w:p>
            <w:pPr>
              <w:pStyle w:val="yTableNAm"/>
              <w:keepNext/>
              <w:keepLines/>
              <w:tabs>
                <w:tab w:val="clear" w:pos="567"/>
                <w:tab w:val="left" w:leader="dot" w:pos="3260"/>
              </w:tabs>
              <w:spacing w:before="0" w:after="120"/>
              <w:jc w:val="center"/>
              <w:rPr>
                <w:sz w:val="20"/>
              </w:rPr>
            </w:pPr>
            <w:r>
              <w:rPr>
                <w:sz w:val="20"/>
              </w:rPr>
              <w:t>(Clause 4(10))</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505325" cy="2857500"/>
                  <wp:effectExtent l="0" t="0" r="9525" b="0"/>
                  <wp:docPr id="11" name="Picture 11"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ish10"/>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bl>
    <w:p>
      <w:pPr>
        <w:spacing w:before="240"/>
      </w:pP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486275" cy="2324100"/>
                  <wp:effectExtent l="0" t="0" r="9525" b="0"/>
                  <wp:docPr id="12" name="Picture 12"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iagram10"/>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4543425" cy="2352675"/>
                  <wp:effectExtent l="0" t="0" r="9525" b="9525"/>
                  <wp:docPr id="13" name="Picture 13"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iagram11"/>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keepLines/>
        <w:outlineLvl w:val="9"/>
        <w:sectPr>
          <w:headerReference w:type="even" r:id="rId51"/>
          <w:headerReference w:type="default" r:id="rId52"/>
          <w:pgSz w:w="11906" w:h="16838" w:code="9"/>
          <w:pgMar w:top="2381" w:right="2409" w:bottom="3543" w:left="2409" w:header="720" w:footer="3380" w:gutter="0"/>
          <w:cols w:space="720"/>
          <w:noEndnote/>
          <w:docGrid w:linePitch="326"/>
        </w:sectPr>
      </w:pPr>
    </w:p>
    <w:p>
      <w:pPr>
        <w:pStyle w:val="yScheduleHeading"/>
      </w:pPr>
      <w:bookmarkStart w:id="1777" w:name="_Toc339626159"/>
      <w:bookmarkStart w:id="1778" w:name="_Toc342397911"/>
      <w:bookmarkStart w:id="1779" w:name="_Toc343520168"/>
      <w:bookmarkStart w:id="1780" w:name="_Toc343520625"/>
      <w:bookmarkStart w:id="1781" w:name="_Toc344712190"/>
      <w:bookmarkStart w:id="1782" w:name="_Toc344712706"/>
      <w:bookmarkStart w:id="1783" w:name="_Toc347307953"/>
      <w:bookmarkStart w:id="1784" w:name="_Toc349822866"/>
      <w:bookmarkStart w:id="1785" w:name="_Toc349823286"/>
      <w:bookmarkStart w:id="1786" w:name="_Toc349831268"/>
      <w:bookmarkStart w:id="1787" w:name="_Toc359249060"/>
      <w:bookmarkStart w:id="1788" w:name="_Toc359317017"/>
      <w:r>
        <w:rPr>
          <w:rStyle w:val="CharSchNo"/>
        </w:rPr>
        <w:t>Schedule 14</w:t>
      </w:r>
      <w:bookmarkEnd w:id="1777"/>
      <w:bookmarkEnd w:id="1778"/>
      <w:bookmarkEnd w:id="1779"/>
      <w:bookmarkEnd w:id="1780"/>
      <w:bookmarkEnd w:id="1781"/>
      <w:bookmarkEnd w:id="1782"/>
      <w:bookmarkEnd w:id="1783"/>
      <w:bookmarkEnd w:id="1784"/>
      <w:bookmarkEnd w:id="1785"/>
      <w:bookmarkEnd w:id="1786"/>
      <w:bookmarkEnd w:id="1787"/>
      <w:bookmarkEnd w:id="1788"/>
    </w:p>
    <w:p>
      <w:pPr>
        <w:pStyle w:val="yHeading2"/>
      </w:pPr>
      <w:bookmarkStart w:id="1789" w:name="_Toc339626160"/>
      <w:bookmarkStart w:id="1790" w:name="_Toc342397912"/>
      <w:bookmarkStart w:id="1791" w:name="_Toc343520169"/>
      <w:bookmarkStart w:id="1792" w:name="_Toc343520626"/>
      <w:bookmarkStart w:id="1793" w:name="_Toc344712191"/>
      <w:bookmarkStart w:id="1794" w:name="_Toc344712707"/>
      <w:bookmarkStart w:id="1795" w:name="_Toc347307954"/>
      <w:bookmarkStart w:id="1796" w:name="_Toc349822867"/>
      <w:bookmarkStart w:id="1797" w:name="_Toc349823287"/>
      <w:bookmarkStart w:id="1798" w:name="_Toc349831269"/>
      <w:bookmarkStart w:id="1799" w:name="_Toc359249061"/>
      <w:bookmarkStart w:id="1800" w:name="_Toc359317018"/>
      <w:r>
        <w:rPr>
          <w:rStyle w:val="CharSchText"/>
        </w:rPr>
        <w:t>Forms</w:t>
      </w:r>
      <w:bookmarkEnd w:id="1789"/>
      <w:bookmarkEnd w:id="1790"/>
      <w:bookmarkEnd w:id="1791"/>
      <w:bookmarkEnd w:id="1792"/>
      <w:bookmarkEnd w:id="1793"/>
      <w:bookmarkEnd w:id="1794"/>
      <w:bookmarkEnd w:id="1795"/>
      <w:bookmarkEnd w:id="1796"/>
      <w:bookmarkEnd w:id="1797"/>
      <w:bookmarkEnd w:id="1798"/>
      <w:bookmarkEnd w:id="1799"/>
      <w:bookmarkEnd w:id="1800"/>
    </w:p>
    <w:p>
      <w:pPr>
        <w:pStyle w:val="yEdnotedivision"/>
        <w:outlineLvl w:val="9"/>
      </w:pPr>
      <w:r>
        <w:t>[Form 1 deleted in Gazette 30 Dec 2004 p. 6965.]</w:t>
      </w:r>
    </w:p>
    <w:p>
      <w:pPr>
        <w:pStyle w:val="yMiscellaneousHeading"/>
        <w:rPr>
          <w:b/>
        </w:rPr>
      </w:pPr>
      <w:r>
        <w:rPr>
          <w:rStyle w:val="CharSClsNo"/>
          <w:b/>
        </w:rPr>
        <w:t>Form 2</w:t>
      </w:r>
    </w:p>
    <w:p>
      <w:pPr>
        <w:pStyle w:val="yShoulderClause"/>
        <w:rPr>
          <w:snapToGrid w:val="0"/>
        </w:rPr>
      </w:pPr>
      <w:r>
        <w:rPr>
          <w:snapToGrid w:val="0"/>
        </w:rPr>
        <w:t>[reg. 147]</w:t>
      </w:r>
    </w:p>
    <w:p>
      <w:pPr>
        <w:pStyle w:val="yMiscellaneousHeading"/>
        <w:spacing w:before="0"/>
        <w:rPr>
          <w:i/>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pPr>
      <w:r>
        <w:rPr>
          <w:rStyle w:val="CharSClsNo"/>
          <w:b/>
        </w:rPr>
        <w:t>Form 3</w:t>
      </w:r>
    </w:p>
    <w:p>
      <w:pPr>
        <w:pStyle w:val="yShoulderClause"/>
        <w:keepNext/>
        <w:keepLines/>
        <w:rPr>
          <w:snapToGrid w:val="0"/>
        </w:rPr>
      </w:pPr>
      <w:r>
        <w:rPr>
          <w:snapToGrid w:val="0"/>
        </w:rPr>
        <w:t>[reg. 160]</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To have this matter dealt with by a Court, complete the details on back of this form and send it to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 xml:space="preserve">168 </w:t>
      </w:r>
      <w:smartTag w:uri="urn:schemas-microsoft-com:office:smarttags" w:element="place">
        <w:smartTag w:uri="urn:schemas-microsoft-com:office:smarttags" w:element="City">
          <w:r>
            <w:rPr>
              <w:snapToGrid w:val="0"/>
              <w:sz w:val="18"/>
            </w:rPr>
            <w:t>St George’s</w:t>
          </w:r>
        </w:smartTag>
      </w:smartTag>
      <w:r>
        <w:rPr>
          <w:snapToGrid w:val="0"/>
          <w:sz w:val="18"/>
        </w:rPr>
        <w:t xml:space="preserve"> Terrace</w:t>
      </w:r>
    </w:p>
    <w:p>
      <w:pPr>
        <w:pStyle w:val="yMiscellaneousBody"/>
        <w:spacing w:before="0"/>
        <w:ind w:left="1080"/>
        <w:rPr>
          <w:snapToGrid w:val="0"/>
          <w:sz w:val="18"/>
        </w:rPr>
      </w:pPr>
      <w:r>
        <w:rPr>
          <w:snapToGrid w:val="0"/>
          <w:sz w:val="18"/>
        </w:rPr>
        <w:t xml:space="preserve">Locked Bag 39, </w:t>
      </w:r>
      <w:smartTag w:uri="urn:schemas-microsoft-com:office:smarttags" w:element="Street">
        <w:smartTag w:uri="urn:schemas-microsoft-com:office:smarttags" w:element="address">
          <w:r>
            <w:rPr>
              <w:snapToGrid w:val="0"/>
              <w:sz w:val="18"/>
            </w:rPr>
            <w:t>Cloisters Square</w:t>
          </w:r>
        </w:smartTag>
      </w:smartTag>
    </w:p>
    <w:p>
      <w:pPr>
        <w:pStyle w:val="yMiscellaneousBody"/>
        <w:spacing w:before="0"/>
        <w:ind w:left="1080"/>
        <w:rPr>
          <w:snapToGrid w:val="0"/>
          <w:sz w:val="18"/>
        </w:rPr>
      </w:pPr>
      <w:smartTag w:uri="urn:schemas-microsoft-com:office:smarttags" w:element="place">
        <w:smartTag w:uri="urn:schemas-microsoft-com:office:smarttags" w:element="City">
          <w:r>
            <w:rPr>
              <w:snapToGrid w:val="0"/>
              <w:sz w:val="18"/>
            </w:rPr>
            <w:t>PERTH</w:t>
          </w:r>
        </w:smartTag>
      </w:smartTag>
      <w:r>
        <w:rPr>
          <w:snapToGrid w:val="0"/>
          <w:sz w:val="18"/>
        </w:rPr>
        <w:t xml:space="preserve">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keepLines/>
      </w:pPr>
      <w:r>
        <w:rPr>
          <w:rStyle w:val="CharSClsNo"/>
          <w:b/>
        </w:rPr>
        <w:t>Form 4</w:t>
      </w:r>
    </w:p>
    <w:p>
      <w:pPr>
        <w:pStyle w:val="yShoulderClause"/>
        <w:rPr>
          <w:snapToGrid w:val="0"/>
        </w:rPr>
      </w:pPr>
      <w:r>
        <w:rPr>
          <w:snapToGrid w:val="0"/>
        </w:rPr>
        <w:t>[reg. 161]</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pPr>
      <w:r>
        <w:rPr>
          <w:rStyle w:val="CharSClsNo"/>
          <w:b/>
        </w:rPr>
        <w:t>Form 5</w:t>
      </w:r>
    </w:p>
    <w:p>
      <w:pPr>
        <w:pStyle w:val="yShoulderClause"/>
        <w:keepNext/>
        <w:keepLines/>
        <w:spacing w:before="0"/>
        <w:rPr>
          <w:snapToGrid w:val="0"/>
        </w:rPr>
      </w:pPr>
      <w:r>
        <w:rPr>
          <w:snapToGrid w:val="0"/>
        </w:rPr>
        <w:t>[reg. 165]</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86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pPr>
      <w:r>
        <w:rPr>
          <w:rStyle w:val="CharSClsNo"/>
          <w:b/>
        </w:rPr>
        <w:t>Form 6</w:t>
      </w:r>
    </w:p>
    <w:p>
      <w:pPr>
        <w:pStyle w:val="yShoulderClause"/>
        <w:keepNext/>
        <w:keepLines/>
        <w:rPr>
          <w:snapToGrid w:val="0"/>
        </w:rPr>
      </w:pPr>
      <w:r>
        <w:rPr>
          <w:snapToGrid w:val="0"/>
        </w:rPr>
        <w:t>[reg. 173]</w:t>
      </w:r>
    </w:p>
    <w:p>
      <w:pPr>
        <w:pStyle w:val="yMiscellaneousHeading"/>
        <w:keepLines/>
        <w:rPr>
          <w:i/>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Pr>
      <w:r>
        <w:rPr>
          <w:rStyle w:val="CharSClsNo"/>
          <w:b/>
        </w:rPr>
        <w:t>Form 7</w:t>
      </w:r>
    </w:p>
    <w:p>
      <w:pPr>
        <w:pStyle w:val="yShoulderClause"/>
        <w:keepNext/>
        <w:keepLines/>
        <w:spacing w:before="60"/>
        <w:rPr>
          <w:snapToGrid w:val="0"/>
        </w:rPr>
      </w:pPr>
      <w:r>
        <w:rPr>
          <w:snapToGrid w:val="0"/>
        </w:rPr>
        <w:t>[reg. 174]</w:t>
      </w:r>
    </w:p>
    <w:p>
      <w:pPr>
        <w:pStyle w:val="yMiscellaneousHeading"/>
        <w:keepLines/>
        <w:spacing w:before="80"/>
        <w:rPr>
          <w:i/>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Ednotesection"/>
        <w:spacing w:before="120"/>
        <w:outlineLvl w:val="9"/>
      </w:pPr>
      <w:r>
        <w:tab/>
        <w:t>[Form 8 deleted in Gazette 30 Dec 2004 p. 6965.]</w:t>
      </w:r>
    </w:p>
    <w:p>
      <w:pPr>
        <w:pStyle w:val="yScheduleHeading"/>
        <w:outlineLvl w:val="9"/>
        <w:sectPr>
          <w:headerReference w:type="even" r:id="rId53"/>
          <w:headerReference w:type="default" r:id="rId54"/>
          <w:pgSz w:w="11906" w:h="16838" w:code="9"/>
          <w:pgMar w:top="2381" w:right="2409" w:bottom="3543" w:left="2409" w:header="720" w:footer="3380" w:gutter="0"/>
          <w:cols w:space="720"/>
          <w:noEndnote/>
          <w:docGrid w:linePitch="326"/>
        </w:sectPr>
      </w:pPr>
    </w:p>
    <w:p>
      <w:pPr>
        <w:pStyle w:val="yScheduleHeading"/>
      </w:pPr>
      <w:bookmarkStart w:id="1801" w:name="_Toc339626161"/>
      <w:bookmarkStart w:id="1802" w:name="_Toc342397913"/>
      <w:bookmarkStart w:id="1803" w:name="_Toc343520170"/>
      <w:bookmarkStart w:id="1804" w:name="_Toc343520627"/>
      <w:bookmarkStart w:id="1805" w:name="_Toc344712192"/>
      <w:bookmarkStart w:id="1806" w:name="_Toc344712708"/>
      <w:bookmarkStart w:id="1807" w:name="_Toc347307955"/>
      <w:bookmarkStart w:id="1808" w:name="_Toc349822868"/>
      <w:bookmarkStart w:id="1809" w:name="_Toc349823288"/>
      <w:bookmarkStart w:id="1810" w:name="_Toc349831270"/>
      <w:bookmarkStart w:id="1811" w:name="_Toc359249062"/>
      <w:bookmarkStart w:id="1812" w:name="_Toc359317019"/>
      <w:r>
        <w:rPr>
          <w:rStyle w:val="CharSchNo"/>
        </w:rPr>
        <w:t>Schedule 15</w:t>
      </w:r>
      <w:r>
        <w:rPr>
          <w:rStyle w:val="CharSDivNo"/>
          <w:sz w:val="28"/>
        </w:rPr>
        <w:t> </w:t>
      </w:r>
      <w:r>
        <w:t>—</w:t>
      </w:r>
      <w:r>
        <w:rPr>
          <w:rStyle w:val="CharSDivText"/>
          <w:sz w:val="28"/>
        </w:rPr>
        <w:t> </w:t>
      </w:r>
      <w:r>
        <w:rPr>
          <w:rStyle w:val="CharSchText"/>
        </w:rPr>
        <w:t>Tour management zones</w:t>
      </w:r>
      <w:bookmarkEnd w:id="1801"/>
      <w:bookmarkEnd w:id="1802"/>
      <w:bookmarkEnd w:id="1803"/>
      <w:bookmarkEnd w:id="1804"/>
      <w:bookmarkEnd w:id="1805"/>
      <w:bookmarkEnd w:id="1806"/>
      <w:bookmarkEnd w:id="1807"/>
      <w:bookmarkEnd w:id="1808"/>
      <w:bookmarkEnd w:id="1809"/>
      <w:bookmarkEnd w:id="1810"/>
      <w:bookmarkEnd w:id="1811"/>
      <w:bookmarkEnd w:id="1812"/>
    </w:p>
    <w:p>
      <w:pPr>
        <w:pStyle w:val="yShoulderClause"/>
      </w:pPr>
      <w:r>
        <w:t>[r. 128A, 128J]</w:t>
      </w:r>
    </w:p>
    <w:p>
      <w:pPr>
        <w:pStyle w:val="yFootnoteheading"/>
      </w:pPr>
      <w:r>
        <w:tab/>
        <w:t>[Heading inserted in Gazette 29 Jun 2001 p. 3180.]</w:t>
      </w:r>
    </w:p>
    <w:p>
      <w:pPr>
        <w:pStyle w:val="yHeading5"/>
      </w:pPr>
      <w:bookmarkStart w:id="1813" w:name="_Toc359317020"/>
      <w:r>
        <w:rPr>
          <w:rStyle w:val="CharSClsNo"/>
        </w:rPr>
        <w:t>1</w:t>
      </w:r>
      <w:r>
        <w:t>.</w:t>
      </w:r>
      <w:r>
        <w:tab/>
        <w:t>Zone 1: Pilbara/Kimberley</w:t>
      </w:r>
      <w:bookmarkEnd w:id="1813"/>
    </w:p>
    <w:p>
      <w:pPr>
        <w:pStyle w:val="ySubsection"/>
      </w:pPr>
      <w:r>
        <w:tab/>
      </w:r>
      <w:r>
        <w:tab/>
        <w:t xml:space="preserve">Pilbara and </w:t>
      </w:r>
      <w:smartTag w:uri="urn:schemas-microsoft-com:office:smarttags" w:element="place">
        <w:smartTag w:uri="urn:schemas-microsoft-com:office:smarttags" w:element="City">
          <w:r>
            <w:t>Kimberley</w:t>
          </w:r>
        </w:smartTag>
      </w:smartTag>
      <w:r>
        <w:t xml:space="preserve"> Region</w:t>
      </w:r>
    </w:p>
    <w:p>
      <w:pPr>
        <w:pStyle w:val="yFootnotesection"/>
      </w:pPr>
      <w:r>
        <w:tab/>
        <w:t>[Clause 1 inserted in Gazette 1 Oct 2003 p. 4346.]</w:t>
      </w:r>
    </w:p>
    <w:p>
      <w:pPr>
        <w:pStyle w:val="yHeading5"/>
      </w:pPr>
      <w:bookmarkStart w:id="1814" w:name="_Toc359317021"/>
      <w:r>
        <w:rPr>
          <w:rStyle w:val="CharSClsNo"/>
        </w:rPr>
        <w:t>2</w:t>
      </w:r>
      <w:r>
        <w:t>.</w:t>
      </w:r>
      <w:r>
        <w:tab/>
        <w:t>Zone 2: Gascoyne</w:t>
      </w:r>
      <w:bookmarkEnd w:id="1814"/>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1815" w:name="_Toc359317022"/>
      <w:r>
        <w:rPr>
          <w:rStyle w:val="CharSClsNo"/>
        </w:rPr>
        <w:t>3</w:t>
      </w:r>
      <w:r>
        <w:t>.</w:t>
      </w:r>
      <w:r>
        <w:tab/>
        <w:t>Zone 3: West Coast</w:t>
      </w:r>
      <w:bookmarkEnd w:id="1815"/>
    </w:p>
    <w:p>
      <w:pPr>
        <w:pStyle w:val="ySubsection"/>
      </w:pPr>
      <w:r>
        <w:tab/>
      </w:r>
      <w:r>
        <w:tab/>
        <w:t xml:space="preserve">All land and waters, and all waters off the coast of </w:t>
      </w:r>
      <w:smartTag w:uri="urn:schemas-microsoft-com:office:smarttags" w:element="place">
        <w:smartTag w:uri="urn:schemas-microsoft-com:office:smarttags" w:element="State">
          <w:r>
            <w:t>Western Australia</w:t>
          </w:r>
        </w:smartTag>
      </w:smartTag>
      <w:r>
        <w:t xml:space="preserve"> south of 27° 00′ south latitude but excluding the land and waters of Zone 4.</w:t>
      </w:r>
    </w:p>
    <w:p>
      <w:pPr>
        <w:pStyle w:val="yFootnotesection"/>
      </w:pPr>
      <w:r>
        <w:tab/>
        <w:t>[Clause 3 inserted in Gazette 29 Jun 2001 p. 3180.]</w:t>
      </w:r>
    </w:p>
    <w:p>
      <w:pPr>
        <w:pStyle w:val="yHeading5"/>
      </w:pPr>
      <w:bookmarkStart w:id="1816" w:name="_Toc359317023"/>
      <w:r>
        <w:rPr>
          <w:rStyle w:val="CharSClsNo"/>
        </w:rPr>
        <w:t>4</w:t>
      </w:r>
      <w:r>
        <w:t>.</w:t>
      </w:r>
      <w:r>
        <w:tab/>
        <w:t xml:space="preserve">Zone 4: </w:t>
      </w:r>
      <w:smartTag w:uri="urn:schemas-microsoft-com:office:smarttags" w:element="place">
        <w:smartTag w:uri="urn:schemas-microsoft-com:office:smarttags" w:element="PlaceName">
          <w:r>
            <w:t>South</w:t>
          </w:r>
        </w:smartTag>
        <w:r>
          <w:t> </w:t>
        </w:r>
        <w:smartTag w:uri="urn:schemas-microsoft-com:office:smarttags" w:element="PlaceType">
          <w:r>
            <w:t>Coast</w:t>
          </w:r>
        </w:smartTag>
      </w:smartTag>
      <w:bookmarkEnd w:id="1816"/>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1817" w:name="_Toc339626166"/>
      <w:bookmarkStart w:id="1818" w:name="_Toc342397918"/>
      <w:bookmarkStart w:id="1819" w:name="_Toc343520175"/>
      <w:bookmarkStart w:id="1820" w:name="_Toc343520632"/>
      <w:bookmarkStart w:id="1821" w:name="_Toc344712197"/>
      <w:bookmarkStart w:id="1822" w:name="_Toc344712713"/>
      <w:bookmarkStart w:id="1823" w:name="_Toc347307960"/>
      <w:bookmarkStart w:id="1824" w:name="_Toc349822873"/>
      <w:bookmarkStart w:id="1825" w:name="_Toc349823293"/>
      <w:bookmarkStart w:id="1826" w:name="_Toc349831275"/>
      <w:bookmarkStart w:id="1827" w:name="_Toc359249067"/>
      <w:bookmarkStart w:id="1828" w:name="_Toc359317024"/>
      <w:r>
        <w:rPr>
          <w:rStyle w:val="CharSchNo"/>
        </w:rPr>
        <w:t>Schedule 16</w:t>
      </w:r>
      <w:r>
        <w:t> — </w:t>
      </w:r>
      <w:r>
        <w:rPr>
          <w:rStyle w:val="CharSchText"/>
        </w:rPr>
        <w:t>Abalone zones</w:t>
      </w:r>
      <w:bookmarkEnd w:id="1817"/>
      <w:bookmarkEnd w:id="1818"/>
      <w:bookmarkEnd w:id="1819"/>
      <w:bookmarkEnd w:id="1820"/>
      <w:bookmarkEnd w:id="1821"/>
      <w:bookmarkEnd w:id="1822"/>
      <w:bookmarkEnd w:id="1823"/>
      <w:bookmarkEnd w:id="1824"/>
      <w:bookmarkEnd w:id="1825"/>
      <w:bookmarkEnd w:id="1826"/>
      <w:bookmarkEnd w:id="1827"/>
      <w:bookmarkEnd w:id="1828"/>
    </w:p>
    <w:p>
      <w:pPr>
        <w:pStyle w:val="yShoulderClause"/>
      </w:pPr>
      <w:r>
        <w:t>[r. 38D]</w:t>
      </w:r>
    </w:p>
    <w:p>
      <w:pPr>
        <w:pStyle w:val="yFootnoteheading"/>
      </w:pPr>
      <w:r>
        <w:tab/>
        <w:t>[Heading inserted in Gazette 10 Nov 2006 p. 4711.]</w:t>
      </w:r>
    </w:p>
    <w:p>
      <w:pPr>
        <w:pStyle w:val="yHeading5"/>
      </w:pPr>
      <w:bookmarkStart w:id="1829" w:name="_Toc359317025"/>
      <w:r>
        <w:rPr>
          <w:rStyle w:val="CharSClsNo"/>
        </w:rPr>
        <w:t>1</w:t>
      </w:r>
      <w:r>
        <w:t>.</w:t>
      </w:r>
      <w:r>
        <w:tab/>
        <w:t xml:space="preserve">Abalone Zone 1: Busselton Jetty to </w:t>
      </w:r>
      <w:smartTag w:uri="urn:schemas-microsoft-com:office:smarttags" w:element="place">
        <w:smartTag w:uri="urn:schemas-microsoft-com:office:smarttags" w:element="PlaceName">
          <w:r>
            <w:t>Greenough</w:t>
          </w:r>
        </w:smartTag>
        <w:r>
          <w:t xml:space="preserve"> </w:t>
        </w:r>
        <w:smartTag w:uri="urn:schemas-microsoft-com:office:smarttags" w:element="PlaceType">
          <w:r>
            <w:t>River</w:t>
          </w:r>
        </w:smartTag>
      </w:smartTag>
      <w:r>
        <w:t xml:space="preserve"> mouth</w:t>
      </w:r>
      <w:bookmarkEnd w:id="1829"/>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1830" w:name="_Toc359317026"/>
      <w:r>
        <w:rPr>
          <w:rStyle w:val="CharSClsNo"/>
        </w:rPr>
        <w:t>2</w:t>
      </w:r>
      <w:r>
        <w:t>.</w:t>
      </w:r>
      <w:r>
        <w:tab/>
        <w:t xml:space="preserve">Abalone Zone 2: </w:t>
      </w:r>
      <w:smartTag w:uri="urn:schemas-microsoft-com:office:smarttags" w:element="PlaceName">
        <w:r>
          <w:t>Greenough</w:t>
        </w:r>
      </w:smartTag>
      <w:r>
        <w:t xml:space="preserve"> </w:t>
      </w:r>
      <w:smartTag w:uri="urn:schemas-microsoft-com:office:smarttags" w:element="PlaceType">
        <w:r>
          <w:t>River</w:t>
        </w:r>
      </w:smartTag>
      <w:r>
        <w:t xml:space="preserve"> mouth to </w:t>
      </w:r>
      <w:smartTag w:uri="urn:schemas-microsoft-com:office:smarttags" w:element="place">
        <w:smartTag w:uri="urn:schemas-microsoft-com:office:smarttags" w:element="State">
          <w:r>
            <w:t>Northern Territory</w:t>
          </w:r>
        </w:smartTag>
      </w:smartTag>
      <w:r>
        <w:t xml:space="preserve"> border</w:t>
      </w:r>
      <w:bookmarkEnd w:id="1830"/>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1831" w:name="_Toc359317027"/>
      <w:r>
        <w:rPr>
          <w:rStyle w:val="CharSClsNo"/>
        </w:rPr>
        <w:t>3</w:t>
      </w:r>
      <w:r>
        <w:t>.</w:t>
      </w:r>
      <w:r>
        <w:tab/>
        <w:t>Abalone Zone 3: Busselton Jetty to South Australian border</w:t>
      </w:r>
      <w:bookmarkEnd w:id="1831"/>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
      <w:pPr>
        <w:pStyle w:val="CentredBaseLine"/>
        <w:jc w:val="center"/>
      </w:pPr>
      <w:r>
        <w:rPr>
          <w:noProof/>
          <w:lang w:eastAsia="en-AU"/>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56"/>
          <w:headerReference w:type="default" r:id="rId57"/>
          <w:pgSz w:w="11906" w:h="16838" w:code="9"/>
          <w:pgMar w:top="2381" w:right="2409" w:bottom="3543" w:left="2409" w:header="720" w:footer="3380" w:gutter="0"/>
          <w:cols w:space="720"/>
          <w:noEndnote/>
          <w:docGrid w:linePitch="326"/>
        </w:sectPr>
      </w:pPr>
    </w:p>
    <w:p>
      <w:pPr>
        <w:pStyle w:val="nHeading2"/>
      </w:pPr>
      <w:bookmarkStart w:id="1832" w:name="_Toc339626170"/>
      <w:bookmarkStart w:id="1833" w:name="_Toc342397922"/>
      <w:bookmarkStart w:id="1834" w:name="_Toc343520179"/>
      <w:bookmarkStart w:id="1835" w:name="_Toc343520636"/>
      <w:bookmarkStart w:id="1836" w:name="_Toc344712201"/>
      <w:bookmarkStart w:id="1837" w:name="_Toc344712717"/>
      <w:bookmarkStart w:id="1838" w:name="_Toc347307964"/>
      <w:bookmarkStart w:id="1839" w:name="_Toc349822877"/>
      <w:bookmarkStart w:id="1840" w:name="_Toc349823297"/>
      <w:bookmarkStart w:id="1841" w:name="_Toc349831279"/>
      <w:bookmarkStart w:id="1842" w:name="_Toc359249071"/>
      <w:bookmarkStart w:id="1843" w:name="_Toc359317028"/>
      <w:r>
        <w:t>Notes</w:t>
      </w:r>
      <w:bookmarkEnd w:id="1832"/>
      <w:bookmarkEnd w:id="1833"/>
      <w:bookmarkEnd w:id="1834"/>
      <w:bookmarkEnd w:id="1835"/>
      <w:bookmarkEnd w:id="1836"/>
      <w:bookmarkEnd w:id="1837"/>
      <w:bookmarkEnd w:id="1838"/>
      <w:bookmarkEnd w:id="1839"/>
      <w:bookmarkEnd w:id="1840"/>
      <w:bookmarkEnd w:id="1841"/>
      <w:bookmarkEnd w:id="1842"/>
      <w:bookmarkEnd w:id="1843"/>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1844" w:name="_Toc359317029"/>
      <w:r>
        <w:t>Compilation table</w:t>
      </w:r>
      <w:bookmarkEnd w:id="184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5</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w:t>
            </w:r>
            <w:r>
              <w:rPr>
                <w:sz w:val="19"/>
              </w:rPr>
              <w:noBreakHyphen/>
              <w:t>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w:t>
            </w:r>
            <w:r>
              <w:rPr>
                <w:sz w:val="19"/>
              </w:rPr>
              <w:noBreakHyphen/>
              <w:t>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w:t>
            </w:r>
            <w:r>
              <w:rPr>
                <w:sz w:val="19"/>
              </w:rPr>
              <w:noBreakHyphen/>
              <w:t>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w:t>
            </w:r>
            <w:r>
              <w:rPr>
                <w:sz w:val="19"/>
              </w:rPr>
              <w:noBreakHyphen/>
              <w:t>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w:t>
            </w:r>
            <w:r>
              <w:rPr>
                <w:sz w:val="19"/>
              </w:rPr>
              <w:noBreakHyphen/>
              <w:t>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w:t>
            </w:r>
            <w:r>
              <w:rPr>
                <w:sz w:val="19"/>
              </w:rPr>
              <w:noBreakHyphen/>
              <w:t>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w:t>
            </w:r>
            <w:r>
              <w:rPr>
                <w:sz w:val="19"/>
              </w:rPr>
              <w:noBreakHyphen/>
              <w:t>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w:t>
            </w:r>
            <w:r>
              <w:rPr>
                <w:sz w:val="19"/>
              </w:rPr>
              <w:noBreakHyphen/>
              <w:t>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w:t>
            </w:r>
            <w:r>
              <w:rPr>
                <w:sz w:val="19"/>
              </w:rPr>
              <w:noBreakHyphen/>
              <w:t>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w:t>
            </w:r>
            <w:r>
              <w:rPr>
                <w:sz w:val="19"/>
              </w:rPr>
              <w:noBreakHyphen/>
              <w:t>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w:t>
            </w:r>
            <w:r>
              <w:rPr>
                <w:sz w:val="19"/>
              </w:rPr>
              <w:noBreakHyphen/>
              <w:t>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w:t>
            </w:r>
            <w:r>
              <w:rPr>
                <w:sz w:val="19"/>
              </w:rPr>
              <w:noBreakHyphen/>
              <w:t>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w:t>
            </w:r>
            <w:r>
              <w:rPr>
                <w:sz w:val="19"/>
              </w:rPr>
              <w:noBreakHyphen/>
              <w:t>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w:t>
            </w:r>
            <w:r>
              <w:rPr>
                <w:sz w:val="19"/>
              </w:rPr>
              <w:noBreakHyphen/>
              <w:t>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w:t>
            </w:r>
            <w:r>
              <w:rPr>
                <w:sz w:val="19"/>
              </w:rPr>
              <w:noBreakHyphen/>
              <w:t>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w:t>
            </w:r>
            <w:r>
              <w:rPr>
                <w:sz w:val="19"/>
              </w:rPr>
              <w:noBreakHyphen/>
              <w:t>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w:t>
            </w:r>
            <w:r>
              <w:rPr>
                <w:sz w:val="19"/>
              </w:rPr>
              <w:noBreakHyphen/>
              <w:t>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w:t>
            </w:r>
            <w:r>
              <w:rPr>
                <w:sz w:val="19"/>
              </w:rPr>
              <w:noBreakHyphen/>
              <w:t>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w:t>
            </w:r>
            <w:r>
              <w:rPr>
                <w:sz w:val="19"/>
              </w:rPr>
              <w:noBreakHyphen/>
              <w:t>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w:t>
            </w:r>
            <w:r>
              <w:rPr>
                <w:sz w:val="19"/>
              </w:rPr>
              <w:noBreakHyphen/>
              <w:t>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w:t>
            </w:r>
            <w:r>
              <w:rPr>
                <w:sz w:val="19"/>
              </w:rPr>
              <w:noBreakHyphen/>
              <w:t>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w:t>
            </w:r>
            <w:r>
              <w:rPr>
                <w:sz w:val="19"/>
              </w:rPr>
              <w:noBreakHyphen/>
              <w:t>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w:t>
            </w:r>
            <w:r>
              <w:rPr>
                <w:sz w:val="19"/>
              </w:rPr>
              <w:noBreakHyphen/>
              <w:t>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w:t>
            </w:r>
            <w:r>
              <w:rPr>
                <w:sz w:val="19"/>
              </w:rPr>
              <w:noBreakHyphen/>
              <w:t>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w:t>
            </w:r>
            <w:r>
              <w:rPr>
                <w:sz w:val="19"/>
              </w:rPr>
              <w:noBreakHyphen/>
              <w:t>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w:t>
            </w:r>
            <w:r>
              <w:rPr>
                <w:sz w:val="19"/>
              </w:rPr>
              <w:noBreakHyphen/>
              <w:t>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w:t>
            </w:r>
            <w:r>
              <w:rPr>
                <w:sz w:val="19"/>
              </w:rPr>
              <w:noBreakHyphen/>
              <w:t>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spacing w:after="40"/>
              <w:rPr>
                <w:sz w:val="19"/>
              </w:rPr>
            </w:pPr>
            <w:r>
              <w:rPr>
                <w:i/>
                <w:sz w:val="19"/>
              </w:rPr>
              <w:t>Electricity Corporations (Consequential Amendments) Regulations 2006</w:t>
            </w:r>
            <w:r>
              <w:rPr>
                <w:sz w:val="19"/>
              </w:rPr>
              <w:t xml:space="preserve"> r. 80</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w:t>
            </w:r>
            <w:r>
              <w:rPr>
                <w:sz w:val="19"/>
              </w:rPr>
              <w:noBreakHyphen/>
              <w:t>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w:t>
            </w:r>
            <w:r>
              <w:rPr>
                <w:sz w:val="19"/>
              </w:rPr>
              <w:noBreakHyphen/>
              <w:t>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w:t>
            </w:r>
            <w:r>
              <w:rPr>
                <w:sz w:val="19"/>
              </w:rPr>
              <w:noBreakHyphen/>
              <w:t>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w:t>
            </w:r>
            <w:r>
              <w:rPr>
                <w:sz w:val="19"/>
              </w:rPr>
              <w:noBreakHyphen/>
              <w:t>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 p. 5691</w:t>
            </w:r>
            <w:r>
              <w:rPr>
                <w:sz w:val="19"/>
              </w:rPr>
              <w:noBreakHyphen/>
              <w:t>4</w:t>
            </w:r>
          </w:p>
        </w:tc>
        <w:tc>
          <w:tcPr>
            <w:tcW w:w="2693" w:type="dxa"/>
          </w:tcPr>
          <w:p>
            <w:pPr>
              <w:pStyle w:val="nTable"/>
              <w:spacing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rPr>
                <w:sz w:val="19"/>
              </w:rPr>
              <w:t>21 Dec 2007 p. 6325</w:t>
            </w:r>
            <w:r>
              <w:rPr>
                <w:sz w:val="19"/>
              </w:rPr>
              <w:noBreakHyphen/>
              <w:t>6</w:t>
            </w:r>
          </w:p>
        </w:tc>
        <w:tc>
          <w:tcPr>
            <w:tcW w:w="2693" w:type="dxa"/>
          </w:tcPr>
          <w:p>
            <w:pPr>
              <w:pStyle w:val="nTable"/>
              <w:spacing w:after="40"/>
              <w:rPr>
                <w:snapToGrid w:val="0"/>
                <w:sz w:val="19"/>
                <w:lang w:val="en-US"/>
              </w:rPr>
            </w:pPr>
            <w:r>
              <w:rPr>
                <w:snapToGrid w:val="0"/>
                <w:sz w:val="19"/>
                <w:lang w:val="en-US"/>
              </w:rPr>
              <w:t xml:space="preserve">r. 1 </w:t>
            </w:r>
            <w:r>
              <w:rPr>
                <w:sz w:val="19"/>
              </w:rPr>
              <w:t>and</w:t>
            </w:r>
            <w:r>
              <w:rPr>
                <w:snapToGrid w:val="0"/>
                <w:sz w:val="19"/>
                <w:lang w:val="en-US"/>
              </w:rPr>
              <w:t xml:space="preserve"> 2: 21 Dec 2007 (see r. 2(a));</w:t>
            </w:r>
            <w:r>
              <w:rPr>
                <w:snapToGrid w:val="0"/>
                <w:sz w:val="19"/>
                <w:lang w:val="en-US"/>
              </w:rPr>
              <w:br/>
              <w:t>Regulations other than r. 1 and 2: 22 Dec 2007 (see r. 2(b))</w:t>
            </w:r>
          </w:p>
        </w:tc>
      </w:tr>
      <w:tr>
        <w:trPr>
          <w:cantSplit/>
        </w:trPr>
        <w:tc>
          <w:tcPr>
            <w:tcW w:w="3119"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rPr>
                <w:sz w:val="19"/>
              </w:rPr>
            </w:pPr>
            <w:r>
              <w:rPr>
                <w:sz w:val="19"/>
              </w:rPr>
              <w:t>5 Feb 2008 p. 301</w:t>
            </w:r>
            <w:r>
              <w:rPr>
                <w:sz w:val="19"/>
              </w:rPr>
              <w:noBreakHyphen/>
              <w:t>2</w:t>
            </w:r>
          </w:p>
        </w:tc>
        <w:tc>
          <w:tcPr>
            <w:tcW w:w="2693" w:type="dxa"/>
          </w:tcPr>
          <w:p>
            <w:pPr>
              <w:pStyle w:val="nTable"/>
              <w:spacing w:after="40"/>
              <w:rPr>
                <w:snapToGrid w:val="0"/>
                <w:sz w:val="19"/>
                <w:lang w:val="en-US"/>
              </w:rPr>
            </w:pPr>
            <w:r>
              <w:rPr>
                <w:snapToGrid w:val="0"/>
                <w:sz w:val="19"/>
                <w:lang w:val="en-US"/>
              </w:rPr>
              <w:t xml:space="preserve">r. 1 </w:t>
            </w:r>
            <w:r>
              <w:rPr>
                <w:sz w:val="19"/>
              </w:rPr>
              <w:t>and</w:t>
            </w:r>
            <w:r>
              <w:rPr>
                <w:snapToGrid w:val="0"/>
                <w:sz w:val="19"/>
                <w:lang w:val="en-US"/>
              </w:rPr>
              <w:t xml:space="preserve"> 2: 5 Feb 2008 (see r. 2(a));</w:t>
            </w:r>
            <w:r>
              <w:rPr>
                <w:snapToGrid w:val="0"/>
                <w:sz w:val="19"/>
                <w:lang w:val="en-US"/>
              </w:rPr>
              <w:br/>
              <w:t>Regulations other than r. 1 and 2: 1 Mar 2008 (see r. 2(b))</w:t>
            </w:r>
          </w:p>
        </w:tc>
      </w:tr>
      <w:tr>
        <w:trPr>
          <w:cantSplit/>
        </w:trPr>
        <w:tc>
          <w:tcPr>
            <w:tcW w:w="3119"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rPr>
                <w:sz w:val="19"/>
              </w:rPr>
            </w:pPr>
            <w:r>
              <w:rPr>
                <w:sz w:val="19"/>
              </w:rPr>
              <w:t>27 May 2008 p. 2040</w:t>
            </w:r>
            <w:r>
              <w:rPr>
                <w:sz w:val="19"/>
              </w:rPr>
              <w:noBreakHyphen/>
              <w:t>2</w:t>
            </w:r>
          </w:p>
        </w:tc>
        <w:tc>
          <w:tcPr>
            <w:tcW w:w="2693" w:type="dxa"/>
          </w:tcPr>
          <w:p>
            <w:pPr>
              <w:pStyle w:val="nTable"/>
              <w:spacing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9"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rPr>
                <w:sz w:val="19"/>
              </w:rPr>
            </w:pPr>
            <w:r>
              <w:rPr>
                <w:sz w:val="19"/>
              </w:rPr>
              <w:t>29 May 2008 p. 2055</w:t>
            </w:r>
            <w:r>
              <w:rPr>
                <w:sz w:val="19"/>
              </w:rPr>
              <w:noBreakHyphen/>
              <w:t>9</w:t>
            </w:r>
          </w:p>
        </w:tc>
        <w:tc>
          <w:tcPr>
            <w:tcW w:w="2693" w:type="dxa"/>
          </w:tcPr>
          <w:p>
            <w:pPr>
              <w:pStyle w:val="nTable"/>
              <w:spacing w:after="40"/>
              <w:rPr>
                <w:snapToGrid w:val="0"/>
                <w:sz w:val="19"/>
                <w:lang w:val="en-US"/>
              </w:rPr>
            </w:pPr>
            <w:r>
              <w:rPr>
                <w:snapToGrid w:val="0"/>
                <w:sz w:val="19"/>
                <w:lang w:val="en-US"/>
              </w:rPr>
              <w:t>r. 1 and 2: 29 May 2008 (see r. 2(a));</w:t>
            </w:r>
            <w:r>
              <w:rPr>
                <w:snapToGrid w:val="0"/>
                <w:sz w:val="19"/>
                <w:lang w:val="en-US"/>
              </w:rPr>
              <w:br/>
              <w:t>Regulations other than r. 1 and 2: 30 May 2008 (see r. 2(b))</w:t>
            </w:r>
          </w:p>
        </w:tc>
      </w:tr>
      <w:tr>
        <w:trPr>
          <w:cantSplit/>
        </w:trPr>
        <w:tc>
          <w:tcPr>
            <w:tcW w:w="3119" w:type="dxa"/>
          </w:tcPr>
          <w:p>
            <w:pPr>
              <w:pStyle w:val="nTable"/>
              <w:spacing w:after="40"/>
              <w:ind w:right="113"/>
              <w:rPr>
                <w:i/>
                <w:sz w:val="19"/>
              </w:rPr>
            </w:pPr>
            <w:r>
              <w:rPr>
                <w:i/>
                <w:sz w:val="19"/>
              </w:rPr>
              <w:t>Fish Resources Management Amendment Regulations (No. 11) 2008</w:t>
            </w:r>
          </w:p>
        </w:tc>
        <w:tc>
          <w:tcPr>
            <w:tcW w:w="1276" w:type="dxa"/>
          </w:tcPr>
          <w:p>
            <w:pPr>
              <w:pStyle w:val="nTable"/>
              <w:spacing w:after="40"/>
              <w:rPr>
                <w:sz w:val="19"/>
              </w:rPr>
            </w:pPr>
            <w:r>
              <w:rPr>
                <w:sz w:val="19"/>
              </w:rPr>
              <w:t>21 Nov 2008 p. 4926</w:t>
            </w:r>
            <w:r>
              <w:rPr>
                <w:sz w:val="19"/>
              </w:rPr>
              <w:noBreakHyphen/>
              <w:t>7</w:t>
            </w:r>
          </w:p>
        </w:tc>
        <w:tc>
          <w:tcPr>
            <w:tcW w:w="2693" w:type="dxa"/>
          </w:tcPr>
          <w:p>
            <w:pPr>
              <w:pStyle w:val="nTable"/>
              <w:spacing w:after="40"/>
              <w:rPr>
                <w:snapToGrid w:val="0"/>
                <w:sz w:val="19"/>
                <w:lang w:val="en-US"/>
              </w:rPr>
            </w:pPr>
            <w:r>
              <w:rPr>
                <w:snapToGrid w:val="0"/>
                <w:sz w:val="19"/>
                <w:lang w:val="en-US"/>
              </w:rPr>
              <w:t>r. 1 and 2: 21 Nov 2008 (see r. 2(a));</w:t>
            </w:r>
            <w:r>
              <w:rPr>
                <w:snapToGrid w:val="0"/>
                <w:sz w:val="19"/>
                <w:lang w:val="en-US"/>
              </w:rPr>
              <w:br/>
              <w:t>Regulations other than r. 1 and 2: 1 Dec 2008 (see r. 2(b))</w:t>
            </w:r>
          </w:p>
        </w:tc>
      </w:tr>
      <w:tr>
        <w:trPr>
          <w:cantSplit/>
        </w:trPr>
        <w:tc>
          <w:tcPr>
            <w:tcW w:w="3119" w:type="dxa"/>
          </w:tcPr>
          <w:p>
            <w:pPr>
              <w:pStyle w:val="nTable"/>
              <w:spacing w:after="40"/>
              <w:ind w:right="113"/>
              <w:rPr>
                <w:i/>
                <w:sz w:val="19"/>
              </w:rPr>
            </w:pPr>
            <w:r>
              <w:rPr>
                <w:i/>
                <w:sz w:val="19"/>
              </w:rPr>
              <w:t xml:space="preserve">Fish Resources Management Amendment Regulations (No. 8) 2008 </w:t>
            </w:r>
          </w:p>
        </w:tc>
        <w:tc>
          <w:tcPr>
            <w:tcW w:w="1276" w:type="dxa"/>
          </w:tcPr>
          <w:p>
            <w:pPr>
              <w:pStyle w:val="nTable"/>
              <w:spacing w:after="40"/>
              <w:rPr>
                <w:sz w:val="19"/>
              </w:rPr>
            </w:pPr>
            <w:r>
              <w:rPr>
                <w:sz w:val="19"/>
              </w:rPr>
              <w:t>19 Dec 2008 p. 5361</w:t>
            </w:r>
            <w:r>
              <w:rPr>
                <w:sz w:val="19"/>
              </w:rPr>
              <w:noBreakHyphen/>
              <w:t>3</w:t>
            </w:r>
          </w:p>
        </w:tc>
        <w:tc>
          <w:tcPr>
            <w:tcW w:w="2693" w:type="dxa"/>
          </w:tcPr>
          <w:p>
            <w:pPr>
              <w:pStyle w:val="nTable"/>
              <w:spacing w:after="40"/>
              <w:rPr>
                <w:snapToGrid w:val="0"/>
                <w:sz w:val="19"/>
                <w:lang w:val="en-US"/>
              </w:rPr>
            </w:pPr>
            <w:r>
              <w:rPr>
                <w:sz w:val="19"/>
              </w:rPr>
              <w:t>r. 1 and 2: 19 Dec 2008 (see r. 2(a));</w:t>
            </w:r>
            <w:r>
              <w:rPr>
                <w:sz w:val="19"/>
              </w:rPr>
              <w:br/>
              <w:t>Regulations other than r. 1 and 2: 1 Jan 2009 (see r. 2(b))</w:t>
            </w:r>
          </w:p>
        </w:tc>
      </w:tr>
      <w:tr>
        <w:trPr>
          <w:cantSplit/>
        </w:trPr>
        <w:tc>
          <w:tcPr>
            <w:tcW w:w="3119" w:type="dxa"/>
          </w:tcPr>
          <w:p>
            <w:pPr>
              <w:pStyle w:val="nTable"/>
              <w:spacing w:after="40"/>
              <w:ind w:right="113"/>
              <w:rPr>
                <w:i/>
                <w:sz w:val="19"/>
              </w:rPr>
            </w:pPr>
            <w:r>
              <w:rPr>
                <w:i/>
                <w:sz w:val="19"/>
              </w:rPr>
              <w:t>Fish Resources Management Amendment Regulations (No. 2) 2009</w:t>
            </w:r>
          </w:p>
        </w:tc>
        <w:tc>
          <w:tcPr>
            <w:tcW w:w="1276" w:type="dxa"/>
          </w:tcPr>
          <w:p>
            <w:pPr>
              <w:pStyle w:val="nTable"/>
              <w:spacing w:after="40"/>
              <w:rPr>
                <w:sz w:val="19"/>
              </w:rPr>
            </w:pPr>
            <w:r>
              <w:rPr>
                <w:sz w:val="19"/>
              </w:rPr>
              <w:t>3 Feb 2009 p. 227</w:t>
            </w:r>
          </w:p>
        </w:tc>
        <w:tc>
          <w:tcPr>
            <w:tcW w:w="2693" w:type="dxa"/>
          </w:tcPr>
          <w:p>
            <w:pPr>
              <w:pStyle w:val="nTable"/>
              <w:spacing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after="40"/>
              <w:ind w:right="113"/>
              <w:rPr>
                <w:i/>
                <w:sz w:val="19"/>
              </w:rPr>
            </w:pPr>
            <w:r>
              <w:rPr>
                <w:i/>
                <w:sz w:val="19"/>
              </w:rPr>
              <w:t>Fish Resources Management Amendment Regulations (No. 3) 2009</w:t>
            </w:r>
          </w:p>
        </w:tc>
        <w:tc>
          <w:tcPr>
            <w:tcW w:w="1276" w:type="dxa"/>
          </w:tcPr>
          <w:p>
            <w:pPr>
              <w:pStyle w:val="nTable"/>
              <w:spacing w:after="40"/>
              <w:rPr>
                <w:sz w:val="19"/>
              </w:rPr>
            </w:pPr>
            <w:r>
              <w:rPr>
                <w:sz w:val="19"/>
              </w:rPr>
              <w:t>11 Feb 2009 p. 287</w:t>
            </w:r>
            <w:r>
              <w:rPr>
                <w:sz w:val="19"/>
              </w:rPr>
              <w:noBreakHyphen/>
              <w:t>9</w:t>
            </w:r>
          </w:p>
        </w:tc>
        <w:tc>
          <w:tcPr>
            <w:tcW w:w="2693" w:type="dxa"/>
          </w:tcPr>
          <w:p>
            <w:pPr>
              <w:pStyle w:val="nTable"/>
              <w:spacing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after="40"/>
              <w:ind w:right="113"/>
              <w:rPr>
                <w:iCs/>
                <w:sz w:val="19"/>
              </w:rPr>
            </w:pPr>
            <w:r>
              <w:rPr>
                <w:i/>
                <w:sz w:val="19"/>
              </w:rPr>
              <w:t>Fish Resources Management Amendment Regulations 2009</w:t>
            </w:r>
          </w:p>
        </w:tc>
        <w:tc>
          <w:tcPr>
            <w:tcW w:w="1276" w:type="dxa"/>
          </w:tcPr>
          <w:p>
            <w:pPr>
              <w:pStyle w:val="nTable"/>
              <w:spacing w:after="40"/>
              <w:rPr>
                <w:sz w:val="19"/>
              </w:rPr>
            </w:pPr>
            <w:r>
              <w:rPr>
                <w:sz w:val="19"/>
              </w:rPr>
              <w:t>13 Feb 2009 p. 297</w:t>
            </w:r>
            <w:r>
              <w:rPr>
                <w:sz w:val="19"/>
              </w:rPr>
              <w:noBreakHyphen/>
              <w:t>300</w:t>
            </w:r>
          </w:p>
        </w:tc>
        <w:tc>
          <w:tcPr>
            <w:tcW w:w="2693" w:type="dxa"/>
          </w:tcPr>
          <w:p>
            <w:pPr>
              <w:pStyle w:val="nTable"/>
              <w:spacing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after="40"/>
              <w:ind w:right="113"/>
              <w:rPr>
                <w:i/>
                <w:sz w:val="19"/>
              </w:rPr>
            </w:pPr>
            <w:r>
              <w:rPr>
                <w:i/>
                <w:sz w:val="19"/>
              </w:rPr>
              <w:t>Fish Resources Management Amendment Regulations (No. 8) 2009</w:t>
            </w:r>
          </w:p>
        </w:tc>
        <w:tc>
          <w:tcPr>
            <w:tcW w:w="1276" w:type="dxa"/>
          </w:tcPr>
          <w:p>
            <w:pPr>
              <w:pStyle w:val="nTable"/>
              <w:spacing w:after="40"/>
              <w:rPr>
                <w:sz w:val="19"/>
              </w:rPr>
            </w:pPr>
            <w:r>
              <w:rPr>
                <w:sz w:val="19"/>
              </w:rPr>
              <w:t>13 Mar 2009 p. 760</w:t>
            </w:r>
            <w:r>
              <w:rPr>
                <w:sz w:val="19"/>
              </w:rPr>
              <w:noBreakHyphen/>
              <w:t>1</w:t>
            </w:r>
          </w:p>
        </w:tc>
        <w:tc>
          <w:tcPr>
            <w:tcW w:w="2693" w:type="dxa"/>
          </w:tcPr>
          <w:p>
            <w:pPr>
              <w:pStyle w:val="nTable"/>
              <w:spacing w:after="40"/>
              <w:rPr>
                <w:sz w:val="19"/>
              </w:rPr>
            </w:pPr>
            <w:r>
              <w:rPr>
                <w:sz w:val="19"/>
              </w:rPr>
              <w:t>r. 1 and 2: 13 Mar 2009 (see r. 2(a));</w:t>
            </w:r>
            <w:r>
              <w:rPr>
                <w:sz w:val="19"/>
              </w:rPr>
              <w:br/>
              <w:t>Regulations other than r. 1 and 2: 14 Mar 2009 (see r. 2(b))</w:t>
            </w:r>
          </w:p>
        </w:tc>
      </w:tr>
      <w:tr>
        <w:trPr>
          <w:cantSplit/>
        </w:trPr>
        <w:tc>
          <w:tcPr>
            <w:tcW w:w="3119" w:type="dxa"/>
          </w:tcPr>
          <w:p>
            <w:pPr>
              <w:pStyle w:val="nTable"/>
              <w:spacing w:after="40"/>
              <w:ind w:right="113"/>
              <w:rPr>
                <w:i/>
                <w:sz w:val="19"/>
              </w:rPr>
            </w:pPr>
            <w:r>
              <w:rPr>
                <w:i/>
                <w:sz w:val="19"/>
              </w:rPr>
              <w:t>Fish Resources Management Amendment Regulations (No. 5) 2009</w:t>
            </w:r>
          </w:p>
        </w:tc>
        <w:tc>
          <w:tcPr>
            <w:tcW w:w="1276" w:type="dxa"/>
          </w:tcPr>
          <w:p>
            <w:pPr>
              <w:pStyle w:val="nTable"/>
              <w:spacing w:after="40"/>
              <w:rPr>
                <w:sz w:val="19"/>
              </w:rPr>
            </w:pPr>
            <w:r>
              <w:rPr>
                <w:sz w:val="19"/>
              </w:rPr>
              <w:t>27 Mar 2009 p. 922</w:t>
            </w:r>
          </w:p>
        </w:tc>
        <w:tc>
          <w:tcPr>
            <w:tcW w:w="2693" w:type="dxa"/>
          </w:tcPr>
          <w:p>
            <w:pPr>
              <w:pStyle w:val="nTable"/>
              <w:spacing w:after="40"/>
              <w:rPr>
                <w:sz w:val="19"/>
              </w:rPr>
            </w:pPr>
            <w:r>
              <w:rPr>
                <w:snapToGrid w:val="0"/>
                <w:spacing w:val="-2"/>
                <w:sz w:val="19"/>
                <w:lang w:val="en-US"/>
              </w:rPr>
              <w:t>r. 1 and 2: 27 Mar 2009 (see r. 2(a));</w:t>
            </w:r>
            <w:r>
              <w:rPr>
                <w:snapToGrid w:val="0"/>
                <w:spacing w:val="-2"/>
                <w:sz w:val="19"/>
                <w:lang w:val="en-US"/>
              </w:rPr>
              <w:br/>
              <w:t>Regulations other than r. 1 and 2: 28 Mar 2009 (see r. 2(b))</w:t>
            </w:r>
          </w:p>
        </w:tc>
      </w:tr>
      <w:tr>
        <w:trPr>
          <w:cantSplit/>
        </w:trPr>
        <w:tc>
          <w:tcPr>
            <w:tcW w:w="3119" w:type="dxa"/>
          </w:tcPr>
          <w:p>
            <w:pPr>
              <w:pStyle w:val="nTable"/>
              <w:spacing w:after="40"/>
              <w:ind w:right="113"/>
              <w:rPr>
                <w:i/>
                <w:sz w:val="19"/>
              </w:rPr>
            </w:pPr>
            <w:r>
              <w:rPr>
                <w:i/>
                <w:sz w:val="19"/>
              </w:rPr>
              <w:t>Fish Resources Management Amendment Regulations (No. 9) 2009</w:t>
            </w:r>
          </w:p>
        </w:tc>
        <w:tc>
          <w:tcPr>
            <w:tcW w:w="1276" w:type="dxa"/>
          </w:tcPr>
          <w:p>
            <w:pPr>
              <w:pStyle w:val="nTable"/>
              <w:spacing w:after="40"/>
              <w:rPr>
                <w:sz w:val="19"/>
              </w:rPr>
            </w:pPr>
            <w:r>
              <w:rPr>
                <w:sz w:val="19"/>
              </w:rPr>
              <w:t>9 Jun 2009 p. 1911</w:t>
            </w:r>
            <w:r>
              <w:rPr>
                <w:sz w:val="19"/>
              </w:rPr>
              <w:noBreakHyphen/>
              <w:t>20</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Fish Resources Management Amendment Regulations (No. 10) 2009</w:t>
            </w:r>
          </w:p>
        </w:tc>
        <w:tc>
          <w:tcPr>
            <w:tcW w:w="1276" w:type="dxa"/>
          </w:tcPr>
          <w:p>
            <w:pPr>
              <w:pStyle w:val="nTable"/>
              <w:spacing w:after="40"/>
              <w:rPr>
                <w:sz w:val="19"/>
              </w:rPr>
            </w:pPr>
            <w:r>
              <w:rPr>
                <w:sz w:val="19"/>
              </w:rPr>
              <w:t>3 Jul 2009 p. 2679</w:t>
            </w:r>
            <w:r>
              <w:rPr>
                <w:sz w:val="19"/>
              </w:rPr>
              <w:noBreakHyphen/>
              <w:t>80</w:t>
            </w:r>
          </w:p>
        </w:tc>
        <w:tc>
          <w:tcPr>
            <w:tcW w:w="2693" w:type="dxa"/>
          </w:tcPr>
          <w:p>
            <w:pPr>
              <w:pStyle w:val="nTable"/>
              <w:spacing w:after="40"/>
              <w:rPr>
                <w:snapToGrid w:val="0"/>
                <w:spacing w:val="-2"/>
                <w:sz w:val="19"/>
                <w:lang w:val="en-US"/>
              </w:rPr>
            </w:pPr>
            <w:r>
              <w:rPr>
                <w:snapToGrid w:val="0"/>
                <w:spacing w:val="-2"/>
                <w:sz w:val="19"/>
                <w:lang w:val="en-US"/>
              </w:rPr>
              <w:t>r. 1 and 2: 3 Jul 2009 (see r. 2(a));</w:t>
            </w:r>
            <w:r>
              <w:rPr>
                <w:snapToGrid w:val="0"/>
                <w:spacing w:val="-2"/>
                <w:sz w:val="19"/>
                <w:lang w:val="en-US"/>
              </w:rPr>
              <w:br/>
              <w:t>Regulations other than r. 1 and 2: 4 Jul 2009 (see r. 2(b))</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p>
        </w:tc>
      </w:tr>
      <w:tr>
        <w:trPr>
          <w:cantSplit/>
        </w:trPr>
        <w:tc>
          <w:tcPr>
            <w:tcW w:w="3119" w:type="dxa"/>
          </w:tcPr>
          <w:p>
            <w:pPr>
              <w:pStyle w:val="nTable"/>
              <w:spacing w:after="40"/>
              <w:ind w:right="113"/>
              <w:rPr>
                <w:i/>
                <w:sz w:val="19"/>
              </w:rPr>
            </w:pPr>
            <w:r>
              <w:rPr>
                <w:i/>
                <w:sz w:val="19"/>
              </w:rPr>
              <w:t>Fish Resources Management Amendment Regulations (No. 12) 2009</w:t>
            </w:r>
          </w:p>
        </w:tc>
        <w:tc>
          <w:tcPr>
            <w:tcW w:w="1276" w:type="dxa"/>
          </w:tcPr>
          <w:p>
            <w:pPr>
              <w:pStyle w:val="nTable"/>
              <w:spacing w:after="40"/>
              <w:rPr>
                <w:sz w:val="19"/>
              </w:rPr>
            </w:pPr>
            <w:r>
              <w:rPr>
                <w:sz w:val="19"/>
              </w:rPr>
              <w:t>18 Aug 2009 p. 3237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18 Aug 2009 (see r. 2(a));</w:t>
            </w:r>
            <w:r>
              <w:rPr>
                <w:snapToGrid w:val="0"/>
                <w:spacing w:val="-2"/>
                <w:sz w:val="19"/>
                <w:lang w:val="en-US"/>
              </w:rPr>
              <w:br/>
              <w:t>Regulations other than r. 1 and 2: 19 Aug 2009 (see r. 2(b))</w:t>
            </w:r>
          </w:p>
        </w:tc>
      </w:tr>
      <w:tr>
        <w:trPr>
          <w:cantSplit/>
        </w:trPr>
        <w:tc>
          <w:tcPr>
            <w:tcW w:w="3119" w:type="dxa"/>
          </w:tcPr>
          <w:p>
            <w:pPr>
              <w:pStyle w:val="nTable"/>
              <w:spacing w:after="40"/>
              <w:ind w:right="113"/>
              <w:rPr>
                <w:i/>
                <w:sz w:val="19"/>
              </w:rPr>
            </w:pPr>
            <w:r>
              <w:rPr>
                <w:i/>
                <w:sz w:val="19"/>
              </w:rPr>
              <w:t>Fish Resources Management Amendment Regulations (No. 15) 2009</w:t>
            </w:r>
          </w:p>
        </w:tc>
        <w:tc>
          <w:tcPr>
            <w:tcW w:w="1276" w:type="dxa"/>
          </w:tcPr>
          <w:p>
            <w:pPr>
              <w:pStyle w:val="nTable"/>
              <w:spacing w:after="40"/>
              <w:rPr>
                <w:sz w:val="19"/>
              </w:rPr>
            </w:pPr>
            <w:r>
              <w:rPr>
                <w:sz w:val="19"/>
              </w:rPr>
              <w:t>10 Sep 2009 p. 3539</w:t>
            </w:r>
          </w:p>
        </w:tc>
        <w:tc>
          <w:tcPr>
            <w:tcW w:w="2693" w:type="dxa"/>
          </w:tcPr>
          <w:p>
            <w:pPr>
              <w:pStyle w:val="nTable"/>
              <w:spacing w:after="40"/>
              <w:rPr>
                <w:snapToGrid w:val="0"/>
                <w:spacing w:val="-2"/>
                <w:sz w:val="19"/>
                <w:lang w:val="en-US"/>
              </w:rPr>
            </w:pPr>
            <w:r>
              <w:rPr>
                <w:snapToGrid w:val="0"/>
                <w:spacing w:val="-2"/>
                <w:sz w:val="19"/>
                <w:lang w:val="en-US"/>
              </w:rPr>
              <w:t>r. 1 and 2: 10 Sep 2009 (see r. 2(a));</w:t>
            </w:r>
            <w:r>
              <w:rPr>
                <w:snapToGrid w:val="0"/>
                <w:spacing w:val="-2"/>
                <w:sz w:val="19"/>
                <w:lang w:val="en-US"/>
              </w:rPr>
              <w:br/>
              <w:t>Regulations other than r. 1 and 2: 11 Sep 2009 (see r. 2(b))</w:t>
            </w:r>
          </w:p>
        </w:tc>
      </w:tr>
      <w:tr>
        <w:trPr>
          <w:cantSplit/>
        </w:trPr>
        <w:tc>
          <w:tcPr>
            <w:tcW w:w="3119" w:type="dxa"/>
          </w:tcPr>
          <w:p>
            <w:pPr>
              <w:pStyle w:val="nTable"/>
              <w:spacing w:after="40"/>
              <w:ind w:right="113"/>
              <w:rPr>
                <w:i/>
                <w:sz w:val="19"/>
              </w:rPr>
            </w:pPr>
            <w:r>
              <w:rPr>
                <w:i/>
                <w:sz w:val="19"/>
              </w:rPr>
              <w:t>Fish Resources Management Amendment Regulations (No. 14) 2009</w:t>
            </w:r>
          </w:p>
        </w:tc>
        <w:tc>
          <w:tcPr>
            <w:tcW w:w="1276" w:type="dxa"/>
          </w:tcPr>
          <w:p>
            <w:pPr>
              <w:pStyle w:val="nTable"/>
              <w:spacing w:after="40"/>
              <w:rPr>
                <w:sz w:val="19"/>
              </w:rPr>
            </w:pPr>
            <w:r>
              <w:rPr>
                <w:sz w:val="19"/>
              </w:rPr>
              <w:t>29 Sep 2009 p. 3863</w:t>
            </w:r>
            <w:r>
              <w:rPr>
                <w:sz w:val="19"/>
              </w:rPr>
              <w:noBreakHyphen/>
              <w:t>82</w:t>
            </w:r>
          </w:p>
        </w:tc>
        <w:tc>
          <w:tcPr>
            <w:tcW w:w="2693" w:type="dxa"/>
          </w:tcPr>
          <w:p>
            <w:pPr>
              <w:pStyle w:val="nTable"/>
              <w:spacing w:after="40"/>
              <w:rPr>
                <w:snapToGrid w:val="0"/>
                <w:spacing w:val="-2"/>
                <w:sz w:val="19"/>
                <w:lang w:val="en-US"/>
              </w:rPr>
            </w:pPr>
            <w:r>
              <w:rPr>
                <w:snapToGrid w:val="0"/>
                <w:spacing w:val="-2"/>
                <w:sz w:val="19"/>
                <w:lang w:val="en-US"/>
              </w:rPr>
              <w:t>r. 1 and 2: 29 Sep 2009 (see r. 2(a));</w:t>
            </w:r>
            <w:r>
              <w:rPr>
                <w:snapToGrid w:val="0"/>
                <w:spacing w:val="-2"/>
                <w:sz w:val="19"/>
                <w:lang w:val="en-US"/>
              </w:rPr>
              <w:br/>
              <w:t>Regulations other than r. 1 and 2: 15 Oct 2009 (see r. 2(b))</w:t>
            </w:r>
          </w:p>
        </w:tc>
      </w:tr>
      <w:tr>
        <w:trPr>
          <w:cantSplit/>
        </w:trPr>
        <w:tc>
          <w:tcPr>
            <w:tcW w:w="3119" w:type="dxa"/>
          </w:tcPr>
          <w:p>
            <w:pPr>
              <w:pStyle w:val="nTable"/>
              <w:spacing w:after="40"/>
              <w:ind w:right="113"/>
              <w:rPr>
                <w:i/>
                <w:sz w:val="19"/>
              </w:rPr>
            </w:pPr>
            <w:r>
              <w:rPr>
                <w:i/>
                <w:sz w:val="19"/>
              </w:rPr>
              <w:t>Fish Resources Management Amendment Regulations (No. 13) 2009</w:t>
            </w:r>
          </w:p>
        </w:tc>
        <w:tc>
          <w:tcPr>
            <w:tcW w:w="1276" w:type="dxa"/>
          </w:tcPr>
          <w:p>
            <w:pPr>
              <w:pStyle w:val="nTable"/>
              <w:spacing w:after="40"/>
              <w:rPr>
                <w:sz w:val="19"/>
              </w:rPr>
            </w:pPr>
            <w:r>
              <w:rPr>
                <w:sz w:val="19"/>
              </w:rPr>
              <w:t>13 Oct 2009 p. 4031</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13 Oct 2009 (see r. 2(a));</w:t>
            </w:r>
            <w:r>
              <w:rPr>
                <w:snapToGrid w:val="0"/>
                <w:spacing w:val="-2"/>
                <w:sz w:val="19"/>
                <w:lang w:val="en-US"/>
              </w:rPr>
              <w:br/>
              <w:t>Regulations other than r. 1 and 2: 14 Oct 2009 (see r. 2(b))</w:t>
            </w:r>
          </w:p>
        </w:tc>
      </w:tr>
      <w:tr>
        <w:trPr>
          <w:cantSplit/>
        </w:trPr>
        <w:tc>
          <w:tcPr>
            <w:tcW w:w="3119" w:type="dxa"/>
          </w:tcPr>
          <w:p>
            <w:pPr>
              <w:pStyle w:val="nTable"/>
              <w:spacing w:after="40"/>
              <w:ind w:right="113"/>
              <w:rPr>
                <w:i/>
                <w:sz w:val="19"/>
              </w:rPr>
            </w:pPr>
            <w:r>
              <w:rPr>
                <w:i/>
                <w:sz w:val="19"/>
              </w:rPr>
              <w:t>Fish Resources Management Amendment Regulations (No. 16) 2009</w:t>
            </w:r>
          </w:p>
        </w:tc>
        <w:tc>
          <w:tcPr>
            <w:tcW w:w="1276" w:type="dxa"/>
          </w:tcPr>
          <w:p>
            <w:pPr>
              <w:pStyle w:val="nTable"/>
              <w:spacing w:after="40"/>
              <w:rPr>
                <w:sz w:val="19"/>
              </w:rPr>
            </w:pPr>
            <w:r>
              <w:rPr>
                <w:sz w:val="19"/>
              </w:rPr>
              <w:t>5 Nov 2009 p. 4411</w:t>
            </w:r>
            <w:r>
              <w:rPr>
                <w:sz w:val="19"/>
              </w:rPr>
              <w:noBreakHyphen/>
              <w:t>15</w:t>
            </w:r>
          </w:p>
        </w:tc>
        <w:tc>
          <w:tcPr>
            <w:tcW w:w="2693" w:type="dxa"/>
          </w:tcPr>
          <w:p>
            <w:pPr>
              <w:pStyle w:val="nTable"/>
              <w:spacing w:after="40"/>
              <w:rPr>
                <w:snapToGrid w:val="0"/>
                <w:spacing w:val="-2"/>
                <w:sz w:val="19"/>
                <w:lang w:val="en-US"/>
              </w:rPr>
            </w:pPr>
            <w:r>
              <w:rPr>
                <w:snapToGrid w:val="0"/>
                <w:spacing w:val="-2"/>
                <w:sz w:val="19"/>
                <w:lang w:val="en-US"/>
              </w:rPr>
              <w:t>r. 1 and 2: 5 Nov 2009 (see r. 2(a));</w:t>
            </w:r>
            <w:r>
              <w:rPr>
                <w:snapToGrid w:val="0"/>
                <w:spacing w:val="-2"/>
                <w:sz w:val="19"/>
                <w:lang w:val="en-US"/>
              </w:rPr>
              <w:br/>
              <w:t>Regulations other than r. 1 and 2: 6 Nov 2009 (see r. 2(b))</w:t>
            </w:r>
          </w:p>
        </w:tc>
      </w:tr>
      <w:tr>
        <w:trPr>
          <w:cantSplit/>
        </w:trPr>
        <w:tc>
          <w:tcPr>
            <w:tcW w:w="3119" w:type="dxa"/>
          </w:tcPr>
          <w:p>
            <w:pPr>
              <w:pStyle w:val="nTable"/>
              <w:spacing w:after="40"/>
              <w:ind w:right="113"/>
              <w:rPr>
                <w:i/>
                <w:sz w:val="19"/>
              </w:rPr>
            </w:pPr>
            <w:r>
              <w:rPr>
                <w:i/>
                <w:sz w:val="19"/>
              </w:rPr>
              <w:t>Fish Resources Management Amendment Regulations (No. 4) 2009</w:t>
            </w:r>
          </w:p>
        </w:tc>
        <w:tc>
          <w:tcPr>
            <w:tcW w:w="1276" w:type="dxa"/>
          </w:tcPr>
          <w:p>
            <w:pPr>
              <w:pStyle w:val="nTable"/>
              <w:spacing w:after="40"/>
              <w:rPr>
                <w:sz w:val="19"/>
              </w:rPr>
            </w:pPr>
            <w:r>
              <w:rPr>
                <w:sz w:val="19"/>
              </w:rPr>
              <w:t>6 Nov 2009 p. 4470</w:t>
            </w:r>
            <w:r>
              <w:rPr>
                <w:sz w:val="19"/>
              </w:rPr>
              <w:noBreakHyphen/>
              <w:t>1</w:t>
            </w:r>
          </w:p>
        </w:tc>
        <w:tc>
          <w:tcPr>
            <w:tcW w:w="2693" w:type="dxa"/>
          </w:tcPr>
          <w:p>
            <w:pPr>
              <w:pStyle w:val="nTable"/>
              <w:spacing w:after="40"/>
              <w:rPr>
                <w:snapToGrid w:val="0"/>
                <w:spacing w:val="-2"/>
                <w:sz w:val="19"/>
                <w:lang w:val="en-US"/>
              </w:rPr>
            </w:pPr>
            <w:r>
              <w:rPr>
                <w:snapToGrid w:val="0"/>
                <w:spacing w:val="-2"/>
                <w:sz w:val="19"/>
                <w:lang w:val="en-US"/>
              </w:rPr>
              <w:t>r. 1 and 2: 6 Nov 2009 (see r. 2(a));</w:t>
            </w:r>
            <w:r>
              <w:rPr>
                <w:snapToGrid w:val="0"/>
                <w:spacing w:val="-2"/>
                <w:sz w:val="19"/>
                <w:lang w:val="en-US"/>
              </w:rPr>
              <w:br/>
              <w:t>Regulations other than r. 1 and 2: 7 Nov 2009 (see r. 2(b))</w:t>
            </w:r>
          </w:p>
        </w:tc>
      </w:tr>
      <w:tr>
        <w:trPr>
          <w:cantSplit/>
        </w:trPr>
        <w:tc>
          <w:tcPr>
            <w:tcW w:w="3119" w:type="dxa"/>
          </w:tcPr>
          <w:p>
            <w:pPr>
              <w:pStyle w:val="nTable"/>
              <w:spacing w:after="40"/>
              <w:ind w:right="113"/>
              <w:rPr>
                <w:i/>
                <w:sz w:val="19"/>
              </w:rPr>
            </w:pPr>
            <w:r>
              <w:rPr>
                <w:i/>
                <w:sz w:val="19"/>
              </w:rPr>
              <w:t>Fish Resources Management Amendment Regulations (No. 18) 2009</w:t>
            </w:r>
          </w:p>
        </w:tc>
        <w:tc>
          <w:tcPr>
            <w:tcW w:w="1276" w:type="dxa"/>
          </w:tcPr>
          <w:p>
            <w:pPr>
              <w:pStyle w:val="nTable"/>
              <w:spacing w:after="40"/>
              <w:rPr>
                <w:sz w:val="19"/>
              </w:rPr>
            </w:pPr>
            <w:r>
              <w:rPr>
                <w:sz w:val="19"/>
              </w:rPr>
              <w:t>8 Dec 2009 p. 4993</w:t>
            </w:r>
            <w:r>
              <w:rPr>
                <w:sz w:val="19"/>
              </w:rPr>
              <w:noBreakHyphen/>
              <w:t>8 (printer’s correction</w:t>
            </w:r>
            <w:r>
              <w:rPr>
                <w:i/>
                <w:iCs/>
                <w:sz w:val="19"/>
              </w:rPr>
              <w:t xml:space="preserve"> </w:t>
            </w:r>
            <w:r>
              <w:rPr>
                <w:sz w:val="19"/>
              </w:rPr>
              <w:t>15 Dec 2009 p. 5140)</w:t>
            </w:r>
          </w:p>
        </w:tc>
        <w:tc>
          <w:tcPr>
            <w:tcW w:w="2693" w:type="dxa"/>
          </w:tcPr>
          <w:p>
            <w:pPr>
              <w:pStyle w:val="nTable"/>
              <w:spacing w:after="40"/>
              <w:rPr>
                <w:snapToGrid w:val="0"/>
                <w:spacing w:val="-2"/>
                <w:sz w:val="19"/>
                <w:lang w:val="en-US"/>
              </w:rPr>
            </w:pPr>
            <w:r>
              <w:rPr>
                <w:snapToGrid w:val="0"/>
                <w:spacing w:val="-2"/>
                <w:sz w:val="19"/>
                <w:lang w:val="en-US"/>
              </w:rPr>
              <w:t>r. 1 and 2: 8 Dec 2009 (see r. 2(a));</w:t>
            </w:r>
            <w:r>
              <w:rPr>
                <w:snapToGrid w:val="0"/>
                <w:spacing w:val="-2"/>
                <w:sz w:val="19"/>
                <w:lang w:val="en-US"/>
              </w:rPr>
              <w:br/>
              <w:t>Regulations other than r. 1 and 2: 16 Dec 2009 (see r. 2(b))</w:t>
            </w:r>
          </w:p>
        </w:tc>
      </w:tr>
      <w:tr>
        <w:trPr>
          <w:cantSplit/>
        </w:trPr>
        <w:tc>
          <w:tcPr>
            <w:tcW w:w="3119" w:type="dxa"/>
          </w:tcPr>
          <w:p>
            <w:pPr>
              <w:pStyle w:val="nTable"/>
              <w:spacing w:after="40"/>
              <w:ind w:right="113"/>
              <w:rPr>
                <w:i/>
                <w:sz w:val="19"/>
              </w:rPr>
            </w:pPr>
            <w:r>
              <w:rPr>
                <w:i/>
                <w:sz w:val="19"/>
              </w:rPr>
              <w:t>Fish Resources Management Amendment Regulations 2010</w:t>
            </w:r>
          </w:p>
        </w:tc>
        <w:tc>
          <w:tcPr>
            <w:tcW w:w="1276" w:type="dxa"/>
          </w:tcPr>
          <w:p>
            <w:pPr>
              <w:pStyle w:val="nTable"/>
              <w:spacing w:after="40"/>
              <w:rPr>
                <w:sz w:val="19"/>
              </w:rPr>
            </w:pPr>
            <w:r>
              <w:rPr>
                <w:sz w:val="19"/>
              </w:rPr>
              <w:t>12 Feb 2010 p. 584</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2 Mar 2010 (see r. 2(b))</w:t>
            </w:r>
          </w:p>
        </w:tc>
      </w:tr>
      <w:tr>
        <w:trPr>
          <w:cantSplit/>
        </w:trPr>
        <w:tc>
          <w:tcPr>
            <w:tcW w:w="3119" w:type="dxa"/>
          </w:tcPr>
          <w:p>
            <w:pPr>
              <w:pStyle w:val="nTable"/>
              <w:spacing w:after="40"/>
              <w:ind w:right="113"/>
              <w:rPr>
                <w:i/>
                <w:sz w:val="19"/>
              </w:rPr>
            </w:pPr>
            <w:r>
              <w:rPr>
                <w:i/>
                <w:sz w:val="19"/>
              </w:rPr>
              <w:t>Fish Resources Management Amendment Regulations (No. 2) 2010</w:t>
            </w:r>
          </w:p>
        </w:tc>
        <w:tc>
          <w:tcPr>
            <w:tcW w:w="1276" w:type="dxa"/>
          </w:tcPr>
          <w:p>
            <w:pPr>
              <w:pStyle w:val="nTable"/>
              <w:spacing w:after="40"/>
              <w:rPr>
                <w:sz w:val="19"/>
              </w:rPr>
            </w:pPr>
            <w:r>
              <w:rPr>
                <w:sz w:val="19"/>
              </w:rPr>
              <w:t>12 Feb 2010 p. 587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13 Feb 2010 (see r. 2(b))</w:t>
            </w:r>
          </w:p>
        </w:tc>
      </w:tr>
      <w:tr>
        <w:trPr>
          <w:cantSplit/>
        </w:trPr>
        <w:tc>
          <w:tcPr>
            <w:tcW w:w="7088" w:type="dxa"/>
            <w:gridSpan w:val="3"/>
          </w:tcPr>
          <w:p>
            <w:pPr>
              <w:pStyle w:val="nTable"/>
              <w:spacing w:after="40"/>
              <w:rPr>
                <w:snapToGrid w:val="0"/>
                <w:spacing w:val="-2"/>
                <w:sz w:val="19"/>
                <w:lang w:val="en-US"/>
              </w:rPr>
            </w:pPr>
            <w:r>
              <w:rPr>
                <w:b/>
                <w:sz w:val="19"/>
              </w:rPr>
              <w:t xml:space="preserve">Reprint 9: The </w:t>
            </w:r>
            <w:r>
              <w:rPr>
                <w:b/>
                <w:i/>
                <w:sz w:val="19"/>
              </w:rPr>
              <w:t>Fish Resources Management Regulations 1995</w:t>
            </w:r>
            <w:r>
              <w:rPr>
                <w:b/>
                <w:sz w:val="19"/>
              </w:rPr>
              <w:t xml:space="preserve"> as at 9 Apr 2010</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2010</w:t>
            </w:r>
          </w:p>
        </w:tc>
        <w:tc>
          <w:tcPr>
            <w:tcW w:w="1276" w:type="dxa"/>
          </w:tcPr>
          <w:p>
            <w:pPr>
              <w:pStyle w:val="nTable"/>
              <w:spacing w:after="40"/>
              <w:rPr>
                <w:sz w:val="19"/>
              </w:rPr>
            </w:pPr>
            <w:r>
              <w:rPr>
                <w:sz w:val="19"/>
              </w:rPr>
              <w:t>28 May 2010 p. 2383-5</w:t>
            </w:r>
          </w:p>
        </w:tc>
        <w:tc>
          <w:tcPr>
            <w:tcW w:w="2693" w:type="dxa"/>
          </w:tcPr>
          <w:p>
            <w:pPr>
              <w:pStyle w:val="nTable"/>
              <w:spacing w:after="40"/>
              <w:rPr>
                <w:snapToGrid w:val="0"/>
                <w:sz w:val="19"/>
                <w:lang w:val="en-US"/>
              </w:rPr>
            </w:pPr>
            <w:r>
              <w:rPr>
                <w:snapToGrid w:val="0"/>
                <w:sz w:val="19"/>
                <w:lang w:val="en-US"/>
              </w:rPr>
              <w:t>r. 1 and 2: 28 May 2010 (see r. 2(a));</w:t>
            </w:r>
            <w:r>
              <w:rPr>
                <w:snapToGrid w:val="0"/>
                <w:sz w:val="19"/>
                <w:lang w:val="en-US"/>
              </w:rPr>
              <w:br/>
              <w:t>Regulations other than r. 1 and 2: 29 May 2010 (see r. 2(b))</w:t>
            </w:r>
          </w:p>
        </w:tc>
      </w:tr>
      <w:tr>
        <w:trPr>
          <w:cantSplit/>
        </w:trPr>
        <w:tc>
          <w:tcPr>
            <w:tcW w:w="3119" w:type="dxa"/>
          </w:tcPr>
          <w:p>
            <w:pPr>
              <w:pStyle w:val="nTable"/>
              <w:spacing w:after="40"/>
              <w:ind w:right="113"/>
              <w:rPr>
                <w:i/>
                <w:sz w:val="19"/>
              </w:rPr>
            </w:pPr>
            <w:r>
              <w:rPr>
                <w:i/>
                <w:sz w:val="19"/>
              </w:rPr>
              <w:t>Fish Resources Management Amendment Regulations (No. 3) 2010</w:t>
            </w:r>
          </w:p>
        </w:tc>
        <w:tc>
          <w:tcPr>
            <w:tcW w:w="1276" w:type="dxa"/>
          </w:tcPr>
          <w:p>
            <w:pPr>
              <w:pStyle w:val="nTable"/>
              <w:spacing w:after="40"/>
              <w:rPr>
                <w:sz w:val="19"/>
              </w:rPr>
            </w:pPr>
            <w:r>
              <w:rPr>
                <w:sz w:val="19"/>
              </w:rPr>
              <w:t>23 Jul 2010 p. 3402-6</w:t>
            </w:r>
          </w:p>
        </w:tc>
        <w:tc>
          <w:tcPr>
            <w:tcW w:w="2693" w:type="dxa"/>
          </w:tcPr>
          <w:p>
            <w:pPr>
              <w:pStyle w:val="nTable"/>
              <w:spacing w:after="40"/>
              <w:rPr>
                <w:snapToGrid w:val="0"/>
                <w:sz w:val="19"/>
                <w:lang w:val="en-US"/>
              </w:rPr>
            </w:pPr>
            <w:r>
              <w:rPr>
                <w:snapToGrid w:val="0"/>
                <w:sz w:val="19"/>
                <w:lang w:val="en-US"/>
              </w:rPr>
              <w:t>r. 1 and 2: 23 Jul 2010 (see r. 2(a));</w:t>
            </w:r>
            <w:r>
              <w:rPr>
                <w:snapToGrid w:val="0"/>
                <w:sz w:val="19"/>
                <w:lang w:val="en-US"/>
              </w:rPr>
              <w:br/>
              <w:t>Regulations other than r. 1 and 2: 24 Jul 2010 (see r. 2(b))</w:t>
            </w:r>
          </w:p>
        </w:tc>
      </w:tr>
      <w:tr>
        <w:trPr>
          <w:cantSplit/>
        </w:trPr>
        <w:tc>
          <w:tcPr>
            <w:tcW w:w="3119" w:type="dxa"/>
          </w:tcPr>
          <w:p>
            <w:pPr>
              <w:pStyle w:val="nTable"/>
              <w:spacing w:after="40"/>
              <w:ind w:right="113"/>
              <w:rPr>
                <w:i/>
                <w:sz w:val="19"/>
              </w:rPr>
            </w:pPr>
            <w:r>
              <w:rPr>
                <w:i/>
                <w:sz w:val="19"/>
              </w:rPr>
              <w:t>Fish Resources Management Amendment Regulations (No. 6) 2010</w:t>
            </w:r>
          </w:p>
        </w:tc>
        <w:tc>
          <w:tcPr>
            <w:tcW w:w="1276" w:type="dxa"/>
          </w:tcPr>
          <w:p>
            <w:pPr>
              <w:pStyle w:val="nTable"/>
              <w:spacing w:after="40"/>
              <w:rPr>
                <w:sz w:val="19"/>
              </w:rPr>
            </w:pPr>
            <w:r>
              <w:rPr>
                <w:sz w:val="19"/>
              </w:rPr>
              <w:t>27 Aug 2010 p. 4106-11</w:t>
            </w:r>
          </w:p>
        </w:tc>
        <w:tc>
          <w:tcPr>
            <w:tcW w:w="2693" w:type="dxa"/>
          </w:tcPr>
          <w:p>
            <w:pPr>
              <w:pStyle w:val="nTable"/>
              <w:spacing w:after="40"/>
              <w:rPr>
                <w:snapToGrid w:val="0"/>
                <w:sz w:val="19"/>
                <w:lang w:val="en-US"/>
              </w:rPr>
            </w:pPr>
            <w:r>
              <w:rPr>
                <w:snapToGrid w:val="0"/>
                <w:sz w:val="19"/>
                <w:lang w:val="en-US"/>
              </w:rPr>
              <w:t>r. 1 and 2: 27 Aug 2010 (see r. 2(a));</w:t>
            </w:r>
            <w:r>
              <w:rPr>
                <w:snapToGrid w:val="0"/>
                <w:sz w:val="19"/>
                <w:lang w:val="en-US"/>
              </w:rPr>
              <w:br/>
              <w:t>Regulations other than r. 1 and 2: 28 Aug 2010 (see r. 2(b))</w:t>
            </w:r>
          </w:p>
        </w:tc>
      </w:tr>
      <w:tr>
        <w:trPr>
          <w:cantSplit/>
        </w:trPr>
        <w:tc>
          <w:tcPr>
            <w:tcW w:w="3119" w:type="dxa"/>
          </w:tcPr>
          <w:p>
            <w:pPr>
              <w:pStyle w:val="nTable"/>
              <w:spacing w:after="40"/>
              <w:ind w:right="113"/>
              <w:rPr>
                <w:i/>
                <w:sz w:val="19"/>
              </w:rPr>
            </w:pPr>
            <w:r>
              <w:rPr>
                <w:i/>
                <w:sz w:val="19"/>
              </w:rPr>
              <w:t>Fish Resources Management Amendment Regulations (No. 7) 2010</w:t>
            </w:r>
          </w:p>
        </w:tc>
        <w:tc>
          <w:tcPr>
            <w:tcW w:w="1276" w:type="dxa"/>
          </w:tcPr>
          <w:p>
            <w:pPr>
              <w:pStyle w:val="nTable"/>
              <w:spacing w:after="40"/>
              <w:rPr>
                <w:sz w:val="19"/>
              </w:rPr>
            </w:pPr>
            <w:r>
              <w:rPr>
                <w:sz w:val="19"/>
              </w:rPr>
              <w:t>10 Sep 2010 p. 4347</w:t>
            </w:r>
          </w:p>
        </w:tc>
        <w:tc>
          <w:tcPr>
            <w:tcW w:w="2693" w:type="dxa"/>
          </w:tcPr>
          <w:p>
            <w:pPr>
              <w:pStyle w:val="nTable"/>
              <w:spacing w:after="40"/>
              <w:rPr>
                <w:snapToGrid w:val="0"/>
                <w:sz w:val="19"/>
                <w:lang w:val="en-US"/>
              </w:rPr>
            </w:pPr>
            <w:r>
              <w:rPr>
                <w:snapToGrid w:val="0"/>
                <w:sz w:val="19"/>
                <w:lang w:val="en-US"/>
              </w:rPr>
              <w:t>r. 1 and 2: 10 Sep 2010 (see r. 2(a));</w:t>
            </w:r>
            <w:r>
              <w:rPr>
                <w:snapToGrid w:val="0"/>
                <w:sz w:val="19"/>
                <w:lang w:val="en-US"/>
              </w:rPr>
              <w:br/>
              <w:t>Regulations other than r. 1 and 2: 11 Sep 2010 (see r. 2(b))</w:t>
            </w:r>
          </w:p>
        </w:tc>
      </w:tr>
      <w:tr>
        <w:trPr>
          <w:cantSplit/>
        </w:trPr>
        <w:tc>
          <w:tcPr>
            <w:tcW w:w="3119" w:type="dxa"/>
          </w:tcPr>
          <w:p>
            <w:pPr>
              <w:pStyle w:val="nTable"/>
              <w:spacing w:after="40"/>
              <w:ind w:right="113"/>
              <w:rPr>
                <w:i/>
                <w:sz w:val="19"/>
              </w:rPr>
            </w:pPr>
            <w:r>
              <w:rPr>
                <w:i/>
                <w:sz w:val="19"/>
              </w:rPr>
              <w:t>Fish Resources Management Amendment Regulations (No. 8) 2010</w:t>
            </w:r>
          </w:p>
        </w:tc>
        <w:tc>
          <w:tcPr>
            <w:tcW w:w="1276" w:type="dxa"/>
          </w:tcPr>
          <w:p>
            <w:pPr>
              <w:pStyle w:val="nTable"/>
              <w:spacing w:after="40"/>
              <w:rPr>
                <w:sz w:val="19"/>
              </w:rPr>
            </w:pPr>
            <w:r>
              <w:rPr>
                <w:sz w:val="19"/>
              </w:rPr>
              <w:t>8 Oct 2010 p. 5134</w:t>
            </w:r>
            <w:r>
              <w:rPr>
                <w:sz w:val="19"/>
              </w:rPr>
              <w:noBreakHyphen/>
              <w:t>5</w:t>
            </w:r>
          </w:p>
        </w:tc>
        <w:tc>
          <w:tcPr>
            <w:tcW w:w="2693" w:type="dxa"/>
          </w:tcPr>
          <w:p>
            <w:pPr>
              <w:pStyle w:val="nTable"/>
              <w:spacing w:after="40"/>
              <w:rPr>
                <w:snapToGrid w:val="0"/>
                <w:sz w:val="19"/>
                <w:lang w:val="en-US"/>
              </w:rPr>
            </w:pPr>
            <w:r>
              <w:rPr>
                <w:snapToGrid w:val="0"/>
                <w:sz w:val="19"/>
                <w:lang w:val="en-US"/>
              </w:rPr>
              <w:t>r. 1 and 2: 8 Oct 2010 (see r. 2(a));</w:t>
            </w:r>
            <w:r>
              <w:rPr>
                <w:snapToGrid w:val="0"/>
                <w:sz w:val="19"/>
                <w:lang w:val="en-US"/>
              </w:rPr>
              <w:br/>
              <w:t>Regulations other than r. 1 and 2: 9 Oct 2010 (see r. 2(b))</w:t>
            </w:r>
          </w:p>
        </w:tc>
      </w:tr>
      <w:tr>
        <w:trPr>
          <w:cantSplit/>
        </w:trPr>
        <w:tc>
          <w:tcPr>
            <w:tcW w:w="3119" w:type="dxa"/>
          </w:tcPr>
          <w:p>
            <w:pPr>
              <w:pStyle w:val="nTable"/>
              <w:spacing w:after="40"/>
              <w:ind w:right="113"/>
              <w:rPr>
                <w:i/>
                <w:sz w:val="19"/>
              </w:rPr>
            </w:pPr>
            <w:r>
              <w:rPr>
                <w:i/>
                <w:sz w:val="19"/>
              </w:rPr>
              <w:t>Fish Resources Management Amendment Regulations (No. 9) 2010</w:t>
            </w:r>
          </w:p>
        </w:tc>
        <w:tc>
          <w:tcPr>
            <w:tcW w:w="1276" w:type="dxa"/>
          </w:tcPr>
          <w:p>
            <w:pPr>
              <w:pStyle w:val="nTable"/>
              <w:spacing w:after="40"/>
              <w:rPr>
                <w:sz w:val="19"/>
              </w:rPr>
            </w:pPr>
            <w:r>
              <w:rPr>
                <w:sz w:val="19"/>
              </w:rPr>
              <w:t>2 Dec 2010 p. 6031-4</w:t>
            </w:r>
          </w:p>
        </w:tc>
        <w:tc>
          <w:tcPr>
            <w:tcW w:w="2693" w:type="dxa"/>
          </w:tcPr>
          <w:p>
            <w:pPr>
              <w:pStyle w:val="nTable"/>
              <w:spacing w:after="40"/>
              <w:rPr>
                <w:snapToGrid w:val="0"/>
                <w:sz w:val="19"/>
                <w:lang w:val="en-US"/>
              </w:rPr>
            </w:pPr>
            <w:r>
              <w:rPr>
                <w:snapToGrid w:val="0"/>
                <w:sz w:val="19"/>
                <w:lang w:val="en-US"/>
              </w:rPr>
              <w:t>r. 1 and 2: 2 Dec 2010 (see r. 2(a));</w:t>
            </w:r>
            <w:r>
              <w:rPr>
                <w:snapToGrid w:val="0"/>
                <w:sz w:val="19"/>
                <w:lang w:val="en-US"/>
              </w:rPr>
              <w:br/>
              <w:t>Regulations other than r. 1 and 2: 3 Dec 2010 (see r. 2(b))</w:t>
            </w:r>
          </w:p>
        </w:tc>
      </w:tr>
      <w:tr>
        <w:trPr>
          <w:cantSplit/>
        </w:trPr>
        <w:tc>
          <w:tcPr>
            <w:tcW w:w="3119" w:type="dxa"/>
          </w:tcPr>
          <w:p>
            <w:pPr>
              <w:pStyle w:val="nTable"/>
              <w:spacing w:after="40"/>
              <w:ind w:right="113"/>
              <w:rPr>
                <w:i/>
                <w:sz w:val="19"/>
              </w:rPr>
            </w:pPr>
            <w:r>
              <w:rPr>
                <w:i/>
                <w:sz w:val="19"/>
              </w:rPr>
              <w:t>Fish Resources Management Amendment Regulations 2011</w:t>
            </w:r>
          </w:p>
        </w:tc>
        <w:tc>
          <w:tcPr>
            <w:tcW w:w="1276" w:type="dxa"/>
          </w:tcPr>
          <w:p>
            <w:pPr>
              <w:pStyle w:val="nTable"/>
              <w:spacing w:after="40"/>
              <w:rPr>
                <w:sz w:val="19"/>
              </w:rPr>
            </w:pPr>
            <w:r>
              <w:rPr>
                <w:sz w:val="19"/>
              </w:rPr>
              <w:t>1 Mar 2011 p. 667</w:t>
            </w:r>
          </w:p>
        </w:tc>
        <w:tc>
          <w:tcPr>
            <w:tcW w:w="2693" w:type="dxa"/>
          </w:tcPr>
          <w:p>
            <w:pPr>
              <w:pStyle w:val="nTable"/>
              <w:spacing w:after="40"/>
              <w:rPr>
                <w:snapToGrid w:val="0"/>
                <w:sz w:val="19"/>
                <w:lang w:val="en-US"/>
              </w:rPr>
            </w:pPr>
            <w:r>
              <w:rPr>
                <w:snapToGrid w:val="0"/>
                <w:sz w:val="19"/>
                <w:lang w:val="en-US"/>
              </w:rPr>
              <w:t>r. 1 and 2: 1 Mar 2011 (see r. 2(a));</w:t>
            </w:r>
            <w:r>
              <w:rPr>
                <w:snapToGrid w:val="0"/>
                <w:sz w:val="19"/>
                <w:lang w:val="en-US"/>
              </w:rPr>
              <w:br/>
              <w:t>Regulations other than r. 1 and 2: 2 Mar 2011 (see r. 2(b))</w:t>
            </w:r>
          </w:p>
        </w:tc>
      </w:tr>
      <w:tr>
        <w:trPr>
          <w:cantSplit/>
        </w:trPr>
        <w:tc>
          <w:tcPr>
            <w:tcW w:w="3119" w:type="dxa"/>
          </w:tcPr>
          <w:p>
            <w:pPr>
              <w:pStyle w:val="nTable"/>
              <w:spacing w:after="40"/>
              <w:ind w:right="113"/>
              <w:rPr>
                <w:i/>
                <w:sz w:val="19"/>
              </w:rPr>
            </w:pPr>
            <w:r>
              <w:rPr>
                <w:i/>
                <w:sz w:val="19"/>
              </w:rPr>
              <w:t>Fish Resources Management Amendment Regulations (No. 2) 2011</w:t>
            </w:r>
          </w:p>
        </w:tc>
        <w:tc>
          <w:tcPr>
            <w:tcW w:w="1276" w:type="dxa"/>
          </w:tcPr>
          <w:p>
            <w:pPr>
              <w:pStyle w:val="nTable"/>
              <w:spacing w:after="40"/>
              <w:rPr>
                <w:sz w:val="19"/>
              </w:rPr>
            </w:pPr>
            <w:r>
              <w:rPr>
                <w:sz w:val="19"/>
              </w:rPr>
              <w:t>1 Mar 2011 p. 668</w:t>
            </w:r>
            <w:r>
              <w:rPr>
                <w:sz w:val="19"/>
              </w:rPr>
              <w:noBreakHyphen/>
              <w:t>73</w:t>
            </w:r>
          </w:p>
        </w:tc>
        <w:tc>
          <w:tcPr>
            <w:tcW w:w="2693" w:type="dxa"/>
          </w:tcPr>
          <w:p>
            <w:pPr>
              <w:pStyle w:val="nTable"/>
              <w:spacing w:after="40"/>
              <w:rPr>
                <w:snapToGrid w:val="0"/>
                <w:sz w:val="19"/>
                <w:lang w:val="en-US"/>
              </w:rPr>
            </w:pPr>
            <w:r>
              <w:rPr>
                <w:snapToGrid w:val="0"/>
                <w:sz w:val="19"/>
                <w:lang w:val="en-US"/>
              </w:rPr>
              <w:t>r. 1 and 2: 1 Mar 2011 (see r. 2(a));</w:t>
            </w:r>
            <w:r>
              <w:rPr>
                <w:snapToGrid w:val="0"/>
                <w:sz w:val="19"/>
                <w:lang w:val="en-US"/>
              </w:rPr>
              <w:br/>
              <w:t>Regulations other than r. 1 and 2: 2 Mar 2011 (see r. 2(b))</w:t>
            </w:r>
          </w:p>
        </w:tc>
      </w:tr>
      <w:tr>
        <w:trPr>
          <w:cantSplit/>
        </w:trPr>
        <w:tc>
          <w:tcPr>
            <w:tcW w:w="3119" w:type="dxa"/>
          </w:tcPr>
          <w:p>
            <w:pPr>
              <w:pStyle w:val="nTable"/>
              <w:spacing w:after="40"/>
              <w:ind w:right="113"/>
              <w:rPr>
                <w:i/>
                <w:sz w:val="19"/>
              </w:rPr>
            </w:pPr>
            <w:r>
              <w:rPr>
                <w:i/>
                <w:sz w:val="19"/>
              </w:rPr>
              <w:t>Fish Resources Management Amendment Regulations (No. 3) 2011</w:t>
            </w:r>
          </w:p>
        </w:tc>
        <w:tc>
          <w:tcPr>
            <w:tcW w:w="1276" w:type="dxa"/>
          </w:tcPr>
          <w:p>
            <w:pPr>
              <w:pStyle w:val="nTable"/>
              <w:spacing w:after="40"/>
              <w:rPr>
                <w:sz w:val="19"/>
              </w:rPr>
            </w:pPr>
            <w:r>
              <w:rPr>
                <w:sz w:val="19"/>
              </w:rPr>
              <w:t>1 Mar 2011 p. 673</w:t>
            </w:r>
            <w:r>
              <w:rPr>
                <w:sz w:val="19"/>
              </w:rPr>
              <w:noBreakHyphen/>
              <w:t>5</w:t>
            </w:r>
          </w:p>
        </w:tc>
        <w:tc>
          <w:tcPr>
            <w:tcW w:w="2693" w:type="dxa"/>
          </w:tcPr>
          <w:p>
            <w:pPr>
              <w:pStyle w:val="nTable"/>
              <w:spacing w:after="40"/>
              <w:rPr>
                <w:snapToGrid w:val="0"/>
                <w:sz w:val="19"/>
                <w:lang w:val="en-US"/>
              </w:rPr>
            </w:pPr>
            <w:r>
              <w:rPr>
                <w:snapToGrid w:val="0"/>
                <w:sz w:val="19"/>
                <w:lang w:val="en-US"/>
              </w:rPr>
              <w:t>r. 1 and 2: 1 Mar 2011 (see r. 2(a));</w:t>
            </w:r>
            <w:r>
              <w:rPr>
                <w:snapToGrid w:val="0"/>
                <w:sz w:val="19"/>
                <w:lang w:val="en-US"/>
              </w:rPr>
              <w:br/>
              <w:t>Regulations other than r. 1 and 2: 2 Mar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4) 2011</w:t>
            </w:r>
          </w:p>
        </w:tc>
        <w:tc>
          <w:tcPr>
            <w:tcW w:w="1276" w:type="dxa"/>
            <w:shd w:val="clear" w:color="auto" w:fill="auto"/>
          </w:tcPr>
          <w:p>
            <w:pPr>
              <w:pStyle w:val="nTable"/>
              <w:spacing w:after="40"/>
              <w:rPr>
                <w:sz w:val="19"/>
              </w:rPr>
            </w:pPr>
            <w:r>
              <w:rPr>
                <w:sz w:val="19"/>
              </w:rPr>
              <w:t>29 Mar 2011 p. 1151</w:t>
            </w:r>
            <w:r>
              <w:rPr>
                <w:sz w:val="19"/>
              </w:rPr>
              <w:noBreakHyphen/>
              <w:t>3</w:t>
            </w:r>
          </w:p>
        </w:tc>
        <w:tc>
          <w:tcPr>
            <w:tcW w:w="2693" w:type="dxa"/>
            <w:shd w:val="clear" w:color="auto" w:fill="auto"/>
          </w:tcPr>
          <w:p>
            <w:pPr>
              <w:pStyle w:val="nTable"/>
              <w:spacing w:after="40"/>
              <w:rPr>
                <w:snapToGrid w:val="0"/>
                <w:sz w:val="19"/>
                <w:lang w:val="en-US"/>
              </w:rPr>
            </w:pPr>
            <w:r>
              <w:rPr>
                <w:snapToGrid w:val="0"/>
                <w:sz w:val="19"/>
                <w:lang w:val="en-US"/>
              </w:rPr>
              <w:t>r. 1 and 2: 29 Mar 2011 (see r. 2(a));</w:t>
            </w:r>
            <w:r>
              <w:rPr>
                <w:snapToGrid w:val="0"/>
                <w:sz w:val="19"/>
                <w:lang w:val="en-US"/>
              </w:rPr>
              <w:br/>
              <w:t>Regulations other than r. 1 and 2: 30 Mar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5) 2011</w:t>
            </w:r>
          </w:p>
        </w:tc>
        <w:tc>
          <w:tcPr>
            <w:tcW w:w="1276" w:type="dxa"/>
            <w:shd w:val="clear" w:color="auto" w:fill="auto"/>
          </w:tcPr>
          <w:p>
            <w:pPr>
              <w:pStyle w:val="nTable"/>
              <w:spacing w:after="40"/>
              <w:rPr>
                <w:sz w:val="19"/>
              </w:rPr>
            </w:pPr>
            <w:r>
              <w:rPr>
                <w:sz w:val="19"/>
              </w:rPr>
              <w:t>6 May 2011 p. 1609</w:t>
            </w:r>
            <w:r>
              <w:rPr>
                <w:sz w:val="19"/>
              </w:rPr>
              <w:noBreakHyphen/>
              <w:t>12</w:t>
            </w:r>
          </w:p>
        </w:tc>
        <w:tc>
          <w:tcPr>
            <w:tcW w:w="2693" w:type="dxa"/>
            <w:shd w:val="clear" w:color="auto" w:fill="auto"/>
          </w:tcPr>
          <w:p>
            <w:pPr>
              <w:pStyle w:val="nTable"/>
              <w:spacing w:after="40"/>
              <w:rPr>
                <w:snapToGrid w:val="0"/>
                <w:sz w:val="19"/>
                <w:lang w:val="en-US"/>
              </w:rPr>
            </w:pPr>
            <w:r>
              <w:rPr>
                <w:snapToGrid w:val="0"/>
                <w:sz w:val="19"/>
                <w:lang w:val="en-US"/>
              </w:rPr>
              <w:t>r. 1 and 2: 6 May 2011 (see r. 2(a));</w:t>
            </w:r>
            <w:r>
              <w:rPr>
                <w:snapToGrid w:val="0"/>
                <w:sz w:val="19"/>
                <w:lang w:val="en-US"/>
              </w:rPr>
              <w:br/>
              <w:t>Regulations other than r. 1 and 2: 1 Jul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7) 2011</w:t>
            </w:r>
            <w:r>
              <w:rPr>
                <w:sz w:val="19"/>
              </w:rPr>
              <w:t xml:space="preserve"> Pt. 2</w:t>
            </w:r>
          </w:p>
        </w:tc>
        <w:tc>
          <w:tcPr>
            <w:tcW w:w="1276" w:type="dxa"/>
            <w:shd w:val="clear" w:color="auto" w:fill="auto"/>
          </w:tcPr>
          <w:p>
            <w:pPr>
              <w:pStyle w:val="nTable"/>
              <w:spacing w:after="40"/>
              <w:rPr>
                <w:sz w:val="19"/>
              </w:rPr>
            </w:pPr>
            <w:r>
              <w:rPr>
                <w:sz w:val="19"/>
              </w:rPr>
              <w:t>1 Jul 2011 p. 2721</w:t>
            </w:r>
            <w:r>
              <w:rPr>
                <w:sz w:val="19"/>
              </w:rPr>
              <w:noBreakHyphen/>
              <w:t>3</w:t>
            </w:r>
          </w:p>
        </w:tc>
        <w:tc>
          <w:tcPr>
            <w:tcW w:w="2693" w:type="dxa"/>
            <w:shd w:val="clear" w:color="auto" w:fill="auto"/>
          </w:tcPr>
          <w:p>
            <w:pPr>
              <w:pStyle w:val="nTable"/>
              <w:spacing w:after="40"/>
              <w:rPr>
                <w:snapToGrid w:val="0"/>
                <w:sz w:val="19"/>
                <w:lang w:val="en-US"/>
              </w:rPr>
            </w:pPr>
            <w:r>
              <w:rPr>
                <w:sz w:val="19"/>
              </w:rPr>
              <w:t>1 Jul 2011 (see r. 2(b))</w:t>
            </w:r>
          </w:p>
        </w:tc>
      </w:tr>
      <w:tr>
        <w:trPr>
          <w:cantSplit/>
        </w:trPr>
        <w:tc>
          <w:tcPr>
            <w:tcW w:w="7088" w:type="dxa"/>
            <w:gridSpan w:val="3"/>
            <w:shd w:val="clear" w:color="auto" w:fill="auto"/>
          </w:tcPr>
          <w:p>
            <w:pPr>
              <w:pStyle w:val="nTable"/>
              <w:spacing w:after="40"/>
              <w:rPr>
                <w:snapToGrid w:val="0"/>
                <w:spacing w:val="-2"/>
                <w:sz w:val="19"/>
                <w:lang w:val="en-US"/>
              </w:rPr>
            </w:pPr>
            <w:r>
              <w:rPr>
                <w:b/>
                <w:sz w:val="19"/>
              </w:rPr>
              <w:t xml:space="preserve">Reprint 10: The </w:t>
            </w:r>
            <w:r>
              <w:rPr>
                <w:b/>
                <w:i/>
                <w:sz w:val="19"/>
              </w:rPr>
              <w:t>Fish Resources Management Regulations 1995</w:t>
            </w:r>
            <w:r>
              <w:rPr>
                <w:b/>
                <w:sz w:val="19"/>
              </w:rPr>
              <w:t xml:space="preserve"> as at 4 Jul 2011</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6) 2011</w:t>
            </w:r>
          </w:p>
        </w:tc>
        <w:tc>
          <w:tcPr>
            <w:tcW w:w="1276" w:type="dxa"/>
            <w:shd w:val="clear" w:color="auto" w:fill="auto"/>
          </w:tcPr>
          <w:p>
            <w:pPr>
              <w:pStyle w:val="nTable"/>
              <w:spacing w:after="40"/>
              <w:rPr>
                <w:sz w:val="19"/>
              </w:rPr>
            </w:pPr>
            <w:r>
              <w:rPr>
                <w:sz w:val="19"/>
              </w:rPr>
              <w:t>2 Aug 2011 p. 3166-8</w:t>
            </w:r>
          </w:p>
        </w:tc>
        <w:tc>
          <w:tcPr>
            <w:tcW w:w="2693" w:type="dxa"/>
            <w:shd w:val="clear" w:color="auto" w:fill="auto"/>
          </w:tcPr>
          <w:p>
            <w:pPr>
              <w:pStyle w:val="nTable"/>
              <w:spacing w:after="40"/>
              <w:rPr>
                <w:snapToGrid w:val="0"/>
                <w:sz w:val="19"/>
                <w:lang w:val="en-US"/>
              </w:rPr>
            </w:pPr>
            <w:r>
              <w:rPr>
                <w:snapToGrid w:val="0"/>
                <w:sz w:val="19"/>
                <w:lang w:val="en-US"/>
              </w:rPr>
              <w:t>r. 1 and 2: 2 Aug 2011 (see r. 2(a));</w:t>
            </w:r>
            <w:r>
              <w:rPr>
                <w:snapToGrid w:val="0"/>
                <w:sz w:val="19"/>
                <w:lang w:val="en-US"/>
              </w:rPr>
              <w:br/>
              <w:t>Regulations other than r. 1 and 2: 3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8) 2011</w:t>
            </w:r>
          </w:p>
        </w:tc>
        <w:tc>
          <w:tcPr>
            <w:tcW w:w="1276" w:type="dxa"/>
            <w:shd w:val="clear" w:color="auto" w:fill="auto"/>
          </w:tcPr>
          <w:p>
            <w:pPr>
              <w:pStyle w:val="nTable"/>
              <w:spacing w:after="40"/>
              <w:rPr>
                <w:sz w:val="19"/>
              </w:rPr>
            </w:pPr>
            <w:r>
              <w:rPr>
                <w:sz w:val="19"/>
              </w:rPr>
              <w:t>2 Aug 2011 p. 3168-9</w:t>
            </w:r>
          </w:p>
        </w:tc>
        <w:tc>
          <w:tcPr>
            <w:tcW w:w="2693" w:type="dxa"/>
            <w:shd w:val="clear" w:color="auto" w:fill="auto"/>
          </w:tcPr>
          <w:p>
            <w:pPr>
              <w:pStyle w:val="nTable"/>
              <w:spacing w:after="40"/>
              <w:rPr>
                <w:snapToGrid w:val="0"/>
                <w:sz w:val="19"/>
                <w:lang w:val="en-US"/>
              </w:rPr>
            </w:pPr>
            <w:r>
              <w:rPr>
                <w:snapToGrid w:val="0"/>
                <w:sz w:val="19"/>
                <w:lang w:val="en-US"/>
              </w:rPr>
              <w:t>r. 1 and 2: 2 Aug 2011 (see r. 2(a));</w:t>
            </w:r>
            <w:r>
              <w:rPr>
                <w:snapToGrid w:val="0"/>
                <w:sz w:val="19"/>
                <w:lang w:val="en-US"/>
              </w:rPr>
              <w:br/>
              <w:t>Regulations other than r. 1 and 2: 3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10) 2011</w:t>
            </w:r>
          </w:p>
        </w:tc>
        <w:tc>
          <w:tcPr>
            <w:tcW w:w="1276" w:type="dxa"/>
            <w:shd w:val="clear" w:color="auto" w:fill="auto"/>
          </w:tcPr>
          <w:p>
            <w:pPr>
              <w:pStyle w:val="nTable"/>
              <w:spacing w:after="40"/>
              <w:rPr>
                <w:sz w:val="19"/>
              </w:rPr>
            </w:pPr>
            <w:r>
              <w:rPr>
                <w:sz w:val="19"/>
              </w:rPr>
              <w:t>24 Aug 2011 p. 3405-9</w:t>
            </w:r>
          </w:p>
        </w:tc>
        <w:tc>
          <w:tcPr>
            <w:tcW w:w="2693" w:type="dxa"/>
            <w:shd w:val="clear" w:color="auto" w:fill="auto"/>
          </w:tcPr>
          <w:p>
            <w:pPr>
              <w:pStyle w:val="nTable"/>
              <w:spacing w:after="40"/>
              <w:rPr>
                <w:snapToGrid w:val="0"/>
                <w:sz w:val="19"/>
                <w:lang w:val="en-US"/>
              </w:rPr>
            </w:pPr>
            <w:r>
              <w:rPr>
                <w:snapToGrid w:val="0"/>
                <w:sz w:val="19"/>
                <w:lang w:val="en-US"/>
              </w:rPr>
              <w:t>r. 1 and 2: 24 Aug 2011 (see r. 2(a));</w:t>
            </w:r>
            <w:r>
              <w:rPr>
                <w:snapToGrid w:val="0"/>
                <w:sz w:val="19"/>
                <w:lang w:val="en-US"/>
              </w:rPr>
              <w:br/>
              <w:t>Regulations other than r. 1 and 2: 25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11) 2011</w:t>
            </w:r>
          </w:p>
        </w:tc>
        <w:tc>
          <w:tcPr>
            <w:tcW w:w="1276" w:type="dxa"/>
            <w:shd w:val="clear" w:color="auto" w:fill="auto"/>
          </w:tcPr>
          <w:p>
            <w:pPr>
              <w:pStyle w:val="nTable"/>
              <w:spacing w:after="40"/>
              <w:rPr>
                <w:sz w:val="19"/>
              </w:rPr>
            </w:pPr>
            <w:r>
              <w:rPr>
                <w:sz w:val="19"/>
              </w:rPr>
              <w:t>9 Sep 2011 p. 3682</w:t>
            </w:r>
            <w:r>
              <w:rPr>
                <w:sz w:val="19"/>
              </w:rPr>
              <w:noBreakHyphen/>
              <w:t>3</w:t>
            </w:r>
          </w:p>
        </w:tc>
        <w:tc>
          <w:tcPr>
            <w:tcW w:w="2693" w:type="dxa"/>
            <w:shd w:val="clear" w:color="auto" w:fill="auto"/>
          </w:tcPr>
          <w:p>
            <w:pPr>
              <w:pStyle w:val="nTable"/>
              <w:spacing w:after="40"/>
              <w:rPr>
                <w:snapToGrid w:val="0"/>
                <w:sz w:val="19"/>
                <w:lang w:val="en-US"/>
              </w:rPr>
            </w:pPr>
            <w:r>
              <w:rPr>
                <w:snapToGrid w:val="0"/>
                <w:sz w:val="19"/>
                <w:lang w:val="en-US"/>
              </w:rPr>
              <w:t>r. 1 and 2: 9 Sep 2011 (see r. 2(a));</w:t>
            </w:r>
            <w:r>
              <w:rPr>
                <w:snapToGrid w:val="0"/>
                <w:sz w:val="19"/>
                <w:lang w:val="en-US"/>
              </w:rPr>
              <w:br/>
              <w:t>Regulations other than r. 1 and 2: 10 Sep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9) 2011</w:t>
            </w:r>
          </w:p>
        </w:tc>
        <w:tc>
          <w:tcPr>
            <w:tcW w:w="1276" w:type="dxa"/>
            <w:shd w:val="clear" w:color="auto" w:fill="auto"/>
          </w:tcPr>
          <w:p>
            <w:pPr>
              <w:pStyle w:val="nTable"/>
              <w:spacing w:after="40"/>
              <w:rPr>
                <w:sz w:val="19"/>
              </w:rPr>
            </w:pPr>
            <w:r>
              <w:rPr>
                <w:sz w:val="19"/>
              </w:rPr>
              <w:t>2 Nov 2011 p. 4619-25</w:t>
            </w:r>
          </w:p>
        </w:tc>
        <w:tc>
          <w:tcPr>
            <w:tcW w:w="2693" w:type="dxa"/>
            <w:shd w:val="clear" w:color="auto" w:fill="auto"/>
          </w:tcPr>
          <w:p>
            <w:pPr>
              <w:pStyle w:val="nTable"/>
              <w:spacing w:after="40"/>
              <w:rPr>
                <w:snapToGrid w:val="0"/>
                <w:sz w:val="19"/>
                <w:lang w:val="en-US"/>
              </w:rPr>
            </w:pPr>
            <w:r>
              <w:rPr>
                <w:snapToGrid w:val="0"/>
                <w:sz w:val="19"/>
                <w:lang w:val="en-US"/>
              </w:rPr>
              <w:t>r. 1 and 2: 2 Nov 2011 (see r. 2(a));</w:t>
            </w:r>
            <w:r>
              <w:rPr>
                <w:snapToGrid w:val="0"/>
                <w:sz w:val="19"/>
                <w:lang w:val="en-US"/>
              </w:rPr>
              <w:br/>
              <w:t>Regulations other than r. 1, 2 and 9: 3 Nov 2011 (see r. 2(c));</w:t>
            </w:r>
            <w:r>
              <w:rPr>
                <w:snapToGrid w:val="0"/>
                <w:sz w:val="19"/>
                <w:lang w:val="en-US"/>
              </w:rPr>
              <w:br/>
              <w:t>r. 9: 15 Nov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12) 2011</w:t>
            </w:r>
          </w:p>
        </w:tc>
        <w:tc>
          <w:tcPr>
            <w:tcW w:w="1276" w:type="dxa"/>
            <w:shd w:val="clear" w:color="auto" w:fill="auto"/>
          </w:tcPr>
          <w:p>
            <w:pPr>
              <w:pStyle w:val="nTable"/>
              <w:spacing w:after="40"/>
              <w:rPr>
                <w:sz w:val="19"/>
              </w:rPr>
            </w:pPr>
            <w:r>
              <w:rPr>
                <w:sz w:val="19"/>
              </w:rPr>
              <w:t>18 Nov 2011 p. 4809</w:t>
            </w:r>
            <w:r>
              <w:rPr>
                <w:sz w:val="19"/>
              </w:rPr>
              <w:noBreakHyphen/>
              <w:t>10</w:t>
            </w:r>
          </w:p>
        </w:tc>
        <w:tc>
          <w:tcPr>
            <w:tcW w:w="2693" w:type="dxa"/>
            <w:shd w:val="clear" w:color="auto" w:fill="auto"/>
          </w:tcPr>
          <w:p>
            <w:pPr>
              <w:pStyle w:val="nTable"/>
              <w:spacing w:after="40"/>
              <w:rPr>
                <w:snapToGrid w:val="0"/>
                <w:sz w:val="19"/>
                <w:lang w:val="en-US"/>
              </w:rPr>
            </w:pPr>
            <w:r>
              <w:rPr>
                <w:snapToGrid w:val="0"/>
                <w:sz w:val="19"/>
                <w:lang w:val="en-US"/>
              </w:rPr>
              <w:t>r. 1 and 2: 18 Nov 2011 (see r. 2(a));</w:t>
            </w:r>
            <w:r>
              <w:rPr>
                <w:snapToGrid w:val="0"/>
                <w:sz w:val="19"/>
                <w:lang w:val="en-US"/>
              </w:rPr>
              <w:br/>
              <w:t>Regulations other than r. 1 and 2: 19 Nov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13) 2011</w:t>
            </w:r>
          </w:p>
        </w:tc>
        <w:tc>
          <w:tcPr>
            <w:tcW w:w="1276" w:type="dxa"/>
            <w:shd w:val="clear" w:color="auto" w:fill="auto"/>
          </w:tcPr>
          <w:p>
            <w:pPr>
              <w:pStyle w:val="nTable"/>
              <w:spacing w:after="40"/>
              <w:rPr>
                <w:sz w:val="19"/>
              </w:rPr>
            </w:pPr>
            <w:r>
              <w:rPr>
                <w:sz w:val="19"/>
              </w:rPr>
              <w:t>22 Nov 2011 p. 4847</w:t>
            </w:r>
            <w:r>
              <w:rPr>
                <w:sz w:val="19"/>
              </w:rPr>
              <w:noBreakHyphen/>
              <w:t>8</w:t>
            </w:r>
          </w:p>
        </w:tc>
        <w:tc>
          <w:tcPr>
            <w:tcW w:w="2693" w:type="dxa"/>
            <w:shd w:val="clear" w:color="auto" w:fill="auto"/>
          </w:tcPr>
          <w:p>
            <w:pPr>
              <w:pStyle w:val="nTable"/>
              <w:spacing w:after="40"/>
              <w:rPr>
                <w:snapToGrid w:val="0"/>
                <w:sz w:val="19"/>
                <w:lang w:val="en-US"/>
              </w:rPr>
            </w:pPr>
            <w:r>
              <w:rPr>
                <w:snapToGrid w:val="0"/>
                <w:sz w:val="19"/>
                <w:lang w:val="en-US"/>
              </w:rPr>
              <w:t>r. 1 and 2: 22 Nov 2011 (see r. 2(a));</w:t>
            </w:r>
            <w:r>
              <w:rPr>
                <w:snapToGrid w:val="0"/>
                <w:sz w:val="19"/>
                <w:lang w:val="en-US"/>
              </w:rPr>
              <w:br/>
              <w:t>Regulations other than r. 1 and 2: 23 Nov 2011 (see r. 2(b))</w:t>
            </w:r>
          </w:p>
        </w:tc>
      </w:tr>
      <w:tr>
        <w:trPr>
          <w:cantSplit/>
        </w:trPr>
        <w:tc>
          <w:tcPr>
            <w:tcW w:w="3119" w:type="dxa"/>
            <w:shd w:val="clear" w:color="auto" w:fill="auto"/>
          </w:tcPr>
          <w:p>
            <w:pPr>
              <w:pStyle w:val="nTable"/>
              <w:spacing w:after="40"/>
              <w:ind w:right="113"/>
              <w:rPr>
                <w:sz w:val="19"/>
              </w:rPr>
            </w:pPr>
            <w:r>
              <w:rPr>
                <w:i/>
                <w:sz w:val="19"/>
              </w:rPr>
              <w:t>Fish Resources Management Amendment Regulations (No. 14) 2011</w:t>
            </w:r>
          </w:p>
        </w:tc>
        <w:tc>
          <w:tcPr>
            <w:tcW w:w="1276" w:type="dxa"/>
            <w:shd w:val="clear" w:color="auto" w:fill="auto"/>
          </w:tcPr>
          <w:p>
            <w:pPr>
              <w:pStyle w:val="nTable"/>
              <w:spacing w:after="40"/>
              <w:rPr>
                <w:sz w:val="19"/>
              </w:rPr>
            </w:pPr>
            <w:r>
              <w:rPr>
                <w:sz w:val="19"/>
              </w:rPr>
              <w:t>20 Dec 2011 p. 5374</w:t>
            </w:r>
            <w:r>
              <w:rPr>
                <w:sz w:val="19"/>
              </w:rPr>
              <w:noBreakHyphen/>
              <w:t>5</w:t>
            </w:r>
          </w:p>
        </w:tc>
        <w:tc>
          <w:tcPr>
            <w:tcW w:w="2693" w:type="dxa"/>
            <w:shd w:val="clear" w:color="auto" w:fill="auto"/>
          </w:tcPr>
          <w:p>
            <w:pPr>
              <w:pStyle w:val="nTable"/>
              <w:spacing w:after="40"/>
              <w:rPr>
                <w:snapToGrid w:val="0"/>
                <w:sz w:val="19"/>
                <w:lang w:val="en-US"/>
              </w:rPr>
            </w:pPr>
            <w:r>
              <w:rPr>
                <w:snapToGrid w:val="0"/>
                <w:sz w:val="19"/>
                <w:lang w:val="en-US"/>
              </w:rPr>
              <w:t>r. 1 and 2: 20 Dec 2011 (see r. 2(a));</w:t>
            </w:r>
            <w:r>
              <w:rPr>
                <w:snapToGrid w:val="0"/>
                <w:sz w:val="19"/>
                <w:lang w:val="en-US"/>
              </w:rPr>
              <w:br/>
              <w:t>Regulations other than r. 1, 2, 4 and 6: 21 Dec 2011 (see r. 2(c));</w:t>
            </w:r>
            <w:r>
              <w:rPr>
                <w:snapToGrid w:val="0"/>
                <w:sz w:val="19"/>
                <w:lang w:val="en-US"/>
              </w:rPr>
              <w:br/>
              <w:t>r. 4 and 6: 8 Jan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2012</w:t>
            </w:r>
          </w:p>
        </w:tc>
        <w:tc>
          <w:tcPr>
            <w:tcW w:w="1276" w:type="dxa"/>
            <w:shd w:val="clear" w:color="auto" w:fill="auto"/>
          </w:tcPr>
          <w:p>
            <w:pPr>
              <w:pStyle w:val="nTable"/>
              <w:spacing w:after="40"/>
              <w:rPr>
                <w:sz w:val="19"/>
              </w:rPr>
            </w:pPr>
            <w:r>
              <w:rPr>
                <w:sz w:val="19"/>
              </w:rPr>
              <w:t>24 Feb 2012 p. 801-3</w:t>
            </w:r>
          </w:p>
        </w:tc>
        <w:tc>
          <w:tcPr>
            <w:tcW w:w="2693" w:type="dxa"/>
            <w:shd w:val="clear" w:color="auto" w:fill="auto"/>
          </w:tcPr>
          <w:p>
            <w:pPr>
              <w:pStyle w:val="nTable"/>
              <w:spacing w:after="40"/>
              <w:rPr>
                <w:snapToGrid w:val="0"/>
                <w:sz w:val="19"/>
                <w:lang w:val="en-US"/>
              </w:rPr>
            </w:pPr>
            <w:r>
              <w:rPr>
                <w:snapToGrid w:val="0"/>
                <w:sz w:val="19"/>
                <w:lang w:val="en-US"/>
              </w:rPr>
              <w:t>r. 1 and 2: 24 Feb 2012 (see r. 2(a));</w:t>
            </w:r>
            <w:r>
              <w:rPr>
                <w:snapToGrid w:val="0"/>
                <w:sz w:val="19"/>
                <w:lang w:val="en-US"/>
              </w:rPr>
              <w:br/>
              <w:t>Regulations other than r. 1 and 2: 25 Feb 2012 (see r. 2(b))</w:t>
            </w:r>
          </w:p>
        </w:tc>
      </w:tr>
      <w:tr>
        <w:trPr>
          <w:cantSplit/>
        </w:trPr>
        <w:tc>
          <w:tcPr>
            <w:tcW w:w="7088" w:type="dxa"/>
            <w:gridSpan w:val="3"/>
            <w:shd w:val="clear" w:color="auto" w:fill="auto"/>
          </w:tcPr>
          <w:p>
            <w:pPr>
              <w:pStyle w:val="nTable"/>
              <w:spacing w:after="40"/>
              <w:rPr>
                <w:snapToGrid w:val="0"/>
                <w:spacing w:val="-2"/>
                <w:sz w:val="19"/>
                <w:lang w:val="en-US"/>
              </w:rPr>
            </w:pPr>
            <w:r>
              <w:rPr>
                <w:b/>
                <w:sz w:val="19"/>
              </w:rPr>
              <w:t xml:space="preserve">Reprint 11: The </w:t>
            </w:r>
            <w:r>
              <w:rPr>
                <w:b/>
                <w:i/>
                <w:sz w:val="19"/>
              </w:rPr>
              <w:t>Fish Resources Management Regulations 1995</w:t>
            </w:r>
            <w:r>
              <w:rPr>
                <w:b/>
                <w:sz w:val="19"/>
              </w:rPr>
              <w:t xml:space="preserve"> as at 13 Apr 2012</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3) 2012</w:t>
            </w:r>
          </w:p>
        </w:tc>
        <w:tc>
          <w:tcPr>
            <w:tcW w:w="1276" w:type="dxa"/>
            <w:shd w:val="clear" w:color="auto" w:fill="auto"/>
          </w:tcPr>
          <w:p>
            <w:pPr>
              <w:pStyle w:val="nTable"/>
              <w:spacing w:after="40"/>
              <w:rPr>
                <w:sz w:val="19"/>
              </w:rPr>
            </w:pPr>
            <w:r>
              <w:rPr>
                <w:sz w:val="19"/>
              </w:rPr>
              <w:t>22 Jun 2012 p. 2778-9</w:t>
            </w:r>
          </w:p>
        </w:tc>
        <w:tc>
          <w:tcPr>
            <w:tcW w:w="2693" w:type="dxa"/>
            <w:shd w:val="clear" w:color="auto" w:fill="auto"/>
          </w:tcPr>
          <w:p>
            <w:pPr>
              <w:pStyle w:val="nTable"/>
              <w:spacing w:after="40"/>
              <w:rPr>
                <w:snapToGrid w:val="0"/>
                <w:sz w:val="19"/>
                <w:lang w:val="en-US"/>
              </w:rPr>
            </w:pPr>
            <w:r>
              <w:rPr>
                <w:snapToGrid w:val="0"/>
                <w:sz w:val="19"/>
                <w:lang w:val="en-US"/>
              </w:rPr>
              <w:t>r. 1 and 2: 22 Jun 2012 (see r. 2(a));</w:t>
            </w:r>
            <w:r>
              <w:rPr>
                <w:snapToGrid w:val="0"/>
                <w:sz w:val="19"/>
                <w:lang w:val="en-US"/>
              </w:rPr>
              <w:br/>
              <w:t>Regulations other than r. 1 and 2: 23 Jun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4) 2012</w:t>
            </w:r>
          </w:p>
        </w:tc>
        <w:tc>
          <w:tcPr>
            <w:tcW w:w="1276" w:type="dxa"/>
            <w:shd w:val="clear" w:color="auto" w:fill="auto"/>
          </w:tcPr>
          <w:p>
            <w:pPr>
              <w:pStyle w:val="nTable"/>
              <w:spacing w:after="40"/>
              <w:rPr>
                <w:sz w:val="19"/>
              </w:rPr>
            </w:pPr>
            <w:r>
              <w:rPr>
                <w:sz w:val="19"/>
              </w:rPr>
              <w:t>14 Sep 2012 p. 4372</w:t>
            </w:r>
            <w:r>
              <w:rPr>
                <w:sz w:val="19"/>
              </w:rPr>
              <w:noBreakHyphen/>
              <w:t>5</w:t>
            </w:r>
          </w:p>
        </w:tc>
        <w:tc>
          <w:tcPr>
            <w:tcW w:w="2693" w:type="dxa"/>
            <w:shd w:val="clear" w:color="auto" w:fill="auto"/>
          </w:tcPr>
          <w:p>
            <w:pPr>
              <w:pStyle w:val="nTable"/>
              <w:spacing w:after="40"/>
              <w:rPr>
                <w:snapToGrid w:val="0"/>
                <w:sz w:val="19"/>
                <w:lang w:val="en-US"/>
              </w:rPr>
            </w:pPr>
            <w:r>
              <w:rPr>
                <w:snapToGrid w:val="0"/>
                <w:sz w:val="19"/>
                <w:lang w:val="en-US"/>
              </w:rPr>
              <w:t>r. 1 and 2: 14 Sep 2012 (see r. 2(a));</w:t>
            </w:r>
            <w:r>
              <w:rPr>
                <w:snapToGrid w:val="0"/>
                <w:sz w:val="19"/>
                <w:lang w:val="en-US"/>
              </w:rPr>
              <w:br/>
              <w:t>Regulations other than r. 1 and 2: 15 Sep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5) 2012</w:t>
            </w:r>
          </w:p>
        </w:tc>
        <w:tc>
          <w:tcPr>
            <w:tcW w:w="1276" w:type="dxa"/>
            <w:shd w:val="clear" w:color="auto" w:fill="auto"/>
          </w:tcPr>
          <w:p>
            <w:pPr>
              <w:pStyle w:val="nTable"/>
              <w:spacing w:after="40"/>
              <w:rPr>
                <w:sz w:val="19"/>
              </w:rPr>
            </w:pPr>
            <w:r>
              <w:rPr>
                <w:sz w:val="19"/>
              </w:rPr>
              <w:t>25 Sep 2012 p. 4517-21</w:t>
            </w:r>
          </w:p>
        </w:tc>
        <w:tc>
          <w:tcPr>
            <w:tcW w:w="2693" w:type="dxa"/>
            <w:shd w:val="clear" w:color="auto" w:fill="auto"/>
          </w:tcPr>
          <w:p>
            <w:pPr>
              <w:pStyle w:val="nTable"/>
              <w:spacing w:after="40"/>
              <w:rPr>
                <w:snapToGrid w:val="0"/>
                <w:sz w:val="19"/>
                <w:lang w:val="en-US"/>
              </w:rPr>
            </w:pPr>
            <w:r>
              <w:rPr>
                <w:snapToGrid w:val="0"/>
                <w:sz w:val="19"/>
                <w:lang w:val="en-US"/>
              </w:rPr>
              <w:t>r. 1 and 2: 25 Sep 2012 (see r. 2(a));</w:t>
            </w:r>
            <w:r>
              <w:rPr>
                <w:snapToGrid w:val="0"/>
                <w:sz w:val="19"/>
                <w:lang w:val="en-US"/>
              </w:rPr>
              <w:br/>
              <w:t>Regulations other than r. 1 and 2: 26 Sep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10) 2012</w:t>
            </w:r>
          </w:p>
        </w:tc>
        <w:tc>
          <w:tcPr>
            <w:tcW w:w="1276" w:type="dxa"/>
            <w:shd w:val="clear" w:color="auto" w:fill="auto"/>
          </w:tcPr>
          <w:p>
            <w:pPr>
              <w:pStyle w:val="nTable"/>
              <w:spacing w:after="40"/>
              <w:rPr>
                <w:rFonts w:ascii="Times" w:hAnsi="Times"/>
                <w:sz w:val="19"/>
              </w:rPr>
            </w:pPr>
            <w:r>
              <w:rPr>
                <w:rFonts w:ascii="Times" w:hAnsi="Times"/>
                <w:sz w:val="19"/>
              </w:rPr>
              <w:t>17 Oct 2012 p. 4979-80</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17 Oct 2012 (see r. 2(a));</w:t>
            </w:r>
            <w:r>
              <w:rPr>
                <w:rFonts w:ascii="Times" w:hAnsi="Times"/>
                <w:snapToGrid w:val="0"/>
                <w:sz w:val="19"/>
                <w:lang w:val="en-US"/>
              </w:rPr>
              <w:br/>
              <w:t>Regulations other than r. 1 and 2: 18 Oct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8) 2012</w:t>
            </w:r>
          </w:p>
        </w:tc>
        <w:tc>
          <w:tcPr>
            <w:tcW w:w="1276" w:type="dxa"/>
            <w:shd w:val="clear" w:color="auto" w:fill="auto"/>
          </w:tcPr>
          <w:p>
            <w:pPr>
              <w:pStyle w:val="nTable"/>
              <w:spacing w:after="40"/>
              <w:rPr>
                <w:rFonts w:ascii="Times" w:hAnsi="Times"/>
                <w:sz w:val="19"/>
              </w:rPr>
            </w:pPr>
            <w:r>
              <w:rPr>
                <w:rFonts w:ascii="Times" w:hAnsi="Times"/>
                <w:sz w:val="19"/>
              </w:rPr>
              <w:t>19 Oct 2012 p. 5017-20</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19 Oct 2012 (see r. 2(a));</w:t>
            </w:r>
            <w:r>
              <w:rPr>
                <w:rFonts w:ascii="Times" w:hAnsi="Times"/>
                <w:snapToGrid w:val="0"/>
                <w:sz w:val="19"/>
                <w:lang w:val="en-US"/>
              </w:rPr>
              <w:br/>
              <w:t>Regulations other than r. 1 and 2: 20 Oct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11) 2012</w:t>
            </w:r>
          </w:p>
        </w:tc>
        <w:tc>
          <w:tcPr>
            <w:tcW w:w="1276" w:type="dxa"/>
            <w:shd w:val="clear" w:color="auto" w:fill="auto"/>
          </w:tcPr>
          <w:p>
            <w:pPr>
              <w:pStyle w:val="nTable"/>
              <w:spacing w:after="40"/>
              <w:rPr>
                <w:rFonts w:ascii="Times" w:hAnsi="Times"/>
                <w:sz w:val="19"/>
              </w:rPr>
            </w:pPr>
            <w:r>
              <w:rPr>
                <w:rFonts w:ascii="Times" w:hAnsi="Times"/>
                <w:sz w:val="19"/>
              </w:rPr>
              <w:t>2 Nov 2012 p. 5277-8</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2 Nov 2012 (see r. 2(a));</w:t>
            </w:r>
            <w:r>
              <w:rPr>
                <w:rFonts w:ascii="Times" w:hAnsi="Times"/>
                <w:snapToGrid w:val="0"/>
                <w:sz w:val="19"/>
                <w:lang w:val="en-US"/>
              </w:rPr>
              <w:br/>
              <w:t>Regulations other than r. 1 and 2: 3 Nov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6) 2012</w:t>
            </w:r>
          </w:p>
        </w:tc>
        <w:tc>
          <w:tcPr>
            <w:tcW w:w="1276" w:type="dxa"/>
            <w:shd w:val="clear" w:color="auto" w:fill="auto"/>
          </w:tcPr>
          <w:p>
            <w:pPr>
              <w:pStyle w:val="nTable"/>
              <w:spacing w:after="40"/>
              <w:rPr>
                <w:rFonts w:ascii="Times" w:hAnsi="Times"/>
                <w:sz w:val="19"/>
              </w:rPr>
            </w:pPr>
            <w:r>
              <w:rPr>
                <w:rFonts w:ascii="Times" w:hAnsi="Times"/>
                <w:sz w:val="19"/>
              </w:rPr>
              <w:t>4 Dec 2012 p. 5919</w:t>
            </w:r>
            <w:r>
              <w:rPr>
                <w:rFonts w:ascii="Times" w:hAnsi="Times"/>
                <w:sz w:val="19"/>
              </w:rPr>
              <w:noBreakHyphen/>
              <w:t>20</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4 Dec 2012 (see r. 2(a));</w:t>
            </w:r>
            <w:r>
              <w:rPr>
                <w:rFonts w:ascii="Times" w:hAnsi="Times"/>
                <w:snapToGrid w:val="0"/>
                <w:sz w:val="19"/>
                <w:lang w:val="en-US"/>
              </w:rPr>
              <w:br/>
              <w:t>Regulations other than r. 1 and 2: 5 Dec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7) 2012</w:t>
            </w:r>
          </w:p>
        </w:tc>
        <w:tc>
          <w:tcPr>
            <w:tcW w:w="1276" w:type="dxa"/>
            <w:shd w:val="clear" w:color="auto" w:fill="auto"/>
          </w:tcPr>
          <w:p>
            <w:pPr>
              <w:pStyle w:val="nTable"/>
              <w:spacing w:after="40"/>
              <w:rPr>
                <w:rFonts w:ascii="Times" w:hAnsi="Times"/>
                <w:sz w:val="19"/>
              </w:rPr>
            </w:pPr>
            <w:r>
              <w:rPr>
                <w:rFonts w:ascii="Times" w:hAnsi="Times"/>
                <w:sz w:val="19"/>
              </w:rPr>
              <w:t>18 Dec 2012 p. 6591-2</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18 Dec 2012 (see r. 2(a));</w:t>
            </w:r>
            <w:r>
              <w:rPr>
                <w:rFonts w:ascii="Times" w:hAnsi="Times"/>
                <w:snapToGrid w:val="0"/>
                <w:sz w:val="19"/>
                <w:lang w:val="en-US"/>
              </w:rPr>
              <w:br/>
              <w:t>Regulations other than r. 1 and 2: 19 Dec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13) 2012</w:t>
            </w:r>
          </w:p>
        </w:tc>
        <w:tc>
          <w:tcPr>
            <w:tcW w:w="1276" w:type="dxa"/>
            <w:shd w:val="clear" w:color="auto" w:fill="auto"/>
          </w:tcPr>
          <w:p>
            <w:pPr>
              <w:pStyle w:val="nTable"/>
              <w:spacing w:after="40"/>
              <w:rPr>
                <w:rFonts w:ascii="Times" w:hAnsi="Times"/>
                <w:sz w:val="19"/>
              </w:rPr>
            </w:pPr>
            <w:r>
              <w:rPr>
                <w:rFonts w:ascii="Times" w:hAnsi="Times"/>
                <w:sz w:val="19"/>
              </w:rPr>
              <w:t>18 Dec 2012 p. 6592-3</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18 Dec 2012 (see r. 2(a));</w:t>
            </w:r>
            <w:r>
              <w:rPr>
                <w:rFonts w:ascii="Times" w:hAnsi="Times"/>
                <w:snapToGrid w:val="0"/>
                <w:sz w:val="19"/>
                <w:lang w:val="en-US"/>
              </w:rPr>
              <w:br/>
              <w:t>Regulations other than r. 1 and 2: 1 Jan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2) 2013</w:t>
            </w:r>
          </w:p>
        </w:tc>
        <w:tc>
          <w:tcPr>
            <w:tcW w:w="1276" w:type="dxa"/>
            <w:shd w:val="clear" w:color="auto" w:fill="auto"/>
          </w:tcPr>
          <w:p>
            <w:pPr>
              <w:pStyle w:val="nTable"/>
              <w:spacing w:after="40"/>
              <w:rPr>
                <w:rFonts w:ascii="Times" w:hAnsi="Times"/>
                <w:sz w:val="19"/>
              </w:rPr>
            </w:pPr>
            <w:r>
              <w:rPr>
                <w:rFonts w:ascii="Times" w:hAnsi="Times"/>
                <w:sz w:val="19"/>
              </w:rPr>
              <w:t>29 Jan 2013 p. 301</w:t>
            </w:r>
            <w:r>
              <w:rPr>
                <w:rFonts w:ascii="Times" w:hAnsi="Times"/>
                <w:sz w:val="19"/>
              </w:rPr>
              <w:noBreakHyphen/>
              <w:t>19</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29 Jan 2013 (see r. 2(a));</w:t>
            </w:r>
            <w:r>
              <w:rPr>
                <w:rFonts w:ascii="Times" w:hAnsi="Times"/>
                <w:snapToGrid w:val="0"/>
                <w:sz w:val="19"/>
                <w:lang w:val="en-US"/>
              </w:rPr>
              <w:br/>
              <w:t>Regulations other than r. 1 and 2: 1 Feb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14) 2012</w:t>
            </w:r>
          </w:p>
        </w:tc>
        <w:tc>
          <w:tcPr>
            <w:tcW w:w="1276" w:type="dxa"/>
            <w:shd w:val="clear" w:color="auto" w:fill="auto"/>
          </w:tcPr>
          <w:p>
            <w:pPr>
              <w:pStyle w:val="nTable"/>
              <w:spacing w:after="40"/>
              <w:rPr>
                <w:rFonts w:ascii="Times" w:hAnsi="Times"/>
                <w:sz w:val="19"/>
              </w:rPr>
            </w:pPr>
            <w:r>
              <w:rPr>
                <w:rFonts w:ascii="Times" w:hAnsi="Times"/>
                <w:sz w:val="19"/>
              </w:rPr>
              <w:t>1 Mar 2013 p. 1091-2</w:t>
            </w:r>
          </w:p>
        </w:tc>
        <w:tc>
          <w:tcPr>
            <w:tcW w:w="2693" w:type="dxa"/>
            <w:shd w:val="clear" w:color="auto" w:fill="auto"/>
          </w:tcPr>
          <w:p>
            <w:pPr>
              <w:pStyle w:val="nTable"/>
              <w:spacing w:after="40"/>
              <w:rPr>
                <w:rFonts w:ascii="Times" w:hAnsi="Times"/>
                <w:snapToGrid w:val="0"/>
                <w:sz w:val="19"/>
                <w:vertAlign w:val="superscript"/>
                <w:lang w:val="en-US"/>
              </w:rPr>
            </w:pPr>
            <w:r>
              <w:rPr>
                <w:rFonts w:ascii="Times" w:hAnsi="Times"/>
                <w:snapToGrid w:val="0"/>
                <w:sz w:val="19"/>
                <w:lang w:val="en-US"/>
              </w:rPr>
              <w:t>r. 1 and 2: 1 Mar 2013 (see r. 2(a));</w:t>
            </w:r>
            <w:r>
              <w:rPr>
                <w:rFonts w:ascii="Times" w:hAnsi="Times"/>
                <w:snapToGrid w:val="0"/>
                <w:sz w:val="19"/>
                <w:lang w:val="en-US"/>
              </w:rPr>
              <w:br/>
              <w:t>Regulations other than r. 1 &amp; 2: 1 Mar 2013</w:t>
            </w:r>
            <w:r>
              <w:rPr>
                <w:rFonts w:ascii="Times" w:hAnsi="Times"/>
                <w:snapToGrid w:val="0"/>
                <w:sz w:val="19"/>
                <w:vertAlign w:val="superscript"/>
                <w:lang w:val="en-US"/>
              </w:rPr>
              <w:t> 6</w:t>
            </w:r>
          </w:p>
        </w:tc>
      </w:tr>
      <w:tr>
        <w:trPr>
          <w:cantSplit/>
        </w:trPr>
        <w:tc>
          <w:tcPr>
            <w:tcW w:w="3119" w:type="dxa"/>
            <w:tcBorders>
              <w:bottom w:val="single" w:sz="4" w:space="0" w:color="auto"/>
            </w:tcBorders>
            <w:shd w:val="clear" w:color="auto" w:fill="auto"/>
          </w:tcPr>
          <w:p>
            <w:pPr>
              <w:pStyle w:val="nTable"/>
              <w:spacing w:after="40"/>
              <w:ind w:right="113"/>
              <w:rPr>
                <w:rFonts w:ascii="Times" w:hAnsi="Times"/>
                <w:i/>
                <w:sz w:val="19"/>
              </w:rPr>
            </w:pPr>
            <w:r>
              <w:rPr>
                <w:rFonts w:ascii="Times" w:hAnsi="Times"/>
                <w:i/>
                <w:sz w:val="19"/>
              </w:rPr>
              <w:t>Fish Resources Management Amendment Regulations (No. 3) 2013</w:t>
            </w:r>
          </w:p>
        </w:tc>
        <w:tc>
          <w:tcPr>
            <w:tcW w:w="1276" w:type="dxa"/>
            <w:tcBorders>
              <w:bottom w:val="single" w:sz="4" w:space="0" w:color="auto"/>
            </w:tcBorders>
            <w:shd w:val="clear" w:color="auto" w:fill="auto"/>
          </w:tcPr>
          <w:p>
            <w:pPr>
              <w:pStyle w:val="nTable"/>
              <w:spacing w:after="40"/>
              <w:rPr>
                <w:rFonts w:ascii="Times" w:hAnsi="Times"/>
                <w:sz w:val="19"/>
              </w:rPr>
            </w:pPr>
            <w:r>
              <w:rPr>
                <w:rFonts w:ascii="Times" w:hAnsi="Times"/>
                <w:sz w:val="19"/>
              </w:rPr>
              <w:t>18 Jun 2013 p. 2295-9</w:t>
            </w:r>
          </w:p>
        </w:tc>
        <w:tc>
          <w:tcPr>
            <w:tcW w:w="2693" w:type="dxa"/>
            <w:tcBorders>
              <w:bottom w:val="single" w:sz="4" w:space="0" w:color="auto"/>
            </w:tcBorders>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18 Jun 2013 (see r. 2(a));</w:t>
            </w:r>
            <w:r>
              <w:rPr>
                <w:rFonts w:ascii="Times" w:hAnsi="Times"/>
                <w:snapToGrid w:val="0"/>
                <w:sz w:val="19"/>
                <w:lang w:val="en-US"/>
              </w:rPr>
              <w:br/>
              <w:t>Regulations other than r. 1 and 2: 19 Jun 2013 (see r. 2(b))</w:t>
            </w:r>
          </w:p>
        </w:tc>
      </w:tr>
    </w:tbl>
    <w:p>
      <w:pPr>
        <w:pStyle w:val="nSubsection"/>
        <w:spacing w:before="200"/>
      </w:pPr>
      <w:r>
        <w:rPr>
          <w:snapToGrid w:val="0"/>
          <w:vertAlign w:val="superscript"/>
        </w:rPr>
        <w:t>2</w:t>
      </w:r>
      <w:r>
        <w:tab/>
        <w:t xml:space="preserve">Under the </w:t>
      </w:r>
      <w:r>
        <w:rPr>
          <w:i/>
          <w:iCs/>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s. 17 to the Fisheries Research and Development Account.</w:t>
      </w:r>
    </w:p>
    <w:p>
      <w:pPr>
        <w:pStyle w:val="nSubsection"/>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s. 17 to the Recreational Fishing Account.</w:t>
      </w:r>
    </w:p>
    <w:p>
      <w:pPr>
        <w:pStyle w:val="nSubsection"/>
      </w:pPr>
      <w:r>
        <w:rPr>
          <w:vertAlign w:val="superscript"/>
        </w:rPr>
        <w:t>5</w:t>
      </w:r>
      <w:r>
        <w:tab/>
        <w:t xml:space="preserve">Disallowed on 16 Jun 1999, see </w:t>
      </w:r>
      <w:r>
        <w:rPr>
          <w:i/>
        </w:rPr>
        <w:t>Gazette</w:t>
      </w:r>
      <w:r>
        <w:t xml:space="preserve"> 25 Jun 1999 p. 2742.</w:t>
      </w:r>
    </w:p>
    <w:p>
      <w:pPr>
        <w:pStyle w:val="nSubsection"/>
      </w:pPr>
      <w:r>
        <w:rPr>
          <w:vertAlign w:val="superscript"/>
        </w:rPr>
        <w:t>6</w:t>
      </w:r>
      <w:r>
        <w:tab/>
        <w:t xml:space="preserve">The commencement date </w:t>
      </w:r>
      <w:r>
        <w:rPr>
          <w:rFonts w:ascii="Times" w:hAnsi="Times"/>
          <w:snapToGrid w:val="0"/>
          <w:sz w:val="19"/>
          <w:lang w:val="en-US"/>
        </w:rPr>
        <w:t>of 15 Jan 2013 that was specified</w:t>
      </w:r>
      <w:r>
        <w:t xml:space="preserve"> in r. 2(b) was before the date of gazettal.</w:t>
      </w:r>
    </w:p>
    <w:p/>
    <w:p>
      <w:pPr>
        <w:sectPr>
          <w:headerReference w:type="even" r:id="rId58"/>
          <w:headerReference w:type="default" r:id="rId59"/>
          <w:headerReference w:type="first" r:id="rId60"/>
          <w:pgSz w:w="11906" w:h="16838" w:code="9"/>
          <w:pgMar w:top="2376" w:right="2404" w:bottom="3544" w:left="2404" w:header="720" w:footer="3380" w:gutter="0"/>
          <w:cols w:space="720"/>
          <w:noEndnote/>
          <w:docGrid w:linePitch="326"/>
        </w:sectPr>
      </w:pPr>
      <w:bookmarkStart w:id="1845" w:name="_Toc339626172"/>
      <w:bookmarkStart w:id="1846" w:name="_Toc342397924"/>
      <w:bookmarkStart w:id="1847" w:name="_Toc343520181"/>
      <w:bookmarkStart w:id="1848" w:name="_Toc343520638"/>
      <w:bookmarkStart w:id="1849" w:name="_Toc344712203"/>
      <w:bookmarkStart w:id="1850" w:name="_Toc344712719"/>
      <w:bookmarkStart w:id="1851" w:name="_Toc347307966"/>
    </w:p>
    <w:p>
      <w:pPr>
        <w:pStyle w:val="nHeading2"/>
        <w:rPr>
          <w:sz w:val="28"/>
        </w:rPr>
      </w:pPr>
      <w:bookmarkStart w:id="1852" w:name="_Toc349822879"/>
      <w:bookmarkStart w:id="1853" w:name="_Toc349823299"/>
      <w:bookmarkStart w:id="1854" w:name="_Toc349831281"/>
      <w:bookmarkStart w:id="1855" w:name="_Toc359249073"/>
      <w:bookmarkStart w:id="1856" w:name="_Toc359317030"/>
      <w:r>
        <w:rPr>
          <w:sz w:val="28"/>
        </w:rPr>
        <w:t>Defined Terms</w:t>
      </w:r>
      <w:bookmarkEnd w:id="1845"/>
      <w:bookmarkEnd w:id="1846"/>
      <w:bookmarkEnd w:id="1847"/>
      <w:bookmarkEnd w:id="1848"/>
      <w:bookmarkEnd w:id="1849"/>
      <w:bookmarkEnd w:id="1850"/>
      <w:bookmarkEnd w:id="1851"/>
      <w:bookmarkEnd w:id="1852"/>
      <w:bookmarkEnd w:id="1853"/>
      <w:bookmarkEnd w:id="1854"/>
      <w:bookmarkEnd w:id="1855"/>
      <w:bookmarkEnd w:id="185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857" w:name="DefinedTerms"/>
      <w:bookmarkEnd w:id="1857"/>
      <w:r>
        <w:t>Abalone Zone</w:t>
      </w:r>
      <w:r>
        <w:tab/>
        <w:t>38D(1)</w:t>
      </w:r>
    </w:p>
    <w:p>
      <w:pPr>
        <w:pStyle w:val="DefinedTerms"/>
      </w:pP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w:t>
      </w:r>
      <w:r>
        <w:tab/>
        <w:t>Sch. 2 Pt. 2 Div. 3 cl. 2(2)</w:t>
      </w:r>
    </w:p>
    <w:p>
      <w:pPr>
        <w:pStyle w:val="DefinedTerms"/>
      </w:pPr>
      <w:r>
        <w:t>aircraft</w:t>
      </w:r>
      <w:r>
        <w:tab/>
        <w:t>3(1)</w:t>
      </w:r>
    </w:p>
    <w:p>
      <w:pPr>
        <w:pStyle w:val="DefinedTerms"/>
      </w:pPr>
      <w:r>
        <w:t>ALC</w:t>
      </w:r>
      <w:r>
        <w:tab/>
        <w:t>55A</w:t>
      </w:r>
    </w:p>
    <w:p>
      <w:pPr>
        <w:pStyle w:val="DefinedTerms"/>
      </w:pPr>
      <w:r>
        <w:t>ALC fishing boat</w:t>
      </w:r>
      <w:r>
        <w:tab/>
        <w:t>55C(1)</w:t>
      </w:r>
    </w:p>
    <w:p>
      <w:pPr>
        <w:pStyle w:val="DefinedTerms"/>
      </w:pPr>
      <w:r>
        <w:t>applicant</w:t>
      </w:r>
      <w:r>
        <w:tab/>
        <w:t>124A(1), 124D(1)</w:t>
      </w:r>
    </w:p>
    <w:p>
      <w:pPr>
        <w:pStyle w:val="DefinedTerms"/>
      </w:pPr>
      <w:r>
        <w:t>approved</w:t>
      </w:r>
      <w:r>
        <w:tab/>
        <w:t>72</w:t>
      </w:r>
    </w:p>
    <w:p>
      <w:pPr>
        <w:pStyle w:val="DefinedTerms"/>
      </w:pPr>
      <w:r>
        <w:t>approved automatic location communicator</w:t>
      </w:r>
      <w:r>
        <w:tab/>
        <w:t>55A</w:t>
      </w:r>
    </w:p>
    <w:p>
      <w:pPr>
        <w:pStyle w:val="DefinedTerms"/>
      </w:pPr>
      <w:r>
        <w:t>approved directions</w:t>
      </w:r>
      <w:r>
        <w:tab/>
        <w:t>55A</w:t>
      </w:r>
    </w:p>
    <w:p>
      <w:pPr>
        <w:pStyle w:val="DefinedTerms"/>
      </w:pPr>
      <w:r>
        <w:t>associated camp</w:t>
      </w:r>
      <w:r>
        <w:tab/>
        <w:t>72</w:t>
      </w:r>
    </w:p>
    <w:p>
      <w:pPr>
        <w:pStyle w:val="DefinedTerms"/>
      </w:pPr>
      <w:r>
        <w:t>attend</w:t>
      </w:r>
      <w:r>
        <w:tab/>
        <w:t>64B, 64M</w:t>
      </w:r>
    </w:p>
    <w:p>
      <w:pPr>
        <w:pStyle w:val="DefinedTerms"/>
      </w:pPr>
      <w:r>
        <w:t>authorisation</w:t>
      </w:r>
      <w:r>
        <w:tab/>
        <w:t>129A</w:t>
      </w:r>
    </w:p>
    <w:p>
      <w:pPr>
        <w:pStyle w:val="DefinedTerms"/>
      </w:pPr>
      <w:r>
        <w:t>automatic location communicator</w:t>
      </w:r>
      <w:r>
        <w:tab/>
        <w:t>55A</w:t>
      </w:r>
    </w:p>
    <w:p>
      <w:pPr>
        <w:pStyle w:val="DefinedTerms"/>
      </w:pPr>
      <w:r>
        <w:t>bag limit</w:t>
      </w:r>
      <w:r>
        <w:tab/>
        <w:t>3(1)</w:t>
      </w:r>
    </w:p>
    <w:p>
      <w:pPr>
        <w:pStyle w:val="DefinedTerms"/>
      </w:pPr>
      <w:r>
        <w:t>bait band</w:t>
      </w:r>
      <w:r>
        <w:tab/>
        <w:t>55E</w:t>
      </w:r>
    </w:p>
    <w:p>
      <w:pPr>
        <w:pStyle w:val="DefinedTerms"/>
      </w:pPr>
      <w:r>
        <w:t>bait fish</w:t>
      </w:r>
      <w:r>
        <w:tab/>
        <w:t>64OE(4)</w:t>
      </w:r>
    </w:p>
    <w:p>
      <w:pPr>
        <w:pStyle w:val="DefinedTerms"/>
      </w:pPr>
      <w:r>
        <w:t>boat</w:t>
      </w:r>
      <w:r>
        <w:tab/>
        <w:t>124B(1)</w:t>
      </w:r>
    </w:p>
    <w:p>
      <w:pPr>
        <w:pStyle w:val="DefinedTerms"/>
      </w:pPr>
      <w:r>
        <w:t>bona fide</w:t>
      </w:r>
      <w:r>
        <w:tab/>
        <w:t>64I(2)</w:t>
      </w:r>
    </w:p>
    <w:p>
      <w:pPr>
        <w:pStyle w:val="DefinedTerms"/>
      </w:pPr>
      <w:r>
        <w:t>Broome area</w:t>
      </w:r>
      <w:r>
        <w:tab/>
        <w:t>64ZJ</w:t>
      </w:r>
    </w:p>
    <w:p>
      <w:pPr>
        <w:pStyle w:val="DefinedTerms"/>
      </w:pPr>
      <w:r>
        <w:t>Broome area waters</w:t>
      </w:r>
      <w:r>
        <w:tab/>
        <w:t>64ZJ</w:t>
      </w:r>
    </w:p>
    <w:p>
      <w:pPr>
        <w:pStyle w:val="DefinedTerms"/>
      </w:pPr>
      <w:r>
        <w:t>camp</w:t>
      </w:r>
      <w:r>
        <w:tab/>
        <w:t>72</w:t>
      </w:r>
    </w:p>
    <w:p>
      <w:pPr>
        <w:pStyle w:val="DefinedTerms"/>
      </w:pPr>
      <w:r>
        <w:t>cancelled authorisation</w:t>
      </w:r>
      <w:r>
        <w:tab/>
        <w:t>129A</w:t>
      </w:r>
    </w:p>
    <w:p>
      <w:pPr>
        <w:pStyle w:val="DefinedTerms"/>
      </w:pPr>
      <w:r>
        <w:t>carrier boat</w:t>
      </w:r>
      <w:r>
        <w:tab/>
        <w:t>119(1)</w:t>
      </w:r>
    </w:p>
    <w:p>
      <w:pPr>
        <w:pStyle w:val="DefinedTerms"/>
      </w:pPr>
      <w:r>
        <w:t>carrier boat licence</w:t>
      </w:r>
      <w:r>
        <w:tab/>
        <w:t>3(1)</w:t>
      </w:r>
    </w:p>
    <w:p>
      <w:pPr>
        <w:pStyle w:val="DefinedTerms"/>
      </w:pPr>
      <w:r>
        <w:t>Central West Zone</w:t>
      </w:r>
      <w:r>
        <w:tab/>
        <w:t>38(1)</w:t>
      </w:r>
    </w:p>
    <w:p>
      <w:pPr>
        <w:pStyle w:val="DefinedTerms"/>
      </w:pPr>
      <w:r>
        <w:t>charter boat</w:t>
      </w:r>
      <w:r>
        <w:tab/>
        <w:t>16E(1)</w:t>
      </w:r>
    </w:p>
    <w:p>
      <w:pPr>
        <w:pStyle w:val="DefinedTerms"/>
      </w:pPr>
      <w:r>
        <w:t>chlorine tarping</w:t>
      </w:r>
      <w:r>
        <w:tab/>
        <w:t>110(2)</w:t>
      </w:r>
    </w:p>
    <w:p>
      <w:pPr>
        <w:pStyle w:val="DefinedTerms"/>
      </w:pPr>
      <w:r>
        <w:t>closed season</w:t>
      </w:r>
      <w:r>
        <w:tab/>
        <w:t>38G, 45(1)</w:t>
      </w:r>
    </w:p>
    <w:p>
      <w:pPr>
        <w:pStyle w:val="DefinedTerms"/>
      </w:pPr>
      <w:r>
        <w:t>commercial fishing licence</w:t>
      </w:r>
      <w:r>
        <w:tab/>
        <w:t>3(1)</w:t>
      </w:r>
    </w:p>
    <w:p>
      <w:pPr>
        <w:pStyle w:val="DefinedTerms"/>
      </w:pPr>
      <w:r>
        <w:t>complying drop net</w:t>
      </w:r>
      <w:r>
        <w:tab/>
        <w:t>3(1)</w:t>
      </w:r>
    </w:p>
    <w:p>
      <w:pPr>
        <w:pStyle w:val="DefinedTerms"/>
      </w:pPr>
      <w:r>
        <w:t>Cottesloe Reef waters</w:t>
      </w:r>
      <w:r>
        <w:tab/>
        <w:t>3(1)</w:t>
      </w:r>
    </w:p>
    <w:p>
      <w:pPr>
        <w:pStyle w:val="DefinedTerms"/>
      </w:pPr>
      <w:r>
        <w:t>courier business</w:t>
      </w:r>
      <w:r>
        <w:tab/>
        <w:t>21(3), 147A</w:t>
      </w:r>
    </w:p>
    <w:p>
      <w:pPr>
        <w:pStyle w:val="DefinedTerms"/>
      </w:pPr>
      <w:r>
        <w:t>current entitlement</w:t>
      </w:r>
      <w:r>
        <w:tab/>
        <w:t>118A(2)</w:t>
      </w:r>
    </w:p>
    <w:p>
      <w:pPr>
        <w:pStyle w:val="DefinedTerms"/>
      </w:pPr>
      <w:r>
        <w:t>Dampier Archipelago waters</w:t>
      </w:r>
      <w:r>
        <w:tab/>
        <w:t>64OB(3)</w:t>
      </w:r>
    </w:p>
    <w:p>
      <w:pPr>
        <w:pStyle w:val="DefinedTerms"/>
      </w:pPr>
      <w:r>
        <w:t>day trip</w:t>
      </w:r>
      <w:r>
        <w:tab/>
        <w:t>16E(1), 22(5)</w:t>
      </w:r>
    </w:p>
    <w:p>
      <w:pPr>
        <w:pStyle w:val="DefinedTerms"/>
      </w:pPr>
      <w:r>
        <w:t>dB(A)</w:t>
      </w:r>
      <w:r>
        <w:tab/>
        <w:t>104(4)</w:t>
      </w:r>
    </w:p>
    <w:p>
      <w:pPr>
        <w:pStyle w:val="DefinedTerms"/>
      </w:pPr>
      <w:r>
        <w:t>deep sea crab</w:t>
      </w:r>
      <w:r>
        <w:tab/>
        <w:t>38A</w:t>
      </w:r>
    </w:p>
    <w:p>
      <w:pPr>
        <w:pStyle w:val="DefinedTerms"/>
      </w:pPr>
      <w:r>
        <w:t>demersal finfish</w:t>
      </w:r>
      <w:r>
        <w:tab/>
        <w:t>65A(1), 65B(1)</w:t>
      </w:r>
    </w:p>
    <w:p>
      <w:pPr>
        <w:pStyle w:val="DefinedTerms"/>
      </w:pPr>
      <w:r>
        <w:t>demersal scalefish</w:t>
      </w:r>
      <w:r>
        <w:tab/>
        <w:t>45(1), 64OAA(1)</w:t>
      </w:r>
    </w:p>
    <w:p>
      <w:pPr>
        <w:pStyle w:val="DefinedTerms"/>
      </w:pPr>
      <w:r>
        <w:t>disease</w:t>
      </w:r>
      <w:r>
        <w:tab/>
        <w:t>3(1)</w:t>
      </w:r>
    </w:p>
    <w:p>
      <w:pPr>
        <w:pStyle w:val="DefinedTerms"/>
      </w:pPr>
      <w:r>
        <w:t>disposable part</w:t>
      </w:r>
      <w:r>
        <w:tab/>
        <w:t>16B(5)</w:t>
      </w:r>
    </w:p>
    <w:p>
      <w:pPr>
        <w:pStyle w:val="DefinedTerms"/>
      </w:pPr>
      <w:r>
        <w:t>due date</w:t>
      </w:r>
      <w:r>
        <w:tab/>
        <w:t>137(4)</w:t>
      </w:r>
    </w:p>
    <w:p>
      <w:pPr>
        <w:pStyle w:val="DefinedTerms"/>
      </w:pPr>
      <w:r>
        <w:t xml:space="preserve">Easter Group Zone </w:t>
      </w:r>
      <w:r>
        <w:tab/>
        <w:t>38(1)</w:t>
      </w:r>
    </w:p>
    <w:p>
      <w:pPr>
        <w:pStyle w:val="DefinedTerms"/>
      </w:pPr>
      <w:r>
        <w:t>eastern gulf land area</w:t>
      </w:r>
      <w:r>
        <w:tab/>
        <w:t>3(1)</w:t>
      </w:r>
    </w:p>
    <w:p>
      <w:pPr>
        <w:pStyle w:val="DefinedTerms"/>
      </w:pPr>
      <w:r>
        <w:t>Exmouth Gulf Land Zone</w:t>
      </w:r>
      <w:r>
        <w:tab/>
        <w:t>64ZCA(2)</w:t>
      </w:r>
    </w:p>
    <w:p>
      <w:pPr>
        <w:pStyle w:val="DefinedTerms"/>
      </w:pPr>
      <w:r>
        <w:t>Exmouth townsite</w:t>
      </w:r>
      <w:r>
        <w:tab/>
        <w:t>16L(1)</w:t>
      </w:r>
    </w:p>
    <w:p>
      <w:pPr>
        <w:pStyle w:val="DefinedTerms"/>
      </w:pPr>
      <w:r>
        <w:t>fillet</w:t>
      </w:r>
      <w:r>
        <w:tab/>
        <w:t>3(1)</w:t>
      </w:r>
    </w:p>
    <w:p>
      <w:pPr>
        <w:pStyle w:val="DefinedTerms"/>
      </w:pPr>
      <w:r>
        <w:t>finfish</w:t>
      </w:r>
      <w:r>
        <w:tab/>
        <w:t>3(1), 16C</w:t>
      </w:r>
    </w:p>
    <w:p>
      <w:pPr>
        <w:pStyle w:val="DefinedTerms"/>
      </w:pPr>
      <w:r>
        <w:t>fish processor’s licence</w:t>
      </w:r>
      <w:r>
        <w:tab/>
        <w:t>3(1)</w:t>
      </w:r>
    </w:p>
    <w:p>
      <w:pPr>
        <w:pStyle w:val="DefinedTerms"/>
      </w:pPr>
      <w:r>
        <w:t>fish trunk</w:t>
      </w:r>
      <w:r>
        <w:tab/>
        <w:t>3(1)</w:t>
      </w:r>
    </w:p>
    <w:p>
      <w:pPr>
        <w:pStyle w:val="DefinedTerms"/>
      </w:pPr>
      <w:r>
        <w:t>fishing boat licence</w:t>
      </w:r>
      <w:r>
        <w:tab/>
        <w:t>3(1)</w:t>
      </w:r>
    </w:p>
    <w:p>
      <w:pPr>
        <w:pStyle w:val="DefinedTerms"/>
      </w:pPr>
      <w:r>
        <w:t>fishing net</w:t>
      </w:r>
      <w:r>
        <w:tab/>
        <w:t>3(1)</w:t>
      </w:r>
    </w:p>
    <w:p>
      <w:pPr>
        <w:pStyle w:val="DefinedTerms"/>
      </w:pPr>
      <w:r>
        <w:t>fishing year</w:t>
      </w:r>
      <w:r>
        <w:tab/>
        <w:t>16G</w:t>
      </w:r>
    </w:p>
    <w:p>
      <w:pPr>
        <w:pStyle w:val="DefinedTerms"/>
      </w:pPr>
      <w:r>
        <w:t>form</w:t>
      </w:r>
      <w:r>
        <w:tab/>
        <w:t>3(1)</w:t>
      </w:r>
    </w:p>
    <w:p>
      <w:pPr>
        <w:pStyle w:val="DefinedTerms"/>
      </w:pPr>
      <w:r>
        <w:t>former authorisation holder</w:t>
      </w:r>
      <w:r>
        <w:tab/>
        <w:t>129A</w:t>
      </w:r>
    </w:p>
    <w:p>
      <w:pPr>
        <w:pStyle w:val="DefinedTerms"/>
      </w:pPr>
      <w:r>
        <w:t>freshwater finfish</w:t>
      </w:r>
      <w:r>
        <w:tab/>
        <w:t>65E</w:t>
      </w:r>
    </w:p>
    <w:p>
      <w:pPr>
        <w:pStyle w:val="DefinedTerms"/>
      </w:pPr>
      <w:r>
        <w:t>freshwater fish</w:t>
      </w:r>
      <w:r>
        <w:tab/>
        <w:t>44A(1)</w:t>
      </w:r>
    </w:p>
    <w:p>
      <w:pPr>
        <w:pStyle w:val="DefinedTerms"/>
      </w:pPr>
      <w:r>
        <w:t>Freycinet Estuary</w:t>
      </w:r>
      <w:r>
        <w:tab/>
        <w:t>3(1)</w:t>
      </w:r>
    </w:p>
    <w:p>
      <w:pPr>
        <w:pStyle w:val="DefinedTerms"/>
      </w:pPr>
      <w:r>
        <w:t>Freycinet Estuary area</w:t>
      </w:r>
      <w:r>
        <w:tab/>
        <w:t>16G</w:t>
      </w:r>
    </w:p>
    <w:p>
      <w:pPr>
        <w:pStyle w:val="DefinedTerms"/>
      </w:pPr>
      <w:r>
        <w:t>full amount outstanding of the fee</w:t>
      </w:r>
      <w:r>
        <w:tab/>
        <w:t>137(5)</w:t>
      </w:r>
    </w:p>
    <w:p>
      <w:pPr>
        <w:pStyle w:val="DefinedTerms"/>
      </w:pPr>
      <w:r>
        <w:t>Gascoyne Region</w:t>
      </w:r>
      <w:r>
        <w:tab/>
        <w:t>3(1)</w:t>
      </w:r>
    </w:p>
    <w:p>
      <w:pPr>
        <w:pStyle w:val="DefinedTerms"/>
      </w:pPr>
      <w:r>
        <w:t>GDA</w:t>
      </w:r>
      <w:r>
        <w:tab/>
        <w:t>152(1)</w:t>
      </w:r>
    </w:p>
    <w:p>
      <w:pPr>
        <w:pStyle w:val="DefinedTerms"/>
      </w:pPr>
      <w:r>
        <w:t>gear identification number</w:t>
      </w:r>
      <w:r>
        <w:tab/>
        <w:t>3(1)</w:t>
      </w:r>
    </w:p>
    <w:p>
      <w:pPr>
        <w:pStyle w:val="DefinedTerms"/>
      </w:pPr>
      <w:r>
        <w:t>ground</w:t>
      </w:r>
      <w:r>
        <w:tab/>
        <w:t>64I(2)</w:t>
      </w:r>
    </w:p>
    <w:p>
      <w:pPr>
        <w:pStyle w:val="DefinedTerms"/>
      </w:pPr>
      <w:r>
        <w:t>GRS80</w:t>
      </w:r>
      <w:r>
        <w:tab/>
        <w:t>152(2)</w:t>
      </w:r>
    </w:p>
    <w:p>
      <w:pPr>
        <w:pStyle w:val="DefinedTerms"/>
      </w:pPr>
      <w:r>
        <w:t>high risk finfish</w:t>
      </w:r>
      <w:r>
        <w:tab/>
        <w:t>15(1)</w:t>
      </w:r>
    </w:p>
    <w:p>
      <w:pPr>
        <w:pStyle w:val="DefinedTerms"/>
      </w:pPr>
      <w:r>
        <w:t>interdorsal fin length</w:t>
      </w:r>
      <w:r>
        <w:tab/>
        <w:t>Sch. 2 Pt. 2 Div. 2</w:t>
      </w:r>
    </w:p>
    <w:p>
      <w:pPr>
        <w:pStyle w:val="DefinedTerms"/>
      </w:pPr>
      <w:r>
        <w:t>internal SLED</w:t>
      </w:r>
      <w:r>
        <w:tab/>
        <w:t>38(1)</w:t>
      </w:r>
    </w:p>
    <w:p>
      <w:pPr>
        <w:pStyle w:val="DefinedTerms"/>
      </w:pPr>
      <w:r>
        <w:t>jet ski</w:t>
      </w:r>
      <w:r>
        <w:tab/>
        <w:t>3(1)</w:t>
      </w:r>
    </w:p>
    <w:p>
      <w:pPr>
        <w:pStyle w:val="DefinedTerms"/>
      </w:pPr>
      <w:r>
        <w:t>jetty</w:t>
      </w:r>
      <w:r>
        <w:tab/>
        <w:t>72</w:t>
      </w:r>
    </w:p>
    <w:p>
      <w:pPr>
        <w:pStyle w:val="DefinedTerms"/>
      </w:pPr>
      <w:r>
        <w:t>Kalbarri Blue Holes waters</w:t>
      </w:r>
      <w:r>
        <w:tab/>
        <w:t>3(1)</w:t>
      </w:r>
    </w:p>
    <w:p>
      <w:pPr>
        <w:pStyle w:val="DefinedTerms"/>
      </w:pPr>
      <w:r>
        <w:t>King Sound</w:t>
      </w:r>
      <w:r>
        <w:tab/>
        <w:t>17A(4)</w:t>
      </w:r>
    </w:p>
    <w:p>
      <w:pPr>
        <w:pStyle w:val="DefinedTerms"/>
      </w:pPr>
      <w:smartTag w:uri="urn:schemas-microsoft-com:office:smarttags" w:element="place">
        <w:smartTag w:uri="urn:schemas-microsoft-com:office:smarttags" w:element="PlaceName">
          <w:r>
            <w:t>Lancelin</w:t>
          </w:r>
        </w:smartTag>
        <w:r>
          <w:t xml:space="preserve"> </w:t>
        </w:r>
        <w:smartTag w:uri="urn:schemas-microsoft-com:office:smarttags" w:element="PlaceType">
          <w:r>
            <w:t>Island</w:t>
          </w:r>
        </w:smartTag>
      </w:smartTag>
      <w:r>
        <w:t xml:space="preserve"> Lagoon</w:t>
      </w:r>
      <w:r>
        <w:tab/>
        <w:t>3(1)</w:t>
      </w:r>
    </w:p>
    <w:p>
      <w:pPr>
        <w:pStyle w:val="DefinedTerms"/>
      </w:pPr>
      <w:r>
        <w:t>large pelagic finfish</w:t>
      </w:r>
      <w:r>
        <w:tab/>
        <w:t>65C(1)</w:t>
      </w:r>
    </w:p>
    <w:p>
      <w:pPr>
        <w:pStyle w:val="DefinedTerms"/>
      </w:pPr>
      <w:r>
        <w:t>lawful overnight stay on an island</w:t>
      </w:r>
      <w:r>
        <w:tab/>
        <w:t>3(1)</w:t>
      </w:r>
    </w:p>
    <w:p>
      <w:pPr>
        <w:pStyle w:val="DefinedTerms"/>
      </w:pPr>
      <w:r>
        <w:t>licence holder</w:t>
      </w:r>
      <w:r>
        <w:tab/>
        <w:t>55A</w:t>
      </w:r>
    </w:p>
    <w:p>
      <w:pPr>
        <w:pStyle w:val="DefinedTerms"/>
      </w:pPr>
      <w:r>
        <w:t>licensed boat</w:t>
      </w:r>
      <w:r>
        <w:tab/>
        <w:t>72</w:t>
      </w:r>
    </w:p>
    <w:p>
      <w:pPr>
        <w:pStyle w:val="DefinedTerms"/>
      </w:pPr>
      <w:r>
        <w:t>licensed carrier boat</w:t>
      </w:r>
      <w:r>
        <w:tab/>
        <w:t>3(1)</w:t>
      </w:r>
    </w:p>
    <w:p>
      <w:pPr>
        <w:pStyle w:val="DefinedTerms"/>
      </w:pPr>
      <w:r>
        <w:t>licensed carrier boat number</w:t>
      </w:r>
      <w:r>
        <w:tab/>
        <w:t>3(1)</w:t>
      </w:r>
    </w:p>
    <w:p>
      <w:pPr>
        <w:pStyle w:val="DefinedTerms"/>
      </w:pPr>
      <w:r>
        <w:t>licensed fishing boat</w:t>
      </w:r>
      <w:r>
        <w:tab/>
        <w:t>3(1)</w:t>
      </w:r>
    </w:p>
    <w:p>
      <w:pPr>
        <w:pStyle w:val="DefinedTerms"/>
      </w:pPr>
      <w:r>
        <w:t>licensed fishing boat number</w:t>
      </w:r>
      <w:r>
        <w:tab/>
        <w:t>3(1)</w:t>
      </w:r>
    </w:p>
    <w:p>
      <w:pPr>
        <w:pStyle w:val="DefinedTerms"/>
      </w:pPr>
      <w:r>
        <w:t>low risk finfish</w:t>
      </w:r>
      <w:r>
        <w:tab/>
        <w:t>3(1), 16(1)</w:t>
      </w:r>
    </w:p>
    <w:p>
      <w:pPr>
        <w:pStyle w:val="DefinedTerms"/>
      </w:pPr>
      <w:r>
        <w:t>management plan</w:t>
      </w:r>
      <w:r>
        <w:tab/>
        <w:t>64ZE(1)</w:t>
      </w:r>
    </w:p>
    <w:p>
      <w:pPr>
        <w:pStyle w:val="DefinedTerms"/>
      </w:pPr>
      <w:r>
        <w:t>marron drop net</w:t>
      </w:r>
      <w:r>
        <w:tab/>
        <w:t>3(1), 38G</w:t>
      </w:r>
    </w:p>
    <w:p>
      <w:pPr>
        <w:pStyle w:val="DefinedTerms"/>
      </w:pPr>
      <w:r>
        <w:t>marron pole snare</w:t>
      </w:r>
      <w:r>
        <w:tab/>
        <w:t>3(1), 38G</w:t>
      </w:r>
    </w:p>
    <w:p>
      <w:pPr>
        <w:pStyle w:val="DefinedTerms"/>
      </w:pPr>
      <w:r>
        <w:t>marron scoop net</w:t>
      </w:r>
      <w:r>
        <w:tab/>
        <w:t>3(1), 38G</w:t>
      </w:r>
    </w:p>
    <w:p>
      <w:pPr>
        <w:pStyle w:val="DefinedTerms"/>
      </w:pPr>
      <w:r>
        <w:t>marron trophy waters</w:t>
      </w:r>
      <w:r>
        <w:tab/>
        <w:t>3(1)</w:t>
      </w:r>
    </w:p>
    <w:p>
      <w:pPr>
        <w:pStyle w:val="DefinedTerms"/>
      </w:pPr>
      <w:r>
        <w:t>May — October</w:t>
      </w:r>
      <w:r>
        <w:tab/>
        <w:t>64OD(4)</w:t>
      </w:r>
    </w:p>
    <w:p>
      <w:pPr>
        <w:pStyle w:val="DefinedTerms"/>
      </w:pPr>
      <w:r>
        <w:t>metropolitan waters</w:t>
      </w:r>
      <w:r>
        <w:tab/>
        <w:t>3(1)</w:t>
      </w:r>
    </w:p>
    <w:p>
      <w:pPr>
        <w:pStyle w:val="DefinedTerms"/>
      </w:pPr>
      <w:r>
        <w:t>mollusc</w:t>
      </w:r>
      <w:r>
        <w:tab/>
        <w:t>3(1)</w:t>
      </w:r>
    </w:p>
    <w:p>
      <w:pPr>
        <w:pStyle w:val="DefinedTerms"/>
      </w:pPr>
      <w:r>
        <w:t>mooring</w:t>
      </w:r>
      <w:r>
        <w:tab/>
        <w:t>72</w:t>
      </w:r>
    </w:p>
    <w:p>
      <w:pPr>
        <w:pStyle w:val="DefinedTerms"/>
      </w:pPr>
      <w:r>
        <w:t>motor boat</w:t>
      </w:r>
      <w:r>
        <w:tab/>
        <w:t>3(1)</w:t>
      </w:r>
    </w:p>
    <w:p>
      <w:pPr>
        <w:pStyle w:val="DefinedTerms"/>
      </w:pPr>
      <w:r>
        <w:t>nearshore or estuarine finfish</w:t>
      </w:r>
      <w:r>
        <w:tab/>
        <w:t>65D(1)</w:t>
      </w:r>
    </w:p>
    <w:p>
      <w:pPr>
        <w:pStyle w:val="DefinedTerms"/>
      </w:pPr>
      <w:r>
        <w:t>net</w:t>
      </w:r>
      <w:r>
        <w:tab/>
        <w:t>64ZE(1)</w:t>
      </w:r>
    </w:p>
    <w:p>
      <w:pPr>
        <w:pStyle w:val="DefinedTerms"/>
      </w:pPr>
      <w:r>
        <w:t>Ningaloo Marine Park</w:t>
      </w:r>
      <w:r>
        <w:tab/>
        <w:t>3(1)</w:t>
      </w:r>
    </w:p>
    <w:p>
      <w:pPr>
        <w:pStyle w:val="DefinedTerms"/>
      </w:pPr>
      <w:r>
        <w:t>Ningaloo Marine Park Land Zone</w:t>
      </w:r>
      <w:r>
        <w:tab/>
        <w:t>16L(1), 64ZCA(2)</w:t>
      </w:r>
    </w:p>
    <w:p>
      <w:pPr>
        <w:pStyle w:val="DefinedTerms"/>
      </w:pPr>
      <w:r>
        <w:t>non</w:t>
      </w:r>
      <w:r>
        <w:noBreakHyphen/>
        <w:t>possession period</w:t>
      </w:r>
      <w:r>
        <w:tab/>
        <w:t>38O(3)</w:t>
      </w:r>
    </w:p>
    <w:p>
      <w:pPr>
        <w:pStyle w:val="DefinedTerms"/>
      </w:pPr>
      <w:r>
        <w:t>notice</w:t>
      </w:r>
      <w:r>
        <w:tab/>
        <w:t>55B(1A)</w:t>
      </w:r>
    </w:p>
    <w:p>
      <w:pPr>
        <w:pStyle w:val="DefinedTerms"/>
      </w:pPr>
      <w:r>
        <w:t>November — April</w:t>
      </w:r>
      <w:r>
        <w:tab/>
        <w:t>64OD(4)</w:t>
      </w:r>
    </w:p>
    <w:p>
      <w:pPr>
        <w:pStyle w:val="DefinedTerms"/>
      </w:pPr>
      <w:r>
        <w:t>one day</w:t>
      </w:r>
      <w:r>
        <w:tab/>
        <w:t>3(1)</w:t>
      </w:r>
    </w:p>
    <w:p>
      <w:pPr>
        <w:pStyle w:val="DefinedTerms"/>
      </w:pPr>
      <w:r>
        <w:t>operator</w:t>
      </w:r>
      <w:r>
        <w:tab/>
        <w:t>72</w:t>
      </w:r>
    </w:p>
    <w:p>
      <w:pPr>
        <w:pStyle w:val="DefinedTerms"/>
      </w:pP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w:t>
      </w:r>
      <w:r>
        <w:tab/>
        <w:t>16M(3), 64ZF</w:t>
      </w:r>
    </w:p>
    <w:p>
      <w:pPr>
        <w:pStyle w:val="DefinedTerms"/>
      </w:pP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w:t>
      </w:r>
      <w:r>
        <w:tab/>
        <w:t>64ZF</w:t>
      </w:r>
    </w:p>
    <w:p>
      <w:pPr>
        <w:pStyle w:val="DefinedTerms"/>
      </w:pPr>
      <w:r>
        <w:t>package</w:t>
      </w:r>
      <w:r>
        <w:tab/>
        <w:t>22(5), 61(3a)</w:t>
      </w:r>
    </w:p>
    <w:p>
      <w:pPr>
        <w:pStyle w:val="DefinedTerms"/>
      </w:pPr>
      <w:r>
        <w:t>Pelsaert Group Zone</w:t>
      </w:r>
      <w:r>
        <w:tab/>
        <w:t>38(1)</w:t>
      </w:r>
    </w:p>
    <w:p>
      <w:pPr>
        <w:pStyle w:val="DefinedTerms"/>
      </w:pPr>
      <w:r>
        <w:t xml:space="preserve">Pilbara and </w:t>
      </w:r>
      <w:smartTag w:uri="urn:schemas-microsoft-com:office:smarttags" w:element="place">
        <w:smartTag w:uri="urn:schemas-microsoft-com:office:smarttags" w:element="City">
          <w:r>
            <w:t>Kimberley</w:t>
          </w:r>
        </w:smartTag>
      </w:smartTag>
      <w:r>
        <w:t xml:space="preserve"> Region</w:t>
      </w:r>
      <w:r>
        <w:tab/>
        <w:t>3(1)</w:t>
      </w:r>
    </w:p>
    <w:p>
      <w:pPr>
        <w:pStyle w:val="DefinedTerms"/>
      </w:pPr>
      <w:r>
        <w:t>Point Quobba restricted area</w:t>
      </w:r>
      <w:r>
        <w:tab/>
        <w:t>113D</w:t>
      </w:r>
    </w:p>
    <w:p>
      <w:pPr>
        <w:pStyle w:val="DefinedTerms"/>
      </w:pPr>
      <w:r>
        <w:t>prawn hand trawl net</w:t>
      </w:r>
      <w:r>
        <w:tab/>
        <w:t>3(1)</w:t>
      </w:r>
    </w:p>
    <w:p>
      <w:pPr>
        <w:pStyle w:val="DefinedTerms"/>
      </w:pPr>
      <w:r>
        <w:t>prescribed abalone</w:t>
      </w:r>
      <w:r>
        <w:tab/>
        <w:t>16GD, 17(2)</w:t>
      </w:r>
    </w:p>
    <w:p>
      <w:pPr>
        <w:pStyle w:val="DefinedTerms"/>
      </w:pPr>
      <w:r>
        <w:t>principal place of residence</w:t>
      </w:r>
      <w:r>
        <w:tab/>
        <w:t>3(1)</w:t>
      </w:r>
    </w:p>
    <w:p>
      <w:pPr>
        <w:pStyle w:val="DefinedTerms"/>
      </w:pPr>
      <w:r>
        <w:t>pull</w:t>
      </w:r>
      <w:r>
        <w:tab/>
        <w:t>3(1)</w:t>
      </w:r>
    </w:p>
    <w:p>
      <w:pPr>
        <w:pStyle w:val="DefinedTerms"/>
      </w:pPr>
      <w:r>
        <w:t>recreational (boat) fishing licence receipt</w:t>
      </w:r>
      <w:r>
        <w:tab/>
        <w:t>124D(1)</w:t>
      </w:r>
    </w:p>
    <w:p>
      <w:pPr>
        <w:pStyle w:val="DefinedTerms"/>
      </w:pPr>
      <w:r>
        <w:t>recreational fishing licence</w:t>
      </w:r>
      <w:r>
        <w:tab/>
        <w:t>3(1), 136(1)</w:t>
      </w:r>
    </w:p>
    <w:p>
      <w:pPr>
        <w:pStyle w:val="DefinedTerms"/>
      </w:pPr>
      <w:r>
        <w:t>recreational fishing licence receipt</w:t>
      </w:r>
      <w:r>
        <w:tab/>
        <w:t>124A(1)</w:t>
      </w:r>
    </w:p>
    <w:p>
      <w:pPr>
        <w:pStyle w:val="DefinedTerms"/>
      </w:pPr>
      <w:r>
        <w:t>region</w:t>
      </w:r>
      <w:r>
        <w:tab/>
        <w:t>3(1)</w:t>
      </w:r>
    </w:p>
    <w:p>
      <w:pPr>
        <w:pStyle w:val="DefinedTerms"/>
      </w:pPr>
      <w:r>
        <w:t>release weight</w:t>
      </w:r>
      <w:r>
        <w:tab/>
        <w:t>64OAA(1)</w:t>
      </w:r>
    </w:p>
    <w:p>
      <w:pPr>
        <w:pStyle w:val="DefinedTerms"/>
      </w:pPr>
      <w:r>
        <w:t>reserve</w:t>
      </w:r>
      <w:r>
        <w:tab/>
        <w:t>72</w:t>
      </w:r>
    </w:p>
    <w:p>
      <w:pPr>
        <w:pStyle w:val="DefinedTerms"/>
      </w:pPr>
      <w:r>
        <w:t>restricted fishing tour</w:t>
      </w:r>
      <w:r>
        <w:tab/>
        <w:t>128S(1)</w:t>
      </w:r>
    </w:p>
    <w:p>
      <w:pPr>
        <w:pStyle w:val="DefinedTerms"/>
      </w:pPr>
      <w:r>
        <w:t>rock lobster</w:t>
      </w:r>
      <w:r>
        <w:tab/>
        <w:t>64ZCA(2)</w:t>
      </w:r>
    </w:p>
    <w:p>
      <w:pPr>
        <w:pStyle w:val="DefinedTerms"/>
      </w:pPr>
      <w:r>
        <w:t>rock lobster licence</w:t>
      </w:r>
      <w:r>
        <w:tab/>
        <w:t>72</w:t>
      </w:r>
    </w:p>
    <w:p>
      <w:pPr>
        <w:pStyle w:val="DefinedTerms"/>
      </w:pPr>
      <w:r>
        <w:t>rock lobster pot</w:t>
      </w:r>
      <w:r>
        <w:tab/>
        <w:t>3(1)</w:t>
      </w:r>
    </w:p>
    <w:p>
      <w:pPr>
        <w:pStyle w:val="DefinedTerms"/>
      </w:pPr>
      <w:r>
        <w:t>rock lobster pot licence</w:t>
      </w:r>
      <w:r>
        <w:tab/>
        <w:t>3(1)</w:t>
      </w:r>
    </w:p>
    <w:p>
      <w:pPr>
        <w:pStyle w:val="DefinedTerms"/>
      </w:pPr>
      <w:r>
        <w:t>rock lobster tail</w:t>
      </w:r>
      <w:r>
        <w:tab/>
        <w:t>3(1)</w:t>
      </w:r>
    </w:p>
    <w:p>
      <w:pPr>
        <w:pStyle w:val="DefinedTerms"/>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Reserve</w:t>
      </w:r>
      <w:r>
        <w:tab/>
        <w:t>Sch. 2 Pt. 2 Div. 3 cl. 4(2)</w:t>
      </w:r>
    </w:p>
    <w:p>
      <w:pPr>
        <w:pStyle w:val="DefinedTerms"/>
      </w:pP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ab/>
        <w:t>Sch. 2 Pt. 2 Div. 2</w:t>
      </w:r>
    </w:p>
    <w:p>
      <w:pPr>
        <w:pStyle w:val="DefinedTerms"/>
        <w:rPr>
          <w:lang w:val="fr-FR"/>
        </w:rPr>
      </w:pPr>
      <w:r>
        <w:rPr>
          <w:lang w:val="fr-FR"/>
        </w:rPr>
        <w:t>sea lion exclusion device</w:t>
      </w:r>
      <w:r>
        <w:rPr>
          <w:lang w:val="fr-FR"/>
        </w:rPr>
        <w:tab/>
        <w:t>38(3)</w:t>
      </w:r>
    </w:p>
    <w:p>
      <w:pPr>
        <w:pStyle w:val="DefinedTerms"/>
        <w:rPr>
          <w:lang w:val="fr-FR"/>
        </w:rPr>
      </w:pPr>
      <w:r>
        <w:rPr>
          <w:lang w:val="fr-FR"/>
        </w:rPr>
        <w:t>Sea Lion Protection Zone</w:t>
      </w:r>
      <w:r>
        <w:rPr>
          <w:lang w:val="fr-FR"/>
        </w:rPr>
        <w:tab/>
        <w:t>38(1)</w:t>
      </w:r>
    </w:p>
    <w:p>
      <w:pPr>
        <w:pStyle w:val="DefinedTerms"/>
      </w:pPr>
      <w:r>
        <w:t>section 224</w:t>
      </w:r>
      <w:r>
        <w:tab/>
        <w:t>129A</w:t>
      </w:r>
    </w:p>
    <w:p>
      <w:pPr>
        <w:pStyle w:val="DefinedTerms"/>
      </w:pPr>
      <w:r>
        <w:t>set</w:t>
      </w:r>
      <w:r>
        <w:tab/>
        <w:t>3(1)</w:t>
      </w:r>
    </w:p>
    <w:p>
      <w:pPr>
        <w:pStyle w:val="DefinedTerms"/>
      </w:pPr>
      <w:r>
        <w:t>setose</w:t>
      </w:r>
      <w:r>
        <w:tab/>
        <w:t>Sch. 2 Pt. 2 Div. 1</w:t>
      </w:r>
    </w:p>
    <w:p>
      <w:pPr>
        <w:pStyle w:val="DefinedTerms"/>
      </w:pPr>
      <w:r>
        <w:t>share arrangement</w:t>
      </w:r>
      <w:r>
        <w:tab/>
        <w:t>72</w:t>
      </w:r>
    </w:p>
    <w:p>
      <w:pPr>
        <w:pStyle w:val="DefinedTerms"/>
      </w:pPr>
      <w:r>
        <w:t>single</w:t>
      </w:r>
      <w:r>
        <w:noBreakHyphen/>
        <w:t>sided fillet</w:t>
      </w:r>
      <w:r>
        <w:tab/>
        <w:t>3(1), 16E(1), 16M(3)</w:t>
      </w:r>
    </w:p>
    <w:p>
      <w:pPr>
        <w:pStyle w:val="DefinedTerms"/>
      </w:pP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r>
        <w:tab/>
        <w:t>3(1)</w:t>
      </w:r>
    </w:p>
    <w:p>
      <w:pPr>
        <w:pStyle w:val="DefinedTerms"/>
      </w:pPr>
      <w:r>
        <w:t>special risk finfish</w:t>
      </w:r>
      <w:r>
        <w:tab/>
        <w:t>14(1)</w:t>
      </w:r>
    </w:p>
    <w:p>
      <w:pPr>
        <w:pStyle w:val="DefinedTerms"/>
      </w:pPr>
      <w:r>
        <w:t>specified size</w:t>
      </w:r>
      <w:r>
        <w:tab/>
        <w:t>14A</w:t>
      </w:r>
    </w:p>
    <w:p>
      <w:pPr>
        <w:pStyle w:val="DefinedTerms"/>
      </w:pPr>
      <w:r>
        <w:t>store</w:t>
      </w:r>
      <w:r>
        <w:tab/>
        <w:t>22(5)</w:t>
      </w:r>
    </w:p>
    <w:p>
      <w:pPr>
        <w:pStyle w:val="DefinedTerms"/>
      </w:pPr>
      <w:r>
        <w:t>structure</w:t>
      </w:r>
      <w:r>
        <w:tab/>
        <w:t>87</w:t>
      </w:r>
    </w:p>
    <w:p>
      <w:pPr>
        <w:pStyle w:val="DefinedTerms"/>
      </w:pPr>
      <w:r>
        <w:t>sunrise</w:t>
      </w:r>
      <w:r>
        <w:tab/>
        <w:t>3(1)</w:t>
      </w:r>
    </w:p>
    <w:p>
      <w:pPr>
        <w:pStyle w:val="DefinedTerms"/>
      </w:pPr>
      <w:r>
        <w:t>sunset</w:t>
      </w:r>
      <w:r>
        <w:tab/>
        <w:t>3(1)</w:t>
      </w:r>
    </w:p>
    <w:p>
      <w:pPr>
        <w:pStyle w:val="DefinedTerms"/>
      </w:pPr>
      <w:r>
        <w:t>tail clip</w:t>
      </w:r>
      <w:r>
        <w:tab/>
        <w:t>31(3)</w:t>
      </w:r>
    </w:p>
    <w:p>
      <w:pPr>
        <w:pStyle w:val="DefinedTerms"/>
      </w:pPr>
      <w:r>
        <w:t>tail punch</w:t>
      </w:r>
      <w:r>
        <w:tab/>
        <w:t>31(3)</w:t>
      </w:r>
    </w:p>
    <w:p>
      <w:pPr>
        <w:pStyle w:val="DefinedTerms"/>
      </w:pPr>
      <w:r>
        <w:t>tarspot</w:t>
      </w:r>
      <w:r>
        <w:tab/>
        <w:t>Sch. 2 Pt. 2 Div. 1</w:t>
      </w:r>
    </w:p>
    <w:p>
      <w:pPr>
        <w:pStyle w:val="DefinedTerms"/>
      </w:pPr>
      <w:r>
        <w:t>unauthorised structure</w:t>
      </w:r>
      <w:r>
        <w:tab/>
        <w:t>87</w:t>
      </w:r>
    </w:p>
    <w:p>
      <w:pPr>
        <w:pStyle w:val="DefinedTerms"/>
      </w:pPr>
      <w:r>
        <w:t>unlicensed person</w:t>
      </w:r>
      <w:r>
        <w:tab/>
        <w:t>124B(3)</w:t>
      </w:r>
    </w:p>
    <w:p>
      <w:pPr>
        <w:pStyle w:val="DefinedTerms"/>
      </w:pPr>
      <w:r>
        <w:t>usual entitlement</w:t>
      </w:r>
      <w:r>
        <w:tab/>
        <w:t>118A(2)</w:t>
      </w:r>
    </w:p>
    <w:p>
      <w:pPr>
        <w:pStyle w:val="DefinedTerms"/>
      </w:pPr>
      <w:r>
        <w:t>waters of Point Quobba</w:t>
      </w:r>
      <w:r>
        <w:tab/>
        <w:t>113D</w:t>
      </w:r>
    </w:p>
    <w:p>
      <w:pPr>
        <w:pStyle w:val="DefinedTerms"/>
      </w:pPr>
      <w:r>
        <w:t>waters of Shark Bay</w:t>
      </w:r>
      <w:r>
        <w:tab/>
        <w:t>3(1)</w:t>
      </w:r>
    </w:p>
    <w:p>
      <w:pPr>
        <w:pStyle w:val="DefinedTerms"/>
      </w:pPr>
      <w:r>
        <w:t xml:space="preserve">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r>
        <w:tab/>
        <w:t>3(1)</w:t>
      </w:r>
    </w:p>
    <w:p>
      <w:pPr>
        <w:pStyle w:val="DefinedTerms"/>
      </w:pPr>
      <w:r>
        <w:t xml:space="preserve">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r>
        <w:tab/>
        <w:t>3(1)</w:t>
      </w:r>
    </w:p>
    <w:p>
      <w:pPr>
        <w:pStyle w:val="DefinedTerms"/>
      </w:pPr>
      <w:r>
        <w:t>WCRL Managed Fishery</w:t>
      </w:r>
      <w:r>
        <w:tab/>
        <w:t>55E</w:t>
      </w:r>
    </w:p>
    <w:p>
      <w:pPr>
        <w:pStyle w:val="DefinedTerms"/>
      </w:pPr>
      <w:r>
        <w:t>West Coast Demersal Scalefish (Interim) Managed Fishery</w:t>
      </w:r>
      <w:r>
        <w:tab/>
        <w:t>64OAA(1)</w:t>
      </w:r>
    </w:p>
    <w:p>
      <w:pPr>
        <w:pStyle w:val="DefinedTerms"/>
      </w:pPr>
      <w:r>
        <w:t>West Coast Purse Seine Managed Fishery boat</w:t>
      </w:r>
      <w:r>
        <w:tab/>
        <w:t>64ZE(1)</w:t>
      </w:r>
    </w:p>
    <w:p>
      <w:pPr>
        <w:pStyle w:val="DefinedTerms"/>
      </w:pPr>
      <w:r>
        <w:t>West Coast Region</w:t>
      </w:r>
      <w:r>
        <w:tab/>
        <w:t>3(1)</w:t>
      </w:r>
    </w:p>
    <w:p>
      <w:pPr>
        <w:pStyle w:val="DefinedTerms"/>
      </w:pPr>
      <w:r>
        <w:t>western gulf land area</w:t>
      </w:r>
      <w:r>
        <w:tab/>
        <w:t>3(1)</w:t>
      </w:r>
    </w:p>
    <w:p>
      <w:pPr>
        <w:pStyle w:val="DefinedTerms"/>
      </w:pPr>
      <w:r>
        <w:t>whole fish</w:t>
      </w:r>
      <w:r>
        <w:tab/>
        <w:t>3(1)</w:t>
      </w:r>
    </w:p>
    <w:p>
      <w:pPr>
        <w:pStyle w:val="DefinedTerms"/>
      </w:pPr>
      <w:r>
        <w:t>whole shark or ray</w:t>
      </w:r>
      <w:r>
        <w:tab/>
        <w:t>16B(5)</w:t>
      </w:r>
    </w:p>
    <w:p/>
    <w:p>
      <w:pPr>
        <w:sectPr>
          <w:headerReference w:type="even" r:id="rId61"/>
          <w:headerReference w:type="default" r:id="rId62"/>
          <w:headerReference w:type="first" r:id="rId63"/>
          <w:pgSz w:w="11906" w:h="16838" w:code="9"/>
          <w:pgMar w:top="2381" w:right="2409" w:bottom="3543" w:left="2409" w:header="720" w:footer="3380" w:gutter="0"/>
          <w:cols w:space="720"/>
          <w:noEndnote/>
          <w:docGrid w:linePitch="326"/>
        </w:sectPr>
      </w:pPr>
    </w:p>
    <w:p/>
    <w:sectPr>
      <w:headerReference w:type="even" r:id="rId64"/>
      <w:headerReference w:type="default" r:id="rId65"/>
      <w:headerReference w:type="first" r:id="rId6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fldSimple w:instr=" DOCPROPERTY &quot;Suffix&quot;  \* MERGEFORMAT ">
      <w:r>
        <w:rPr>
          <w:rFonts w:ascii="Arial" w:hAnsi="Arial" w:cs="Arial"/>
          <w:sz w:val="20"/>
          <w:lang w:val="en-US"/>
        </w:rPr>
        <w:t>11-m0-04</w:t>
      </w:r>
    </w:fldSimple>
    <w:r>
      <w:rPr>
        <w:rFonts w:ascii="Arial" w:hAnsi="Arial" w:cs="Arial"/>
        <w:sz w:val="20"/>
        <w:lang w:val="en-US"/>
      </w:rPr>
      <w:tab/>
      <w:t xml:space="preserve">As at </w:t>
    </w:r>
    <w:fldSimple w:instr=" DOCPROPERTY &quot;AsAtDate&quot;  \* MERGEFORMAT ">
      <w:r>
        <w:rPr>
          <w:rFonts w:ascii="Arial" w:hAnsi="Arial" w:cs="Arial"/>
          <w:sz w:val="20"/>
          <w:lang w:val="en-US"/>
        </w:rPr>
        <w:t>19</w:t>
      </w:r>
      <w:r>
        <w:t xml:space="preserve"> Jun 2013</w:t>
      </w:r>
    </w:fldSimple>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19</w:t>
      </w:r>
      <w:r>
        <w:t xml:space="preserve"> Jun 2013</w:t>
      </w:r>
    </w:fldSimple>
    <w:r>
      <w:rPr>
        <w:rFonts w:ascii="Arial" w:hAnsi="Arial" w:cs="Arial"/>
        <w:sz w:val="20"/>
        <w:lang w:val="en-US"/>
      </w:rPr>
      <w:tab/>
      <w:t xml:space="preserve">Version </w:t>
    </w:r>
    <w:fldSimple w:instr=" DOCPROPERTY &quot;Suffix&quot;  \* MERGEFORMAT ">
      <w:r>
        <w:rPr>
          <w:rFonts w:ascii="Arial" w:hAnsi="Arial" w:cs="Arial"/>
          <w:sz w:val="20"/>
          <w:lang w:val="en-US"/>
        </w:rPr>
        <w:t>11-m0-04</w:t>
      </w:r>
    </w:fldSimple>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19</w:t>
      </w:r>
      <w:r>
        <w:t xml:space="preserve"> Jun 2013</w:t>
      </w:r>
    </w:fldSimple>
    <w:r>
      <w:rPr>
        <w:rFonts w:ascii="Arial" w:hAnsi="Arial" w:cs="Arial"/>
        <w:sz w:val="20"/>
        <w:lang w:val="en-US"/>
      </w:rPr>
      <w:tab/>
      <w:t xml:space="preserve">Version </w:t>
    </w:r>
    <w:fldSimple w:instr=" DOCPROPERTY &quot;Suffix&quot;  \* MERGEFORMAT ">
      <w:r>
        <w:rPr>
          <w:rFonts w:ascii="Arial" w:hAnsi="Arial" w:cs="Arial"/>
          <w:sz w:val="20"/>
          <w:lang w:val="en-US"/>
        </w:rPr>
        <w:t>11-m0-04</w:t>
      </w:r>
    </w:fldSimple>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xviii</w:t>
    </w:r>
    <w:r>
      <w:rPr>
        <w:rStyle w:val="PageNumber"/>
        <w:rFonts w:ascii="Arial" w:hAnsi="Arial" w:cs="Arial"/>
      </w:rPr>
      <w:fldChar w:fldCharType="end"/>
    </w:r>
    <w:r>
      <w:rPr>
        <w:rFonts w:ascii="Arial" w:hAnsi="Arial" w:cs="Arial"/>
        <w:sz w:val="20"/>
        <w:lang w:val="en-US"/>
      </w:rPr>
      <w:tab/>
      <w:t xml:space="preserve">Version </w:t>
    </w:r>
    <w:fldSimple w:instr=" DOCPROPERTY &quot;Suffix&quot;  \* MERGEFORMAT ">
      <w:r>
        <w:rPr>
          <w:rFonts w:ascii="Arial" w:hAnsi="Arial" w:cs="Arial"/>
          <w:sz w:val="20"/>
          <w:lang w:val="en-US"/>
        </w:rPr>
        <w:t>11-m0-04</w:t>
      </w:r>
    </w:fldSimple>
    <w:r>
      <w:rPr>
        <w:rFonts w:ascii="Arial" w:hAnsi="Arial" w:cs="Arial"/>
        <w:sz w:val="20"/>
        <w:lang w:val="en-US"/>
      </w:rPr>
      <w:tab/>
      <w:t xml:space="preserve">As at </w:t>
    </w:r>
    <w:fldSimple w:instr=" DOCPROPERTY &quot;AsAtDate&quot;  \* MERGEFORMAT ">
      <w:r>
        <w:rPr>
          <w:rFonts w:ascii="Arial" w:hAnsi="Arial" w:cs="Arial"/>
          <w:sz w:val="20"/>
          <w:lang w:val="en-US"/>
        </w:rPr>
        <w:t>19</w:t>
      </w:r>
      <w:r>
        <w:t xml:space="preserve"> Jun 2013</w:t>
      </w:r>
    </w:fldSimple>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19</w:t>
      </w:r>
      <w:r>
        <w:t xml:space="preserve"> Jun 2013</w:t>
      </w:r>
    </w:fldSimple>
    <w:r>
      <w:rPr>
        <w:rFonts w:ascii="Arial" w:hAnsi="Arial" w:cs="Arial"/>
        <w:sz w:val="20"/>
        <w:lang w:val="en-US"/>
      </w:rPr>
      <w:tab/>
      <w:t xml:space="preserve">Version </w:t>
    </w:r>
    <w:fldSimple w:instr=" DOCPROPERTY &quot;Suffix&quot;  \* MERGEFORMAT ">
      <w:r>
        <w:rPr>
          <w:rFonts w:ascii="Arial" w:hAnsi="Arial" w:cs="Arial"/>
          <w:sz w:val="20"/>
          <w:lang w:val="en-US"/>
        </w:rPr>
        <w:t>11-m0-04</w:t>
      </w:r>
    </w:fldSimple>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19</w:t>
      </w:r>
      <w:r>
        <w:t xml:space="preserve"> Jun 2013</w:t>
      </w:r>
    </w:fldSimple>
    <w:r>
      <w:rPr>
        <w:rFonts w:ascii="Arial" w:hAnsi="Arial" w:cs="Arial"/>
        <w:sz w:val="20"/>
        <w:lang w:val="en-US"/>
      </w:rPr>
      <w:tab/>
      <w:t xml:space="preserve">Version </w:t>
    </w:r>
    <w:fldSimple w:instr=" DOCPROPERTY &quot;Suffix&quot;  \* MERGEFORMAT ">
      <w:r>
        <w:rPr>
          <w:rFonts w:ascii="Arial" w:hAnsi="Arial" w:cs="Arial"/>
          <w:sz w:val="20"/>
          <w:lang w:val="en-US"/>
        </w:rPr>
        <w:t>11-m0-04</w:t>
      </w:r>
    </w:fldSimple>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11-m0-04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Jun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Jun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11-m0-04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Jun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11-m0-04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c>
        <w:tcPr>
          <w:tcW w:w="5715" w:type="dxa"/>
        </w:tcPr>
        <w:p>
          <w:pPr>
            <w:pStyle w:val="HeaderTextLeft"/>
          </w:pPr>
          <w:fldSimple w:instr=" styleref CharSDivText ">
            <w:r>
              <w:rPr>
                <w:noProof/>
              </w:rPr>
              <w:t>General fees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fldSimple w:instr=" styleref CharSDivText ">
            <w:r>
              <w:rPr>
                <w:noProof/>
              </w:rPr>
              <w:t>General fees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Bag limits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6</w:t>
          </w:r>
          <w:r>
            <w:rPr>
              <w:bCs/>
            </w:rPr>
            <w:fldChar w:fldCharType="end"/>
          </w:r>
        </w:p>
      </w:tc>
      <w:tc>
        <w:tcPr>
          <w:tcW w:w="5715" w:type="dxa"/>
        </w:tcPr>
        <w:p>
          <w:pPr>
            <w:pStyle w:val="HeaderTextLeft"/>
          </w:pPr>
          <w:fldSimple w:instr=" styleref CharSDivText ">
            <w:r>
              <w:rPr>
                <w:noProof/>
              </w:rPr>
              <w:t>Bag limits — Molluscs and other invertebrates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fldSimple w:instr=" styleref CharSDivText ">
            <w:r>
              <w:rPr>
                <w:noProof/>
              </w:rPr>
              <w:t>Bag limits — Molluscs and other invertebrates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6</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Area of land prescribed under section 91(d) of the Act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6</w:t>
          </w:r>
          <w:r>
            <w:rPr>
              <w:bCs/>
            </w:rPr>
            <w:fldChar w:fldCharType="end"/>
          </w:r>
        </w:p>
      </w:tc>
      <w:tc>
        <w:tcPr>
          <w:tcW w:w="5715" w:type="dxa"/>
        </w:tcPr>
        <w:p>
          <w:pPr>
            <w:pStyle w:val="HeaderTextLeft"/>
          </w:pPr>
          <w:fldSimple w:instr=" styleref CharSDivText ">
            <w:r>
              <w:rPr>
                <w:noProof/>
              </w:rPr>
              <w:t>Bag limits — Molluscs and other invertebrates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Area of land prescribed under section 91(d) of the Act</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fldSimple w:instr=" styleref CharSDivText ">
            <w:r>
              <w:rPr>
                <w:noProof/>
              </w:rPr>
              <w:t>Bag limits — Molluscs and other invertebrates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6</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5</w:t>
          </w:r>
          <w:r>
            <w:rPr>
              <w:bCs/>
            </w:rPr>
            <w:fldChar w:fldCharType="end"/>
          </w:r>
        </w:p>
      </w:tc>
      <w:tc>
        <w:tcPr>
          <w:tcW w:w="5715" w:type="dxa"/>
        </w:tcPr>
        <w:p>
          <w:pPr>
            <w:pStyle w:val="HeaderTextLeft"/>
          </w:pPr>
          <w:fldSimple w:instr=" styleref CharSDivText ">
            <w:r>
              <w:rPr>
                <w:noProof/>
              </w:rPr>
              <w:t>Other</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548" w:type="dxa"/>
        </w:tcPr>
        <w:p>
          <w:pPr>
            <w:pStyle w:val="HeaderNumberRight"/>
            <w:ind w:right="17"/>
          </w:pPr>
          <w:fldSimple w:instr=" styleref CharSchno ">
            <w:r>
              <w:rPr>
                <w:noProof/>
              </w:rPr>
              <w:t>Schedule 7</w:t>
            </w:r>
          </w:fldSimple>
        </w:p>
      </w:tc>
    </w:tr>
    <w:tr>
      <w:tc>
        <w:tcPr>
          <w:tcW w:w="5715" w:type="dxa"/>
        </w:tcPr>
        <w:p>
          <w:pPr>
            <w:pStyle w:val="HeaderTextRight"/>
          </w:pPr>
          <w:fldSimple w:instr=" styleref CharSDivText ">
            <w:r>
              <w:rPr>
                <w:noProof/>
              </w:rPr>
              <w:t>Other</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5</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548" w:type="dxa"/>
        </w:tcPr>
        <w:p>
          <w:pPr>
            <w:pStyle w:val="HeaderNumberRight"/>
            <w:ind w:right="17"/>
          </w:pPr>
          <w:fldSimple w:instr=" styleref CharSchno ">
            <w:r>
              <w:rPr>
                <w:noProof/>
              </w:rPr>
              <w:t>Schedule 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tcPr>
        <w:p>
          <w:pPr>
            <w:pStyle w:val="HeaderTextLeft"/>
          </w:pPr>
          <w:fldSimple w:instr=" styleref CharSchText ">
            <w:r>
              <w:rPr>
                <w:noProof/>
              </w:rPr>
              <w:t>Modified penalties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c>
        <w:tcPr>
          <w:tcW w:w="5715" w:type="dxa"/>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548" w:type="dxa"/>
        </w:tcPr>
        <w:p>
          <w:pPr>
            <w:pStyle w:val="HeaderNumberRight"/>
            <w:ind w:right="17"/>
          </w:pPr>
          <w:fldSimple w:instr=" styleref CharSchno ">
            <w:r>
              <w:rPr>
                <w:noProof/>
              </w:rPr>
              <w:t>Schedule 12</w:t>
            </w:r>
          </w:fldSimple>
        </w:p>
      </w:tc>
    </w:tr>
    <w:tr>
      <w:tc>
        <w:tcPr>
          <w:tcW w:w="5715" w:type="dxa"/>
        </w:tcPr>
        <w:p>
          <w:pPr>
            <w:pStyle w:val="HeaderTextRight"/>
          </w:pPr>
          <w:fldSimple w:instr=" styleref CharSDivText ">
            <w:r>
              <w:rPr>
                <w:noProof/>
              </w:rPr>
              <w:t>Species of fish not endemic to Australia</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557"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3</w:t>
          </w:r>
          <w:r>
            <w:rPr>
              <w:bCs/>
            </w:rPr>
            <w:fldChar w:fldCharType="end"/>
          </w:r>
        </w:p>
      </w:tc>
      <w:tc>
        <w:tcPr>
          <w:tcW w:w="5715" w:type="dxa"/>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Form 7</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7</w:instrText>
            </w:r>
          </w:fldSimple>
          <w:r>
            <w:instrText xml:space="preserve"> </w:instrText>
          </w:r>
          <w:r>
            <w:fldChar w:fldCharType="separate"/>
          </w:r>
          <w:r>
            <w:rPr>
              <w:noProof/>
            </w:rPr>
            <w:t>Form 7</w:t>
          </w:r>
          <w:r>
            <w:fldChar w:fldCharType="end"/>
          </w:r>
        </w:p>
      </w:tc>
      <w:tc>
        <w:tcPr>
          <w:tcW w:w="5715" w:type="dxa"/>
        </w:tcPr>
        <w:p>
          <w:pPr>
            <w:pStyle w:val="HeaderTextLeft"/>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14</w:t>
            </w:r>
          </w:fldSimple>
        </w:p>
      </w:tc>
    </w:tr>
    <w:tr>
      <w:tc>
        <w:tcPr>
          <w:tcW w:w="5715" w:type="dxa"/>
        </w:tcPr>
        <w:p>
          <w:pPr>
            <w:pStyle w:val="HeaderTextRight"/>
          </w:pPr>
          <w:fldSimple w:instr=" styleref CharSDivText ">
            <w:r>
              <w:rPr>
                <w:noProof/>
              </w:rPr>
              <w:t>All other waters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3</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Form 7</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7</w:instrText>
            </w:r>
          </w:fldSimple>
          <w:r>
            <w:instrText xml:space="preserve"> </w:instrText>
          </w:r>
          <w:r>
            <w:fldChar w:fldCharType="separate"/>
          </w:r>
          <w:r>
            <w:rPr>
              <w:noProof/>
            </w:rPr>
            <w:t>Form 7</w:t>
          </w:r>
          <w:r>
            <w:fldChar w:fldCharType="end"/>
          </w: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CF3E31F8"/>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A614E3"/>
    <w:multiLevelType w:val="multilevel"/>
    <w:tmpl w:val="2ABEFE78"/>
    <w:name w:val="Schedule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F21488A8"/>
    <w:name w:val="DefinitionNumbers"/>
    <w:lvl w:ilvl="0">
      <w:start w:val="1"/>
      <w:numFmt w:val="none"/>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3EDF2443"/>
    <w:multiLevelType w:val="hybridMultilevel"/>
    <w:tmpl w:val="7EE80FE2"/>
    <w:lvl w:ilvl="0" w:tplc="A6E2D5A4">
      <w:start w:val="3"/>
      <w:numFmt w:val="lowerLetter"/>
      <w:lvlText w:val="(%1)"/>
      <w:lvlJc w:val="left"/>
      <w:pPr>
        <w:tabs>
          <w:tab w:val="num" w:pos="1620"/>
        </w:tabs>
        <w:ind w:left="1620" w:hanging="552"/>
      </w:pPr>
      <w:rPr>
        <w:rFonts w:hint="default"/>
      </w:r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E1B8D9A4"/>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0F6C54"/>
    <w:multiLevelType w:val="multilevel"/>
    <w:tmpl w:val="A434F540"/>
    <w:name w:val="ScheduleDefinition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26"/>
  </w:num>
  <w:num w:numId="15">
    <w:abstractNumId w:val="16"/>
  </w:num>
  <w:num w:numId="16">
    <w:abstractNumId w:val="29"/>
  </w:num>
  <w:num w:numId="17">
    <w:abstractNumId w:val="17"/>
  </w:num>
  <w:num w:numId="18">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4401"/>
    <w:docVar w:name="WAFER_20151210154401" w:val="RemoveTrackChanges"/>
    <w:docVar w:name="WAFER_20151210154401_GUID" w:val="1d6ee455-e32f-4270-ad34-62155308c8a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customStyle="1" w:styleId="zyTableNAmLeft0cm">
    <w:name w:val="zyTableNAm + Left:  0 cm"/>
    <w:aliases w:val="Hanging:  1.88 cm"/>
    <w:basedOn w:val="yTableNAm"/>
    <w:pPr>
      <w:tabs>
        <w:tab w:val="clear" w:pos="567"/>
        <w:tab w:val="left" w:pos="586"/>
        <w:tab w:val="left" w:pos="1066"/>
      </w:tabs>
      <w:ind w:left="1066" w:hanging="1066"/>
    </w:pPr>
  </w:style>
  <w:style w:type="character" w:customStyle="1" w:styleId="FootnotesectionChar">
    <w:name w:val="Footnote(section) Char"/>
    <w:basedOn w:val="DefaultParagraphFont"/>
    <w:link w:val="Footnotesection"/>
    <w:rPr>
      <w:i/>
      <w:snapToGrid w:val="0"/>
      <w:sz w:val="24"/>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customStyle="1" w:styleId="zyTableNAmLeft0cm">
    <w:name w:val="zyTableNAm + Left:  0 cm"/>
    <w:aliases w:val="Hanging:  1.88 cm"/>
    <w:basedOn w:val="yTableNAm"/>
    <w:pPr>
      <w:tabs>
        <w:tab w:val="clear" w:pos="567"/>
        <w:tab w:val="left" w:pos="586"/>
        <w:tab w:val="left" w:pos="1066"/>
      </w:tabs>
      <w:ind w:left="1066" w:hanging="1066"/>
    </w:pPr>
  </w:style>
  <w:style w:type="character" w:customStyle="1" w:styleId="FootnotesectionChar">
    <w:name w:val="Footnote(section) Char"/>
    <w:basedOn w:val="DefaultParagraphFont"/>
    <w:link w:val="Footnotesection"/>
    <w:rPr>
      <w:i/>
      <w:snapToGrid w:val="0"/>
      <w:sz w:val="24"/>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image" Target="media/image3.png"/><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image" Target="media/image6.png"/><Relationship Id="rId47" Type="http://schemas.openxmlformats.org/officeDocument/2006/relationships/image" Target="media/image11.png"/><Relationship Id="rId50" Type="http://schemas.openxmlformats.org/officeDocument/2006/relationships/image" Target="media/image14.jpeg"/><Relationship Id="rId55" Type="http://schemas.openxmlformats.org/officeDocument/2006/relationships/image" Target="media/image15.png"/><Relationship Id="rId63" Type="http://schemas.openxmlformats.org/officeDocument/2006/relationships/header" Target="header32.xml"/><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image" Target="media/image4.png"/><Relationship Id="rId45" Type="http://schemas.openxmlformats.org/officeDocument/2006/relationships/image" Target="media/image9.png"/><Relationship Id="rId53" Type="http://schemas.openxmlformats.org/officeDocument/2006/relationships/header" Target="header23.xml"/><Relationship Id="rId58" Type="http://schemas.openxmlformats.org/officeDocument/2006/relationships/header" Target="header27.xml"/><Relationship Id="rId66" Type="http://schemas.openxmlformats.org/officeDocument/2006/relationships/header" Target="header3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49" Type="http://schemas.openxmlformats.org/officeDocument/2006/relationships/image" Target="media/image13.jpeg"/><Relationship Id="rId57" Type="http://schemas.openxmlformats.org/officeDocument/2006/relationships/header" Target="header26.xml"/><Relationship Id="rId61" Type="http://schemas.openxmlformats.org/officeDocument/2006/relationships/header" Target="header30.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4" Type="http://schemas.openxmlformats.org/officeDocument/2006/relationships/image" Target="media/image8.png"/><Relationship Id="rId52" Type="http://schemas.openxmlformats.org/officeDocument/2006/relationships/header" Target="header22.xml"/><Relationship Id="rId60" Type="http://schemas.openxmlformats.org/officeDocument/2006/relationships/header" Target="header29.xml"/><Relationship Id="rId65" Type="http://schemas.openxmlformats.org/officeDocument/2006/relationships/header" Target="header3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image" Target="media/image7.png"/><Relationship Id="rId48" Type="http://schemas.openxmlformats.org/officeDocument/2006/relationships/image" Target="media/image12.png"/><Relationship Id="rId56" Type="http://schemas.openxmlformats.org/officeDocument/2006/relationships/header" Target="header25.xml"/><Relationship Id="rId64" Type="http://schemas.openxmlformats.org/officeDocument/2006/relationships/header" Target="header33.xml"/><Relationship Id="rId8" Type="http://schemas.openxmlformats.org/officeDocument/2006/relationships/image" Target="media/image1.png"/><Relationship Id="rId51" Type="http://schemas.openxmlformats.org/officeDocument/2006/relationships/header" Target="header21.xml"/><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image" Target="media/image2.png"/><Relationship Id="rId46" Type="http://schemas.openxmlformats.org/officeDocument/2006/relationships/image" Target="media/image10.png"/><Relationship Id="rId59" Type="http://schemas.openxmlformats.org/officeDocument/2006/relationships/header" Target="header28.xml"/><Relationship Id="rId67" Type="http://schemas.openxmlformats.org/officeDocument/2006/relationships/fontTable" Target="fontTable.xml"/><Relationship Id="rId20" Type="http://schemas.openxmlformats.org/officeDocument/2006/relationships/header" Target="header6.xml"/><Relationship Id="rId41" Type="http://schemas.openxmlformats.org/officeDocument/2006/relationships/image" Target="media/image5.png"/><Relationship Id="rId54" Type="http://schemas.openxmlformats.org/officeDocument/2006/relationships/header" Target="header24.xml"/><Relationship Id="rId62" Type="http://schemas.openxmlformats.org/officeDocument/2006/relationships/header" Target="header3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312</Pages>
  <Words>68417</Words>
  <Characters>325670</Characters>
  <Application>Microsoft Office Word</Application>
  <DocSecurity>0</DocSecurity>
  <Lines>11631</Lines>
  <Paragraphs>8210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385877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1995 - 11-m0-04</dc:title>
  <dc:subject/>
  <dc:creator/>
  <cp:keywords/>
  <dc:description/>
  <cp:lastModifiedBy>svcMRProcess</cp:lastModifiedBy>
  <cp:revision>4</cp:revision>
  <cp:lastPrinted>2013-01-29T08:00:00Z</cp:lastPrinted>
  <dcterms:created xsi:type="dcterms:W3CDTF">2020-02-23T08:52:00Z</dcterms:created>
  <dcterms:modified xsi:type="dcterms:W3CDTF">2020-02-23T08:53:00Z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20130619</vt:lpwstr>
  </property>
  <property fmtid="{D5CDD505-2E9C-101B-9397-08002B2CF9AE}" pid="4" name="DocumentType">
    <vt:lpwstr>Reg</vt:lpwstr>
  </property>
  <property fmtid="{D5CDD505-2E9C-101B-9397-08002B2CF9AE}" pid="5" name="OwlsUID">
    <vt:i4>4447</vt:i4>
  </property>
  <property fmtid="{D5CDD505-2E9C-101B-9397-08002B2CF9AE}" pid="6" name="AsAtDate">
    <vt:lpwstr>19 Jun 2013</vt:lpwstr>
  </property>
  <property fmtid="{D5CDD505-2E9C-101B-9397-08002B2CF9AE}" pid="7" name="Suffix">
    <vt:lpwstr>11-m0-04</vt:lpwstr>
  </property>
  <property fmtid="{D5CDD505-2E9C-101B-9397-08002B2CF9AE}" pid="8" name="ReprintNo">
    <vt:lpwstr>11</vt:lpwstr>
  </property>
  <property fmtid="{D5CDD505-2E9C-101B-9397-08002B2CF9AE}" pid="9" name="ReprintedAsAt">
    <vt:filetime>2012-04-12T16:00:00Z</vt:filetime>
  </property>
</Properties>
</file>