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Agricultural Produce Commission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June 2013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Agricultural Produce Commission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_Toc473715715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_Toc473715716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_Toc473715717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Agricultural Produce Commission</w:t>
      </w:r>
    </w:p>
    <w:p>
      <w:pPr>
        <w:pStyle w:val="TOC8"/>
        <w:rPr>
          <w:rFonts w:asciiTheme="minorHAnsi" w:eastAsiaTheme="minorEastAsia" w:hAnsiTheme="minorHAnsi" w:cstheme="minorBidi"/>
          <w:szCs w:val="22"/>
        </w:rPr>
      </w:pPr>
      <w:r>
        <w:t>4</w:t>
      </w:r>
      <w:r>
        <w:rPr>
          <w:snapToGrid w:val="0"/>
        </w:rPr>
        <w:t>.</w:t>
      </w:r>
      <w:r>
        <w:rPr>
          <w:snapToGrid w:val="0"/>
        </w:rPr>
        <w:tab/>
      </w:r>
      <w:r>
        <w:t>Agricultural</w:t>
      </w:r>
      <w:r>
        <w:rPr>
          <w:snapToGrid w:val="0"/>
        </w:rPr>
        <w:t xml:space="preserve"> Produce Commission established</w:t>
      </w:r>
      <w:r>
        <w:tab/>
      </w:r>
      <w:r>
        <w:fldChar w:fldCharType="begin"/>
      </w:r>
      <w:r>
        <w:instrText xml:space="preserve"> PAGEREF _Toc473715719 \h </w:instrText>
      </w:r>
      <w:r>
        <w:fldChar w:fldCharType="separate"/>
      </w:r>
      <w:r>
        <w:t>3</w:t>
      </w:r>
      <w:r>
        <w:fldChar w:fldCharType="end"/>
      </w:r>
    </w:p>
    <w:p>
      <w:pPr>
        <w:pStyle w:val="TOC8"/>
        <w:rPr>
          <w:rFonts w:asciiTheme="minorHAnsi" w:eastAsiaTheme="minorEastAsia" w:hAnsiTheme="minorHAnsi" w:cstheme="minorBidi"/>
          <w:szCs w:val="22"/>
        </w:rPr>
      </w:pPr>
      <w:r>
        <w:t>5.</w:t>
      </w:r>
      <w:r>
        <w:tab/>
        <w:t>Constitution of Commission</w:t>
      </w:r>
      <w:r>
        <w:tab/>
      </w:r>
      <w:r>
        <w:fldChar w:fldCharType="begin"/>
      </w:r>
      <w:r>
        <w:instrText xml:space="preserve"> PAGEREF _Toc473715720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of Commission</w:t>
      </w:r>
      <w:r>
        <w:tab/>
      </w:r>
      <w:r>
        <w:fldChar w:fldCharType="begin"/>
      </w:r>
      <w:r>
        <w:instrText xml:space="preserve"> PAGEREF _Toc473715721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Directions by Minister</w:t>
      </w:r>
      <w:r>
        <w:tab/>
      </w:r>
      <w:r>
        <w:fldChar w:fldCharType="begin"/>
      </w:r>
      <w:r>
        <w:instrText xml:space="preserve"> PAGEREF _Toc473715722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Minister to have access to information</w:t>
      </w:r>
      <w:r>
        <w:tab/>
      </w:r>
      <w:r>
        <w:fldChar w:fldCharType="begin"/>
      </w:r>
      <w:r>
        <w:instrText xml:space="preserve"> PAGEREF _Toc473715723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Funds of Commission</w:t>
      </w:r>
      <w:r>
        <w:tab/>
      </w:r>
      <w:r>
        <w:fldChar w:fldCharType="begin"/>
      </w:r>
      <w:r>
        <w:instrText xml:space="preserve"> PAGEREF _Toc473715724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funds</w:t>
      </w:r>
      <w:r>
        <w:tab/>
      </w:r>
      <w:r>
        <w:fldChar w:fldCharType="begin"/>
      </w:r>
      <w:r>
        <w:instrText xml:space="preserve"> PAGEREF _Toc473715725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Officers</w:t>
      </w:r>
      <w:r>
        <w:tab/>
      </w:r>
      <w:r>
        <w:fldChar w:fldCharType="begin"/>
      </w:r>
      <w:r>
        <w:instrText xml:space="preserve"> PAGEREF _Toc473715726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Producers’ committees</w:t>
      </w:r>
    </w:p>
    <w:p>
      <w:pPr>
        <w:pStyle w:val="TOC8"/>
        <w:rPr>
          <w:rFonts w:asciiTheme="minorHAnsi" w:eastAsiaTheme="minorEastAsia" w:hAnsiTheme="minorHAnsi" w:cstheme="minorBidi"/>
          <w:szCs w:val="22"/>
        </w:rPr>
      </w:pPr>
      <w:r>
        <w:t>10</w:t>
      </w:r>
      <w:r>
        <w:rPr>
          <w:snapToGrid w:val="0"/>
        </w:rPr>
        <w:t>.</w:t>
      </w:r>
      <w:r>
        <w:rPr>
          <w:snapToGrid w:val="0"/>
        </w:rPr>
        <w:tab/>
        <w:t>Preliminary requirements for establishment of producers’ committees</w:t>
      </w:r>
      <w:r>
        <w:tab/>
      </w:r>
      <w:r>
        <w:fldChar w:fldCharType="begin"/>
      </w:r>
      <w:r>
        <w:instrText xml:space="preserve"> PAGEREF _Toc473715728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Establishment of producers’ committee</w:t>
      </w:r>
      <w:r>
        <w:tab/>
      </w:r>
      <w:r>
        <w:fldChar w:fldCharType="begin"/>
      </w:r>
      <w:r>
        <w:instrText xml:space="preserve"> PAGEREF _Toc473715729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Functions of producers’ committee</w:t>
      </w:r>
      <w:r>
        <w:tab/>
      </w:r>
      <w:r>
        <w:fldChar w:fldCharType="begin"/>
      </w:r>
      <w:r>
        <w:instrText xml:space="preserve"> PAGEREF _Toc473715730 \h </w:instrText>
      </w:r>
      <w:r>
        <w:fldChar w:fldCharType="separate"/>
      </w:r>
      <w:r>
        <w:t>12</w:t>
      </w:r>
      <w:r>
        <w:fldChar w:fldCharType="end"/>
      </w:r>
    </w:p>
    <w:p>
      <w:pPr>
        <w:pStyle w:val="TOC8"/>
        <w:rPr>
          <w:rFonts w:asciiTheme="minorHAnsi" w:eastAsiaTheme="minorEastAsia" w:hAnsiTheme="minorHAnsi" w:cstheme="minorBidi"/>
          <w:szCs w:val="22"/>
        </w:rPr>
      </w:pPr>
      <w:r>
        <w:t>12A.</w:t>
      </w:r>
      <w:r>
        <w:tab/>
        <w:t>Powers of officers, employees and other persons</w:t>
      </w:r>
      <w:r>
        <w:tab/>
      </w:r>
      <w:r>
        <w:fldChar w:fldCharType="begin"/>
      </w:r>
      <w:r>
        <w:instrText xml:space="preserve"> PAGEREF _Toc473715731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to require information</w:t>
      </w:r>
      <w:r>
        <w:tab/>
      </w:r>
      <w:r>
        <w:fldChar w:fldCharType="begin"/>
      </w:r>
      <w:r>
        <w:instrText xml:space="preserve"> PAGEREF _Toc473715732 \h </w:instrText>
      </w:r>
      <w:r>
        <w:fldChar w:fldCharType="separate"/>
      </w:r>
      <w:r>
        <w:t>15</w:t>
      </w:r>
      <w:r>
        <w:fldChar w:fldCharType="end"/>
      </w:r>
    </w:p>
    <w:p>
      <w:pPr>
        <w:pStyle w:val="TOC8"/>
        <w:rPr>
          <w:rFonts w:asciiTheme="minorHAnsi" w:eastAsiaTheme="minorEastAsia" w:hAnsiTheme="minorHAnsi" w:cstheme="minorBidi"/>
          <w:szCs w:val="22"/>
        </w:rPr>
      </w:pPr>
      <w:r>
        <w:t>14.</w:t>
      </w:r>
      <w:r>
        <w:tab/>
        <w:t>Imposition of charges for services</w:t>
      </w:r>
      <w:r>
        <w:tab/>
      </w:r>
      <w:r>
        <w:fldChar w:fldCharType="begin"/>
      </w:r>
      <w:r>
        <w:instrText xml:space="preserve"> PAGEREF _Toc473715733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Dissolution of producers’ committee</w:t>
      </w:r>
      <w:r>
        <w:tab/>
      </w:r>
      <w:r>
        <w:fldChar w:fldCharType="begin"/>
      </w:r>
      <w:r>
        <w:instrText xml:space="preserve"> PAGEREF _Toc473715734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List of producers</w:t>
      </w:r>
      <w:r>
        <w:tab/>
      </w:r>
      <w:r>
        <w:fldChar w:fldCharType="begin"/>
      </w:r>
      <w:r>
        <w:instrText xml:space="preserve"> PAGEREF _Toc473715735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polls</w:t>
      </w:r>
      <w:r>
        <w:tab/>
      </w:r>
      <w:r>
        <w:fldChar w:fldCharType="begin"/>
      </w:r>
      <w:r>
        <w:instrText xml:space="preserve"> PAGEREF _Toc473715736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Accounts</w:t>
      </w:r>
      <w:r>
        <w:tab/>
      </w:r>
      <w:r>
        <w:fldChar w:fldCharType="begin"/>
      </w:r>
      <w:r>
        <w:instrText xml:space="preserve"> PAGEREF _Toc473715737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Voluntary associations of producers</w:t>
      </w:r>
      <w:r>
        <w:tab/>
      </w:r>
      <w:r>
        <w:fldChar w:fldCharType="begin"/>
      </w:r>
      <w:r>
        <w:instrText xml:space="preserve"> PAGEREF _Toc473715738 \h </w:instrText>
      </w:r>
      <w:r>
        <w:fldChar w:fldCharType="separate"/>
      </w:r>
      <w:r>
        <w:t>18</w:t>
      </w:r>
      <w:r>
        <w:fldChar w:fldCharType="end"/>
      </w:r>
    </w:p>
    <w:p>
      <w:pPr>
        <w:pStyle w:val="TOC8"/>
        <w:rPr>
          <w:rFonts w:asciiTheme="minorHAnsi" w:eastAsiaTheme="minorEastAsia" w:hAnsiTheme="minorHAnsi" w:cstheme="minorBidi"/>
          <w:szCs w:val="22"/>
        </w:rPr>
      </w:pPr>
      <w:r>
        <w:t>19A.</w:t>
      </w:r>
      <w:r>
        <w:tab/>
        <w:t>Application to commercial and non</w:t>
      </w:r>
      <w:r>
        <w:noBreakHyphen/>
        <w:t>commercial producers of provisions relating to control of certain pests or diseases</w:t>
      </w:r>
      <w:r>
        <w:tab/>
      </w:r>
      <w:r>
        <w:fldChar w:fldCharType="begin"/>
      </w:r>
      <w:r>
        <w:instrText xml:space="preserve"> PAGEREF _Toc473715739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20</w:t>
      </w:r>
      <w:r>
        <w:rPr>
          <w:snapToGrid w:val="0"/>
        </w:rPr>
        <w:t>.</w:t>
      </w:r>
      <w:r>
        <w:rPr>
          <w:snapToGrid w:val="0"/>
        </w:rPr>
        <w:tab/>
        <w:t>Financial provisions</w:t>
      </w:r>
      <w:r>
        <w:tab/>
      </w:r>
      <w:r>
        <w:fldChar w:fldCharType="begin"/>
      </w:r>
      <w:r>
        <w:instrText xml:space="preserve"> PAGEREF _Toc473715741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Authentication</w:t>
      </w:r>
      <w:r>
        <w:tab/>
      </w:r>
      <w:r>
        <w:fldChar w:fldCharType="begin"/>
      </w:r>
      <w:r>
        <w:instrText xml:space="preserve"> PAGEREF _Toc473715742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Recovery of charges</w:t>
      </w:r>
      <w:r>
        <w:tab/>
      </w:r>
      <w:r>
        <w:fldChar w:fldCharType="begin"/>
      </w:r>
      <w:r>
        <w:instrText xml:space="preserve"> PAGEREF _Toc473715743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Evidentiary</w:t>
      </w:r>
      <w:r>
        <w:tab/>
      </w:r>
      <w:r>
        <w:fldChar w:fldCharType="begin"/>
      </w:r>
      <w:r>
        <w:instrText xml:space="preserve"> PAGEREF _Toc473715744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Protection of members</w:t>
      </w:r>
      <w:r>
        <w:tab/>
      </w:r>
      <w:r>
        <w:fldChar w:fldCharType="begin"/>
      </w:r>
      <w:r>
        <w:instrText xml:space="preserve"> PAGEREF _Toc473715745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_Toc473715746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Review</w:t>
      </w:r>
      <w:r>
        <w:tab/>
      </w:r>
      <w:r>
        <w:fldChar w:fldCharType="begin"/>
      </w:r>
      <w:r>
        <w:instrText xml:space="preserve"> PAGEREF _Toc473715747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 The Commission and its proceedings</w:t>
      </w:r>
    </w:p>
    <w:p>
      <w:pPr>
        <w:pStyle w:val="TOC8"/>
        <w:rPr>
          <w:rFonts w:asciiTheme="minorHAnsi" w:eastAsiaTheme="minorEastAsia" w:hAnsiTheme="minorHAnsi" w:cstheme="minorBidi"/>
          <w:szCs w:val="22"/>
        </w:rPr>
      </w:pPr>
      <w:r>
        <w:t>1</w:t>
      </w:r>
      <w:r>
        <w:rPr>
          <w:snapToGrid w:val="0"/>
        </w:rPr>
        <w:t>.</w:t>
      </w:r>
      <w:r>
        <w:rPr>
          <w:snapToGrid w:val="0"/>
        </w:rPr>
        <w:tab/>
        <w:t>Term of office of member of Commission</w:t>
      </w:r>
      <w:r>
        <w:tab/>
      </w:r>
      <w:r>
        <w:fldChar w:fldCharType="begin"/>
      </w:r>
      <w:r>
        <w:instrText xml:space="preserve"> PAGEREF _Toc473715749 \h </w:instrText>
      </w:r>
      <w:r>
        <w:fldChar w:fldCharType="separate"/>
      </w:r>
      <w:r>
        <w:t>24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Remuneration of member of Commission</w:t>
      </w:r>
      <w:r>
        <w:tab/>
      </w:r>
      <w:r>
        <w:fldChar w:fldCharType="begin"/>
      </w:r>
      <w:r>
        <w:instrText xml:space="preserve"> PAGEREF _Toc473715750 \h </w:instrText>
      </w:r>
      <w:r>
        <w:fldChar w:fldCharType="separate"/>
      </w:r>
      <w:r>
        <w:t>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Casual vacancies</w:t>
      </w:r>
      <w:r>
        <w:tab/>
      </w:r>
      <w:r>
        <w:fldChar w:fldCharType="begin"/>
      </w:r>
      <w:r>
        <w:instrText xml:space="preserve"> PAGEREF _Toc473715751 \h </w:instrText>
      </w:r>
      <w:r>
        <w:fldChar w:fldCharType="separate"/>
      </w:r>
      <w:r>
        <w:t>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Vacation of office</w:t>
      </w:r>
      <w:r>
        <w:tab/>
      </w:r>
      <w:r>
        <w:fldChar w:fldCharType="begin"/>
      </w:r>
      <w:r>
        <w:instrText xml:space="preserve"> PAGEREF _Toc473715752 \h </w:instrText>
      </w:r>
      <w:r>
        <w:fldChar w:fldCharType="separate"/>
      </w:r>
      <w:r>
        <w:t>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Disclosure</w:t>
      </w:r>
      <w:r>
        <w:tab/>
      </w:r>
      <w:r>
        <w:fldChar w:fldCharType="begin"/>
      </w:r>
      <w:r>
        <w:instrText xml:space="preserve"> PAGEREF _Toc473715753 \h </w:instrText>
      </w:r>
      <w:r>
        <w:fldChar w:fldCharType="separate"/>
      </w:r>
      <w:r>
        <w:t>25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_Toc473715754 \h </w:instrText>
      </w:r>
      <w:r>
        <w:fldChar w:fldCharType="separate"/>
      </w:r>
      <w:r>
        <w:t>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Resolution without meeting</w:t>
      </w:r>
      <w:r>
        <w:tab/>
      </w:r>
      <w:r>
        <w:fldChar w:fldCharType="begin"/>
      </w:r>
      <w:r>
        <w:instrText xml:space="preserve"> PAGEREF _Toc473715755 \h </w:instrText>
      </w:r>
      <w:r>
        <w:fldChar w:fldCharType="separate"/>
      </w:r>
      <w:r>
        <w:t>26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Procedures of Commission</w:t>
      </w:r>
      <w:r>
        <w:tab/>
      </w:r>
      <w:r>
        <w:fldChar w:fldCharType="begin"/>
      </w:r>
      <w:r>
        <w:instrText xml:space="preserve"> PAGEREF _Toc473715756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Validity of acts of Commission</w:t>
      </w:r>
      <w:r>
        <w:tab/>
      </w:r>
      <w:r>
        <w:fldChar w:fldCharType="begin"/>
      </w:r>
      <w:r>
        <w:instrText xml:space="preserve"> PAGEREF _Toc473715757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_Toc473715759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June 2013</w:t>
            </w:r>
          </w:p>
        </w:tc>
      </w:tr>
    </w:tbl>
    <w:p>
      <w:pPr>
        <w:pStyle w:val="WA"/>
        <w:spacing w:before="12"/>
      </w:pPr>
      <w:r>
        <w:t>Western Australia</w:t>
      </w:r>
    </w:p>
    <w:p>
      <w:pPr>
        <w:pStyle w:val="NameofActReg"/>
      </w:pPr>
      <w:r>
        <w:t>Agricultural Produce Commission Act 1988</w:t>
      </w:r>
    </w:p>
    <w:p>
      <w:pPr>
        <w:pStyle w:val="LongTitle"/>
      </w:pPr>
      <w:r>
        <w:t>An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 and</w:t>
      </w:r>
    </w:p>
    <w:p>
      <w:pPr>
        <w:pStyle w:val="LongTitle2"/>
      </w:pPr>
      <w:r>
        <w:tab/>
        <w:t>•</w:t>
      </w:r>
      <w:r>
        <w:tab/>
        <w:t>define the functions of the Commission and producers’ committees; and</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rPr>
          <w:snapToGrid w:val="0"/>
          <w:vertAlign w:val="superscript"/>
        </w:rPr>
        <w:t> 2</w:t>
      </w:r>
      <w:r>
        <w:t>,</w:t>
      </w:r>
    </w:p>
    <w:p>
      <w:pPr>
        <w:pStyle w:val="LongTitle"/>
        <w:spacing w:before="80"/>
      </w:pPr>
      <w:r>
        <w:t>and for related purposes.</w:t>
      </w:r>
    </w:p>
    <w:p>
      <w:pPr>
        <w:pStyle w:val="Footnotelongtitle"/>
      </w:pPr>
      <w:r>
        <w:tab/>
        <w:t>[Long title inserted: No. 20 of 2000 s. 4.]</w:t>
      </w:r>
    </w:p>
    <w:p>
      <w:pPr>
        <w:pStyle w:val="Heading2"/>
      </w:pPr>
      <w:bookmarkStart w:id="3" w:name="_Toc381872552"/>
      <w:bookmarkStart w:id="4" w:name="_Toc381873898"/>
      <w:bookmarkStart w:id="5" w:name="_Toc412557126"/>
      <w:bookmarkStart w:id="6" w:name="_Toc412557199"/>
      <w:bookmarkStart w:id="7" w:name="_Toc47371571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81873899"/>
      <w:bookmarkStart w:id="9" w:name="_Toc473715715"/>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 No. 20 of 2000 s. 5.]</w:t>
      </w:r>
    </w:p>
    <w:p>
      <w:pPr>
        <w:pStyle w:val="Heading5"/>
        <w:rPr>
          <w:snapToGrid w:val="0"/>
        </w:rPr>
      </w:pPr>
      <w:bookmarkStart w:id="10" w:name="_Toc381873900"/>
      <w:bookmarkStart w:id="11" w:name="_Toc473715716"/>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2" w:name="_Toc381873901"/>
      <w:bookmarkStart w:id="13" w:name="_Toc473715717"/>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agricultural industry</w:t>
      </w:r>
      <w:r>
        <w:t xml:space="preserve"> means a horticultural industry and such other agricultural industry as may be prescribed but excluding broadacre cropping and grazing industries;</w:t>
      </w:r>
    </w:p>
    <w:p>
      <w:pPr>
        <w:pStyle w:val="Defstart"/>
      </w:pPr>
      <w:r>
        <w:tab/>
      </w:r>
      <w:r>
        <w:rPr>
          <w:rStyle w:val="CharDefText"/>
        </w:rPr>
        <w:t>agricultural produce</w:t>
      </w:r>
      <w:r>
        <w:t xml:space="preserve"> means the produce of an agricultural industry;</w:t>
      </w:r>
    </w:p>
    <w:p>
      <w:pPr>
        <w:pStyle w:val="Defstart"/>
      </w:pPr>
      <w:r>
        <w:rPr>
          <w:b/>
        </w:rPr>
        <w:tab/>
      </w:r>
      <w:r>
        <w:rPr>
          <w:rStyle w:val="CharDefText"/>
        </w:rPr>
        <w:t>Commission</w:t>
      </w:r>
      <w:r>
        <w:t xml:space="preserve"> means the Agricultural Produce Commission established under section 4;</w:t>
      </w:r>
    </w:p>
    <w:p>
      <w:pPr>
        <w:pStyle w:val="Defstart"/>
      </w:pPr>
      <w:r>
        <w:rPr>
          <w:b/>
        </w:rPr>
        <w:tab/>
      </w:r>
      <w:r>
        <w:rPr>
          <w:rStyle w:val="CharDefText"/>
        </w:rPr>
        <w:t>member</w:t>
      </w:r>
      <w:r>
        <w:t xml:space="preserve"> in relation to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r>
      <w:r>
        <w:rPr>
          <w:rStyle w:val="CharDefText"/>
        </w:rPr>
        <w:t>producers’ committee</w:t>
      </w:r>
      <w:r>
        <w:t xml:space="preserve"> means a producers’ committee established under section 11.</w:t>
      </w:r>
    </w:p>
    <w:p>
      <w:pPr>
        <w:pStyle w:val="Ednotesubsection"/>
      </w:pPr>
      <w:r>
        <w:tab/>
        <w:t>[(2)</w:t>
      </w:r>
      <w:r>
        <w:tab/>
        <w:t>deleted]</w:t>
      </w:r>
    </w:p>
    <w:p>
      <w:pPr>
        <w:pStyle w:val="Footnotesection"/>
      </w:pPr>
      <w:r>
        <w:tab/>
        <w:t>[Section 3 amended: No. 9 of 1998 s. 16; No. 20 of 2000 s. 6.]</w:t>
      </w:r>
    </w:p>
    <w:p>
      <w:pPr>
        <w:pStyle w:val="Heading2"/>
      </w:pPr>
      <w:bookmarkStart w:id="14" w:name="_Toc381872556"/>
      <w:bookmarkStart w:id="15" w:name="_Toc381873902"/>
      <w:bookmarkStart w:id="16" w:name="_Toc412557130"/>
      <w:bookmarkStart w:id="17" w:name="_Toc412557203"/>
      <w:bookmarkStart w:id="18" w:name="_Toc473715718"/>
      <w:r>
        <w:rPr>
          <w:rStyle w:val="CharPartNo"/>
        </w:rPr>
        <w:t>Part 2</w:t>
      </w:r>
      <w:r>
        <w:t> — </w:t>
      </w:r>
      <w:r>
        <w:rPr>
          <w:rStyle w:val="CharPartText"/>
        </w:rPr>
        <w:t>Agricultural Produce Commission</w:t>
      </w:r>
      <w:bookmarkEnd w:id="14"/>
      <w:bookmarkEnd w:id="15"/>
      <w:bookmarkEnd w:id="16"/>
      <w:bookmarkEnd w:id="17"/>
      <w:bookmarkEnd w:id="18"/>
    </w:p>
    <w:p>
      <w:pPr>
        <w:pStyle w:val="Footnoteheading"/>
        <w:ind w:left="890"/>
      </w:pPr>
      <w:r>
        <w:tab/>
        <w:t>[Heading inserted: No. 20 of 2000 s. 7.]</w:t>
      </w:r>
    </w:p>
    <w:p>
      <w:pPr>
        <w:pStyle w:val="Heading5"/>
        <w:rPr>
          <w:snapToGrid w:val="0"/>
        </w:rPr>
      </w:pPr>
      <w:bookmarkStart w:id="19" w:name="_Toc381873903"/>
      <w:bookmarkStart w:id="20" w:name="_Toc473715719"/>
      <w:r>
        <w:rPr>
          <w:rStyle w:val="CharSectno"/>
        </w:rPr>
        <w:t>4</w:t>
      </w:r>
      <w:r>
        <w:rPr>
          <w:snapToGrid w:val="0"/>
        </w:rPr>
        <w:t>.</w:t>
      </w:r>
      <w:r>
        <w:rPr>
          <w:snapToGrid w:val="0"/>
        </w:rPr>
        <w:tab/>
      </w:r>
      <w:r>
        <w:t>Agricultural</w:t>
      </w:r>
      <w:r>
        <w:rPr>
          <w:snapToGrid w:val="0"/>
        </w:rPr>
        <w:t xml:space="preserve"> Produce Commission established</w:t>
      </w:r>
      <w:bookmarkEnd w:id="19"/>
      <w:bookmarkEnd w:id="20"/>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managing, leasing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No. 20 of 2000 s. 8 and 27.]</w:t>
      </w:r>
    </w:p>
    <w:p>
      <w:pPr>
        <w:pStyle w:val="Heading5"/>
      </w:pPr>
      <w:bookmarkStart w:id="21" w:name="_Toc381873904"/>
      <w:bookmarkStart w:id="22" w:name="_Toc473715720"/>
      <w:r>
        <w:rPr>
          <w:rStyle w:val="CharSectno"/>
        </w:rPr>
        <w:t>5</w:t>
      </w:r>
      <w:r>
        <w:t>.</w:t>
      </w:r>
      <w:r>
        <w:tab/>
        <w:t>Constitution of Commission</w:t>
      </w:r>
      <w:bookmarkEnd w:id="21"/>
      <w:bookmarkEnd w:id="22"/>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No. 20 of 2000 s. 9.]</w:t>
      </w:r>
    </w:p>
    <w:p>
      <w:pPr>
        <w:pStyle w:val="Heading5"/>
        <w:rPr>
          <w:snapToGrid w:val="0"/>
        </w:rPr>
      </w:pPr>
      <w:bookmarkStart w:id="23" w:name="_Toc381873905"/>
      <w:bookmarkStart w:id="24" w:name="_Toc473715721"/>
      <w:r>
        <w:rPr>
          <w:rStyle w:val="CharSectno"/>
        </w:rPr>
        <w:t>6</w:t>
      </w:r>
      <w:r>
        <w:rPr>
          <w:snapToGrid w:val="0"/>
        </w:rPr>
        <w:t>.</w:t>
      </w:r>
      <w:r>
        <w:rPr>
          <w:snapToGrid w:val="0"/>
        </w:rPr>
        <w:tab/>
        <w:t>Functions of Commission</w:t>
      </w:r>
      <w:bookmarkEnd w:id="23"/>
      <w:bookmarkEnd w:id="24"/>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 and</w:t>
      </w:r>
    </w:p>
    <w:p>
      <w:pPr>
        <w:pStyle w:val="Indenta"/>
        <w:rPr>
          <w:snapToGrid w:val="0"/>
        </w:rPr>
      </w:pPr>
      <w:r>
        <w:rPr>
          <w:snapToGrid w:val="0"/>
        </w:rPr>
        <w:tab/>
        <w:t>(b)</w:t>
      </w:r>
      <w:r>
        <w:rPr>
          <w:snapToGrid w:val="0"/>
        </w:rPr>
        <w:tab/>
        <w:t>appoint members to producers’ committees; and</w:t>
      </w:r>
    </w:p>
    <w:p>
      <w:pPr>
        <w:pStyle w:val="Indenta"/>
        <w:rPr>
          <w:snapToGrid w:val="0"/>
        </w:rPr>
      </w:pPr>
      <w:r>
        <w:rPr>
          <w:snapToGrid w:val="0"/>
        </w:rPr>
        <w:tab/>
        <w:t>(c)</w:t>
      </w:r>
      <w:r>
        <w:rPr>
          <w:snapToGrid w:val="0"/>
        </w:rPr>
        <w:tab/>
        <w:t>advertise for the formation of producers’ committees; and</w:t>
      </w:r>
    </w:p>
    <w:p>
      <w:pPr>
        <w:pStyle w:val="Indenta"/>
        <w:rPr>
          <w:snapToGrid w:val="0"/>
        </w:rPr>
      </w:pPr>
      <w:r>
        <w:rPr>
          <w:snapToGrid w:val="0"/>
        </w:rPr>
        <w:tab/>
        <w:t>(d)</w:t>
      </w:r>
      <w:r>
        <w:rPr>
          <w:snapToGrid w:val="0"/>
        </w:rPr>
        <w:tab/>
        <w:t>conduct polls as prescribed under this Act for the purposes of the establishment and operation of producers’ committees; and</w:t>
      </w:r>
    </w:p>
    <w:p>
      <w:pPr>
        <w:pStyle w:val="Indenta"/>
        <w:rPr>
          <w:snapToGrid w:val="0"/>
        </w:rPr>
      </w:pPr>
      <w:r>
        <w:rPr>
          <w:snapToGrid w:val="0"/>
        </w:rPr>
        <w:tab/>
        <w:t>(e)</w:t>
      </w:r>
      <w:r>
        <w:rPr>
          <w:snapToGrid w:val="0"/>
        </w:rPr>
        <w:tab/>
        <w:t>dissolve producers’ committees and appoint liquidators for the winding up of producers’ committees; and</w:t>
      </w:r>
    </w:p>
    <w:p>
      <w:pPr>
        <w:pStyle w:val="Indenta"/>
        <w:rPr>
          <w:snapToGrid w:val="0"/>
        </w:rPr>
      </w:pPr>
      <w:r>
        <w:rPr>
          <w:snapToGrid w:val="0"/>
        </w:rPr>
        <w:tab/>
        <w:t>(f)</w:t>
      </w:r>
      <w:r>
        <w:rPr>
          <w:snapToGrid w:val="0"/>
        </w:rPr>
        <w:tab/>
        <w:t>provide such services in relation to the functioning of producers’ committees as are necessary from time to time; and</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 or</w:t>
      </w:r>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[Section 6 amended: No. 29 of 1993 s. 4; No. 20 of 2000 s. 10, 28 and 31.]</w:t>
      </w:r>
    </w:p>
    <w:p>
      <w:pPr>
        <w:pStyle w:val="Heading5"/>
        <w:rPr>
          <w:snapToGrid w:val="0"/>
        </w:rPr>
      </w:pPr>
      <w:bookmarkStart w:id="25" w:name="_Toc381873906"/>
      <w:bookmarkStart w:id="26" w:name="_Toc473715722"/>
      <w:r>
        <w:rPr>
          <w:rStyle w:val="CharSectno"/>
        </w:rPr>
        <w:t>6A</w:t>
      </w:r>
      <w:r>
        <w:rPr>
          <w:snapToGrid w:val="0"/>
        </w:rPr>
        <w:t>.</w:t>
      </w:r>
      <w:r>
        <w:rPr>
          <w:snapToGrid w:val="0"/>
        </w:rPr>
        <w:tab/>
        <w:t>Directions by Minister</w:t>
      </w:r>
      <w:bookmarkEnd w:id="25"/>
      <w:bookmarkEnd w:id="26"/>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[Section 6A inserted: No. 29 of 1993 s. 5; amended: No. 77 of 2006 Sch. 1 cl. 3(1).]</w:t>
      </w:r>
    </w:p>
    <w:p>
      <w:pPr>
        <w:pStyle w:val="Heading5"/>
        <w:rPr>
          <w:snapToGrid w:val="0"/>
        </w:rPr>
      </w:pPr>
      <w:bookmarkStart w:id="27" w:name="_Toc381873907"/>
      <w:bookmarkStart w:id="28" w:name="_Toc473715723"/>
      <w:r>
        <w:rPr>
          <w:rStyle w:val="CharSectno"/>
        </w:rPr>
        <w:t>6B</w:t>
      </w:r>
      <w:r>
        <w:rPr>
          <w:snapToGrid w:val="0"/>
        </w:rPr>
        <w:t>.</w:t>
      </w:r>
      <w:r>
        <w:rPr>
          <w:snapToGrid w:val="0"/>
        </w:rPr>
        <w:tab/>
        <w:t>Minister to have access to information</w:t>
      </w:r>
      <w:bookmarkEnd w:id="27"/>
      <w:bookmarkEnd w:id="2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bookmarkStart w:id="29" w:name="endcomma"/>
      <w:bookmarkEnd w:id="29"/>
      <w:r>
        <w:rPr>
          <w:rStyle w:val="CharDefText"/>
        </w:rPr>
        <w:t>parliamentary purposes</w:t>
      </w:r>
      <w:r>
        <w:t xml:space="preserve"> </w:t>
      </w:r>
      <w:bookmarkStart w:id="30" w:name="comma"/>
      <w:bookmarkEnd w:id="30"/>
      <w:r>
        <w:t>means the purpose of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6B inserted: No. 29 of 1993 s. 5.]</w:t>
      </w:r>
    </w:p>
    <w:p>
      <w:pPr>
        <w:pStyle w:val="Heading5"/>
        <w:rPr>
          <w:snapToGrid w:val="0"/>
        </w:rPr>
      </w:pPr>
      <w:bookmarkStart w:id="31" w:name="_Toc381873908"/>
      <w:bookmarkStart w:id="32" w:name="_Toc473715724"/>
      <w:r>
        <w:rPr>
          <w:rStyle w:val="CharSectno"/>
        </w:rPr>
        <w:t>7</w:t>
      </w:r>
      <w:r>
        <w:rPr>
          <w:snapToGrid w:val="0"/>
        </w:rPr>
        <w:t>.</w:t>
      </w:r>
      <w:r>
        <w:rPr>
          <w:snapToGrid w:val="0"/>
        </w:rPr>
        <w:tab/>
        <w:t>Funds of Commission</w:t>
      </w:r>
      <w:bookmarkEnd w:id="31"/>
      <w:bookmarkEnd w:id="32"/>
    </w:p>
    <w:p>
      <w:pPr>
        <w:pStyle w:val="Subsection"/>
        <w:rPr>
          <w:snapToGrid w:val="0"/>
        </w:rPr>
      </w:pPr>
      <w:r>
        <w:rPr>
          <w:snapToGrid w:val="0"/>
        </w:rPr>
        <w:tab/>
        <w:t>(1)</w:t>
      </w:r>
      <w:r>
        <w:rPr>
          <w:snapToGrid w:val="0"/>
        </w:rPr>
        <w:tab/>
        <w:t>The funds of the Commission shall consist of —</w:t>
      </w:r>
    </w:p>
    <w:p>
      <w:pPr>
        <w:pStyle w:val="Indenta"/>
        <w:rPr>
          <w:snapToGrid w:val="0"/>
        </w:rPr>
      </w:pPr>
      <w:r>
        <w:rPr>
          <w:snapToGrid w:val="0"/>
        </w:rPr>
        <w:tab/>
        <w:t>(a)</w:t>
      </w:r>
      <w:r>
        <w:rPr>
          <w:snapToGrid w:val="0"/>
        </w:rPr>
        <w:tab/>
      </w:r>
      <w:r>
        <w:t>charges received by the Commission for</w:t>
      </w:r>
      <w:r>
        <w:rPr>
          <w:snapToGrid w:val="0"/>
        </w:rPr>
        <w:t xml:space="preserve"> services provided by the Commission to producers’ committees; and</w:t>
      </w:r>
    </w:p>
    <w:p>
      <w:pPr>
        <w:pStyle w:val="Indenta"/>
        <w:rPr>
          <w:snapToGrid w:val="0"/>
        </w:rPr>
      </w:pPr>
      <w:r>
        <w:rPr>
          <w:snapToGrid w:val="0"/>
        </w:rPr>
        <w:tab/>
        <w:t>(b)</w:t>
      </w:r>
      <w:r>
        <w:rPr>
          <w:snapToGrid w:val="0"/>
        </w:rPr>
        <w:tab/>
        <w:t>moneys paid to the Commission upon the dissolution of any producers’ committee under section 15; and</w:t>
      </w:r>
    </w:p>
    <w:p>
      <w:pPr>
        <w:pStyle w:val="Indenta"/>
        <w:rPr>
          <w:snapToGrid w:val="0"/>
        </w:rPr>
      </w:pPr>
      <w:r>
        <w:rPr>
          <w:snapToGrid w:val="0"/>
        </w:rPr>
        <w:tab/>
        <w:t>(c)</w:t>
      </w:r>
      <w:r>
        <w:rPr>
          <w:snapToGrid w:val="0"/>
        </w:rPr>
        <w:tab/>
        <w:t>such moneys as may be lawfully received by the Commission.</w:t>
      </w:r>
    </w:p>
    <w:p>
      <w:pPr>
        <w:pStyle w:val="Subsection"/>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[Section 7 amended: No. 49 of 1996 s. 64; No. 20 of 2000 s. 11, 27 and 31; No. 28 of 2006 s. 7; No. 77 of 2006 Sch. 1 cl. 3(2).]</w:t>
      </w:r>
    </w:p>
    <w:p>
      <w:pPr>
        <w:pStyle w:val="Heading5"/>
        <w:rPr>
          <w:snapToGrid w:val="0"/>
        </w:rPr>
      </w:pPr>
      <w:bookmarkStart w:id="33" w:name="_Toc381873909"/>
      <w:bookmarkStart w:id="34" w:name="_Toc473715725"/>
      <w:r>
        <w:rPr>
          <w:rStyle w:val="CharSectno"/>
        </w:rPr>
        <w:t>8</w:t>
      </w:r>
      <w:r>
        <w:rPr>
          <w:snapToGrid w:val="0"/>
        </w:rPr>
        <w:t>.</w:t>
      </w:r>
      <w:r>
        <w:rPr>
          <w:snapToGrid w:val="0"/>
        </w:rPr>
        <w:tab/>
        <w:t>Application of funds</w:t>
      </w:r>
      <w:bookmarkEnd w:id="33"/>
      <w:bookmarkEnd w:id="34"/>
    </w:p>
    <w:p>
      <w:pPr>
        <w:pStyle w:val="Subsection"/>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rPr>
          <w:snapToGrid w:val="0"/>
        </w:rPr>
      </w:pPr>
      <w:bookmarkStart w:id="35" w:name="_Toc381873910"/>
      <w:bookmarkStart w:id="36" w:name="_Toc473715726"/>
      <w:r>
        <w:rPr>
          <w:rStyle w:val="CharSectno"/>
        </w:rPr>
        <w:t>9</w:t>
      </w:r>
      <w:r>
        <w:rPr>
          <w:snapToGrid w:val="0"/>
        </w:rPr>
        <w:t>.</w:t>
      </w:r>
      <w:r>
        <w:rPr>
          <w:snapToGrid w:val="0"/>
        </w:rPr>
        <w:tab/>
        <w:t>Officers</w:t>
      </w:r>
      <w:bookmarkEnd w:id="35"/>
      <w:bookmarkEnd w:id="36"/>
    </w:p>
    <w:p>
      <w:pPr>
        <w:pStyle w:val="Subsection"/>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37" w:name="_Toc381872565"/>
      <w:bookmarkStart w:id="38" w:name="_Toc381873911"/>
      <w:bookmarkStart w:id="39" w:name="_Toc412557139"/>
      <w:bookmarkStart w:id="40" w:name="_Toc412557212"/>
      <w:bookmarkStart w:id="41" w:name="_Toc473715727"/>
      <w:r>
        <w:rPr>
          <w:rStyle w:val="CharPartNo"/>
        </w:rPr>
        <w:t>Part 3</w:t>
      </w:r>
      <w:r>
        <w:t> — </w:t>
      </w:r>
      <w:r>
        <w:rPr>
          <w:rStyle w:val="CharPartText"/>
        </w:rPr>
        <w:t>Producers’ committees</w:t>
      </w:r>
      <w:bookmarkEnd w:id="37"/>
      <w:bookmarkEnd w:id="38"/>
      <w:bookmarkEnd w:id="39"/>
      <w:bookmarkEnd w:id="40"/>
      <w:bookmarkEnd w:id="41"/>
    </w:p>
    <w:p>
      <w:pPr>
        <w:pStyle w:val="Footnoteheading"/>
        <w:ind w:left="890"/>
      </w:pPr>
      <w:r>
        <w:tab/>
        <w:t>[Heading inserted: No. 20 of 2000 s. 12.]</w:t>
      </w:r>
    </w:p>
    <w:p>
      <w:pPr>
        <w:pStyle w:val="Heading5"/>
        <w:rPr>
          <w:snapToGrid w:val="0"/>
        </w:rPr>
      </w:pPr>
      <w:bookmarkStart w:id="42" w:name="_Toc381873912"/>
      <w:bookmarkStart w:id="43" w:name="_Toc473715728"/>
      <w:r>
        <w:rPr>
          <w:rStyle w:val="CharSectno"/>
        </w:rPr>
        <w:t>10</w:t>
      </w:r>
      <w:r>
        <w:rPr>
          <w:snapToGrid w:val="0"/>
        </w:rPr>
        <w:t>.</w:t>
      </w:r>
      <w:r>
        <w:rPr>
          <w:snapToGrid w:val="0"/>
        </w:rPr>
        <w:tab/>
        <w:t>Preliminary requirements for establishment of producers’ committees</w:t>
      </w:r>
      <w:bookmarkEnd w:id="42"/>
      <w:bookmarkEnd w:id="43"/>
    </w:p>
    <w:p>
      <w:pPr>
        <w:pStyle w:val="Subsection"/>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rPr>
          <w:snapToGrid w:val="0"/>
        </w:rPr>
      </w:pPr>
      <w:r>
        <w:rPr>
          <w:snapToGrid w:val="0"/>
        </w:rPr>
        <w:tab/>
        <w:t>(2)</w:t>
      </w:r>
      <w:r>
        <w:rPr>
          <w:snapToGrid w:val="0"/>
        </w:rPr>
        <w:tab/>
        <w:t>A notice referred to in subsection (1) —</w:t>
      </w:r>
    </w:p>
    <w:p>
      <w:pPr>
        <w:pStyle w:val="Indenta"/>
        <w:rPr>
          <w:snapToGrid w:val="0"/>
        </w:rPr>
      </w:pPr>
      <w:r>
        <w:rPr>
          <w:snapToGrid w:val="0"/>
        </w:rPr>
        <w:tab/>
        <w:t>(a)</w:t>
      </w:r>
      <w:r>
        <w:rPr>
          <w:snapToGrid w:val="0"/>
        </w:rPr>
        <w:tab/>
        <w:t>shall be published in the manner directed by the Minister; and</w:t>
      </w:r>
    </w:p>
    <w:p>
      <w:pPr>
        <w:pStyle w:val="Indenta"/>
        <w:rPr>
          <w:snapToGrid w:val="0"/>
        </w:rPr>
      </w:pPr>
      <w:r>
        <w:rPr>
          <w:snapToGrid w:val="0"/>
        </w:rPr>
        <w:tab/>
        <w:t>(b)</w:t>
      </w:r>
      <w:r>
        <w:rPr>
          <w:snapToGrid w:val="0"/>
        </w:rPr>
        <w:tab/>
        <w:t>shall explain in simple terms the objects sought to be effected by the proposal; and</w:t>
      </w:r>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 and</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t>deleted]</w:t>
      </w:r>
    </w:p>
    <w:p>
      <w:pPr>
        <w:pStyle w:val="Subsection"/>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[Section 10 amended: No. 29 of 1993 s. 6; No. 20 of 2000 s. 13, 28, 29, 30 and 31.]</w:t>
      </w:r>
    </w:p>
    <w:p>
      <w:pPr>
        <w:pStyle w:val="Heading5"/>
        <w:rPr>
          <w:snapToGrid w:val="0"/>
        </w:rPr>
      </w:pPr>
      <w:bookmarkStart w:id="44" w:name="_Toc381873913"/>
      <w:bookmarkStart w:id="45" w:name="_Toc473715729"/>
      <w:r>
        <w:rPr>
          <w:rStyle w:val="CharSectno"/>
        </w:rPr>
        <w:t>11</w:t>
      </w:r>
      <w:r>
        <w:rPr>
          <w:snapToGrid w:val="0"/>
        </w:rPr>
        <w:t>.</w:t>
      </w:r>
      <w:r>
        <w:rPr>
          <w:snapToGrid w:val="0"/>
        </w:rPr>
        <w:tab/>
        <w:t>Establishment of producers’ committee</w:t>
      </w:r>
      <w:bookmarkEnd w:id="44"/>
      <w:bookmarkEnd w:id="45"/>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w:t>
      </w:r>
    </w:p>
    <w:p>
      <w:pPr>
        <w:pStyle w:val="Indenta"/>
        <w:rPr>
          <w:snapToGrid w:val="0"/>
        </w:rPr>
      </w:pPr>
      <w:r>
        <w:rPr>
          <w:snapToGrid w:val="0"/>
        </w:rPr>
        <w:tab/>
        <w:t>(a)</w:t>
      </w:r>
      <w:r>
        <w:rPr>
          <w:snapToGrid w:val="0"/>
        </w:rPr>
        <w:tab/>
        <w:t>specify —</w:t>
      </w:r>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No. 20 of 2000 s. 14, 28, 30 and 31.]</w:t>
      </w:r>
    </w:p>
    <w:p>
      <w:pPr>
        <w:pStyle w:val="Heading5"/>
        <w:rPr>
          <w:snapToGrid w:val="0"/>
        </w:rPr>
      </w:pPr>
      <w:bookmarkStart w:id="46" w:name="_Toc381873914"/>
      <w:bookmarkStart w:id="47" w:name="_Toc473715730"/>
      <w:r>
        <w:rPr>
          <w:rStyle w:val="CharSectno"/>
        </w:rPr>
        <w:t>12</w:t>
      </w:r>
      <w:r>
        <w:rPr>
          <w:snapToGrid w:val="0"/>
        </w:rPr>
        <w:t>.</w:t>
      </w:r>
      <w:r>
        <w:rPr>
          <w:snapToGrid w:val="0"/>
        </w:rPr>
        <w:tab/>
        <w:t>Functions of producers’ committee</w:t>
      </w:r>
      <w:bookmarkEnd w:id="46"/>
      <w:bookmarkEnd w:id="47"/>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place">
        <w:smartTag w:uri="urn:schemas-microsoft-com:office:smarttags" w:element="Stat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[Section 12 amended: No. 73 of 1994 s. 4; No. 49 of 1996 s. 64; No. 20 of 2000 s. 15, 28, 30 and 31.]</w:t>
      </w:r>
    </w:p>
    <w:p>
      <w:pPr>
        <w:pStyle w:val="Heading5"/>
      </w:pPr>
      <w:bookmarkStart w:id="48" w:name="_Toc381873915"/>
      <w:bookmarkStart w:id="49" w:name="_Toc473715731"/>
      <w:r>
        <w:rPr>
          <w:rStyle w:val="CharSectno"/>
        </w:rPr>
        <w:t>12A</w:t>
      </w:r>
      <w:r>
        <w:t>.</w:t>
      </w:r>
      <w:r>
        <w:tab/>
        <w:t>Powers of officers, employees and other persons</w:t>
      </w:r>
      <w:bookmarkEnd w:id="48"/>
      <w:bookmarkEnd w:id="49"/>
      <w:r>
        <w:t xml:space="preserve"> </w:t>
      </w:r>
    </w:p>
    <w:p>
      <w:pPr>
        <w:pStyle w:val="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Subsection"/>
      </w:pPr>
      <w:r>
        <w:tab/>
        <w:t>(2)</w:t>
      </w:r>
      <w:r>
        <w:tab/>
        <w:t xml:space="preserve">A person must not enter an orchard under subsection (1) unless — </w:t>
      </w:r>
    </w:p>
    <w:p>
      <w:pPr>
        <w:pStyle w:val="Indenta"/>
      </w:pPr>
      <w:r>
        <w:rPr>
          <w:szCs w:val="22"/>
        </w:rPr>
        <w:tab/>
        <w:t>(a)</w:t>
      </w:r>
      <w:r>
        <w:rPr>
          <w:szCs w:val="22"/>
        </w:rPr>
        <w:tab/>
        <w:t>the person has taken reasonable steps to give the owner or occupier of the orchard notice of the intended entry; or</w:t>
      </w:r>
    </w:p>
    <w:p>
      <w:pPr>
        <w:pStyle w:val="Indenta"/>
      </w:pPr>
      <w:r>
        <w:tab/>
        <w:t>(b)</w:t>
      </w:r>
      <w:r>
        <w:tab/>
        <w:t>the owner or occupier of the orchard consents to the entry.</w:t>
      </w:r>
    </w:p>
    <w:p>
      <w:pPr>
        <w:pStyle w:val="Subsection"/>
      </w:pPr>
      <w:r>
        <w:tab/>
        <w:t>(3)</w:t>
      </w:r>
      <w:r>
        <w:tab/>
        <w:t>The notice must specify the purpose for which the entry is required and successive entries for that purpose are to be regarded as entries to which the notice relates.</w:t>
      </w:r>
    </w:p>
    <w:p>
      <w:pPr>
        <w:pStyle w:val="Subsection"/>
      </w:pPr>
      <w:r>
        <w:tab/>
        <w:t>(4)</w:t>
      </w:r>
      <w:r>
        <w:tab/>
        <w:t>The notice must be given not less than 24 hours before the power of entry is exercised.</w:t>
      </w:r>
    </w:p>
    <w:p>
      <w:pPr>
        <w:pStyle w:val="Subsection"/>
        <w:rPr>
          <w:snapToGrid w:val="0"/>
        </w:rPr>
      </w:pPr>
      <w:r>
        <w:rPr>
          <w:snapToGrid w:val="0"/>
        </w:rPr>
        <w:tab/>
        <w:t>(5)</w:t>
      </w:r>
      <w:r>
        <w:rPr>
          <w:snapToGrid w:val="0"/>
        </w:rPr>
        <w:tab/>
        <w:t xml:space="preserve">In subsection (1) — </w:t>
      </w:r>
    </w:p>
    <w:p>
      <w:pPr>
        <w:pStyle w:val="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Footnotesection"/>
      </w:pPr>
      <w:r>
        <w:tab/>
        <w:t>[Section 12A inserted: No. 24 of 2007 s. 63.]</w:t>
      </w:r>
    </w:p>
    <w:p>
      <w:pPr>
        <w:pStyle w:val="Heading5"/>
        <w:rPr>
          <w:snapToGrid w:val="0"/>
        </w:rPr>
      </w:pPr>
      <w:bookmarkStart w:id="50" w:name="_Toc381873916"/>
      <w:bookmarkStart w:id="51" w:name="_Toc473715732"/>
      <w:r>
        <w:rPr>
          <w:rStyle w:val="CharSectno"/>
        </w:rPr>
        <w:t>13</w:t>
      </w:r>
      <w:r>
        <w:rPr>
          <w:snapToGrid w:val="0"/>
        </w:rPr>
        <w:t>.</w:t>
      </w:r>
      <w:r>
        <w:rPr>
          <w:snapToGrid w:val="0"/>
        </w:rPr>
        <w:tab/>
        <w:t>Power to require information</w:t>
      </w:r>
      <w:bookmarkEnd w:id="50"/>
      <w:bookmarkEnd w:id="51"/>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 No. 20 of 2000 s. 16 and 29.]</w:t>
      </w:r>
    </w:p>
    <w:p>
      <w:pPr>
        <w:pStyle w:val="Heading5"/>
      </w:pPr>
      <w:bookmarkStart w:id="52" w:name="_Toc381873917"/>
      <w:bookmarkStart w:id="53" w:name="_Toc473715733"/>
      <w:r>
        <w:rPr>
          <w:rStyle w:val="CharSectno"/>
        </w:rPr>
        <w:t>14</w:t>
      </w:r>
      <w:r>
        <w:t>.</w:t>
      </w:r>
      <w:r>
        <w:tab/>
        <w:t>Imposition of charges for services</w:t>
      </w:r>
      <w:bookmarkEnd w:id="52"/>
      <w:bookmarkEnd w:id="53"/>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 No. 20 of 2000 s. 17.]</w:t>
      </w:r>
    </w:p>
    <w:p>
      <w:pPr>
        <w:pStyle w:val="Heading5"/>
        <w:rPr>
          <w:snapToGrid w:val="0"/>
        </w:rPr>
      </w:pPr>
      <w:bookmarkStart w:id="54" w:name="_Toc381873918"/>
      <w:bookmarkStart w:id="55" w:name="_Toc473715734"/>
      <w:r>
        <w:rPr>
          <w:rStyle w:val="CharSectno"/>
        </w:rPr>
        <w:t>15</w:t>
      </w:r>
      <w:r>
        <w:rPr>
          <w:snapToGrid w:val="0"/>
        </w:rPr>
        <w:t>.</w:t>
      </w:r>
      <w:r>
        <w:rPr>
          <w:snapToGrid w:val="0"/>
        </w:rPr>
        <w:tab/>
        <w:t>Dissolution of producers’ committee</w:t>
      </w:r>
      <w:bookmarkEnd w:id="54"/>
      <w:bookmarkEnd w:id="55"/>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w:t>
      </w:r>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 No. 20 of 2000 s. 18, 29, 30 and 31.]</w:t>
      </w:r>
    </w:p>
    <w:p>
      <w:pPr>
        <w:pStyle w:val="Heading5"/>
        <w:rPr>
          <w:snapToGrid w:val="0"/>
        </w:rPr>
      </w:pPr>
      <w:bookmarkStart w:id="56" w:name="_Toc381873919"/>
      <w:bookmarkStart w:id="57" w:name="_Toc473715735"/>
      <w:r>
        <w:rPr>
          <w:rStyle w:val="CharSectno"/>
        </w:rPr>
        <w:t>16</w:t>
      </w:r>
      <w:r>
        <w:rPr>
          <w:snapToGrid w:val="0"/>
        </w:rPr>
        <w:t>.</w:t>
      </w:r>
      <w:r>
        <w:rPr>
          <w:snapToGrid w:val="0"/>
        </w:rPr>
        <w:tab/>
        <w:t>List of producers</w:t>
      </w:r>
      <w:bookmarkEnd w:id="56"/>
      <w:bookmarkEnd w:id="57"/>
    </w:p>
    <w:p>
      <w:pPr>
        <w:pStyle w:val="Subsection"/>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Footnotesection"/>
      </w:pPr>
      <w:r>
        <w:tab/>
        <w:t>[Section 16 amended: No. 20 of 2000 s. 19, 30 and 31; No. 55 of 2004 s. 22.]</w:t>
      </w:r>
    </w:p>
    <w:p>
      <w:pPr>
        <w:pStyle w:val="Heading5"/>
        <w:rPr>
          <w:snapToGrid w:val="0"/>
        </w:rPr>
      </w:pPr>
      <w:bookmarkStart w:id="58" w:name="_Toc381873920"/>
      <w:bookmarkStart w:id="59" w:name="_Toc473715736"/>
      <w:r>
        <w:rPr>
          <w:rStyle w:val="CharSectno"/>
        </w:rPr>
        <w:t>17</w:t>
      </w:r>
      <w:r>
        <w:rPr>
          <w:snapToGrid w:val="0"/>
        </w:rPr>
        <w:t>.</w:t>
      </w:r>
      <w:r>
        <w:rPr>
          <w:snapToGrid w:val="0"/>
        </w:rPr>
        <w:tab/>
        <w:t>Conduct of polls</w:t>
      </w:r>
      <w:bookmarkEnd w:id="58"/>
      <w:bookmarkEnd w:id="59"/>
    </w:p>
    <w:p>
      <w:pPr>
        <w:pStyle w:val="Subsection"/>
        <w:rPr>
          <w:snapToGrid w:val="0"/>
        </w:rPr>
      </w:pPr>
      <w:r>
        <w:rPr>
          <w:snapToGrid w:val="0"/>
        </w:rPr>
        <w:tab/>
        <w:t>(1)</w:t>
      </w:r>
      <w:r>
        <w:rPr>
          <w:snapToGrid w:val="0"/>
        </w:rPr>
        <w:tab/>
        <w:t>A poll conducted for the purposes of this Act shall be conducted in accordance with the regulations.</w:t>
      </w:r>
    </w:p>
    <w:p>
      <w:pPr>
        <w:pStyle w:val="Subsection"/>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 No. 20 of 2000 s. 31.]</w:t>
      </w:r>
    </w:p>
    <w:p>
      <w:pPr>
        <w:pStyle w:val="Heading5"/>
        <w:rPr>
          <w:snapToGrid w:val="0"/>
        </w:rPr>
      </w:pPr>
      <w:bookmarkStart w:id="60" w:name="_Toc381873921"/>
      <w:bookmarkStart w:id="61" w:name="_Toc473715737"/>
      <w:r>
        <w:rPr>
          <w:rStyle w:val="CharSectno"/>
        </w:rPr>
        <w:t>18</w:t>
      </w:r>
      <w:r>
        <w:rPr>
          <w:snapToGrid w:val="0"/>
        </w:rPr>
        <w:t>.</w:t>
      </w:r>
      <w:r>
        <w:rPr>
          <w:snapToGrid w:val="0"/>
        </w:rPr>
        <w:tab/>
        <w:t>Accounts</w:t>
      </w:r>
      <w:bookmarkEnd w:id="60"/>
      <w:bookmarkEnd w:id="61"/>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[Section 18 amended: No. 49 of 1996 s. 64; No. 20 of 2000 s. 20 and 31.]</w:t>
      </w:r>
    </w:p>
    <w:p>
      <w:pPr>
        <w:pStyle w:val="Heading5"/>
        <w:rPr>
          <w:snapToGrid w:val="0"/>
        </w:rPr>
      </w:pPr>
      <w:bookmarkStart w:id="62" w:name="_Toc381873922"/>
      <w:bookmarkStart w:id="63" w:name="_Toc473715738"/>
      <w:r>
        <w:rPr>
          <w:rStyle w:val="CharSectno"/>
        </w:rPr>
        <w:t>19</w:t>
      </w:r>
      <w:r>
        <w:rPr>
          <w:snapToGrid w:val="0"/>
        </w:rPr>
        <w:t>.</w:t>
      </w:r>
      <w:r>
        <w:rPr>
          <w:snapToGrid w:val="0"/>
        </w:rPr>
        <w:tab/>
        <w:t>Voluntary associations of producers</w:t>
      </w:r>
      <w:bookmarkEnd w:id="62"/>
      <w:bookmarkEnd w:id="63"/>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No. 20 of 2000 s. 21, 28, 30 and 31.]</w:t>
      </w:r>
    </w:p>
    <w:p>
      <w:pPr>
        <w:pStyle w:val="Heading5"/>
      </w:pPr>
      <w:bookmarkStart w:id="64" w:name="_Toc381873923"/>
      <w:bookmarkStart w:id="65" w:name="_Toc473715739"/>
      <w:r>
        <w:rPr>
          <w:rStyle w:val="CharSectno"/>
        </w:rPr>
        <w:t>19A</w:t>
      </w:r>
      <w:r>
        <w:t>.</w:t>
      </w:r>
      <w:r>
        <w:tab/>
        <w:t>Application to commercial and non</w:t>
      </w:r>
      <w:r>
        <w:noBreakHyphen/>
        <w:t>commercial producers of provisions relating to control of certain pests or diseases</w:t>
      </w:r>
      <w:bookmarkEnd w:id="64"/>
      <w:bookmarkEnd w:id="65"/>
    </w:p>
    <w:p>
      <w:pPr>
        <w:pStyle w:val="Subsection"/>
      </w:pPr>
      <w:r>
        <w:tab/>
        <w:t>(1)</w:t>
      </w:r>
      <w:r>
        <w:tab/>
        <w:t xml:space="preserve">Where this section applies, a reference in this Act to a </w:t>
      </w:r>
      <w:r>
        <w:rPr>
          <w:rStyle w:val="CharDefText"/>
        </w:rPr>
        <w:t>producer</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No. 20 of 2000 s. 22.]</w:t>
      </w:r>
    </w:p>
    <w:p>
      <w:pPr>
        <w:pStyle w:val="Heading2"/>
      </w:pPr>
      <w:bookmarkStart w:id="66" w:name="_Toc381872578"/>
      <w:bookmarkStart w:id="67" w:name="_Toc381873924"/>
      <w:bookmarkStart w:id="68" w:name="_Toc412557152"/>
      <w:bookmarkStart w:id="69" w:name="_Toc412557225"/>
      <w:bookmarkStart w:id="70" w:name="_Toc473715740"/>
      <w:r>
        <w:rPr>
          <w:rStyle w:val="CharPartNo"/>
        </w:rPr>
        <w:t>Part 4</w:t>
      </w:r>
      <w:r>
        <w:rPr>
          <w:rStyle w:val="CharDivNo"/>
        </w:rPr>
        <w:t> </w:t>
      </w:r>
      <w:r>
        <w:t>—</w:t>
      </w:r>
      <w:r>
        <w:rPr>
          <w:rStyle w:val="CharDivText"/>
        </w:rPr>
        <w:t> </w:t>
      </w:r>
      <w:r>
        <w:rPr>
          <w:rStyle w:val="CharPartText"/>
        </w:rPr>
        <w:t>Miscellaneous</w:t>
      </w:r>
      <w:bookmarkEnd w:id="66"/>
      <w:bookmarkEnd w:id="67"/>
      <w:bookmarkEnd w:id="68"/>
      <w:bookmarkEnd w:id="69"/>
      <w:bookmarkEnd w:id="70"/>
    </w:p>
    <w:p>
      <w:pPr>
        <w:pStyle w:val="Heading5"/>
        <w:rPr>
          <w:snapToGrid w:val="0"/>
        </w:rPr>
      </w:pPr>
      <w:bookmarkStart w:id="71" w:name="_Toc381873925"/>
      <w:bookmarkStart w:id="72" w:name="_Toc473715741"/>
      <w:r>
        <w:rPr>
          <w:rStyle w:val="CharSectno"/>
        </w:rPr>
        <w:t>20</w:t>
      </w:r>
      <w:r>
        <w:rPr>
          <w:snapToGrid w:val="0"/>
        </w:rPr>
        <w:t>.</w:t>
      </w:r>
      <w:r>
        <w:rPr>
          <w:snapToGrid w:val="0"/>
        </w:rPr>
        <w:tab/>
        <w:t>Financial provisions</w:t>
      </w:r>
      <w:bookmarkEnd w:id="71"/>
      <w:bookmarkEnd w:id="72"/>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No. 20 of 2000 s. 31; No. 77 of 2006 Sch. 1 cl. 3(3).]</w:t>
      </w:r>
    </w:p>
    <w:p>
      <w:pPr>
        <w:pStyle w:val="Heading5"/>
        <w:rPr>
          <w:snapToGrid w:val="0"/>
        </w:rPr>
      </w:pPr>
      <w:bookmarkStart w:id="73" w:name="_Toc381873926"/>
      <w:bookmarkStart w:id="74" w:name="_Toc473715742"/>
      <w:r>
        <w:rPr>
          <w:rStyle w:val="CharSectno"/>
        </w:rPr>
        <w:t>21</w:t>
      </w:r>
      <w:r>
        <w:rPr>
          <w:snapToGrid w:val="0"/>
        </w:rPr>
        <w:t>.</w:t>
      </w:r>
      <w:r>
        <w:rPr>
          <w:snapToGrid w:val="0"/>
        </w:rPr>
        <w:tab/>
        <w:t>Authentication</w:t>
      </w:r>
      <w:bookmarkEnd w:id="73"/>
      <w:bookmarkEnd w:id="74"/>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75" w:name="_Toc381873927"/>
      <w:bookmarkStart w:id="76" w:name="_Toc473715743"/>
      <w:r>
        <w:rPr>
          <w:rStyle w:val="CharSectno"/>
        </w:rPr>
        <w:t>22</w:t>
      </w:r>
      <w:r>
        <w:rPr>
          <w:snapToGrid w:val="0"/>
        </w:rPr>
        <w:t>.</w:t>
      </w:r>
      <w:r>
        <w:rPr>
          <w:snapToGrid w:val="0"/>
        </w:rPr>
        <w:tab/>
        <w:t>Recovery of charges</w:t>
      </w:r>
      <w:bookmarkEnd w:id="75"/>
      <w:bookmarkEnd w:id="76"/>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deleted]</w:t>
      </w:r>
    </w:p>
    <w:p>
      <w:pPr>
        <w:pStyle w:val="Footnotesection"/>
      </w:pPr>
      <w:r>
        <w:tab/>
        <w:t>[Section 22 amended: No. 49 of 1996 s. 64; No. 20 of 2000 s. 23 and 31.]</w:t>
      </w:r>
    </w:p>
    <w:p>
      <w:pPr>
        <w:pStyle w:val="Heading5"/>
        <w:rPr>
          <w:snapToGrid w:val="0"/>
        </w:rPr>
      </w:pPr>
      <w:bookmarkStart w:id="77" w:name="_Toc381873928"/>
      <w:bookmarkStart w:id="78" w:name="_Toc473715744"/>
      <w:r>
        <w:rPr>
          <w:rStyle w:val="CharSectno"/>
        </w:rPr>
        <w:t>23</w:t>
      </w:r>
      <w:r>
        <w:rPr>
          <w:snapToGrid w:val="0"/>
        </w:rPr>
        <w:t>.</w:t>
      </w:r>
      <w:r>
        <w:rPr>
          <w:snapToGrid w:val="0"/>
        </w:rPr>
        <w:tab/>
        <w:t>Evidentiary</w:t>
      </w:r>
      <w:bookmarkEnd w:id="77"/>
      <w:bookmarkEnd w:id="78"/>
    </w:p>
    <w:p>
      <w:pPr>
        <w:pStyle w:val="Subsection"/>
        <w:keepNext/>
        <w:keepLines/>
        <w:rPr>
          <w:snapToGrid w:val="0"/>
        </w:rPr>
      </w:pPr>
      <w:r>
        <w:rPr>
          <w:snapToGrid w:val="0"/>
        </w:rPr>
        <w:tab/>
      </w:r>
      <w:r>
        <w:rPr>
          <w:snapToGrid w:val="0"/>
        </w:rPr>
        <w:tab/>
        <w:t>In any legal proceedings —</w:t>
      </w:r>
    </w:p>
    <w:p>
      <w:pPr>
        <w:pStyle w:val="Indenta"/>
        <w:rPr>
          <w:snapToGrid w:val="0"/>
        </w:rPr>
      </w:pPr>
      <w:r>
        <w:rPr>
          <w:snapToGrid w:val="0"/>
        </w:rPr>
        <w:tab/>
        <w:t>(a)</w:t>
      </w:r>
      <w:r>
        <w:rPr>
          <w:snapToGrid w:val="0"/>
        </w:rPr>
        <w:tab/>
        <w:t>until evidence is given to the contrary proof is not required of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averment on behalf of the Commission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 or</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keepNext/>
        <w:rPr>
          <w:snapToGrid w:val="0"/>
        </w:rPr>
      </w:pPr>
      <w:r>
        <w:rPr>
          <w:snapToGrid w:val="0"/>
        </w:rPr>
        <w:tab/>
        <w:t>(d)</w:t>
      </w:r>
      <w:r>
        <w:rPr>
          <w:snapToGrid w:val="0"/>
        </w:rPr>
        <w:tab/>
        <w:t>a certificate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No. 20 of 2000 s. 28, 29, 30 and 31.]</w:t>
      </w:r>
    </w:p>
    <w:p>
      <w:pPr>
        <w:pStyle w:val="Heading5"/>
        <w:rPr>
          <w:snapToGrid w:val="0"/>
        </w:rPr>
      </w:pPr>
      <w:bookmarkStart w:id="79" w:name="_Toc381873929"/>
      <w:bookmarkStart w:id="80" w:name="_Toc473715745"/>
      <w:r>
        <w:rPr>
          <w:rStyle w:val="CharSectno"/>
        </w:rPr>
        <w:t>24</w:t>
      </w:r>
      <w:r>
        <w:rPr>
          <w:snapToGrid w:val="0"/>
        </w:rPr>
        <w:t>.</w:t>
      </w:r>
      <w:r>
        <w:rPr>
          <w:snapToGrid w:val="0"/>
        </w:rPr>
        <w:tab/>
        <w:t>Protection of members</w:t>
      </w:r>
      <w:bookmarkEnd w:id="79"/>
      <w:bookmarkEnd w:id="80"/>
    </w:p>
    <w:p>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 No. 20 of 2000 s. 31.]</w:t>
      </w:r>
    </w:p>
    <w:p>
      <w:pPr>
        <w:pStyle w:val="Heading5"/>
        <w:rPr>
          <w:snapToGrid w:val="0"/>
        </w:rPr>
      </w:pPr>
      <w:bookmarkStart w:id="81" w:name="_Toc381873930"/>
      <w:bookmarkStart w:id="82" w:name="_Toc473715746"/>
      <w:r>
        <w:rPr>
          <w:rStyle w:val="CharSectno"/>
        </w:rPr>
        <w:t>25</w:t>
      </w:r>
      <w:r>
        <w:rPr>
          <w:snapToGrid w:val="0"/>
        </w:rPr>
        <w:t>.</w:t>
      </w:r>
      <w:r>
        <w:rPr>
          <w:snapToGrid w:val="0"/>
        </w:rPr>
        <w:tab/>
        <w:t>Regulations</w:t>
      </w:r>
      <w:bookmarkEnd w:id="81"/>
      <w:bookmarkEnd w:id="8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method of determining the eligibility of producers to be regarded as producers for the purposes of this Act; and</w:t>
      </w:r>
    </w:p>
    <w:p>
      <w:pPr>
        <w:pStyle w:val="Indenta"/>
        <w:spacing w:before="60"/>
        <w:rPr>
          <w:snapToGrid w:val="0"/>
        </w:rPr>
      </w:pPr>
      <w:r>
        <w:rPr>
          <w:snapToGrid w:val="0"/>
        </w:rPr>
        <w:tab/>
        <w:t>(b)</w:t>
      </w:r>
      <w:r>
        <w:rPr>
          <w:snapToGrid w:val="0"/>
        </w:rPr>
        <w:tab/>
        <w:t>provide for the taking of any poll including the method of voting at a poll and determining the manner in which the results of a poll shall be ascertained; and</w:t>
      </w:r>
    </w:p>
    <w:p>
      <w:pPr>
        <w:pStyle w:val="Indenta"/>
        <w:spacing w:before="60"/>
        <w:rPr>
          <w:snapToGrid w:val="0"/>
        </w:rPr>
      </w:pPr>
      <w:r>
        <w:rPr>
          <w:snapToGrid w:val="0"/>
        </w:rPr>
        <w:tab/>
        <w:t>(c)</w:t>
      </w:r>
      <w:r>
        <w:rPr>
          <w:snapToGrid w:val="0"/>
        </w:rPr>
        <w:tab/>
        <w:t>prescribe matters concerning the compilation and revision of lists of names of producers; and</w:t>
      </w:r>
    </w:p>
    <w:p>
      <w:pPr>
        <w:pStyle w:val="Indenta"/>
        <w:spacing w:before="60"/>
        <w:rPr>
          <w:snapToGrid w:val="0"/>
        </w:rPr>
      </w:pPr>
      <w:r>
        <w:rPr>
          <w:snapToGrid w:val="0"/>
        </w:rPr>
        <w:tab/>
        <w:t>(d)</w:t>
      </w:r>
      <w:r>
        <w:rPr>
          <w:snapToGrid w:val="0"/>
        </w:rPr>
        <w:tab/>
        <w:t>prescribe the manner in which the results of a poll taken under this Act shall be notified; and</w:t>
      </w:r>
    </w:p>
    <w:p>
      <w:pPr>
        <w:pStyle w:val="Indenta"/>
        <w:spacing w:before="60"/>
      </w:pPr>
      <w:r>
        <w:tab/>
        <w:t>(e)</w:t>
      </w:r>
      <w:r>
        <w:tab/>
        <w:t>require that for the purposes of this Act information relating to agricultural produce be furnished to prescribed persons or organizations; and</w:t>
      </w:r>
    </w:p>
    <w:p>
      <w:pPr>
        <w:pStyle w:val="Indenta"/>
        <w:spacing w:before="60"/>
      </w:pPr>
      <w:r>
        <w:tab/>
        <w:t>(ea)</w:t>
      </w:r>
      <w:r>
        <w:tab/>
        <w:t>prescribe the manner in which charges imposed under this Act shall be paid and collected and the persons to whom the charges shall be paid or by whom the charges shall be collected; and</w:t>
      </w:r>
    </w:p>
    <w:p>
      <w:pPr>
        <w:pStyle w:val="Indenta"/>
        <w:spacing w:before="60"/>
        <w:rPr>
          <w:snapToGrid w:val="0"/>
        </w:rPr>
      </w:pPr>
      <w:r>
        <w:rPr>
          <w:snapToGrid w:val="0"/>
        </w:rPr>
        <w:tab/>
        <w:t>(f)</w:t>
      </w:r>
      <w:r>
        <w:rPr>
          <w:snapToGrid w:val="0"/>
        </w:rPr>
        <w:tab/>
        <w:t>prescribing penalties not exceeding $2 000 for any breach of the regulations.</w:t>
      </w:r>
    </w:p>
    <w:p>
      <w:pPr>
        <w:pStyle w:val="Footnotesection"/>
        <w:spacing w:before="80"/>
      </w:pPr>
      <w:r>
        <w:tab/>
        <w:t>[Section 25 amended: No. 29 of 1993 s. 7; No. 20 of 2000 s. 24 and 30.]</w:t>
      </w:r>
    </w:p>
    <w:p>
      <w:pPr>
        <w:pStyle w:val="Heading5"/>
        <w:spacing w:before="180"/>
        <w:rPr>
          <w:snapToGrid w:val="0"/>
        </w:rPr>
      </w:pPr>
      <w:bookmarkStart w:id="83" w:name="_Toc381873931"/>
      <w:bookmarkStart w:id="84" w:name="_Toc473715747"/>
      <w:r>
        <w:rPr>
          <w:rStyle w:val="CharSectno"/>
        </w:rPr>
        <w:t>26</w:t>
      </w:r>
      <w:r>
        <w:rPr>
          <w:snapToGrid w:val="0"/>
        </w:rPr>
        <w:t>.</w:t>
      </w:r>
      <w:r>
        <w:rPr>
          <w:snapToGrid w:val="0"/>
        </w:rPr>
        <w:tab/>
        <w:t>Review</w:t>
      </w:r>
      <w:bookmarkEnd w:id="83"/>
      <w:bookmarkEnd w:id="84"/>
    </w:p>
    <w:p>
      <w:pPr>
        <w:pStyle w:val="Subsection"/>
        <w:spacing w:before="120"/>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w:t>
      </w:r>
    </w:p>
    <w:p>
      <w:pPr>
        <w:pStyle w:val="Indenta"/>
        <w:spacing w:before="60"/>
        <w:rPr>
          <w:snapToGrid w:val="0"/>
        </w:rPr>
      </w:pPr>
      <w:r>
        <w:rPr>
          <w:snapToGrid w:val="0"/>
        </w:rPr>
        <w:tab/>
        <w:t>(a)</w:t>
      </w:r>
      <w:r>
        <w:rPr>
          <w:snapToGrid w:val="0"/>
        </w:rPr>
        <w:tab/>
        <w:t>the operation of this Act; and</w:t>
      </w:r>
    </w:p>
    <w:p>
      <w:pPr>
        <w:pStyle w:val="Indenta"/>
        <w:spacing w:before="60"/>
        <w:rPr>
          <w:snapToGrid w:val="0"/>
        </w:rPr>
      </w:pPr>
      <w:r>
        <w:rPr>
          <w:snapToGrid w:val="0"/>
        </w:rPr>
        <w:tab/>
        <w:t>(b)</w:t>
      </w:r>
      <w:r>
        <w:rPr>
          <w:snapToGrid w:val="0"/>
        </w:rPr>
        <w:tab/>
        <w:t>the operation of the Commission and any producers’ committee; and</w:t>
      </w:r>
    </w:p>
    <w:p>
      <w:pPr>
        <w:pStyle w:val="Indenta"/>
        <w:spacing w:before="60"/>
        <w:rPr>
          <w:snapToGrid w:val="0"/>
        </w:rPr>
      </w:pPr>
      <w:r>
        <w:rPr>
          <w:snapToGrid w:val="0"/>
        </w:rPr>
        <w:tab/>
        <w:t>(c)</w:t>
      </w:r>
      <w:r>
        <w:rPr>
          <w:snapToGrid w:val="0"/>
        </w:rPr>
        <w:tab/>
        <w:t>the need for this Act to continue in operation.</w:t>
      </w:r>
    </w:p>
    <w:p>
      <w:pPr>
        <w:pStyle w:val="Subsection"/>
        <w:spacing w:before="120"/>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spacing w:before="80"/>
      </w:pPr>
      <w:r>
        <w:tab/>
        <w:t>[Section 26 amended: No. 20 of 2000 s. 25 and 31.]</w:t>
      </w:r>
    </w:p>
    <w:p>
      <w:pPr>
        <w:pStyle w:val="Ednotesection"/>
        <w:spacing w:before="180"/>
        <w:rPr>
          <w:i w:val="0"/>
        </w:rPr>
      </w:pPr>
      <w:r>
        <w:t>[</w:t>
      </w:r>
      <w:r>
        <w:rPr>
          <w:b/>
        </w:rPr>
        <w:t>27.</w:t>
      </w:r>
      <w:r>
        <w:rPr>
          <w:b/>
        </w:rPr>
        <w:tab/>
      </w:r>
      <w:r>
        <w:t>Omitted under the Reprints Act 1984 s. 7(4)(e).]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85" w:name="_Toc473715748"/>
      <w:bookmarkStart w:id="86" w:name="_Toc381872596"/>
      <w:bookmarkStart w:id="87" w:name="_Toc381873942"/>
      <w:bookmarkStart w:id="88" w:name="_Toc412557170"/>
      <w:bookmarkStart w:id="89" w:name="_Toc412557243"/>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The Commission and its proceedings</w:t>
      </w:r>
      <w:bookmarkEnd w:id="85"/>
    </w:p>
    <w:p>
      <w:pPr>
        <w:pStyle w:val="yShoulderClause"/>
        <w:rPr>
          <w:rFonts w:eastAsia="MS Mincho"/>
        </w:rPr>
      </w:pPr>
      <w:r>
        <w:rPr>
          <w:rFonts w:eastAsia="MS Mincho"/>
        </w:rPr>
        <w:t>[s. 5(6)]</w:t>
      </w:r>
    </w:p>
    <w:p>
      <w:pPr>
        <w:pStyle w:val="yFootnoteheading"/>
      </w:pPr>
      <w:r>
        <w:tab/>
        <w:t>[Heading inserted: No. 19 of 2010 s. 7.]</w:t>
      </w:r>
    </w:p>
    <w:p>
      <w:pPr>
        <w:pStyle w:val="yHeading5"/>
        <w:ind w:left="890" w:hanging="890"/>
        <w:outlineLvl w:val="9"/>
        <w:rPr>
          <w:snapToGrid w:val="0"/>
        </w:rPr>
      </w:pPr>
      <w:bookmarkStart w:id="90" w:name="_Toc473715749"/>
      <w:r>
        <w:rPr>
          <w:rStyle w:val="CharSClsNo"/>
        </w:rPr>
        <w:t>1</w:t>
      </w:r>
      <w:r>
        <w:rPr>
          <w:snapToGrid w:val="0"/>
        </w:rPr>
        <w:t>.</w:t>
      </w:r>
      <w:r>
        <w:rPr>
          <w:snapToGrid w:val="0"/>
        </w:rPr>
        <w:tab/>
        <w:t>Term of office of member of Commission</w:t>
      </w:r>
      <w:bookmarkEnd w:id="90"/>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91" w:name="_Toc473715750"/>
      <w:r>
        <w:rPr>
          <w:rStyle w:val="CharSClsNo"/>
        </w:rPr>
        <w:t>2</w:t>
      </w:r>
      <w:r>
        <w:rPr>
          <w:snapToGrid w:val="0"/>
        </w:rPr>
        <w:t>.</w:t>
      </w:r>
      <w:r>
        <w:rPr>
          <w:snapToGrid w:val="0"/>
        </w:rPr>
        <w:tab/>
        <w:t>Remuneration of member of Commission</w:t>
      </w:r>
      <w:bookmarkEnd w:id="91"/>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Public Sector Commissioner</w:t>
      </w:r>
      <w:r>
        <w:rPr>
          <w:snapToGrid w:val="0"/>
        </w:rPr>
        <w:t>, determines.</w:t>
      </w:r>
    </w:p>
    <w:p>
      <w:pPr>
        <w:pStyle w:val="yFootnotesection"/>
      </w:pPr>
      <w:r>
        <w:tab/>
        <w:t>[Clause 2 amended: No. 20 of 2000 s. 26(1); No. 39 of 2010 s. 89.]</w:t>
      </w:r>
    </w:p>
    <w:p>
      <w:pPr>
        <w:pStyle w:val="yHeading5"/>
        <w:ind w:left="890" w:hanging="890"/>
        <w:outlineLvl w:val="9"/>
        <w:rPr>
          <w:snapToGrid w:val="0"/>
        </w:rPr>
      </w:pPr>
      <w:bookmarkStart w:id="92" w:name="_Toc473715751"/>
      <w:r>
        <w:rPr>
          <w:rStyle w:val="CharSClsNo"/>
        </w:rPr>
        <w:t>3</w:t>
      </w:r>
      <w:r>
        <w:rPr>
          <w:snapToGrid w:val="0"/>
        </w:rPr>
        <w:t>.</w:t>
      </w:r>
      <w:r>
        <w:rPr>
          <w:snapToGrid w:val="0"/>
        </w:rPr>
        <w:tab/>
        <w:t>Casual vacancies</w:t>
      </w:r>
      <w:bookmarkEnd w:id="92"/>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93" w:name="_Toc473715752"/>
      <w:r>
        <w:rPr>
          <w:rStyle w:val="CharSClsNo"/>
        </w:rPr>
        <w:t>4</w:t>
      </w:r>
      <w:r>
        <w:rPr>
          <w:snapToGrid w:val="0"/>
        </w:rPr>
        <w:t>.</w:t>
      </w:r>
      <w:r>
        <w:rPr>
          <w:snapToGrid w:val="0"/>
        </w:rPr>
        <w:tab/>
        <w:t>Vacation of office</w:t>
      </w:r>
      <w:bookmarkEnd w:id="93"/>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is absent from 4 consecutive meetings of the Commission without the permission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Footnotesection"/>
      </w:pPr>
      <w:r>
        <w:tab/>
        <w:t>[Clause 4 amended: No. 18 of 2009 s. 7.]</w:t>
      </w:r>
    </w:p>
    <w:p>
      <w:pPr>
        <w:pStyle w:val="yHeading5"/>
        <w:ind w:left="890" w:hanging="890"/>
        <w:outlineLvl w:val="9"/>
        <w:rPr>
          <w:snapToGrid w:val="0"/>
        </w:rPr>
      </w:pPr>
      <w:bookmarkStart w:id="94" w:name="_Toc473715753"/>
      <w:r>
        <w:rPr>
          <w:rStyle w:val="CharSClsNo"/>
        </w:rPr>
        <w:t>5</w:t>
      </w:r>
      <w:r>
        <w:rPr>
          <w:snapToGrid w:val="0"/>
        </w:rPr>
        <w:t>.</w:t>
      </w:r>
      <w:r>
        <w:rPr>
          <w:snapToGrid w:val="0"/>
        </w:rPr>
        <w:tab/>
        <w:t>Disclosure</w:t>
      </w:r>
      <w:bookmarkEnd w:id="94"/>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95" w:name="_Toc473715754"/>
      <w:r>
        <w:rPr>
          <w:rStyle w:val="CharSClsNo"/>
        </w:rPr>
        <w:t>6</w:t>
      </w:r>
      <w:r>
        <w:rPr>
          <w:snapToGrid w:val="0"/>
        </w:rPr>
        <w:t>.</w:t>
      </w:r>
      <w:r>
        <w:rPr>
          <w:snapToGrid w:val="0"/>
        </w:rPr>
        <w:tab/>
        <w:t>Meetings</w:t>
      </w:r>
      <w:bookmarkEnd w:id="95"/>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Footnotesection"/>
      </w:pPr>
      <w:r>
        <w:tab/>
        <w:t>[Clause 6 amended: No. 20 of 2000 s. 26(2).]</w:t>
      </w:r>
    </w:p>
    <w:p>
      <w:pPr>
        <w:pStyle w:val="yHeading5"/>
        <w:ind w:left="890" w:hanging="890"/>
        <w:outlineLvl w:val="9"/>
        <w:rPr>
          <w:snapToGrid w:val="0"/>
        </w:rPr>
      </w:pPr>
      <w:bookmarkStart w:id="96" w:name="_Toc473715755"/>
      <w:r>
        <w:rPr>
          <w:rStyle w:val="CharSClsNo"/>
        </w:rPr>
        <w:t>7</w:t>
      </w:r>
      <w:r>
        <w:rPr>
          <w:snapToGrid w:val="0"/>
        </w:rPr>
        <w:t>.</w:t>
      </w:r>
      <w:r>
        <w:rPr>
          <w:snapToGrid w:val="0"/>
        </w:rPr>
        <w:tab/>
        <w:t>Resolution without meeting</w:t>
      </w:r>
      <w:bookmarkEnd w:id="96"/>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97" w:name="_Toc473715756"/>
      <w:r>
        <w:rPr>
          <w:rStyle w:val="CharSClsNo"/>
        </w:rPr>
        <w:t>8</w:t>
      </w:r>
      <w:r>
        <w:rPr>
          <w:snapToGrid w:val="0"/>
        </w:rPr>
        <w:t>.</w:t>
      </w:r>
      <w:r>
        <w:rPr>
          <w:snapToGrid w:val="0"/>
        </w:rPr>
        <w:tab/>
        <w:t>Procedures of Commission</w:t>
      </w:r>
      <w:bookmarkEnd w:id="97"/>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98" w:name="_Toc473715757"/>
      <w:r>
        <w:rPr>
          <w:rStyle w:val="CharSClsNo"/>
        </w:rPr>
        <w:t>9</w:t>
      </w:r>
      <w:r>
        <w:rPr>
          <w:snapToGrid w:val="0"/>
        </w:rPr>
        <w:t>.</w:t>
      </w:r>
      <w:r>
        <w:rPr>
          <w:snapToGrid w:val="0"/>
        </w:rPr>
        <w:tab/>
        <w:t>Validity of acts of Commission</w:t>
      </w:r>
      <w:bookmarkEnd w:id="98"/>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CentredBaseLine"/>
        <w:jc w:val="center"/>
      </w:pPr>
      <w:r>
        <w:rPr>
          <w:noProof/>
        </w:rPr>
        <w:drawing>
          <wp:inline distT="0" distB="0" distL="0" distR="0">
            <wp:extent cx="936625"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6625" cy="170815"/>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00" w:name="_Toc473715758"/>
      <w:r>
        <w:t>Notes</w:t>
      </w:r>
      <w:bookmarkEnd w:id="86"/>
      <w:bookmarkEnd w:id="87"/>
      <w:bookmarkEnd w:id="88"/>
      <w:bookmarkEnd w:id="89"/>
      <w:bookmarkEnd w:id="100"/>
    </w:p>
    <w:p>
      <w:pPr>
        <w:pStyle w:val="nSubsection"/>
        <w:rPr>
          <w:snapToGrid w:val="0"/>
        </w:rPr>
      </w:pPr>
      <w:r>
        <w:rPr>
          <w:snapToGrid w:val="0"/>
          <w:vertAlign w:val="superscript"/>
        </w:rPr>
        <w:t>1</w:t>
      </w:r>
      <w:r>
        <w:rPr>
          <w:snapToGrid w:val="0"/>
        </w:rPr>
        <w:tab/>
        <w:t xml:space="preserve">This reprint is a compilation as at 14 June 2013 of the </w:t>
      </w:r>
      <w:r>
        <w:rPr>
          <w:i/>
          <w:noProof/>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101" w:name="_Toc381873943"/>
      <w:bookmarkStart w:id="102" w:name="_Toc473715759"/>
      <w:r>
        <w:rPr>
          <w:snapToGrid w:val="0"/>
        </w:rPr>
        <w:t>Compilation table</w:t>
      </w:r>
      <w:bookmarkEnd w:id="101"/>
      <w:bookmarkEnd w:id="102"/>
    </w:p>
    <w:tbl>
      <w:tblPr>
        <w:tblW w:w="7089" w:type="dxa"/>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rPr>
              <w:t>Horticultural Produce Commission Act 1988</w:t>
            </w:r>
            <w:r>
              <w:rPr>
                <w:vertAlign w:val="superscript"/>
              </w:rPr>
              <w:t> 4</w:t>
            </w:r>
          </w:p>
        </w:tc>
        <w:tc>
          <w:tcPr>
            <w:tcW w:w="1135" w:type="dxa"/>
            <w:tcBorders>
              <w:top w:val="single" w:sz="8" w:space="0" w:color="auto"/>
            </w:tcBorders>
          </w:tcPr>
          <w:p>
            <w:pPr>
              <w:pStyle w:val="nTable"/>
              <w:spacing w:after="40"/>
            </w:pPr>
            <w:r>
              <w:t>75 of 1988</w:t>
            </w:r>
          </w:p>
        </w:tc>
        <w:tc>
          <w:tcPr>
            <w:tcW w:w="1135" w:type="dxa"/>
            <w:tcBorders>
              <w:top w:val="single" w:sz="8" w:space="0" w:color="auto"/>
            </w:tcBorders>
          </w:tcPr>
          <w:p>
            <w:pPr>
              <w:pStyle w:val="nTable"/>
              <w:spacing w:after="40"/>
            </w:pPr>
            <w:r>
              <w:t>23 Dec 1988</w:t>
            </w:r>
          </w:p>
        </w:tc>
        <w:tc>
          <w:tcPr>
            <w:tcW w:w="2551" w:type="dxa"/>
            <w:tcBorders>
              <w:top w:val="single" w:sz="8" w:space="0" w:color="auto"/>
            </w:tcBorders>
          </w:tcPr>
          <w:p>
            <w:pPr>
              <w:pStyle w:val="nTable"/>
              <w:spacing w:after="40"/>
            </w:pPr>
            <w:r>
              <w:t>s. 1 and 2: 23 Dec 1988;</w:t>
            </w:r>
            <w:r>
              <w:br/>
              <w:t xml:space="preserve">Act other than s. 1 and 2: 1 Sep 1989 (see s. 2 and </w:t>
            </w:r>
            <w:r>
              <w:rPr>
                <w:i/>
              </w:rPr>
              <w:t>Gazette</w:t>
            </w:r>
            <w:r>
              <w:t xml:space="preserve"> 1 Sep 1989 p. 3017)</w:t>
            </w:r>
          </w:p>
        </w:tc>
      </w:tr>
      <w:tr>
        <w:trPr>
          <w:cantSplit/>
        </w:trPr>
        <w:tc>
          <w:tcPr>
            <w:tcW w:w="2268" w:type="dxa"/>
          </w:tcPr>
          <w:p>
            <w:pPr>
              <w:pStyle w:val="nTable"/>
              <w:spacing w:after="40"/>
              <w:ind w:right="113"/>
            </w:pPr>
            <w:r>
              <w:rPr>
                <w:i/>
              </w:rPr>
              <w:t>Horticultural Produce Commission Amendment Act 1993</w:t>
            </w:r>
          </w:p>
        </w:tc>
        <w:tc>
          <w:tcPr>
            <w:tcW w:w="1135" w:type="dxa"/>
          </w:tcPr>
          <w:p>
            <w:pPr>
              <w:pStyle w:val="nTable"/>
              <w:spacing w:after="40"/>
            </w:pPr>
            <w:r>
              <w:t>29 of 1993</w:t>
            </w:r>
          </w:p>
        </w:tc>
        <w:tc>
          <w:tcPr>
            <w:tcW w:w="1135" w:type="dxa"/>
          </w:tcPr>
          <w:p>
            <w:pPr>
              <w:pStyle w:val="nTable"/>
              <w:spacing w:after="40"/>
            </w:pPr>
            <w:r>
              <w:t>15 Dec 1993</w:t>
            </w:r>
          </w:p>
        </w:tc>
        <w:tc>
          <w:tcPr>
            <w:tcW w:w="2551" w:type="dxa"/>
          </w:tcPr>
          <w:p>
            <w:pPr>
              <w:pStyle w:val="nTable"/>
              <w:spacing w:after="40"/>
            </w:pPr>
            <w:r>
              <w:t>15 Dec 1993 (see s. 2)</w:t>
            </w:r>
          </w:p>
        </w:tc>
      </w:tr>
      <w:tr>
        <w:trPr>
          <w:cantSplit/>
        </w:trPr>
        <w:tc>
          <w:tcPr>
            <w:tcW w:w="2268" w:type="dxa"/>
          </w:tcPr>
          <w:p>
            <w:pPr>
              <w:pStyle w:val="nTable"/>
              <w:spacing w:after="40"/>
              <w:ind w:right="113"/>
            </w:pPr>
            <w:r>
              <w:rPr>
                <w:i/>
              </w:rPr>
              <w:t>Statutes (Repeals and Minor Amendments) Act 1994</w:t>
            </w:r>
            <w:r>
              <w:t xml:space="preserve"> s. 4</w:t>
            </w:r>
          </w:p>
        </w:tc>
        <w:tc>
          <w:tcPr>
            <w:tcW w:w="1135" w:type="dxa"/>
          </w:tcPr>
          <w:p>
            <w:pPr>
              <w:pStyle w:val="nTable"/>
              <w:spacing w:after="40"/>
            </w:pPr>
            <w:r>
              <w:t>73 of 1994</w:t>
            </w:r>
          </w:p>
        </w:tc>
        <w:tc>
          <w:tcPr>
            <w:tcW w:w="1135"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Financial Legislation Amendment Act 1996</w:t>
            </w:r>
            <w:r>
              <w:t xml:space="preserve"> s. 64</w:t>
            </w:r>
          </w:p>
        </w:tc>
        <w:tc>
          <w:tcPr>
            <w:tcW w:w="1135" w:type="dxa"/>
          </w:tcPr>
          <w:p>
            <w:pPr>
              <w:pStyle w:val="nTable"/>
              <w:spacing w:after="40"/>
            </w:pPr>
            <w:r>
              <w:t>49 of 1996</w:t>
            </w:r>
          </w:p>
        </w:tc>
        <w:tc>
          <w:tcPr>
            <w:tcW w:w="1135"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Agricultural Legislation Amendment and Repeal Act 1998</w:t>
            </w:r>
            <w:r>
              <w:t xml:space="preserve"> Pt. 6</w:t>
            </w:r>
          </w:p>
        </w:tc>
        <w:tc>
          <w:tcPr>
            <w:tcW w:w="1135" w:type="dxa"/>
          </w:tcPr>
          <w:p>
            <w:pPr>
              <w:pStyle w:val="nTable"/>
              <w:spacing w:after="40"/>
            </w:pPr>
            <w:r>
              <w:t>9 of 1998</w:t>
            </w:r>
          </w:p>
        </w:tc>
        <w:tc>
          <w:tcPr>
            <w:tcW w:w="1135" w:type="dxa"/>
          </w:tcPr>
          <w:p>
            <w:pPr>
              <w:pStyle w:val="nTable"/>
              <w:spacing w:after="40"/>
            </w:pPr>
            <w:r>
              <w:t>30 Apr 1998</w:t>
            </w:r>
          </w:p>
        </w:tc>
        <w:tc>
          <w:tcPr>
            <w:tcW w:w="2551" w:type="dxa"/>
          </w:tcPr>
          <w:p>
            <w:pPr>
              <w:pStyle w:val="nTable"/>
              <w:spacing w:after="40"/>
            </w:pPr>
            <w:r>
              <w:t xml:space="preserve">4 Jul 1998 (see s. 2 and </w:t>
            </w:r>
            <w:r>
              <w:rPr>
                <w:i/>
              </w:rPr>
              <w:t>Gazette</w:t>
            </w:r>
            <w:r>
              <w:t xml:space="preserve"> 3 Jul 1998 p. 3581)</w:t>
            </w:r>
          </w:p>
        </w:tc>
      </w:tr>
      <w:tr>
        <w:trPr>
          <w:cantSplit/>
        </w:trPr>
        <w:tc>
          <w:tcPr>
            <w:tcW w:w="2268" w:type="dxa"/>
          </w:tcPr>
          <w:p>
            <w:pPr>
              <w:pStyle w:val="nTable"/>
              <w:spacing w:after="40"/>
              <w:ind w:right="113"/>
            </w:pPr>
            <w:r>
              <w:rPr>
                <w:i/>
              </w:rPr>
              <w:t xml:space="preserve">Horticultural Produce Commission Amendment Act 2000 </w:t>
            </w:r>
            <w:r>
              <w:rPr>
                <w:snapToGrid w:val="0"/>
                <w:vertAlign w:val="superscript"/>
              </w:rPr>
              <w:t>5</w:t>
            </w:r>
          </w:p>
        </w:tc>
        <w:tc>
          <w:tcPr>
            <w:tcW w:w="1135" w:type="dxa"/>
          </w:tcPr>
          <w:p>
            <w:pPr>
              <w:pStyle w:val="nTable"/>
              <w:spacing w:after="40"/>
            </w:pPr>
            <w:r>
              <w:t>20 of 2000</w:t>
            </w:r>
          </w:p>
        </w:tc>
        <w:tc>
          <w:tcPr>
            <w:tcW w:w="1135" w:type="dxa"/>
          </w:tcPr>
          <w:p>
            <w:pPr>
              <w:pStyle w:val="nTable"/>
              <w:spacing w:after="40"/>
            </w:pPr>
            <w:r>
              <w:t>30 Jun 2000</w:t>
            </w:r>
          </w:p>
        </w:tc>
        <w:tc>
          <w:tcPr>
            <w:tcW w:w="2551" w:type="dxa"/>
          </w:tcPr>
          <w:p>
            <w:pPr>
              <w:pStyle w:val="nTable"/>
              <w:spacing w:after="40"/>
            </w:pPr>
            <w:r>
              <w:t>s. 1 and 2: 30 Jun 2000;</w:t>
            </w:r>
            <w:r>
              <w:br/>
              <w:t xml:space="preserve">Act other than s. 1 and 2: 11 Aug 2000 (see s. 2 and </w:t>
            </w:r>
            <w:r>
              <w:rPr>
                <w:i/>
              </w:rPr>
              <w:t>Gazette</w:t>
            </w:r>
            <w:r>
              <w:t xml:space="preserve"> 11 Aug 2000 p. 4691)</w:t>
            </w:r>
          </w:p>
        </w:tc>
      </w:tr>
      <w:tr>
        <w:trPr>
          <w:cantSplit/>
        </w:trPr>
        <w:tc>
          <w:tcPr>
            <w:tcW w:w="7089" w:type="dxa"/>
            <w:gridSpan w:val="4"/>
          </w:tcPr>
          <w:p>
            <w:pPr>
              <w:pStyle w:val="nTable"/>
              <w:spacing w:after="40"/>
            </w:pPr>
            <w:r>
              <w:rPr>
                <w:b/>
              </w:rPr>
              <w:t xml:space="preserve">Reprint of the </w:t>
            </w:r>
            <w:r>
              <w:rPr>
                <w:b/>
                <w:i/>
              </w:rPr>
              <w:t>Agricultural Produce Commission Act 1988</w:t>
            </w:r>
            <w:r>
              <w:rPr>
                <w:b/>
              </w:rPr>
              <w:t xml:space="preserve"> as at 5 Apr 2002</w:t>
            </w:r>
            <w:r>
              <w:rPr>
                <w:b/>
              </w:rPr>
              <w:br/>
            </w:r>
            <w:r>
              <w:t>(includes amendments listed above)</w:t>
            </w:r>
          </w:p>
        </w:tc>
      </w:tr>
      <w:tr>
        <w:trPr>
          <w:cantSplit/>
        </w:trPr>
        <w:tc>
          <w:tcPr>
            <w:tcW w:w="2268" w:type="dxa"/>
          </w:tcPr>
          <w:p>
            <w:pPr>
              <w:pStyle w:val="nTable"/>
              <w:spacing w:after="40"/>
              <w:ind w:right="113"/>
            </w:pPr>
            <w:r>
              <w:rPr>
                <w:i/>
              </w:rPr>
              <w:t>State Administrative Tribunal (Conferral of Jurisdiction) Amendment and Repeal Act 2004</w:t>
            </w:r>
            <w:r>
              <w:rPr>
                <w:iCs/>
              </w:rPr>
              <w:t xml:space="preserve"> Pt. 2 Div. 5</w:t>
            </w:r>
            <w:r>
              <w:rPr>
                <w:iCs/>
                <w:vertAlign w:val="superscript"/>
              </w:rPr>
              <w:t> 6</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iCs/>
              </w:rPr>
            </w:pPr>
            <w:r>
              <w:rPr>
                <w:i/>
              </w:rPr>
              <w:t>Machinery of Government (Miscellaneous Amendments) Act 2006</w:t>
            </w:r>
            <w:r>
              <w:rPr>
                <w:iCs/>
              </w:rPr>
              <w:t xml:space="preserve"> Pt. 2 Div. 1</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Sch. 1 cl. 3</w:t>
            </w:r>
          </w:p>
        </w:tc>
        <w:tc>
          <w:tcPr>
            <w:tcW w:w="1135" w:type="dxa"/>
          </w:tcPr>
          <w:p>
            <w:pPr>
              <w:pStyle w:val="nTable"/>
              <w:spacing w:after="40"/>
            </w:pPr>
            <w:r>
              <w:rPr>
                <w:snapToGrid w:val="0"/>
              </w:rPr>
              <w:t xml:space="preserve">77 of 2006 </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Biosecurity and Agriculture Management (Repeal and Consequential Provisions) Act 2007</w:t>
            </w:r>
            <w:r>
              <w:rPr>
                <w:iCs/>
                <w:snapToGrid w:val="0"/>
              </w:rPr>
              <w:t xml:space="preserve"> s. 63</w:t>
            </w:r>
          </w:p>
        </w:tc>
        <w:tc>
          <w:tcPr>
            <w:tcW w:w="1135" w:type="dxa"/>
            <w:tcBorders>
              <w:top w:val="nil"/>
              <w:bottom w:val="nil"/>
            </w:tcBorders>
          </w:tcPr>
          <w:p>
            <w:pPr>
              <w:pStyle w:val="nTable"/>
              <w:spacing w:after="40"/>
              <w:rPr>
                <w:snapToGrid w:val="0"/>
              </w:rPr>
            </w:pPr>
            <w:r>
              <w:rPr>
                <w:snapToGrid w:val="0"/>
              </w:rPr>
              <w:t>24 of 2007</w:t>
            </w:r>
          </w:p>
        </w:tc>
        <w:tc>
          <w:tcPr>
            <w:tcW w:w="1135" w:type="dxa"/>
            <w:tcBorders>
              <w:top w:val="nil"/>
              <w:bottom w:val="nil"/>
            </w:tcBorders>
          </w:tcPr>
          <w:p>
            <w:pPr>
              <w:pStyle w:val="nTable"/>
              <w:spacing w:after="40"/>
            </w:pPr>
            <w:r>
              <w:rPr>
                <w:snapToGrid w:val="0"/>
              </w:rPr>
              <w:t>12 Oct 2007</w:t>
            </w:r>
          </w:p>
        </w:tc>
        <w:tc>
          <w:tcPr>
            <w:tcW w:w="2551" w:type="dxa"/>
            <w:tcBorders>
              <w:top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823-4)</w:t>
            </w:r>
          </w:p>
        </w:tc>
      </w:tr>
      <w:tr>
        <w:trPr>
          <w:cantSplit/>
        </w:trPr>
        <w:tc>
          <w:tcPr>
            <w:tcW w:w="7089" w:type="dxa"/>
            <w:gridSpan w:val="4"/>
          </w:tcPr>
          <w:p>
            <w:pPr>
              <w:pStyle w:val="nTable"/>
              <w:spacing w:after="40"/>
              <w:rPr>
                <w:snapToGrid w:val="0"/>
              </w:rPr>
            </w:pPr>
            <w:r>
              <w:rPr>
                <w:b/>
              </w:rPr>
              <w:t xml:space="preserve">Reprint 2: The </w:t>
            </w:r>
            <w:r>
              <w:rPr>
                <w:b/>
                <w:i/>
              </w:rPr>
              <w:t>Agricultural Produce Commission Act 1988</w:t>
            </w:r>
            <w:r>
              <w:rPr>
                <w:b/>
              </w:rPr>
              <w:t xml:space="preserve"> as at 1 May 2009</w:t>
            </w:r>
            <w:r>
              <w:rPr>
                <w:b/>
              </w:rPr>
              <w:br/>
            </w:r>
            <w:r>
              <w:t xml:space="preserve">(includes amendments listed above except those in the </w:t>
            </w:r>
            <w:r>
              <w:rPr>
                <w:i/>
              </w:rPr>
              <w:t>Biosecurity and Agriculture Management (Repeal and Consequential Provisions) Act 2007</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7</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snapToGrid w:val="0"/>
              </w:rPr>
              <w:t>Public Sector Reform Act 2010</w:t>
            </w:r>
            <w:r>
              <w:rPr>
                <w:iCs/>
                <w:snapToGrid w:val="0"/>
              </w:rPr>
              <w:t xml:space="preserve"> s. 89</w:t>
            </w:r>
          </w:p>
        </w:tc>
        <w:tc>
          <w:tcPr>
            <w:tcW w:w="1135" w:type="dxa"/>
            <w:shd w:val="clear" w:color="auto" w:fill="auto"/>
          </w:tcPr>
          <w:p>
            <w:pPr>
              <w:pStyle w:val="nTable"/>
              <w:spacing w:after="40"/>
              <w:rPr>
                <w:snapToGrid w:val="0"/>
              </w:rPr>
            </w:pPr>
            <w:r>
              <w:rPr>
                <w:snapToGrid w:val="0"/>
              </w:rPr>
              <w:t>39 of 2010</w:t>
            </w:r>
          </w:p>
        </w:tc>
        <w:tc>
          <w:tcPr>
            <w:tcW w:w="1135" w:type="dxa"/>
            <w:shd w:val="clear" w:color="auto" w:fill="auto"/>
          </w:tcPr>
          <w:p>
            <w:pPr>
              <w:pStyle w:val="nTable"/>
              <w:spacing w:after="40"/>
              <w:rPr>
                <w:snapToGrid w:val="0"/>
              </w:rPr>
            </w:pPr>
            <w: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rPr>
              <w:t xml:space="preserve">Reprint 3: The </w:t>
            </w:r>
            <w:r>
              <w:rPr>
                <w:b/>
                <w:i/>
              </w:rPr>
              <w:t>Agricultural Produce Commission Act 1988</w:t>
            </w:r>
            <w:r>
              <w:rPr>
                <w:b/>
              </w:rPr>
              <w:t xml:space="preserve"> as at 14 Jun 2013</w:t>
            </w:r>
            <w:r>
              <w:rPr>
                <w:b/>
              </w:rPr>
              <w:br/>
            </w:r>
            <w:r>
              <w:t>(includes amendments listed above)</w:t>
            </w:r>
          </w:p>
        </w:tc>
      </w:tr>
    </w:tbl>
    <w:p>
      <w:pPr>
        <w:pStyle w:val="nSubsection"/>
        <w:spacing w:before="100"/>
        <w:rPr>
          <w:snapToGrid w:val="0"/>
        </w:rPr>
      </w:pPr>
      <w:r>
        <w:rPr>
          <w:snapToGrid w:val="0"/>
          <w:vertAlign w:val="superscript"/>
        </w:rPr>
        <w:t>2</w:t>
      </w:r>
      <w:r>
        <w:rPr>
          <w:snapToGrid w:val="0"/>
        </w:rPr>
        <w:tab/>
        <w:t xml:space="preserve">The provision in this Act amending these Acts has been omitted under the </w:t>
      </w:r>
      <w:r>
        <w:rPr>
          <w:i/>
          <w:iCs/>
          <w:snapToGrid w:val="0"/>
        </w:rPr>
        <w:t>Reprints Act 1984</w:t>
      </w:r>
      <w:r>
        <w:rPr>
          <w:snapToGrid w:val="0"/>
        </w:rPr>
        <w:t xml:space="preserve"> s. 7(4)(e).</w:t>
      </w:r>
    </w:p>
    <w:p>
      <w:pPr>
        <w:pStyle w:val="nSubsection"/>
        <w:spacing w:before="100"/>
        <w:rPr>
          <w:snapToGrid w:val="0"/>
        </w:rPr>
      </w:pPr>
      <w:r>
        <w:rPr>
          <w:vertAlign w:val="superscript"/>
        </w:rPr>
        <w:t>3</w:t>
      </w:r>
      <w:r>
        <w:tab/>
      </w:r>
      <w:r>
        <w:rPr>
          <w:snapToGrid w:val="0"/>
        </w:rPr>
        <w:t xml:space="preserve">The </w:t>
      </w:r>
      <w:r>
        <w:rPr>
          <w:i/>
          <w:iCs/>
          <w:snapToGrid w:val="0"/>
        </w:rPr>
        <w:t>Courts Legislation Amendment and Repeal Act 2004</w:t>
      </w:r>
      <w:r>
        <w:rPr>
          <w:snapToGrid w:val="0"/>
        </w:rPr>
        <w:t xml:space="preserve"> Sch. 2 cl. 3 was repealed by the </w:t>
      </w:r>
      <w:r>
        <w:rPr>
          <w:i/>
          <w:iCs/>
          <w:snapToGrid w:val="0"/>
        </w:rPr>
        <w:t>Criminal Law and Evidence Amendment Act 2008</w:t>
      </w:r>
      <w:r>
        <w:rPr>
          <w:snapToGrid w:val="0"/>
        </w:rPr>
        <w:t xml:space="preserve"> s. 77(13).</w:t>
      </w:r>
    </w:p>
    <w:p>
      <w:pPr>
        <w:pStyle w:val="nSubsection"/>
        <w:spacing w:before="100"/>
      </w:pPr>
      <w:r>
        <w:rPr>
          <w:vertAlign w:val="superscript"/>
        </w:rPr>
        <w:t>4</w:t>
      </w:r>
      <w:r>
        <w:tab/>
        <w:t xml:space="preserve">Now known as the </w:t>
      </w:r>
      <w:r>
        <w:rPr>
          <w:i/>
        </w:rPr>
        <w:t>Agricultural Produce Commission Act 1988</w:t>
      </w:r>
      <w:r>
        <w:t>; short title changed (see note under s. 1).</w:t>
      </w:r>
    </w:p>
    <w:p>
      <w:pPr>
        <w:pStyle w:val="nSubsection"/>
        <w:spacing w:before="100"/>
      </w:pPr>
      <w:r>
        <w:rPr>
          <w:vertAlign w:val="superscript"/>
        </w:rPr>
        <w:t>5</w:t>
      </w:r>
      <w:r>
        <w:tab/>
        <w:t xml:space="preserve">The </w:t>
      </w:r>
      <w:r>
        <w:rPr>
          <w:i/>
        </w:rPr>
        <w:t>Horticultural Produce Commission Amendment Act 2000</w:t>
      </w:r>
      <w:r>
        <w:t xml:space="preserve"> s. 32 and 34 read as follows:</w:t>
      </w:r>
    </w:p>
    <w:p>
      <w:pPr>
        <w:pStyle w:val="BlankOpen"/>
      </w:pPr>
    </w:p>
    <w:p>
      <w:pPr>
        <w:pStyle w:val="nzHeading5"/>
      </w:pPr>
      <w:r>
        <w:t>32.</w:t>
      </w:r>
      <w:r>
        <w:tab/>
        <w:t>Validation</w:t>
      </w:r>
    </w:p>
    <w:p>
      <w:pPr>
        <w:pStyle w:val="nzSubsection"/>
      </w:pPr>
      <w:r>
        <w:tab/>
        <w:t>(1)</w:t>
      </w:r>
      <w:r>
        <w:tab/>
        <w:t xml:space="preserve">Any appointment made after the commencement of the </w:t>
      </w:r>
      <w:r>
        <w:rPr>
          <w:i/>
        </w:rPr>
        <w:t>Plant Diseases</w:t>
      </w:r>
      <w:r>
        <w:rPr>
          <w:i/>
          <w:iCs/>
        </w:rP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 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BlankClose"/>
      </w:pP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BlankOpen"/>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104" w:name="_Toc412557245"/>
      <w:bookmarkStart w:id="105" w:name="_Toc473715760"/>
      <w:r>
        <w:rPr>
          <w:sz w:val="28"/>
        </w:rPr>
        <w:t>Defined terms</w:t>
      </w:r>
      <w:bookmarkEnd w:id="104"/>
      <w:bookmarkEnd w:id="1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agricultural industry</w:t>
      </w:r>
      <w:r>
        <w:tab/>
        <w:t>3(1)</w:t>
      </w:r>
    </w:p>
    <w:p>
      <w:pPr>
        <w:pStyle w:val="DefinedTerms"/>
      </w:pPr>
      <w:r>
        <w:t>agricultural produce</w:t>
      </w:r>
      <w:r>
        <w:tab/>
        <w:t>3(1)</w:t>
      </w:r>
    </w:p>
    <w:p>
      <w:pPr>
        <w:pStyle w:val="DefinedTerms"/>
      </w:pPr>
      <w:r>
        <w:t>Commission</w:t>
      </w:r>
      <w:r>
        <w:tab/>
        <w:t>3(1)</w:t>
      </w:r>
    </w:p>
    <w:p>
      <w:pPr>
        <w:pStyle w:val="DefinedTerms"/>
      </w:pPr>
      <w:r>
        <w:t>document</w:t>
      </w:r>
      <w:r>
        <w:tab/>
        <w:t>6B(4)</w:t>
      </w:r>
    </w:p>
    <w:p>
      <w:pPr>
        <w:pStyle w:val="DefinedTerms"/>
      </w:pPr>
      <w:r>
        <w:t>information</w:t>
      </w:r>
      <w:r>
        <w:tab/>
        <w:t>6B(4)</w:t>
      </w:r>
    </w:p>
    <w:p>
      <w:pPr>
        <w:pStyle w:val="DefinedTerms"/>
      </w:pPr>
      <w:r>
        <w:t>member</w:t>
      </w:r>
      <w:r>
        <w:tab/>
        <w:t>3(1)</w:t>
      </w:r>
    </w:p>
    <w:p>
      <w:pPr>
        <w:pStyle w:val="DefinedTerms"/>
      </w:pPr>
      <w:r>
        <w:t>orchard</w:t>
      </w:r>
      <w:r>
        <w:tab/>
        <w:t>12A(5)</w:t>
      </w:r>
    </w:p>
    <w:p>
      <w:pPr>
        <w:pStyle w:val="DefinedTerms"/>
      </w:pPr>
      <w:r>
        <w:t>parliamentary purposes</w:t>
      </w:r>
      <w:r>
        <w:tab/>
        <w:t>6B(4)</w:t>
      </w:r>
    </w:p>
    <w:p>
      <w:pPr>
        <w:pStyle w:val="DefinedTerms"/>
      </w:pPr>
      <w:r>
        <w:t>producer</w:t>
      </w:r>
      <w:r>
        <w:tab/>
        <w:t>19A(1)</w:t>
      </w:r>
    </w:p>
    <w:p>
      <w:pPr>
        <w:pStyle w:val="DefinedTerms"/>
      </w:pPr>
      <w:r>
        <w:t>producers’ committee</w:t>
      </w:r>
      <w:r>
        <w:tab/>
        <w:t>3(1)</w:t>
      </w:r>
    </w:p>
    <w:p>
      <w:pPr>
        <w:pStyle w:val="DefinedTerms"/>
      </w:pPr>
      <w:r>
        <w:t>specified area</w:t>
      </w:r>
      <w:r>
        <w:tab/>
        <w:t>12A(5)</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Commission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Produce Commission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Produce Commission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Produce Commission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Commission Act 1988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Agricultural Produce Commission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99" w:name="Schedule"/>
    <w:bookmarkEnd w:id="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Produce Commission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Produce Commission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Commission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Agricultural Produce Commission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6" w:name="DefinedTerms"/>
    <w:bookmarkEnd w:id="10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 w:name="Coversheet"/>
    <w:bookmarkEnd w:id="1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lvlText w:val="%1."/>
      <w:lvlJc w:val="left"/>
      <w:pPr>
        <w:tabs>
          <w:tab w:val="num" w:pos="1800"/>
        </w:tabs>
        <w:ind w:left="1800" w:hanging="360"/>
      </w:pPr>
    </w:lvl>
  </w:abstractNum>
  <w:abstractNum w:abstractNumId="1">
    <w:nsid w:val="FFFFFF7D"/>
    <w:multiLevelType w:val="singleLevel"/>
    <w:tmpl w:val="8D5EE7E2"/>
    <w:lvl w:ilvl="0">
      <w:start w:val="1"/>
      <w:numFmt w:val="decimal"/>
      <w:lvlText w:val="%1."/>
      <w:lvlJc w:val="left"/>
      <w:pPr>
        <w:tabs>
          <w:tab w:val="num" w:pos="1440"/>
        </w:tabs>
        <w:ind w:left="1440" w:hanging="360"/>
      </w:pPr>
    </w:lvl>
  </w:abstractNum>
  <w:abstractNum w:abstractNumId="2">
    <w:nsid w:val="FFFFFF7E"/>
    <w:multiLevelType w:val="singleLevel"/>
    <w:tmpl w:val="5E6E19B4"/>
    <w:lvl w:ilvl="0">
      <w:start w:val="1"/>
      <w:numFmt w:val="decimal"/>
      <w:lvlText w:val="%1."/>
      <w:lvlJc w:val="left"/>
      <w:pPr>
        <w:tabs>
          <w:tab w:val="num" w:pos="1080"/>
        </w:tabs>
        <w:ind w:left="1080" w:hanging="360"/>
      </w:pPr>
    </w:lvl>
  </w:abstractNum>
  <w:abstractNum w:abstractNumId="3">
    <w:nsid w:val="FFFFFF7F"/>
    <w:multiLevelType w:val="singleLevel"/>
    <w:tmpl w:val="FFA0429A"/>
    <w:lvl w:ilvl="0">
      <w:start w:val="1"/>
      <w:numFmt w:val="decimal"/>
      <w:lvlText w:val="%1."/>
      <w:lvlJc w:val="left"/>
      <w:pPr>
        <w:tabs>
          <w:tab w:val="num" w:pos="720"/>
        </w:tabs>
        <w:ind w:left="720" w:hanging="360"/>
      </w:pPr>
    </w:lvl>
  </w:abstractNum>
  <w:abstractNum w:abstractNumId="4">
    <w:nsid w:val="FFFFFF80"/>
    <w:multiLevelType w:val="singleLevel"/>
    <w:tmpl w:val="383A525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lvlText w:val="%1."/>
      <w:lvlJc w:val="left"/>
      <w:pPr>
        <w:tabs>
          <w:tab w:val="num" w:pos="360"/>
        </w:tabs>
        <w:ind w:left="360" w:hanging="360"/>
      </w:pPr>
    </w:lvl>
  </w:abstractNum>
  <w:abstractNum w:abstractNumId="9">
    <w:nsid w:val="FFFFFF89"/>
    <w:multiLevelType w:val="singleLevel"/>
    <w:tmpl w:val="A386E53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63A57A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5043"/>
    <w:docVar w:name="WAFER_20140115091014" w:val="RemoveTocBookmarks,RemoveUnusedBookmarks,RemoveLanguageTags,UsedStyles,ResetPageSize,UpdateArrangement"/>
    <w:docVar w:name="WAFER_20140115091014_GUID" w:val="f25f3284-d741-4307-bc1b-5d4bfbbae0c2"/>
    <w:docVar w:name="WAFER_20140115091021" w:val="RemoveTocBookmarks,RunningHeaders"/>
    <w:docVar w:name="WAFER_20140115091021_GUID" w:val="35c1b36d-5926-4233-a430-de2926b9ad6b"/>
    <w:docVar w:name="WAFER_20140306113918" w:val="RemoveTocBookmarks,RemoveUnusedBookmarks,RemoveLanguageTags,UsedStyles,ResetPageSize"/>
    <w:docVar w:name="WAFER_20140306113918_GUID" w:val="4c891171-1b29-45e0-9d50-be578dd3369f"/>
    <w:docVar w:name="WAFER_20140306114727" w:val="RemoveTocBookmarks,RunningHeaders"/>
    <w:docVar w:name="WAFER_20140306114727_GUID" w:val="807dc5d3-baef-4396-ba5b-f9f97ac1ec7f"/>
    <w:docVar w:name="WAFER_20150224160204" w:val="ResetPageSize,UpdateArrangement,UpdateNTable"/>
    <w:docVar w:name="WAFER_20150224160204_GUID" w:val="7a398a96-0ccc-4a21-9c26-991fa7758984"/>
    <w:docVar w:name="WAFER_20151102105043" w:val="UpdateStyles,UsedStyles"/>
    <w:docVar w:name="WAFER_20151102105043_GUID" w:val="95f0ecf2-4f1c-46c9-9406-b9cfdd9e3f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7420</Words>
  <Characters>36657</Characters>
  <Application>Microsoft Office Word</Application>
  <DocSecurity>0</DocSecurity>
  <Lines>1047</Lines>
  <Paragraphs>579</Paragraphs>
  <ScaleCrop>false</ScaleCrop>
  <HeadingPairs>
    <vt:vector size="2" baseType="variant">
      <vt:variant>
        <vt:lpstr>Title</vt:lpstr>
      </vt:variant>
      <vt:variant>
        <vt:i4>1</vt:i4>
      </vt:variant>
    </vt:vector>
  </HeadingPairs>
  <TitlesOfParts>
    <vt:vector size="1" baseType="lpstr">
      <vt:lpstr>Agricultural Produce Commission Act 1988</vt:lpstr>
    </vt:vector>
  </TitlesOfParts>
  <Manager/>
  <Company/>
  <LinksUpToDate>false</LinksUpToDate>
  <CharactersWithSpaces>43498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1988 - 03-a0-07</dc:title>
  <dc:subject/>
  <dc:creator/>
  <cp:keywords/>
  <dc:description/>
  <cp:lastModifiedBy>svcMRProcess</cp:lastModifiedBy>
  <cp:revision>4</cp:revision>
  <cp:lastPrinted>2013-06-20T23:54:00Z</cp:lastPrinted>
  <dcterms:created xsi:type="dcterms:W3CDTF">2019-11-18T04:23:00Z</dcterms:created>
  <dcterms:modified xsi:type="dcterms:W3CDTF">2019-11-18T04:23:00Z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20130614</vt:lpwstr>
  </property>
  <property fmtid="{D5CDD505-2E9C-101B-9397-08002B2CF9AE}" pid="4" name="DocumentType">
    <vt:lpwstr>Act</vt:lpwstr>
  </property>
  <property fmtid="{D5CDD505-2E9C-101B-9397-08002B2CF9AE}" pid="5" name="OwlsUID">
    <vt:i4>354</vt:i4>
  </property>
  <property fmtid="{D5CDD505-2E9C-101B-9397-08002B2CF9AE}" pid="6" name="ReprintNo">
    <vt:lpwstr>3</vt:lpwstr>
  </property>
  <property fmtid="{D5CDD505-2E9C-101B-9397-08002B2CF9AE}" pid="7" name="ReprintedAsAt">
    <vt:filetime>2013-06-13T16:00:00Z</vt:filetime>
  </property>
  <property fmtid="{D5CDD505-2E9C-101B-9397-08002B2CF9AE}" pid="8" name="AsAtDate">
    <vt:lpwstr>14 Jun 2013</vt:lpwstr>
  </property>
  <property fmtid="{D5CDD505-2E9C-101B-9397-08002B2CF9AE}" pid="9" name="Suffix">
    <vt:lpwstr>03-a0-07</vt:lpwstr>
  </property>
</Properties>
</file>