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Agricultural Produce Commission Act 1988</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3</w:t>
      </w:r>
      <w:r>
        <w:fldChar w:fldCharType="end"/>
      </w:r>
      <w:r>
        <w:t xml:space="preserve">:  The Act as at </w:t>
      </w:r>
      <w:r>
        <w:fldChar w:fldCharType="begin"/>
      </w:r>
      <w:r>
        <w:instrText xml:space="preserve"> DOCPROPERTY "ReprintedAsAt" \@ "d MMMM yyyy" </w:instrText>
      </w:r>
      <w:r>
        <w:fldChar w:fldCharType="separate"/>
      </w:r>
      <w:r>
        <w:t>14 June 2013</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4820454"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6"/>
        </w:numPr>
        <w:tabs>
          <w:tab w:val="clear" w:pos="360"/>
          <w:tab w:val="num" w:pos="1209"/>
        </w:tabs>
        <w:ind w:left="1200"/>
        <w:rPr>
          <w:sz w:val="20"/>
        </w:rPr>
      </w:pPr>
      <w:r>
        <w:rPr>
          <w:sz w:val="20"/>
        </w:rPr>
        <w:t>removed (because it was repealed or deleted from the law); or</w:t>
      </w:r>
    </w:p>
    <w:p>
      <w:pPr>
        <w:numPr>
          <w:ilvl w:val="0"/>
          <w:numId w:val="1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14 June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Agricultural Produce Commission Act 1988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_Toc34207711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_Toc34207712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_Toc34207713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Agricultural Produce Commission</w:t>
      </w:r>
    </w:p>
    <w:p>
      <w:pPr>
        <w:pStyle w:val="TOC8"/>
        <w:rPr>
          <w:rFonts w:asciiTheme="minorHAnsi" w:eastAsiaTheme="minorEastAsia" w:hAnsiTheme="minorHAnsi" w:cstheme="minorBidi"/>
          <w:szCs w:val="22"/>
        </w:rPr>
      </w:pPr>
      <w:r>
        <w:t>4</w:t>
      </w:r>
      <w:r>
        <w:rPr>
          <w:snapToGrid w:val="0"/>
        </w:rPr>
        <w:t>.</w:t>
      </w:r>
      <w:r>
        <w:rPr>
          <w:snapToGrid w:val="0"/>
        </w:rPr>
        <w:tab/>
      </w:r>
      <w:r>
        <w:t>Agricultural</w:t>
      </w:r>
      <w:r>
        <w:rPr>
          <w:snapToGrid w:val="0"/>
        </w:rPr>
        <w:t xml:space="preserve"> Produce Commission established</w:t>
      </w:r>
      <w:r>
        <w:tab/>
      </w:r>
      <w:r>
        <w:fldChar w:fldCharType="begin"/>
      </w:r>
      <w:r>
        <w:instrText xml:space="preserve"> PAGEREF _Toc34207715 \h </w:instrText>
      </w:r>
      <w:r>
        <w:fldChar w:fldCharType="separate"/>
      </w:r>
      <w:r>
        <w:t>3</w:t>
      </w:r>
      <w:r>
        <w:fldChar w:fldCharType="end"/>
      </w:r>
    </w:p>
    <w:p>
      <w:pPr>
        <w:pStyle w:val="TOC8"/>
        <w:rPr>
          <w:rFonts w:asciiTheme="minorHAnsi" w:eastAsiaTheme="minorEastAsia" w:hAnsiTheme="minorHAnsi" w:cstheme="minorBidi"/>
          <w:szCs w:val="22"/>
        </w:rPr>
      </w:pPr>
      <w:r>
        <w:t>5.</w:t>
      </w:r>
      <w:r>
        <w:tab/>
        <w:t>Constitution of Commission</w:t>
      </w:r>
      <w:r>
        <w:tab/>
      </w:r>
      <w:r>
        <w:fldChar w:fldCharType="begin"/>
      </w:r>
      <w:r>
        <w:instrText xml:space="preserve"> PAGEREF _Toc34207716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of Commission</w:t>
      </w:r>
      <w:r>
        <w:tab/>
      </w:r>
      <w:r>
        <w:fldChar w:fldCharType="begin"/>
      </w:r>
      <w:r>
        <w:instrText xml:space="preserve"> PAGEREF _Toc34207717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Directions by Minister</w:t>
      </w:r>
      <w:r>
        <w:tab/>
      </w:r>
      <w:r>
        <w:fldChar w:fldCharType="begin"/>
      </w:r>
      <w:r>
        <w:instrText xml:space="preserve"> PAGEREF _Toc34207718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Minister to have access to information</w:t>
      </w:r>
      <w:r>
        <w:tab/>
      </w:r>
      <w:r>
        <w:fldChar w:fldCharType="begin"/>
      </w:r>
      <w:r>
        <w:instrText xml:space="preserve"> PAGEREF _Toc34207719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Funds of Commission</w:t>
      </w:r>
      <w:r>
        <w:tab/>
      </w:r>
      <w:r>
        <w:fldChar w:fldCharType="begin"/>
      </w:r>
      <w:r>
        <w:instrText xml:space="preserve"> PAGEREF _Toc34207720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funds</w:t>
      </w:r>
      <w:r>
        <w:tab/>
      </w:r>
      <w:r>
        <w:fldChar w:fldCharType="begin"/>
      </w:r>
      <w:r>
        <w:instrText xml:space="preserve"> PAGEREF _Toc34207721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Officers</w:t>
      </w:r>
      <w:r>
        <w:tab/>
      </w:r>
      <w:r>
        <w:fldChar w:fldCharType="begin"/>
      </w:r>
      <w:r>
        <w:instrText xml:space="preserve"> PAGEREF _Toc34207722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3 — Producers’ committees</w:t>
      </w:r>
    </w:p>
    <w:p>
      <w:pPr>
        <w:pStyle w:val="TOC8"/>
        <w:rPr>
          <w:rFonts w:asciiTheme="minorHAnsi" w:eastAsiaTheme="minorEastAsia" w:hAnsiTheme="minorHAnsi" w:cstheme="minorBidi"/>
          <w:szCs w:val="22"/>
        </w:rPr>
      </w:pPr>
      <w:r>
        <w:t>10</w:t>
      </w:r>
      <w:r>
        <w:rPr>
          <w:snapToGrid w:val="0"/>
        </w:rPr>
        <w:t>.</w:t>
      </w:r>
      <w:r>
        <w:rPr>
          <w:snapToGrid w:val="0"/>
        </w:rPr>
        <w:tab/>
        <w:t>Preliminary requirements for establishment of producers’ committees</w:t>
      </w:r>
      <w:r>
        <w:tab/>
      </w:r>
      <w:r>
        <w:fldChar w:fldCharType="begin"/>
      </w:r>
      <w:r>
        <w:instrText xml:space="preserve"> PAGEREF _Toc34207724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Establishment of producers’ committee</w:t>
      </w:r>
      <w:r>
        <w:tab/>
      </w:r>
      <w:r>
        <w:fldChar w:fldCharType="begin"/>
      </w:r>
      <w:r>
        <w:instrText xml:space="preserve"> PAGEREF _Toc34207725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Functions of producers’ committee</w:t>
      </w:r>
      <w:r>
        <w:tab/>
      </w:r>
      <w:r>
        <w:fldChar w:fldCharType="begin"/>
      </w:r>
      <w:r>
        <w:instrText xml:space="preserve"> PAGEREF _Toc34207726 \h </w:instrText>
      </w:r>
      <w:r>
        <w:fldChar w:fldCharType="separate"/>
      </w:r>
      <w:r>
        <w:t>12</w:t>
      </w:r>
      <w:r>
        <w:fldChar w:fldCharType="end"/>
      </w:r>
    </w:p>
    <w:p>
      <w:pPr>
        <w:pStyle w:val="TOC8"/>
        <w:rPr>
          <w:rFonts w:asciiTheme="minorHAnsi" w:eastAsiaTheme="minorEastAsia" w:hAnsiTheme="minorHAnsi" w:cstheme="minorBidi"/>
          <w:szCs w:val="22"/>
        </w:rPr>
      </w:pPr>
      <w:r>
        <w:t>12A.</w:t>
      </w:r>
      <w:r>
        <w:tab/>
        <w:t>Powers of officers, employees and other persons</w:t>
      </w:r>
      <w:r>
        <w:tab/>
      </w:r>
      <w:r>
        <w:fldChar w:fldCharType="begin"/>
      </w:r>
      <w:r>
        <w:instrText xml:space="preserve"> PAGEREF _Toc34207727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to require information</w:t>
      </w:r>
      <w:r>
        <w:tab/>
      </w:r>
      <w:r>
        <w:fldChar w:fldCharType="begin"/>
      </w:r>
      <w:r>
        <w:instrText xml:space="preserve"> PAGEREF _Toc34207728 \h </w:instrText>
      </w:r>
      <w:r>
        <w:fldChar w:fldCharType="separate"/>
      </w:r>
      <w:r>
        <w:t>15</w:t>
      </w:r>
      <w:r>
        <w:fldChar w:fldCharType="end"/>
      </w:r>
    </w:p>
    <w:p>
      <w:pPr>
        <w:pStyle w:val="TOC8"/>
        <w:rPr>
          <w:rFonts w:asciiTheme="minorHAnsi" w:eastAsiaTheme="minorEastAsia" w:hAnsiTheme="minorHAnsi" w:cstheme="minorBidi"/>
          <w:szCs w:val="22"/>
        </w:rPr>
      </w:pPr>
      <w:r>
        <w:t>14.</w:t>
      </w:r>
      <w:r>
        <w:tab/>
        <w:t>Imposition of charges for services</w:t>
      </w:r>
      <w:r>
        <w:tab/>
      </w:r>
      <w:r>
        <w:fldChar w:fldCharType="begin"/>
      </w:r>
      <w:r>
        <w:instrText xml:space="preserve"> PAGEREF _Toc34207729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Dissolution of producers’ committee</w:t>
      </w:r>
      <w:r>
        <w:tab/>
      </w:r>
      <w:r>
        <w:fldChar w:fldCharType="begin"/>
      </w:r>
      <w:r>
        <w:instrText xml:space="preserve"> PAGEREF _Toc34207730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List of producers</w:t>
      </w:r>
      <w:r>
        <w:tab/>
      </w:r>
      <w:r>
        <w:fldChar w:fldCharType="begin"/>
      </w:r>
      <w:r>
        <w:instrText xml:space="preserve"> PAGEREF _Toc34207731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polls</w:t>
      </w:r>
      <w:r>
        <w:tab/>
      </w:r>
      <w:r>
        <w:fldChar w:fldCharType="begin"/>
      </w:r>
      <w:r>
        <w:instrText xml:space="preserve"> PAGEREF _Toc34207732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Accounts</w:t>
      </w:r>
      <w:r>
        <w:tab/>
      </w:r>
      <w:r>
        <w:fldChar w:fldCharType="begin"/>
      </w:r>
      <w:r>
        <w:instrText xml:space="preserve"> PAGEREF _Toc34207733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Voluntary associations of producers</w:t>
      </w:r>
      <w:r>
        <w:tab/>
      </w:r>
      <w:r>
        <w:fldChar w:fldCharType="begin"/>
      </w:r>
      <w:r>
        <w:instrText xml:space="preserve"> PAGEREF _Toc34207734 \h </w:instrText>
      </w:r>
      <w:r>
        <w:fldChar w:fldCharType="separate"/>
      </w:r>
      <w:r>
        <w:t>18</w:t>
      </w:r>
      <w:r>
        <w:fldChar w:fldCharType="end"/>
      </w:r>
    </w:p>
    <w:p>
      <w:pPr>
        <w:pStyle w:val="TOC8"/>
        <w:rPr>
          <w:rFonts w:asciiTheme="minorHAnsi" w:eastAsiaTheme="minorEastAsia" w:hAnsiTheme="minorHAnsi" w:cstheme="minorBidi"/>
          <w:szCs w:val="22"/>
        </w:rPr>
      </w:pPr>
      <w:r>
        <w:t>19A.</w:t>
      </w:r>
      <w:r>
        <w:tab/>
        <w:t>Application to commercial and non</w:t>
      </w:r>
      <w:r>
        <w:noBreakHyphen/>
        <w:t>commercial producers of provisions relating to control of certain pests or diseases</w:t>
      </w:r>
      <w:r>
        <w:tab/>
      </w:r>
      <w:r>
        <w:fldChar w:fldCharType="begin"/>
      </w:r>
      <w:r>
        <w:instrText xml:space="preserve"> PAGEREF _Toc34207735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20</w:t>
      </w:r>
      <w:r>
        <w:rPr>
          <w:snapToGrid w:val="0"/>
        </w:rPr>
        <w:t>.</w:t>
      </w:r>
      <w:r>
        <w:rPr>
          <w:snapToGrid w:val="0"/>
        </w:rPr>
        <w:tab/>
        <w:t>Financial provisions</w:t>
      </w:r>
      <w:r>
        <w:tab/>
      </w:r>
      <w:r>
        <w:fldChar w:fldCharType="begin"/>
      </w:r>
      <w:r>
        <w:instrText xml:space="preserve"> PAGEREF _Toc34207737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Authentication</w:t>
      </w:r>
      <w:r>
        <w:tab/>
      </w:r>
      <w:r>
        <w:fldChar w:fldCharType="begin"/>
      </w:r>
      <w:r>
        <w:instrText xml:space="preserve"> PAGEREF _Toc34207738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Recovery of charges</w:t>
      </w:r>
      <w:r>
        <w:tab/>
      </w:r>
      <w:r>
        <w:fldChar w:fldCharType="begin"/>
      </w:r>
      <w:r>
        <w:instrText xml:space="preserve"> PAGEREF _Toc34207739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Evidentiary</w:t>
      </w:r>
      <w:r>
        <w:tab/>
      </w:r>
      <w:r>
        <w:fldChar w:fldCharType="begin"/>
      </w:r>
      <w:r>
        <w:instrText xml:space="preserve"> PAGEREF _Toc34207740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Protection of members</w:t>
      </w:r>
      <w:r>
        <w:tab/>
      </w:r>
      <w:r>
        <w:fldChar w:fldCharType="begin"/>
      </w:r>
      <w:r>
        <w:instrText xml:space="preserve"> PAGEREF _Toc34207741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w:t>
      </w:r>
      <w:r>
        <w:tab/>
      </w:r>
      <w:r>
        <w:fldChar w:fldCharType="begin"/>
      </w:r>
      <w:r>
        <w:instrText xml:space="preserve"> PAGEREF _Toc34207742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Review</w:t>
      </w:r>
      <w:r>
        <w:tab/>
      </w:r>
      <w:r>
        <w:fldChar w:fldCharType="begin"/>
      </w:r>
      <w:r>
        <w:instrText xml:space="preserve"> PAGEREF _Toc34207743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rPr>
          <w:rFonts w:eastAsia="MS Mincho"/>
        </w:rPr>
        <w:t>Schedule — The Commission and its proceedings</w:t>
      </w:r>
    </w:p>
    <w:p>
      <w:pPr>
        <w:pStyle w:val="TOC8"/>
        <w:rPr>
          <w:rFonts w:asciiTheme="minorHAnsi" w:eastAsiaTheme="minorEastAsia" w:hAnsiTheme="minorHAnsi" w:cstheme="minorBidi"/>
          <w:szCs w:val="22"/>
        </w:rPr>
      </w:pPr>
      <w:r>
        <w:t>1</w:t>
      </w:r>
      <w:r>
        <w:rPr>
          <w:snapToGrid w:val="0"/>
        </w:rPr>
        <w:t>.</w:t>
      </w:r>
      <w:r>
        <w:rPr>
          <w:snapToGrid w:val="0"/>
        </w:rPr>
        <w:tab/>
        <w:t>Term of office of member of Commission</w:t>
      </w:r>
      <w:r>
        <w:tab/>
      </w:r>
      <w:r>
        <w:fldChar w:fldCharType="begin"/>
      </w:r>
      <w:r>
        <w:instrText xml:space="preserve"> PAGEREF _Toc34207745 \h </w:instrText>
      </w:r>
      <w:r>
        <w:fldChar w:fldCharType="separate"/>
      </w:r>
      <w:r>
        <w:t>24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Remuneration of member of Commission</w:t>
      </w:r>
      <w:r>
        <w:tab/>
      </w:r>
      <w:r>
        <w:fldChar w:fldCharType="begin"/>
      </w:r>
      <w:r>
        <w:instrText xml:space="preserve"> PAGEREF _Toc34207746 \h </w:instrText>
      </w:r>
      <w:r>
        <w:fldChar w:fldCharType="separate"/>
      </w:r>
      <w:r>
        <w:t>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Casual vacancies</w:t>
      </w:r>
      <w:r>
        <w:tab/>
      </w:r>
      <w:r>
        <w:fldChar w:fldCharType="begin"/>
      </w:r>
      <w:r>
        <w:instrText xml:space="preserve"> PAGEREF _Toc34207747 \h </w:instrText>
      </w:r>
      <w:r>
        <w:fldChar w:fldCharType="separate"/>
      </w:r>
      <w:r>
        <w:t>24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Vacation of office</w:t>
      </w:r>
      <w:r>
        <w:tab/>
      </w:r>
      <w:r>
        <w:fldChar w:fldCharType="begin"/>
      </w:r>
      <w:r>
        <w:instrText xml:space="preserve"> PAGEREF _Toc34207748 \h </w:instrText>
      </w:r>
      <w:r>
        <w:fldChar w:fldCharType="separate"/>
      </w:r>
      <w:r>
        <w:t>24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Disclosure</w:t>
      </w:r>
      <w:r>
        <w:tab/>
      </w:r>
      <w:r>
        <w:fldChar w:fldCharType="begin"/>
      </w:r>
      <w:r>
        <w:instrText xml:space="preserve"> PAGEREF _Toc34207749 \h </w:instrText>
      </w:r>
      <w:r>
        <w:fldChar w:fldCharType="separate"/>
      </w:r>
      <w:r>
        <w:t>25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w:t>
      </w:r>
      <w:r>
        <w:tab/>
      </w:r>
      <w:r>
        <w:fldChar w:fldCharType="begin"/>
      </w:r>
      <w:r>
        <w:instrText xml:space="preserve"> PAGEREF _Toc34207750 \h </w:instrText>
      </w:r>
      <w:r>
        <w:fldChar w:fldCharType="separate"/>
      </w:r>
      <w:r>
        <w:t>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Resolution without meeting</w:t>
      </w:r>
      <w:r>
        <w:tab/>
      </w:r>
      <w:r>
        <w:fldChar w:fldCharType="begin"/>
      </w:r>
      <w:r>
        <w:instrText xml:space="preserve"> PAGEREF _Toc34207751 \h </w:instrText>
      </w:r>
      <w:r>
        <w:fldChar w:fldCharType="separate"/>
      </w:r>
      <w:r>
        <w:t>26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Procedures of Commission</w:t>
      </w:r>
      <w:r>
        <w:tab/>
      </w:r>
      <w:r>
        <w:fldChar w:fldCharType="begin"/>
      </w:r>
      <w:r>
        <w:instrText xml:space="preserve"> PAGEREF _Toc34207752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Validity of acts of Commission</w:t>
      </w:r>
      <w:r>
        <w:tab/>
      </w:r>
      <w:r>
        <w:fldChar w:fldCharType="begin"/>
      </w:r>
      <w:r>
        <w:instrText xml:space="preserve"> PAGEREF _Toc34207753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_Toc34207755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14</w:t>
            </w:r>
            <w:r>
              <w:rPr>
                <w:b/>
                <w:snapToGrid w:val="0"/>
                <w:sz w:val="22"/>
              </w:rPr>
              <w:t xml:space="preserve"> June 2013</w:t>
            </w:r>
            <w:r>
              <w:rPr>
                <w:b/>
                <w:sz w:val="22"/>
              </w:rPr>
              <w:fldChar w:fldCharType="end"/>
            </w:r>
          </w:p>
        </w:tc>
      </w:tr>
    </w:tbl>
    <w:p>
      <w:pPr>
        <w:pStyle w:val="WA"/>
        <w:spacing w:before="120"/>
      </w:pPr>
      <w:r>
        <w:t>Western Australia</w:t>
      </w:r>
    </w:p>
    <w:p>
      <w:pPr>
        <w:pStyle w:val="NameofActReg"/>
      </w:pPr>
      <w:r>
        <w:t>Agricultural Produce Commission Act 1988</w:t>
      </w:r>
    </w:p>
    <w:p>
      <w:pPr>
        <w:pStyle w:val="LongTitle"/>
      </w:pPr>
      <w:r>
        <w:t>An Act to —</w:t>
      </w:r>
    </w:p>
    <w:p>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 and</w:t>
      </w:r>
    </w:p>
    <w:p>
      <w:pPr>
        <w:pStyle w:val="LongTitle2"/>
      </w:pPr>
      <w:r>
        <w:tab/>
        <w:t>•</w:t>
      </w:r>
      <w:r>
        <w:tab/>
        <w:t>define the functions of the Commission and producers’ committees; and</w:t>
      </w:r>
    </w:p>
    <w:p>
      <w:pPr>
        <w:pStyle w:val="LongTitle2"/>
      </w:pPr>
      <w:r>
        <w:tab/>
        <w:t>•</w:t>
      </w:r>
      <w:r>
        <w:tab/>
        <w:t>authorise the determination and imposition of charges for services; and</w:t>
      </w:r>
    </w:p>
    <w:p>
      <w:pPr>
        <w:pStyle w:val="LongTitle2"/>
      </w:pPr>
      <w:r>
        <w:tab/>
        <w:t>•</w:t>
      </w:r>
      <w:r>
        <w:tab/>
        <w:t xml:space="preserve">amend the </w:t>
      </w:r>
      <w:r>
        <w:rPr>
          <w:i/>
          <w:iCs/>
        </w:rPr>
        <w:t>Parliamentary Commissioner Act 1971</w:t>
      </w:r>
      <w:r>
        <w:t xml:space="preserve"> and the </w:t>
      </w:r>
      <w:r>
        <w:rPr>
          <w:i/>
          <w:iCs/>
        </w:rPr>
        <w:t>Constitution Acts Amendment Act 1899</w:t>
      </w:r>
      <w:r>
        <w:rPr>
          <w:snapToGrid w:val="0"/>
          <w:vertAlign w:val="superscript"/>
        </w:rPr>
        <w:t> 2</w:t>
      </w:r>
      <w:r>
        <w:t>,</w:t>
      </w:r>
    </w:p>
    <w:p>
      <w:pPr>
        <w:pStyle w:val="LongTitle"/>
        <w:spacing w:before="80"/>
      </w:pPr>
      <w:r>
        <w:t>and for related purposes.</w:t>
      </w:r>
    </w:p>
    <w:p>
      <w:pPr>
        <w:pStyle w:val="Footnotelongtitle"/>
      </w:pPr>
      <w:r>
        <w:tab/>
        <w:t>[Long title inserted by No. 20 of 2000 s. 4.]</w:t>
      </w:r>
    </w:p>
    <w:p>
      <w:pPr>
        <w:pStyle w:val="Heading2"/>
      </w:pPr>
      <w:bookmarkStart w:id="1" w:name="_Toc34207710"/>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4207711"/>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pPr>
        <w:pStyle w:val="Footnotesection"/>
      </w:pPr>
      <w:r>
        <w:tab/>
        <w:t>[Section 1 amended by No. 20 of 2000 s. 5.]</w:t>
      </w:r>
    </w:p>
    <w:p>
      <w:pPr>
        <w:pStyle w:val="Heading5"/>
        <w:rPr>
          <w:snapToGrid w:val="0"/>
        </w:rPr>
      </w:pPr>
      <w:bookmarkStart w:id="3" w:name="_Toc34207712"/>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4" w:name="_Toc34207713"/>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agricultural industry</w:t>
      </w:r>
      <w:r>
        <w:t xml:space="preserve"> means a horticultural industry and such other agricultural industry as may be prescribed but excluding broadacre cropping and grazing industries;</w:t>
      </w:r>
    </w:p>
    <w:p>
      <w:pPr>
        <w:pStyle w:val="Defstart"/>
      </w:pPr>
      <w:r>
        <w:tab/>
      </w:r>
      <w:r>
        <w:rPr>
          <w:rStyle w:val="CharDefText"/>
        </w:rPr>
        <w:t>agricultural produce</w:t>
      </w:r>
      <w:r>
        <w:t xml:space="preserve"> means the produce of an agricultural industry;</w:t>
      </w:r>
    </w:p>
    <w:p>
      <w:pPr>
        <w:pStyle w:val="Defstart"/>
      </w:pPr>
      <w:r>
        <w:rPr>
          <w:b/>
        </w:rPr>
        <w:tab/>
      </w:r>
      <w:r>
        <w:rPr>
          <w:rStyle w:val="CharDefText"/>
        </w:rPr>
        <w:t>Commission</w:t>
      </w:r>
      <w:r>
        <w:t xml:space="preserve"> means the Agricultural Produce Commission established under section 4;</w:t>
      </w:r>
    </w:p>
    <w:p>
      <w:pPr>
        <w:pStyle w:val="Defstart"/>
      </w:pPr>
      <w:r>
        <w:rPr>
          <w:b/>
        </w:rPr>
        <w:tab/>
      </w:r>
      <w:r>
        <w:rPr>
          <w:rStyle w:val="CharDefText"/>
        </w:rPr>
        <w:t>member</w:t>
      </w:r>
      <w:r>
        <w:t xml:space="preserve"> in relation to —</w:t>
      </w:r>
    </w:p>
    <w:p>
      <w:pPr>
        <w:pStyle w:val="Defpara"/>
      </w:pPr>
      <w:r>
        <w:tab/>
        <w:t>(a)</w:t>
      </w:r>
      <w:r>
        <w:tab/>
        <w:t>the Commission, means a member of the Commission and includes the chairperson;</w:t>
      </w:r>
    </w:p>
    <w:p>
      <w:pPr>
        <w:pStyle w:val="Defpara"/>
      </w:pPr>
      <w:r>
        <w:tab/>
        <w:t>(b)</w:t>
      </w:r>
      <w:r>
        <w:tab/>
        <w:t>a producers’ committee, means a member of the producers’ committee and includes the chairperson;</w:t>
      </w:r>
    </w:p>
    <w:p>
      <w:pPr>
        <w:pStyle w:val="Defstart"/>
      </w:pPr>
      <w:r>
        <w:rPr>
          <w:b/>
        </w:rPr>
        <w:tab/>
      </w:r>
      <w:r>
        <w:rPr>
          <w:rStyle w:val="CharDefText"/>
        </w:rPr>
        <w:t>producers’ committee</w:t>
      </w:r>
      <w:r>
        <w:t xml:space="preserve"> means a producers’ committee established under section 11.</w:t>
      </w:r>
    </w:p>
    <w:p>
      <w:pPr>
        <w:pStyle w:val="Ednotesubsection"/>
      </w:pPr>
      <w:r>
        <w:tab/>
        <w:t>[(2)</w:t>
      </w:r>
      <w:r>
        <w:tab/>
        <w:t>deleted]</w:t>
      </w:r>
    </w:p>
    <w:p>
      <w:pPr>
        <w:pStyle w:val="Footnotesection"/>
      </w:pPr>
      <w:r>
        <w:tab/>
        <w:t>[Section 3 amended by No. 9 of 1998 s. 16; No. 20 of 2000 s. 6.]</w:t>
      </w:r>
    </w:p>
    <w:p>
      <w:pPr>
        <w:pStyle w:val="Heading2"/>
      </w:pPr>
      <w:bookmarkStart w:id="5" w:name="_Toc34207714"/>
      <w:r>
        <w:rPr>
          <w:rStyle w:val="CharPartNo"/>
        </w:rPr>
        <w:t>Part 2</w:t>
      </w:r>
      <w:r>
        <w:t> — </w:t>
      </w:r>
      <w:r>
        <w:rPr>
          <w:rStyle w:val="CharPartText"/>
        </w:rPr>
        <w:t>Agricultural Produce Commission</w:t>
      </w:r>
      <w:bookmarkEnd w:id="5"/>
    </w:p>
    <w:p>
      <w:pPr>
        <w:pStyle w:val="Footnoteheading"/>
        <w:ind w:left="890"/>
      </w:pPr>
      <w:r>
        <w:tab/>
        <w:t>[Heading inserted by No. 20 of 2000 s. 7.]</w:t>
      </w:r>
    </w:p>
    <w:p>
      <w:pPr>
        <w:pStyle w:val="Heading5"/>
        <w:rPr>
          <w:snapToGrid w:val="0"/>
        </w:rPr>
      </w:pPr>
      <w:bookmarkStart w:id="6" w:name="_Toc34207715"/>
      <w:r>
        <w:rPr>
          <w:rStyle w:val="CharSectno"/>
        </w:rPr>
        <w:t>4</w:t>
      </w:r>
      <w:r>
        <w:rPr>
          <w:snapToGrid w:val="0"/>
        </w:rPr>
        <w:t>.</w:t>
      </w:r>
      <w:r>
        <w:rPr>
          <w:snapToGrid w:val="0"/>
        </w:rPr>
        <w:tab/>
      </w:r>
      <w:r>
        <w:t>Agricultural</w:t>
      </w:r>
      <w:r>
        <w:rPr>
          <w:snapToGrid w:val="0"/>
        </w:rPr>
        <w:t xml:space="preserve"> Produce Commission established</w:t>
      </w:r>
      <w:bookmarkEnd w:id="6"/>
    </w:p>
    <w:p>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managing, leasing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a corporation may lawfully do and suffer.</w:t>
      </w:r>
    </w:p>
    <w:p>
      <w:pPr>
        <w:pStyle w:val="Subsection"/>
        <w:rPr>
          <w:snapToGrid w:val="0"/>
        </w:rPr>
      </w:pPr>
      <w:r>
        <w:rPr>
          <w:snapToGrid w:val="0"/>
        </w:rPr>
        <w:tab/>
        <w:t>(3)</w:t>
      </w:r>
      <w:r>
        <w:rPr>
          <w:snapToGrid w:val="0"/>
        </w:rPr>
        <w:tab/>
        <w:t>The Commission is not an agent of the Crown in right of the State.</w:t>
      </w:r>
    </w:p>
    <w:p>
      <w:pPr>
        <w:pStyle w:val="Footnotesection"/>
      </w:pPr>
      <w:r>
        <w:tab/>
        <w:t>[Section 4 amended by No. 20 of 2000 s. 8 and 27.]</w:t>
      </w:r>
    </w:p>
    <w:p>
      <w:pPr>
        <w:pStyle w:val="Heading5"/>
      </w:pPr>
      <w:bookmarkStart w:id="7" w:name="_Toc34207716"/>
      <w:r>
        <w:rPr>
          <w:rStyle w:val="CharSectno"/>
        </w:rPr>
        <w:t>5</w:t>
      </w:r>
      <w:r>
        <w:t>.</w:t>
      </w:r>
      <w:r>
        <w:tab/>
        <w:t>Constitution of Commission</w:t>
      </w:r>
      <w:bookmarkEnd w:id="7"/>
    </w:p>
    <w:p>
      <w:pPr>
        <w:pStyle w:val="Subsection"/>
      </w:pPr>
      <w:r>
        <w:tab/>
        <w:t>(1)</w:t>
      </w:r>
      <w:r>
        <w:tab/>
        <w:t>The Commission is to consist of 4 members appointed by the Minister.</w:t>
      </w:r>
    </w:p>
    <w:p>
      <w:pPr>
        <w:pStyle w:val="Subsection"/>
      </w:pPr>
      <w:r>
        <w:tab/>
        <w:t>(2)</w:t>
      </w:r>
      <w:r>
        <w:tab/>
        <w:t>A member of the Commission is to have, in the Minister’s opinion, a broad understanding of agricultural industry and —</w:t>
      </w:r>
    </w:p>
    <w:p>
      <w:pPr>
        <w:pStyle w:val="Indenta"/>
      </w:pPr>
      <w:r>
        <w:tab/>
        <w:t>(a)</w:t>
      </w:r>
      <w:r>
        <w:tab/>
        <w:t>experience in financial management; or</w:t>
      </w:r>
    </w:p>
    <w:p>
      <w:pPr>
        <w:pStyle w:val="Indenta"/>
      </w:pPr>
      <w:r>
        <w:tab/>
        <w:t>(b)</w:t>
      </w:r>
      <w:r>
        <w:tab/>
        <w:t>other experience relevant to the Commission’s functions.</w:t>
      </w:r>
    </w:p>
    <w:p>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pPr>
        <w:pStyle w:val="Subsection"/>
        <w:keepNext/>
      </w:pPr>
      <w:r>
        <w:tab/>
        <w:t>(4)</w:t>
      </w:r>
      <w:r>
        <w:tab/>
        <w:t>The Minister shall —</w:t>
      </w:r>
    </w:p>
    <w:p>
      <w:pPr>
        <w:pStyle w:val="Indenta"/>
      </w:pPr>
      <w:r>
        <w:tab/>
        <w:t>(a)</w:t>
      </w:r>
      <w:r>
        <w:tab/>
        <w:t>publish and make available on request the selection criteria for membership of the Commission established under subsection (3);</w:t>
      </w:r>
    </w:p>
    <w:p>
      <w:pPr>
        <w:pStyle w:val="Indenta"/>
      </w:pPr>
      <w:r>
        <w:tab/>
        <w:t>(b)</w:t>
      </w:r>
      <w:r>
        <w:tab/>
        <w:t>advertise in a major newspaper circulating in the State when there is a vacancy in the Commission’s membership, and that applicants are invited to apply;</w:t>
      </w:r>
    </w:p>
    <w:p>
      <w:pPr>
        <w:pStyle w:val="Indenta"/>
      </w:pPr>
      <w:r>
        <w:tab/>
        <w:t>(c)</w:t>
      </w:r>
      <w:r>
        <w:tab/>
        <w:t>indicate in such advertisement any conditions required of candidates for membership of the Commission including the disclosure of any possible conflicts of interest.</w:t>
      </w:r>
    </w:p>
    <w:p>
      <w:pPr>
        <w:pStyle w:val="Subsection"/>
      </w:pPr>
      <w:r>
        <w:tab/>
        <w:t>(5)</w:t>
      </w:r>
      <w:r>
        <w:tab/>
        <w:t>The Minister is to appoint one of the members of the Commission to be the chairperson.</w:t>
      </w:r>
    </w:p>
    <w:p>
      <w:pPr>
        <w:pStyle w:val="Subsection"/>
      </w:pPr>
      <w:r>
        <w:tab/>
        <w:t>(6)</w:t>
      </w:r>
      <w:r>
        <w:tab/>
        <w:t>The Schedule has effect with respect to the Commission and its acts and proceedings.</w:t>
      </w:r>
    </w:p>
    <w:p>
      <w:pPr>
        <w:pStyle w:val="Footnotesection"/>
      </w:pPr>
      <w:r>
        <w:tab/>
        <w:t>[Section 5 inserted by No. 20 of 2000 s. 9.]</w:t>
      </w:r>
    </w:p>
    <w:p>
      <w:pPr>
        <w:pStyle w:val="Heading5"/>
        <w:rPr>
          <w:snapToGrid w:val="0"/>
        </w:rPr>
      </w:pPr>
      <w:bookmarkStart w:id="8" w:name="_Toc34207717"/>
      <w:r>
        <w:rPr>
          <w:rStyle w:val="CharSectno"/>
        </w:rPr>
        <w:t>6</w:t>
      </w:r>
      <w:r>
        <w:rPr>
          <w:snapToGrid w:val="0"/>
        </w:rPr>
        <w:t>.</w:t>
      </w:r>
      <w:r>
        <w:rPr>
          <w:snapToGrid w:val="0"/>
        </w:rPr>
        <w:tab/>
        <w:t>Functions of Commission</w:t>
      </w:r>
      <w:bookmarkEnd w:id="8"/>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 and</w:t>
      </w:r>
    </w:p>
    <w:p>
      <w:pPr>
        <w:pStyle w:val="Indenta"/>
        <w:rPr>
          <w:snapToGrid w:val="0"/>
        </w:rPr>
      </w:pPr>
      <w:r>
        <w:rPr>
          <w:snapToGrid w:val="0"/>
        </w:rPr>
        <w:tab/>
        <w:t>(b)</w:t>
      </w:r>
      <w:r>
        <w:rPr>
          <w:snapToGrid w:val="0"/>
        </w:rPr>
        <w:tab/>
        <w:t>appoint members to producers’ committees; and</w:t>
      </w:r>
    </w:p>
    <w:p>
      <w:pPr>
        <w:pStyle w:val="Indenta"/>
        <w:rPr>
          <w:snapToGrid w:val="0"/>
        </w:rPr>
      </w:pPr>
      <w:r>
        <w:rPr>
          <w:snapToGrid w:val="0"/>
        </w:rPr>
        <w:tab/>
        <w:t>(c)</w:t>
      </w:r>
      <w:r>
        <w:rPr>
          <w:snapToGrid w:val="0"/>
        </w:rPr>
        <w:tab/>
        <w:t>advertise for the formation of producers’ committees; and</w:t>
      </w:r>
    </w:p>
    <w:p>
      <w:pPr>
        <w:pStyle w:val="Indenta"/>
        <w:rPr>
          <w:snapToGrid w:val="0"/>
        </w:rPr>
      </w:pPr>
      <w:r>
        <w:rPr>
          <w:snapToGrid w:val="0"/>
        </w:rPr>
        <w:tab/>
        <w:t>(d)</w:t>
      </w:r>
      <w:r>
        <w:rPr>
          <w:snapToGrid w:val="0"/>
        </w:rPr>
        <w:tab/>
        <w:t>conduct polls as prescribed under this Act for the purposes of the establishment and operation of producers’ committees; and</w:t>
      </w:r>
    </w:p>
    <w:p>
      <w:pPr>
        <w:pStyle w:val="Indenta"/>
        <w:rPr>
          <w:snapToGrid w:val="0"/>
        </w:rPr>
      </w:pPr>
      <w:r>
        <w:rPr>
          <w:snapToGrid w:val="0"/>
        </w:rPr>
        <w:tab/>
        <w:t>(e)</w:t>
      </w:r>
      <w:r>
        <w:rPr>
          <w:snapToGrid w:val="0"/>
        </w:rPr>
        <w:tab/>
        <w:t>dissolve producers’ committees and appoint liquidators for the winding up of producers’ committees; and</w:t>
      </w:r>
    </w:p>
    <w:p>
      <w:pPr>
        <w:pStyle w:val="Indenta"/>
        <w:rPr>
          <w:snapToGrid w:val="0"/>
        </w:rPr>
      </w:pPr>
      <w:r>
        <w:rPr>
          <w:snapToGrid w:val="0"/>
        </w:rPr>
        <w:tab/>
        <w:t>(f)</w:t>
      </w:r>
      <w:r>
        <w:rPr>
          <w:snapToGrid w:val="0"/>
        </w:rPr>
        <w:tab/>
        <w:t>provide such services in relation to the functioning of producers’ committees as are necessary from time to time; and</w:t>
      </w:r>
    </w:p>
    <w:p>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pPr>
        <w:pStyle w:val="Indenta"/>
        <w:rPr>
          <w:snapToGrid w:val="0"/>
        </w:rPr>
      </w:pPr>
      <w:r>
        <w:rPr>
          <w:snapToGrid w:val="0"/>
        </w:rPr>
        <w:tab/>
        <w:t>(h)</w:t>
      </w:r>
      <w:r>
        <w:rPr>
          <w:snapToGrid w:val="0"/>
        </w:rPr>
        <w:tab/>
        <w:t>provide such other services to producers’ committees as the Minister may direct.</w:t>
      </w:r>
    </w:p>
    <w:p>
      <w:pPr>
        <w:pStyle w:val="Subsection"/>
      </w:pPr>
      <w:r>
        <w:tab/>
        <w:t>(2)</w:t>
      </w:r>
      <w:r>
        <w:tab/>
        <w:t>Without limiting subsection (1), a producers’ committee may be established —</w:t>
      </w:r>
    </w:p>
    <w:p>
      <w:pPr>
        <w:pStyle w:val="Indenta"/>
      </w:pPr>
      <w:r>
        <w:tab/>
        <w:t>(a)</w:t>
      </w:r>
      <w:r>
        <w:tab/>
        <w:t>in relation to any agricultural produce of a particular kind, class or variety or which possesses a particular characteristic; or</w:t>
      </w:r>
    </w:p>
    <w:p>
      <w:pPr>
        <w:pStyle w:val="Indenta"/>
      </w:pPr>
      <w:r>
        <w:tab/>
        <w:t>(b)</w:t>
      </w:r>
      <w:r>
        <w:tab/>
        <w:t>in relation to a number of different kinds, classes or varieties of agricultural produce; or</w:t>
      </w:r>
    </w:p>
    <w:p>
      <w:pPr>
        <w:pStyle w:val="Indenta"/>
      </w:pPr>
      <w:r>
        <w:tab/>
        <w:t>(c)</w:t>
      </w:r>
      <w:r>
        <w:tab/>
        <w:t>to achieve specified objects in relation to any agricultural produce,</w:t>
      </w:r>
    </w:p>
    <w:p>
      <w:pPr>
        <w:pStyle w:val="Subsection"/>
      </w:pPr>
      <w:r>
        <w:tab/>
      </w:r>
      <w:r>
        <w:tab/>
        <w:t>for the whole State or part of the State.</w:t>
      </w:r>
    </w:p>
    <w:p>
      <w:pPr>
        <w:pStyle w:val="Subsection"/>
      </w:pPr>
      <w:r>
        <w:tab/>
        <w:t>(3)</w:t>
      </w:r>
      <w:r>
        <w:tab/>
        <w:t>In performing its functions in relation to a producers’ committee the Commission shall have regard to advice to it from the committee.</w:t>
      </w:r>
    </w:p>
    <w:p>
      <w:pPr>
        <w:pStyle w:val="Footnotesection"/>
      </w:pPr>
      <w:r>
        <w:tab/>
        <w:t>[Section 6 amended by No. 29 of 1993 s. 4; No. 20 of 2000 s. 10, 28 and 31.]</w:t>
      </w:r>
    </w:p>
    <w:p>
      <w:pPr>
        <w:pStyle w:val="Heading5"/>
        <w:rPr>
          <w:snapToGrid w:val="0"/>
        </w:rPr>
      </w:pPr>
      <w:bookmarkStart w:id="9" w:name="_Toc34207718"/>
      <w:r>
        <w:rPr>
          <w:rStyle w:val="CharSectno"/>
        </w:rPr>
        <w:t>6A</w:t>
      </w:r>
      <w:r>
        <w:rPr>
          <w:snapToGrid w:val="0"/>
        </w:rPr>
        <w:t>.</w:t>
      </w:r>
      <w:r>
        <w:rPr>
          <w:snapToGrid w:val="0"/>
        </w:rPr>
        <w:tab/>
        <w:t>Directions by Minister</w:t>
      </w:r>
      <w:bookmarkEnd w:id="9"/>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pPr>
        <w:pStyle w:val="Footnotesection"/>
      </w:pPr>
      <w:r>
        <w:tab/>
        <w:t>[Section 6A inserted by No. 29 of 1993 s. 5; amended by No. 77 of 2006 Sch. 1 cl. 3(1).]</w:t>
      </w:r>
    </w:p>
    <w:p>
      <w:pPr>
        <w:pStyle w:val="Heading5"/>
        <w:rPr>
          <w:snapToGrid w:val="0"/>
        </w:rPr>
      </w:pPr>
      <w:bookmarkStart w:id="10" w:name="_Toc34207719"/>
      <w:r>
        <w:rPr>
          <w:rStyle w:val="CharSectno"/>
        </w:rPr>
        <w:t>6B</w:t>
      </w:r>
      <w:r>
        <w:rPr>
          <w:snapToGrid w:val="0"/>
        </w:rPr>
        <w:t>.</w:t>
      </w:r>
      <w:r>
        <w:rPr>
          <w:snapToGrid w:val="0"/>
        </w:rPr>
        <w:tab/>
        <w:t>Minister to have access to information</w:t>
      </w:r>
      <w:bookmarkEnd w:id="10"/>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bookmarkStart w:id="11" w:name="endcomma"/>
      <w:bookmarkEnd w:id="11"/>
      <w:r>
        <w:rPr>
          <w:rStyle w:val="CharDefText"/>
        </w:rPr>
        <w:t>parliamentary purposes</w:t>
      </w:r>
      <w:r>
        <w:t xml:space="preserve"> </w:t>
      </w:r>
      <w:bookmarkStart w:id="12" w:name="comma"/>
      <w:bookmarkEnd w:id="12"/>
      <w:r>
        <w:t>means the purpose of —</w:t>
      </w:r>
    </w:p>
    <w:p>
      <w:pPr>
        <w:pStyle w:val="Defpara"/>
        <w:rPr>
          <w:spacing w:val="-4"/>
        </w:rPr>
      </w:pPr>
      <w:r>
        <w:rPr>
          <w:spacing w:val="-4"/>
        </w:rPr>
        <w:tab/>
        <w:t>(a)</w:t>
      </w:r>
      <w:r>
        <w:rPr>
          <w:spacing w:val="-4"/>
        </w:rP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6B inserted by No. 29 of 1993 s. 5.]</w:t>
      </w:r>
    </w:p>
    <w:p>
      <w:pPr>
        <w:pStyle w:val="Heading5"/>
        <w:rPr>
          <w:snapToGrid w:val="0"/>
        </w:rPr>
      </w:pPr>
      <w:bookmarkStart w:id="13" w:name="_Toc34207720"/>
      <w:r>
        <w:rPr>
          <w:rStyle w:val="CharSectno"/>
        </w:rPr>
        <w:t>7</w:t>
      </w:r>
      <w:r>
        <w:rPr>
          <w:snapToGrid w:val="0"/>
        </w:rPr>
        <w:t>.</w:t>
      </w:r>
      <w:r>
        <w:rPr>
          <w:snapToGrid w:val="0"/>
        </w:rPr>
        <w:tab/>
        <w:t>Funds of Commission</w:t>
      </w:r>
      <w:bookmarkEnd w:id="13"/>
    </w:p>
    <w:p>
      <w:pPr>
        <w:pStyle w:val="Subsection"/>
        <w:rPr>
          <w:snapToGrid w:val="0"/>
        </w:rPr>
      </w:pPr>
      <w:r>
        <w:rPr>
          <w:snapToGrid w:val="0"/>
        </w:rPr>
        <w:tab/>
        <w:t>(1)</w:t>
      </w:r>
      <w:r>
        <w:rPr>
          <w:snapToGrid w:val="0"/>
        </w:rPr>
        <w:tab/>
        <w:t>The funds of the Commission shall consist of —</w:t>
      </w:r>
    </w:p>
    <w:p>
      <w:pPr>
        <w:pStyle w:val="Indenta"/>
        <w:rPr>
          <w:snapToGrid w:val="0"/>
        </w:rPr>
      </w:pPr>
      <w:r>
        <w:rPr>
          <w:snapToGrid w:val="0"/>
        </w:rPr>
        <w:tab/>
        <w:t>(a)</w:t>
      </w:r>
      <w:r>
        <w:rPr>
          <w:snapToGrid w:val="0"/>
        </w:rPr>
        <w:tab/>
      </w:r>
      <w:r>
        <w:t>charges received by the Commission for</w:t>
      </w:r>
      <w:r>
        <w:rPr>
          <w:snapToGrid w:val="0"/>
        </w:rPr>
        <w:t xml:space="preserve"> services provided by the Commission to producers’ committees; and</w:t>
      </w:r>
    </w:p>
    <w:p>
      <w:pPr>
        <w:pStyle w:val="Indenta"/>
        <w:rPr>
          <w:snapToGrid w:val="0"/>
        </w:rPr>
      </w:pPr>
      <w:r>
        <w:rPr>
          <w:snapToGrid w:val="0"/>
        </w:rPr>
        <w:tab/>
        <w:t>(b)</w:t>
      </w:r>
      <w:r>
        <w:rPr>
          <w:snapToGrid w:val="0"/>
        </w:rPr>
        <w:tab/>
        <w:t>moneys paid to the Commission upon the dissolution of any producers’ committee under section 15; and</w:t>
      </w:r>
    </w:p>
    <w:p>
      <w:pPr>
        <w:pStyle w:val="Indenta"/>
        <w:rPr>
          <w:snapToGrid w:val="0"/>
        </w:rPr>
      </w:pPr>
      <w:r>
        <w:rPr>
          <w:snapToGrid w:val="0"/>
        </w:rPr>
        <w:tab/>
        <w:t>(c)</w:t>
      </w:r>
      <w:r>
        <w:rPr>
          <w:snapToGrid w:val="0"/>
        </w:rPr>
        <w:tab/>
        <w:t>such moneys as may be lawfully received by the Commission.</w:t>
      </w:r>
    </w:p>
    <w:p>
      <w:pPr>
        <w:pStyle w:val="Subsection"/>
      </w:pPr>
      <w:r>
        <w:tab/>
        <w:t>(2)</w:t>
      </w:r>
      <w:r>
        <w:tab/>
        <w:t xml:space="preserve">An agency special purpose account called the Agricultural Produce Commission Account is established under section 16 of the </w:t>
      </w:r>
      <w:r>
        <w:rPr>
          <w:i/>
          <w:iCs/>
        </w:rPr>
        <w:t>Financial Management Act 2006</w:t>
      </w:r>
      <w:r>
        <w:t>.</w:t>
      </w:r>
    </w:p>
    <w:p>
      <w:pPr>
        <w:pStyle w:val="Subsection"/>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pPr>
        <w:pStyle w:val="Footnotesection"/>
      </w:pPr>
      <w:r>
        <w:tab/>
        <w:t>[Section 7 amended by No. 49 of 1996 s. 64; No. 20 of 2000 s. 11, 27 and 31; No. 28 of 2006 s. 7; No. 77 of 2006 Sch. 1 cl. 3(2).]</w:t>
      </w:r>
    </w:p>
    <w:p>
      <w:pPr>
        <w:pStyle w:val="Heading5"/>
        <w:rPr>
          <w:snapToGrid w:val="0"/>
        </w:rPr>
      </w:pPr>
      <w:bookmarkStart w:id="14" w:name="_Toc34207721"/>
      <w:r>
        <w:rPr>
          <w:rStyle w:val="CharSectno"/>
        </w:rPr>
        <w:t>8</w:t>
      </w:r>
      <w:r>
        <w:rPr>
          <w:snapToGrid w:val="0"/>
        </w:rPr>
        <w:t>.</w:t>
      </w:r>
      <w:r>
        <w:rPr>
          <w:snapToGrid w:val="0"/>
        </w:rPr>
        <w:tab/>
        <w:t>Application of funds</w:t>
      </w:r>
      <w:bookmarkEnd w:id="14"/>
    </w:p>
    <w:p>
      <w:pPr>
        <w:pStyle w:val="Subsection"/>
        <w:rPr>
          <w:snapToGrid w:val="0"/>
        </w:rPr>
      </w:pPr>
      <w:r>
        <w:rPr>
          <w:snapToGrid w:val="0"/>
        </w:rPr>
        <w:tab/>
        <w:t>(1)</w:t>
      </w:r>
      <w:r>
        <w:rPr>
          <w:snapToGrid w:val="0"/>
        </w:rPr>
        <w:tab/>
        <w:t>The funds of the Commission shall be applied for the purposes of carrying out the functions of the Commission under this Act.</w:t>
      </w:r>
    </w:p>
    <w:p>
      <w:pPr>
        <w:pStyle w:val="Subsection"/>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pPr>
        <w:pStyle w:val="Subsection"/>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pPr>
        <w:pStyle w:val="Heading5"/>
        <w:rPr>
          <w:snapToGrid w:val="0"/>
        </w:rPr>
      </w:pPr>
      <w:bookmarkStart w:id="15" w:name="_Toc34207722"/>
      <w:r>
        <w:rPr>
          <w:rStyle w:val="CharSectno"/>
        </w:rPr>
        <w:t>9</w:t>
      </w:r>
      <w:r>
        <w:rPr>
          <w:snapToGrid w:val="0"/>
        </w:rPr>
        <w:t>.</w:t>
      </w:r>
      <w:r>
        <w:rPr>
          <w:snapToGrid w:val="0"/>
        </w:rPr>
        <w:tab/>
        <w:t>Officers</w:t>
      </w:r>
      <w:bookmarkEnd w:id="15"/>
    </w:p>
    <w:p>
      <w:pPr>
        <w:pStyle w:val="Subsection"/>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pPr>
        <w:pStyle w:val="Heading2"/>
        <w:tabs>
          <w:tab w:val="left" w:pos="1134"/>
        </w:tabs>
      </w:pPr>
      <w:bookmarkStart w:id="16" w:name="_Toc34207723"/>
      <w:r>
        <w:rPr>
          <w:rStyle w:val="CharPartNo"/>
        </w:rPr>
        <w:t>Part 3</w:t>
      </w:r>
      <w:r>
        <w:t> — </w:t>
      </w:r>
      <w:r>
        <w:rPr>
          <w:rStyle w:val="CharPartText"/>
        </w:rPr>
        <w:t>Producers’ committees</w:t>
      </w:r>
      <w:bookmarkEnd w:id="16"/>
    </w:p>
    <w:p>
      <w:pPr>
        <w:pStyle w:val="Footnoteheading"/>
        <w:ind w:left="890"/>
      </w:pPr>
      <w:r>
        <w:tab/>
        <w:t>[Heading inserted by No. 20 of 2000 s. 12.]</w:t>
      </w:r>
    </w:p>
    <w:p>
      <w:pPr>
        <w:pStyle w:val="Heading5"/>
        <w:rPr>
          <w:snapToGrid w:val="0"/>
        </w:rPr>
      </w:pPr>
      <w:bookmarkStart w:id="17" w:name="_Toc34207724"/>
      <w:r>
        <w:rPr>
          <w:rStyle w:val="CharSectno"/>
        </w:rPr>
        <w:t>10</w:t>
      </w:r>
      <w:r>
        <w:rPr>
          <w:snapToGrid w:val="0"/>
        </w:rPr>
        <w:t>.</w:t>
      </w:r>
      <w:r>
        <w:rPr>
          <w:snapToGrid w:val="0"/>
        </w:rPr>
        <w:tab/>
        <w:t>Preliminary requirements for establishment of producers’ committees</w:t>
      </w:r>
      <w:bookmarkEnd w:id="17"/>
    </w:p>
    <w:p>
      <w:pPr>
        <w:pStyle w:val="Subsection"/>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pPr>
        <w:pStyle w:val="Subsection"/>
        <w:rPr>
          <w:snapToGrid w:val="0"/>
        </w:rPr>
      </w:pPr>
      <w:r>
        <w:rPr>
          <w:snapToGrid w:val="0"/>
        </w:rPr>
        <w:tab/>
        <w:t>(2)</w:t>
      </w:r>
      <w:r>
        <w:rPr>
          <w:snapToGrid w:val="0"/>
        </w:rPr>
        <w:tab/>
        <w:t>A notice referred to in subsection (1) —</w:t>
      </w:r>
    </w:p>
    <w:p>
      <w:pPr>
        <w:pStyle w:val="Indenta"/>
        <w:rPr>
          <w:snapToGrid w:val="0"/>
        </w:rPr>
      </w:pPr>
      <w:r>
        <w:rPr>
          <w:snapToGrid w:val="0"/>
        </w:rPr>
        <w:tab/>
        <w:t>(a)</w:t>
      </w:r>
      <w:r>
        <w:rPr>
          <w:snapToGrid w:val="0"/>
        </w:rPr>
        <w:tab/>
        <w:t>shall be published in the manner directed by the Minister; and</w:t>
      </w:r>
    </w:p>
    <w:p>
      <w:pPr>
        <w:pStyle w:val="Indenta"/>
        <w:rPr>
          <w:snapToGrid w:val="0"/>
        </w:rPr>
      </w:pPr>
      <w:r>
        <w:rPr>
          <w:snapToGrid w:val="0"/>
        </w:rPr>
        <w:tab/>
        <w:t>(b)</w:t>
      </w:r>
      <w:r>
        <w:rPr>
          <w:snapToGrid w:val="0"/>
        </w:rPr>
        <w:tab/>
        <w:t>shall explain in simple terms the objects sought to be effected by the proposal; and</w:t>
      </w:r>
    </w:p>
    <w:p>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 and</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pPr>
        <w:pStyle w:val="Indenta"/>
        <w:rPr>
          <w:snapToGrid w:val="0"/>
        </w:rPr>
      </w:pPr>
      <w:r>
        <w:rPr>
          <w:snapToGrid w:val="0"/>
        </w:rPr>
        <w:tab/>
        <w:t>(f)</w:t>
      </w:r>
      <w:r>
        <w:rPr>
          <w:snapToGrid w:val="0"/>
        </w:rPr>
        <w:tab/>
        <w:t>shall invite submissions from producers who may be affected by the proposal.</w:t>
      </w:r>
    </w:p>
    <w:p>
      <w:pPr>
        <w:pStyle w:val="Subsection"/>
      </w:pPr>
      <w:r>
        <w:tab/>
        <w:t>(2a)</w:t>
      </w:r>
      <w:r>
        <w:tab/>
        <w:t xml:space="preserve">In performing its functions under </w:t>
      </w:r>
      <w:r>
        <w:rPr>
          <w:snapToGrid w:val="0"/>
        </w:rPr>
        <w:t>this</w:t>
      </w:r>
      <w:r>
        <w:t xml:space="preserve"> section and section 11, the Commission shall have regard to any submissions made to it under subsection (2)(f).</w:t>
      </w:r>
    </w:p>
    <w:p>
      <w:pPr>
        <w:pStyle w:val="Subsection"/>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pPr>
        <w:pStyle w:val="Subsection"/>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pPr>
        <w:pStyle w:val="Ednotesubsection"/>
      </w:pPr>
      <w:r>
        <w:tab/>
        <w:t>[(8)</w:t>
      </w:r>
      <w:r>
        <w:tab/>
        <w:t>deleted]</w:t>
      </w:r>
    </w:p>
    <w:p>
      <w:pPr>
        <w:pStyle w:val="Subsection"/>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pPr>
        <w:pStyle w:val="Footnotesection"/>
      </w:pPr>
      <w:r>
        <w:tab/>
        <w:t>[Section 10 amended by No. 29 of 1993 s. 6; No. 20 of 2000 s. 13, 28, 29, 30 and 31.]</w:t>
      </w:r>
    </w:p>
    <w:p>
      <w:pPr>
        <w:pStyle w:val="Heading5"/>
        <w:rPr>
          <w:snapToGrid w:val="0"/>
        </w:rPr>
      </w:pPr>
      <w:bookmarkStart w:id="18" w:name="_Toc34207725"/>
      <w:r>
        <w:rPr>
          <w:rStyle w:val="CharSectno"/>
        </w:rPr>
        <w:t>11</w:t>
      </w:r>
      <w:r>
        <w:rPr>
          <w:snapToGrid w:val="0"/>
        </w:rPr>
        <w:t>.</w:t>
      </w:r>
      <w:r>
        <w:rPr>
          <w:snapToGrid w:val="0"/>
        </w:rPr>
        <w:tab/>
        <w:t>Establishment of producers’ committee</w:t>
      </w:r>
      <w:bookmarkEnd w:id="18"/>
    </w:p>
    <w:p>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w:t>
      </w:r>
    </w:p>
    <w:p>
      <w:pPr>
        <w:pStyle w:val="Indenta"/>
        <w:rPr>
          <w:snapToGrid w:val="0"/>
        </w:rPr>
      </w:pPr>
      <w:r>
        <w:rPr>
          <w:snapToGrid w:val="0"/>
        </w:rPr>
        <w:tab/>
        <w:t>(a)</w:t>
      </w:r>
      <w:r>
        <w:rPr>
          <w:snapToGrid w:val="0"/>
        </w:rPr>
        <w:tab/>
        <w:t>specify —</w:t>
      </w:r>
    </w:p>
    <w:p>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nominations from among the producers concerned for appointment to the producers’ committee.</w:t>
      </w:r>
    </w:p>
    <w:p>
      <w:pPr>
        <w:pStyle w:val="Subsection"/>
      </w:pPr>
      <w:r>
        <w:rPr>
          <w:spacing w:val="-4"/>
        </w:rPr>
        <w:tab/>
        <w:t>(1a)</w:t>
      </w:r>
      <w:r>
        <w:rPr>
          <w:spacing w:val="-4"/>
        </w:rPr>
        <w:tab/>
        <w:t>After receiving the nominations the Commission —</w:t>
      </w:r>
    </w:p>
    <w:p>
      <w:pPr>
        <w:pStyle w:val="Indenta"/>
      </w:pPr>
      <w:r>
        <w:tab/>
        <w:t>(a)</w:t>
      </w:r>
      <w:r>
        <w:tab/>
        <w:t>shall decide how many members there shall be on the producers’ committee; and</w:t>
      </w:r>
    </w:p>
    <w:p>
      <w:pPr>
        <w:pStyle w:val="Indenta"/>
      </w:pPr>
      <w:r>
        <w:tab/>
        <w:t>(b)</w:t>
      </w:r>
      <w:r>
        <w:tab/>
        <w:t>if it is of the opinion that the poll of the producers concerned should be held to elect the members, shall conduct a poll.</w:t>
      </w:r>
    </w:p>
    <w:p>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pPr>
        <w:pStyle w:val="Footnotesection"/>
      </w:pPr>
      <w:r>
        <w:tab/>
        <w:t>[Section 11 amended by No. 20 of 2000 s. 14, 28, 30 and 31.]</w:t>
      </w:r>
    </w:p>
    <w:p>
      <w:pPr>
        <w:pStyle w:val="Heading5"/>
        <w:rPr>
          <w:snapToGrid w:val="0"/>
        </w:rPr>
      </w:pPr>
      <w:bookmarkStart w:id="19" w:name="_Toc34207726"/>
      <w:r>
        <w:rPr>
          <w:rStyle w:val="CharSectno"/>
        </w:rPr>
        <w:t>12</w:t>
      </w:r>
      <w:r>
        <w:rPr>
          <w:snapToGrid w:val="0"/>
        </w:rPr>
        <w:t>.</w:t>
      </w:r>
      <w:r>
        <w:rPr>
          <w:snapToGrid w:val="0"/>
        </w:rPr>
        <w:tab/>
        <w:t>Functions of producers’ committee</w:t>
      </w:r>
      <w:bookmarkEnd w:id="19"/>
    </w:p>
    <w:p>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place">
        <w:smartTag w:uri="urn:schemas-microsoft-com:office:smarttags" w:element="State">
          <w:r>
            <w:rPr>
              <w:snapToGrid w:val="0"/>
            </w:rPr>
            <w:t>Western Australia</w:t>
          </w:r>
        </w:smartTag>
      </w:smartTag>
      <w:r>
        <w:rPr>
          <w:snapToGrid w:val="0"/>
        </w:rPr>
        <w:t xml:space="preserve"> and elsewhere;</w:t>
      </w:r>
    </w:p>
    <w:p>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pPr>
        <w:pStyle w:val="Indenta"/>
      </w:pPr>
      <w:r>
        <w:tab/>
        <w:t>(la)</w:t>
      </w:r>
      <w:r>
        <w:tab/>
        <w:t>establish a compensation scheme for the benefit of producers whose agricultural produce is destroyed as a result of action taken to control a pest or disease of that produce;</w:t>
      </w:r>
    </w:p>
    <w:p>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pPr>
        <w:pStyle w:val="Subsection"/>
        <w:rPr>
          <w:snapToGrid w:val="0"/>
        </w:rPr>
      </w:pPr>
      <w:r>
        <w:rPr>
          <w:snapToGrid w:val="0"/>
        </w:rPr>
        <w:tab/>
        <w:t>(4)</w:t>
      </w:r>
      <w:r>
        <w:rPr>
          <w:snapToGrid w:val="0"/>
        </w:rPr>
        <w:tab/>
        <w:t>The costs of any poll shall be charged to the general funds of the producers’ committee.</w:t>
      </w:r>
    </w:p>
    <w:p>
      <w:pPr>
        <w:pStyle w:val="Footnotesection"/>
      </w:pPr>
      <w:r>
        <w:tab/>
        <w:t>[Section 12 amended by No. 73 of 1994 s. 4; No. 49 of 1996 s. 64; No. 20 of 2000 s. 15, 28, 30 and 31.]</w:t>
      </w:r>
    </w:p>
    <w:p>
      <w:pPr>
        <w:pStyle w:val="Heading5"/>
      </w:pPr>
      <w:bookmarkStart w:id="20" w:name="_Toc34207727"/>
      <w:r>
        <w:rPr>
          <w:rStyle w:val="CharSectno"/>
        </w:rPr>
        <w:t>12A</w:t>
      </w:r>
      <w:r>
        <w:t>.</w:t>
      </w:r>
      <w:r>
        <w:tab/>
        <w:t>Powers of officers, employees and other persons</w:t>
      </w:r>
      <w:bookmarkEnd w:id="20"/>
      <w:r>
        <w:t xml:space="preserve"> </w:t>
      </w:r>
    </w:p>
    <w:p>
      <w:pPr>
        <w:pStyle w:val="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Subsection"/>
      </w:pPr>
      <w:r>
        <w:tab/>
        <w:t>(2)</w:t>
      </w:r>
      <w:r>
        <w:tab/>
        <w:t xml:space="preserve">A person must not enter an orchard under subsection (1) unless — </w:t>
      </w:r>
    </w:p>
    <w:p>
      <w:pPr>
        <w:pStyle w:val="Indenta"/>
      </w:pPr>
      <w:r>
        <w:rPr>
          <w:szCs w:val="22"/>
        </w:rPr>
        <w:tab/>
        <w:t>(a)</w:t>
      </w:r>
      <w:r>
        <w:rPr>
          <w:szCs w:val="22"/>
        </w:rPr>
        <w:tab/>
        <w:t>the person has taken reasonable steps to give the owner or occupier of the orchard notice of the intended entry; or</w:t>
      </w:r>
    </w:p>
    <w:p>
      <w:pPr>
        <w:pStyle w:val="Indenta"/>
      </w:pPr>
      <w:r>
        <w:tab/>
        <w:t>(b)</w:t>
      </w:r>
      <w:r>
        <w:tab/>
        <w:t>the owner or occupier of the orchard consents to the entry.</w:t>
      </w:r>
    </w:p>
    <w:p>
      <w:pPr>
        <w:pStyle w:val="Subsection"/>
      </w:pPr>
      <w:r>
        <w:tab/>
        <w:t>(3)</w:t>
      </w:r>
      <w:r>
        <w:tab/>
        <w:t>The notice must specify the purpose for which the entry is required and successive entries for that purpose are to be regarded as entries to which the notice relates.</w:t>
      </w:r>
    </w:p>
    <w:p>
      <w:pPr>
        <w:pStyle w:val="Subsection"/>
      </w:pPr>
      <w:r>
        <w:tab/>
        <w:t>(4)</w:t>
      </w:r>
      <w:r>
        <w:tab/>
        <w:t>The notice must be given not less than 24 hours before the power of entry is exercised.</w:t>
      </w:r>
    </w:p>
    <w:p>
      <w:pPr>
        <w:pStyle w:val="Subsection"/>
        <w:rPr>
          <w:snapToGrid w:val="0"/>
        </w:rPr>
      </w:pPr>
      <w:r>
        <w:rPr>
          <w:snapToGrid w:val="0"/>
        </w:rPr>
        <w:tab/>
        <w:t>(5)</w:t>
      </w:r>
      <w:r>
        <w:rPr>
          <w:snapToGrid w:val="0"/>
        </w:rPr>
        <w:tab/>
        <w:t xml:space="preserve">In subsection (1) — </w:t>
      </w:r>
    </w:p>
    <w:p>
      <w:pPr>
        <w:pStyle w:val="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Footnotesection"/>
      </w:pPr>
      <w:r>
        <w:tab/>
        <w:t>[Section 12A inserted by No. 24 of 2007 s. 63.]</w:t>
      </w:r>
    </w:p>
    <w:p>
      <w:pPr>
        <w:pStyle w:val="Heading5"/>
        <w:rPr>
          <w:snapToGrid w:val="0"/>
        </w:rPr>
      </w:pPr>
      <w:bookmarkStart w:id="21" w:name="_Toc34207728"/>
      <w:r>
        <w:rPr>
          <w:rStyle w:val="CharSectno"/>
        </w:rPr>
        <w:t>13</w:t>
      </w:r>
      <w:r>
        <w:rPr>
          <w:snapToGrid w:val="0"/>
        </w:rPr>
        <w:t>.</w:t>
      </w:r>
      <w:r>
        <w:rPr>
          <w:snapToGrid w:val="0"/>
        </w:rPr>
        <w:tab/>
        <w:t>Power to require information</w:t>
      </w:r>
      <w:bookmarkEnd w:id="21"/>
    </w:p>
    <w:p>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without reasonable cause refuses or fails to comply with a requirement in a notice under this section; or</w:t>
      </w:r>
    </w:p>
    <w:p>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pPr>
        <w:pStyle w:val="Subsection"/>
        <w:spacing w:before="100"/>
        <w:rPr>
          <w:snapToGrid w:val="0"/>
        </w:rPr>
      </w:pPr>
      <w:r>
        <w:rPr>
          <w:snapToGrid w:val="0"/>
        </w:rPr>
        <w:tab/>
      </w:r>
      <w:r>
        <w:rPr>
          <w:snapToGrid w:val="0"/>
        </w:rPr>
        <w:tab/>
        <w:t>is guilty of an offence against this Act.</w:t>
      </w:r>
    </w:p>
    <w:p>
      <w:pPr>
        <w:pStyle w:val="Penstart"/>
        <w:rPr>
          <w:snapToGrid w:val="0"/>
        </w:rPr>
      </w:pPr>
      <w:r>
        <w:rPr>
          <w:snapToGrid w:val="0"/>
        </w:rPr>
        <w:tab/>
        <w:t>Penalty: $1 000.</w:t>
      </w:r>
    </w:p>
    <w:p>
      <w:pPr>
        <w:pStyle w:val="Footnotesection"/>
      </w:pPr>
      <w:r>
        <w:tab/>
        <w:t>[Section 13 amended by No. 20 of 2000 s. 16 and 29.]</w:t>
      </w:r>
    </w:p>
    <w:p>
      <w:pPr>
        <w:pStyle w:val="Heading5"/>
      </w:pPr>
      <w:bookmarkStart w:id="22" w:name="_Toc34207729"/>
      <w:r>
        <w:rPr>
          <w:rStyle w:val="CharSectno"/>
        </w:rPr>
        <w:t>14</w:t>
      </w:r>
      <w:r>
        <w:t>.</w:t>
      </w:r>
      <w:r>
        <w:tab/>
        <w:t>Imposition of charges for services</w:t>
      </w:r>
      <w:bookmarkEnd w:id="22"/>
    </w:p>
    <w:p>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pPr>
        <w:pStyle w:val="Subsection"/>
      </w:pPr>
      <w:r>
        <w:tab/>
        <w:t>(2)</w:t>
      </w:r>
      <w:r>
        <w:tab/>
        <w:t>The Commission is to determine the amount of a charge imposed under this section having regard to the cost or estimated cost of providing the service and any other relevant factors.</w:t>
      </w:r>
    </w:p>
    <w:p>
      <w:pPr>
        <w:pStyle w:val="Subsection"/>
      </w:pPr>
      <w:r>
        <w:tab/>
        <w:t>(3)</w:t>
      </w:r>
      <w:r>
        <w:tab/>
        <w:t>Notice of a charge imposed under this section is to be published, and the charge is payable, in accordance with the regulations.</w:t>
      </w:r>
    </w:p>
    <w:p>
      <w:pPr>
        <w:pStyle w:val="Footnotesection"/>
      </w:pPr>
      <w:r>
        <w:tab/>
        <w:t>[Section 14 inserted by No. 20 of 2000 s. 17.]</w:t>
      </w:r>
    </w:p>
    <w:p>
      <w:pPr>
        <w:pStyle w:val="Heading5"/>
        <w:rPr>
          <w:snapToGrid w:val="0"/>
        </w:rPr>
      </w:pPr>
      <w:bookmarkStart w:id="23" w:name="_Toc34207730"/>
      <w:r>
        <w:rPr>
          <w:rStyle w:val="CharSectno"/>
        </w:rPr>
        <w:t>15</w:t>
      </w:r>
      <w:r>
        <w:rPr>
          <w:snapToGrid w:val="0"/>
        </w:rPr>
        <w:t>.</w:t>
      </w:r>
      <w:r>
        <w:rPr>
          <w:snapToGrid w:val="0"/>
        </w:rPr>
        <w:tab/>
        <w:t>Dissolution of producers’ committee</w:t>
      </w:r>
      <w:bookmarkEnd w:id="23"/>
    </w:p>
    <w:p>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w:t>
      </w:r>
    </w:p>
    <w:p>
      <w:pPr>
        <w:pStyle w:val="Indenta"/>
        <w:rPr>
          <w:snapToGrid w:val="0"/>
        </w:rPr>
      </w:pPr>
      <w:r>
        <w:rPr>
          <w:snapToGrid w:val="0"/>
        </w:rPr>
        <w:tab/>
        <w:t>(a)</w:t>
      </w:r>
      <w:r>
        <w:rPr>
          <w:snapToGrid w:val="0"/>
        </w:rPr>
        <w:tab/>
        <w:t>exercise such of the functions of the producers’ committee;</w:t>
      </w:r>
    </w:p>
    <w:p>
      <w:pPr>
        <w:pStyle w:val="Indenta"/>
        <w:rPr>
          <w:snapToGrid w:val="0"/>
        </w:rPr>
      </w:pPr>
      <w:r>
        <w:rPr>
          <w:snapToGrid w:val="0"/>
        </w:rPr>
        <w:tab/>
        <w:t>(b)</w:t>
      </w:r>
      <w:r>
        <w:rPr>
          <w:snapToGrid w:val="0"/>
        </w:rPr>
        <w:tab/>
        <w:t>do such other acts and things as the liquidator thinks fit.</w:t>
      </w:r>
    </w:p>
    <w:p>
      <w:pPr>
        <w:pStyle w:val="Subsection"/>
        <w:rPr>
          <w:snapToGrid w:val="0"/>
        </w:rPr>
      </w:pPr>
      <w:r>
        <w:rPr>
          <w:snapToGrid w:val="0"/>
        </w:rPr>
        <w:tab/>
        <w:t>(4)</w:t>
      </w:r>
      <w:r>
        <w:rPr>
          <w:snapToGrid w:val="0"/>
        </w:rPr>
        <w:tab/>
        <w:t>A liquidator shall receive such remuneration as is determined by the Commission.</w:t>
      </w:r>
    </w:p>
    <w:p>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pPr>
        <w:pStyle w:val="Subsection"/>
        <w:rPr>
          <w:snapToGrid w:val="0"/>
        </w:rPr>
      </w:pPr>
      <w:r>
        <w:rPr>
          <w:snapToGrid w:val="0"/>
        </w:rPr>
        <w:tab/>
        <w:t>(7)</w:t>
      </w:r>
      <w:r>
        <w:rPr>
          <w:snapToGrid w:val="0"/>
        </w:rPr>
        <w:tab/>
        <w:t>On the dissolution of a producers’ committee all money and other assets of the producers’ committee —</w:t>
      </w:r>
    </w:p>
    <w:p>
      <w:pPr>
        <w:pStyle w:val="Indenta"/>
        <w:rPr>
          <w:snapToGrid w:val="0"/>
        </w:rPr>
      </w:pPr>
      <w:r>
        <w:rPr>
          <w:snapToGrid w:val="0"/>
        </w:rPr>
        <w:tab/>
        <w:t>(a)</w:t>
      </w:r>
      <w:r>
        <w:rPr>
          <w:snapToGrid w:val="0"/>
        </w:rPr>
        <w:tab/>
        <w:t>shall vest in the Commission;</w:t>
      </w:r>
    </w:p>
    <w:p>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pPr>
        <w:pStyle w:val="Subsection"/>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pPr>
        <w:pStyle w:val="Footnotesection"/>
      </w:pPr>
      <w:r>
        <w:tab/>
        <w:t>[Section 15 amended by No. 20 of 2000 s. 18, 29, 30 and 31.]</w:t>
      </w:r>
    </w:p>
    <w:p>
      <w:pPr>
        <w:pStyle w:val="Heading5"/>
        <w:rPr>
          <w:snapToGrid w:val="0"/>
        </w:rPr>
      </w:pPr>
      <w:bookmarkStart w:id="24" w:name="_Toc34207731"/>
      <w:r>
        <w:rPr>
          <w:rStyle w:val="CharSectno"/>
        </w:rPr>
        <w:t>16</w:t>
      </w:r>
      <w:r>
        <w:rPr>
          <w:snapToGrid w:val="0"/>
        </w:rPr>
        <w:t>.</w:t>
      </w:r>
      <w:r>
        <w:rPr>
          <w:snapToGrid w:val="0"/>
        </w:rPr>
        <w:tab/>
        <w:t>List of producers</w:t>
      </w:r>
      <w:bookmarkEnd w:id="24"/>
    </w:p>
    <w:p>
      <w:pPr>
        <w:pStyle w:val="Subsection"/>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pPr>
        <w:pStyle w:val="Subsection"/>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pPr>
        <w:pStyle w:val="Footnotesection"/>
      </w:pPr>
      <w:r>
        <w:tab/>
        <w:t>[Section 16 amended by No. 20 of 2000 s. 19, 30 and 31; No. 55 of 2004 s. 22.]</w:t>
      </w:r>
    </w:p>
    <w:p>
      <w:pPr>
        <w:pStyle w:val="Heading5"/>
        <w:rPr>
          <w:snapToGrid w:val="0"/>
        </w:rPr>
      </w:pPr>
      <w:bookmarkStart w:id="25" w:name="_Toc34207732"/>
      <w:r>
        <w:rPr>
          <w:rStyle w:val="CharSectno"/>
        </w:rPr>
        <w:t>17</w:t>
      </w:r>
      <w:r>
        <w:rPr>
          <w:snapToGrid w:val="0"/>
        </w:rPr>
        <w:t>.</w:t>
      </w:r>
      <w:r>
        <w:rPr>
          <w:snapToGrid w:val="0"/>
        </w:rPr>
        <w:tab/>
        <w:t>Conduct of polls</w:t>
      </w:r>
      <w:bookmarkEnd w:id="25"/>
    </w:p>
    <w:p>
      <w:pPr>
        <w:pStyle w:val="Subsection"/>
        <w:rPr>
          <w:snapToGrid w:val="0"/>
        </w:rPr>
      </w:pPr>
      <w:r>
        <w:rPr>
          <w:snapToGrid w:val="0"/>
        </w:rPr>
        <w:tab/>
        <w:t>(1)</w:t>
      </w:r>
      <w:r>
        <w:rPr>
          <w:snapToGrid w:val="0"/>
        </w:rPr>
        <w:tab/>
        <w:t>A poll conducted for the purposes of this Act shall be conducted in accordance with the regulations.</w:t>
      </w:r>
    </w:p>
    <w:p>
      <w:pPr>
        <w:pStyle w:val="Subsection"/>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pPr>
        <w:pStyle w:val="Footnotesection"/>
      </w:pPr>
      <w:r>
        <w:tab/>
        <w:t>[Section 17 amended by No. 20 of 2000 s. 31.]</w:t>
      </w:r>
    </w:p>
    <w:p>
      <w:pPr>
        <w:pStyle w:val="Heading5"/>
        <w:rPr>
          <w:snapToGrid w:val="0"/>
        </w:rPr>
      </w:pPr>
      <w:bookmarkStart w:id="26" w:name="_Toc34207733"/>
      <w:r>
        <w:rPr>
          <w:rStyle w:val="CharSectno"/>
        </w:rPr>
        <w:t>18</w:t>
      </w:r>
      <w:r>
        <w:rPr>
          <w:snapToGrid w:val="0"/>
        </w:rPr>
        <w:t>.</w:t>
      </w:r>
      <w:r>
        <w:rPr>
          <w:snapToGrid w:val="0"/>
        </w:rPr>
        <w:tab/>
        <w:t>Accounts</w:t>
      </w:r>
      <w:bookmarkEnd w:id="26"/>
    </w:p>
    <w:p>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pPr>
        <w:pStyle w:val="Subsection"/>
      </w:pPr>
      <w:r>
        <w:tab/>
        <w:t>(3)</w:t>
      </w:r>
      <w:r>
        <w:tab/>
        <w:t>Despite subsection (2), any amount which is no longer required by a producers’ committee —</w:t>
      </w:r>
    </w:p>
    <w:p>
      <w:pPr>
        <w:pStyle w:val="Indenta"/>
      </w:pPr>
      <w:r>
        <w:tab/>
        <w:t>(a)</w:t>
      </w:r>
      <w:r>
        <w:tab/>
        <w:t>to be applied for the service in relation to which the charge was imposed; or</w:t>
      </w:r>
    </w:p>
    <w:p>
      <w:pPr>
        <w:pStyle w:val="Indenta"/>
      </w:pPr>
      <w:r>
        <w:tab/>
        <w:t>(b)</w:t>
      </w:r>
      <w:r>
        <w:tab/>
        <w:t>to defray the proper costs and expenses of the producers’ committee,</w:t>
      </w:r>
    </w:p>
    <w:p>
      <w:pPr>
        <w:pStyle w:val="Subsection"/>
      </w:pPr>
      <w:r>
        <w:tab/>
      </w:r>
      <w:r>
        <w:tab/>
        <w:t>may be allocated by the Commission to be applied for the provision of another service that the committee is authorised to provide.</w:t>
      </w:r>
    </w:p>
    <w:p>
      <w:pPr>
        <w:pStyle w:val="Subsection"/>
      </w:pPr>
      <w:r>
        <w:tab/>
        <w:t>(4)</w:t>
      </w:r>
      <w:r>
        <w:tab/>
        <w:t>The Commission shall maintain proper books of account and records showing amounts credited to the account referred to in subsection (1) and the manner in which the moneys in that account are applied.</w:t>
      </w:r>
    </w:p>
    <w:p>
      <w:pPr>
        <w:pStyle w:val="Footnotesection"/>
      </w:pPr>
      <w:r>
        <w:tab/>
        <w:t>[Section 18 amended by No. 49 of 1996 s. 64; No. 20 of 2000 s. 20 and 31.]</w:t>
      </w:r>
    </w:p>
    <w:p>
      <w:pPr>
        <w:pStyle w:val="Heading5"/>
        <w:rPr>
          <w:snapToGrid w:val="0"/>
        </w:rPr>
      </w:pPr>
      <w:bookmarkStart w:id="27" w:name="_Toc34207734"/>
      <w:r>
        <w:rPr>
          <w:rStyle w:val="CharSectno"/>
        </w:rPr>
        <w:t>19</w:t>
      </w:r>
      <w:r>
        <w:rPr>
          <w:snapToGrid w:val="0"/>
        </w:rPr>
        <w:t>.</w:t>
      </w:r>
      <w:r>
        <w:rPr>
          <w:snapToGrid w:val="0"/>
        </w:rPr>
        <w:tab/>
        <w:t>Voluntary associations of producers</w:t>
      </w:r>
      <w:bookmarkEnd w:id="27"/>
    </w:p>
    <w:p>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pPr>
        <w:pStyle w:val="Footnotesection"/>
      </w:pPr>
      <w:r>
        <w:tab/>
        <w:t>[Section 19 amended by No. 20 of 2000 s. 21, 28, 30 and 31.]</w:t>
      </w:r>
    </w:p>
    <w:p>
      <w:pPr>
        <w:pStyle w:val="Heading5"/>
      </w:pPr>
      <w:bookmarkStart w:id="28" w:name="_Toc34207735"/>
      <w:r>
        <w:rPr>
          <w:rStyle w:val="CharSectno"/>
        </w:rPr>
        <w:t>19A</w:t>
      </w:r>
      <w:r>
        <w:t>.</w:t>
      </w:r>
      <w:r>
        <w:tab/>
        <w:t>Application to commercial and non</w:t>
      </w:r>
      <w:r>
        <w:noBreakHyphen/>
        <w:t>commercial producers of provisions relating to control of certain pests or diseases</w:t>
      </w:r>
      <w:bookmarkEnd w:id="28"/>
    </w:p>
    <w:p>
      <w:pPr>
        <w:pStyle w:val="Subsection"/>
      </w:pPr>
      <w:r>
        <w:tab/>
        <w:t>(1)</w:t>
      </w:r>
      <w:r>
        <w:tab/>
        <w:t xml:space="preserve">Where this section applies, a reference in this Act to a </w:t>
      </w:r>
      <w:r>
        <w:rPr>
          <w:rStyle w:val="CharDefText"/>
        </w:rPr>
        <w:t>producer</w:t>
      </w:r>
      <w:r>
        <w:t xml:space="preserve"> includes a reference to a producer of any quantity of agricultural produce, whether for sale or not.</w:t>
      </w:r>
    </w:p>
    <w:p>
      <w:pPr>
        <w:pStyle w:val="Subsection"/>
      </w:pPr>
      <w:r>
        <w:tab/>
        <w:t>(2)</w:t>
      </w:r>
      <w:r>
        <w:tab/>
        <w:t>This section applies if —</w:t>
      </w:r>
    </w:p>
    <w:p>
      <w:pPr>
        <w:pStyle w:val="Indenta"/>
      </w:pPr>
      <w:r>
        <w:tab/>
        <w:t>(a)</w:t>
      </w:r>
      <w:r>
        <w:tab/>
        <w:t xml:space="preserve">the Minister, by notice published in the </w:t>
      </w:r>
      <w:r>
        <w:rPr>
          <w:i/>
        </w:rPr>
        <w:t>Gazette</w:t>
      </w:r>
      <w:r>
        <w:t>, has declared a specified pest or disease to be a pest or disease to which this section applies; and</w:t>
      </w:r>
    </w:p>
    <w:p>
      <w:pPr>
        <w:pStyle w:val="Indenta"/>
      </w:pPr>
      <w:r>
        <w:tab/>
        <w:t>(b)</w:t>
      </w:r>
      <w:r>
        <w:tab/>
        <w:t>a producers’ committee is established, or is to be established, with the object of controlling or developing the means of controlling the pest or disease specified in the notice.</w:t>
      </w:r>
    </w:p>
    <w:p>
      <w:pPr>
        <w:pStyle w:val="Footnotesection"/>
      </w:pPr>
      <w:r>
        <w:tab/>
        <w:t>[Section 19A inserted by No. 20 of 2000 s. 22.]</w:t>
      </w:r>
    </w:p>
    <w:p>
      <w:pPr>
        <w:pStyle w:val="Heading2"/>
      </w:pPr>
      <w:bookmarkStart w:id="29" w:name="_Toc34207736"/>
      <w:r>
        <w:rPr>
          <w:rStyle w:val="CharPartNo"/>
        </w:rPr>
        <w:t>Part 4</w:t>
      </w:r>
      <w:r>
        <w:rPr>
          <w:rStyle w:val="CharDivNo"/>
        </w:rPr>
        <w:t> </w:t>
      </w:r>
      <w:r>
        <w:t>—</w:t>
      </w:r>
      <w:r>
        <w:rPr>
          <w:rStyle w:val="CharDivText"/>
        </w:rPr>
        <w:t> </w:t>
      </w:r>
      <w:r>
        <w:rPr>
          <w:rStyle w:val="CharPartText"/>
        </w:rPr>
        <w:t>Miscellaneous</w:t>
      </w:r>
      <w:bookmarkEnd w:id="29"/>
    </w:p>
    <w:p>
      <w:pPr>
        <w:pStyle w:val="Heading5"/>
        <w:rPr>
          <w:snapToGrid w:val="0"/>
        </w:rPr>
      </w:pPr>
      <w:bookmarkStart w:id="30" w:name="_Toc34207737"/>
      <w:r>
        <w:rPr>
          <w:rStyle w:val="CharSectno"/>
        </w:rPr>
        <w:t>20</w:t>
      </w:r>
      <w:r>
        <w:rPr>
          <w:snapToGrid w:val="0"/>
        </w:rPr>
        <w:t>.</w:t>
      </w:r>
      <w:r>
        <w:rPr>
          <w:snapToGrid w:val="0"/>
        </w:rPr>
        <w:tab/>
        <w:t>Financial provisions</w:t>
      </w:r>
      <w:bookmarkEnd w:id="30"/>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pPr>
        <w:pStyle w:val="Footnotesection"/>
      </w:pPr>
      <w:r>
        <w:tab/>
        <w:t>[Section 20 amended by No. 20 of 2000 s. 31; No. 77 of 2006 Sch. 1 cl. 3(3).]</w:t>
      </w:r>
    </w:p>
    <w:p>
      <w:pPr>
        <w:pStyle w:val="Heading5"/>
        <w:rPr>
          <w:snapToGrid w:val="0"/>
        </w:rPr>
      </w:pPr>
      <w:bookmarkStart w:id="31" w:name="_Toc34207738"/>
      <w:r>
        <w:rPr>
          <w:rStyle w:val="CharSectno"/>
        </w:rPr>
        <w:t>21</w:t>
      </w:r>
      <w:r>
        <w:rPr>
          <w:snapToGrid w:val="0"/>
        </w:rPr>
        <w:t>.</w:t>
      </w:r>
      <w:r>
        <w:rPr>
          <w:snapToGrid w:val="0"/>
        </w:rPr>
        <w:tab/>
        <w:t>Authentication</w:t>
      </w:r>
      <w:bookmarkEnd w:id="31"/>
    </w:p>
    <w:p>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 person authorised by the chairperson.</w:t>
      </w:r>
    </w:p>
    <w:p>
      <w:pPr>
        <w:pStyle w:val="Heading5"/>
        <w:rPr>
          <w:snapToGrid w:val="0"/>
        </w:rPr>
      </w:pPr>
      <w:bookmarkStart w:id="32" w:name="_Toc34207739"/>
      <w:r>
        <w:rPr>
          <w:rStyle w:val="CharSectno"/>
        </w:rPr>
        <w:t>22</w:t>
      </w:r>
      <w:r>
        <w:rPr>
          <w:snapToGrid w:val="0"/>
        </w:rPr>
        <w:t>.</w:t>
      </w:r>
      <w:r>
        <w:rPr>
          <w:snapToGrid w:val="0"/>
        </w:rPr>
        <w:tab/>
        <w:t>Recovery of charges</w:t>
      </w:r>
      <w:bookmarkEnd w:id="32"/>
    </w:p>
    <w:p>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pPr>
        <w:pStyle w:val="Ednotesubsection"/>
      </w:pPr>
      <w:r>
        <w:tab/>
        <w:t>[(2)</w:t>
      </w:r>
      <w:r>
        <w:tab/>
        <w:t>deleted]</w:t>
      </w:r>
    </w:p>
    <w:p>
      <w:pPr>
        <w:pStyle w:val="Footnotesection"/>
      </w:pPr>
      <w:r>
        <w:tab/>
        <w:t>[Section 22 amended by No. 49 of 1996 s. 64; No. 20 of 2000 s. 23 and 31.]</w:t>
      </w:r>
    </w:p>
    <w:p>
      <w:pPr>
        <w:pStyle w:val="Heading5"/>
        <w:rPr>
          <w:snapToGrid w:val="0"/>
        </w:rPr>
      </w:pPr>
      <w:bookmarkStart w:id="33" w:name="_Toc34207740"/>
      <w:r>
        <w:rPr>
          <w:rStyle w:val="CharSectno"/>
        </w:rPr>
        <w:t>23</w:t>
      </w:r>
      <w:r>
        <w:rPr>
          <w:snapToGrid w:val="0"/>
        </w:rPr>
        <w:t>.</w:t>
      </w:r>
      <w:r>
        <w:rPr>
          <w:snapToGrid w:val="0"/>
        </w:rPr>
        <w:tab/>
        <w:t>Evidentiary</w:t>
      </w:r>
      <w:bookmarkEnd w:id="33"/>
    </w:p>
    <w:p>
      <w:pPr>
        <w:pStyle w:val="Subsection"/>
        <w:keepNext/>
        <w:keepLines/>
        <w:rPr>
          <w:snapToGrid w:val="0"/>
        </w:rPr>
      </w:pPr>
      <w:r>
        <w:rPr>
          <w:snapToGrid w:val="0"/>
        </w:rPr>
        <w:tab/>
      </w:r>
      <w:r>
        <w:rPr>
          <w:snapToGrid w:val="0"/>
        </w:rPr>
        <w:tab/>
        <w:t>In any legal proceedings —</w:t>
      </w:r>
    </w:p>
    <w:p>
      <w:pPr>
        <w:pStyle w:val="Indenta"/>
        <w:rPr>
          <w:snapToGrid w:val="0"/>
        </w:rPr>
      </w:pPr>
      <w:r>
        <w:rPr>
          <w:snapToGrid w:val="0"/>
        </w:rPr>
        <w:tab/>
        <w:t>(a)</w:t>
      </w:r>
      <w:r>
        <w:rPr>
          <w:snapToGrid w:val="0"/>
        </w:rPr>
        <w:tab/>
        <w:t>until evidence is given to the contrary proof is not required of —</w:t>
      </w:r>
    </w:p>
    <w:p>
      <w:pPr>
        <w:pStyle w:val="Indenti"/>
        <w:rPr>
          <w:snapToGrid w:val="0"/>
        </w:rPr>
      </w:pPr>
      <w:r>
        <w:rPr>
          <w:snapToGrid w:val="0"/>
        </w:rPr>
        <w:tab/>
        <w:t>(i)</w:t>
      </w:r>
      <w:r>
        <w:rPr>
          <w:snapToGrid w:val="0"/>
        </w:rPr>
        <w:tab/>
        <w:t>the constitution of a producers’ committee;</w:t>
      </w:r>
    </w:p>
    <w:p>
      <w:pPr>
        <w:pStyle w:val="Indenti"/>
        <w:rPr>
          <w:snapToGrid w:val="0"/>
        </w:rPr>
      </w:pPr>
      <w:r>
        <w:rPr>
          <w:snapToGrid w:val="0"/>
        </w:rPr>
        <w:tab/>
        <w:t>(ii)</w:t>
      </w:r>
      <w:r>
        <w:rPr>
          <w:snapToGrid w:val="0"/>
        </w:rPr>
        <w:tab/>
        <w:t>the constitution of the Commission;</w:t>
      </w:r>
    </w:p>
    <w:p>
      <w:pPr>
        <w:pStyle w:val="Indenti"/>
        <w:rPr>
          <w:snapToGrid w:val="0"/>
        </w:rPr>
      </w:pPr>
      <w:r>
        <w:rPr>
          <w:snapToGrid w:val="0"/>
        </w:rPr>
        <w:tab/>
        <w:t>(iii)</w:t>
      </w:r>
      <w:r>
        <w:rPr>
          <w:snapToGrid w:val="0"/>
        </w:rPr>
        <w:tab/>
        <w:t>any resolution of the Commission or producers’ committee;</w:t>
      </w:r>
    </w:p>
    <w:p>
      <w:pPr>
        <w:pStyle w:val="Indenti"/>
        <w:rPr>
          <w:snapToGrid w:val="0"/>
        </w:rPr>
      </w:pPr>
      <w:r>
        <w:rPr>
          <w:snapToGrid w:val="0"/>
        </w:rPr>
        <w:tab/>
        <w:t>(iv)</w:t>
      </w:r>
      <w:r>
        <w:rPr>
          <w:snapToGrid w:val="0"/>
        </w:rPr>
        <w:tab/>
        <w:t>the appointment of any member or of the Commission or of a producers’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w:t>
      </w:r>
    </w:p>
    <w:p>
      <w:pPr>
        <w:pStyle w:val="Indenti"/>
        <w:rPr>
          <w:snapToGrid w:val="0"/>
        </w:rPr>
      </w:pPr>
      <w:r>
        <w:rPr>
          <w:snapToGrid w:val="0"/>
        </w:rPr>
        <w:tab/>
        <w:t>(i)</w:t>
      </w:r>
      <w:r>
        <w:rPr>
          <w:snapToGrid w:val="0"/>
        </w:rPr>
        <w:tab/>
        <w:t>evidence of the matters contained in the notice or advertisement; and</w:t>
      </w:r>
    </w:p>
    <w:p>
      <w:pPr>
        <w:pStyle w:val="Indenti"/>
        <w:rPr>
          <w:snapToGrid w:val="0"/>
        </w:rPr>
      </w:pPr>
      <w:r>
        <w:rPr>
          <w:snapToGrid w:val="0"/>
        </w:rPr>
        <w:tab/>
        <w:t>(ii)</w:t>
      </w:r>
      <w:r>
        <w:rPr>
          <w:snapToGrid w:val="0"/>
        </w:rPr>
        <w:tab/>
        <w:t>evidence that all steps necessary to be taken prior to the publication of the notice or advertisement were duly taken;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averment on behalf of the Commission —</w:t>
      </w:r>
    </w:p>
    <w:p>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 or</w:t>
      </w:r>
    </w:p>
    <w:p>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pPr>
        <w:pStyle w:val="Indenta"/>
        <w:rPr>
          <w:snapToGrid w:val="0"/>
        </w:rPr>
      </w:pPr>
      <w:r>
        <w:rPr>
          <w:snapToGrid w:val="0"/>
        </w:rPr>
        <w:tab/>
      </w:r>
      <w:r>
        <w:rPr>
          <w:snapToGrid w:val="0"/>
        </w:rPr>
        <w:tab/>
        <w:t>is until the contrary is proved evidence of that fact; and</w:t>
      </w:r>
    </w:p>
    <w:p>
      <w:pPr>
        <w:pStyle w:val="Indenta"/>
        <w:keepNext/>
        <w:rPr>
          <w:snapToGrid w:val="0"/>
        </w:rPr>
      </w:pPr>
      <w:r>
        <w:rPr>
          <w:snapToGrid w:val="0"/>
        </w:rPr>
        <w:tab/>
        <w:t>(d)</w:t>
      </w:r>
      <w:r>
        <w:rPr>
          <w:snapToGrid w:val="0"/>
        </w:rPr>
        <w:tab/>
        <w:t>a certificate —</w:t>
      </w:r>
    </w:p>
    <w:p>
      <w:pPr>
        <w:pStyle w:val="Indenti"/>
        <w:rPr>
          <w:snapToGrid w:val="0"/>
        </w:rPr>
      </w:pPr>
      <w:r>
        <w:rPr>
          <w:snapToGrid w:val="0"/>
        </w:rPr>
        <w:tab/>
        <w:t>(i)</w:t>
      </w:r>
      <w:r>
        <w:rPr>
          <w:snapToGrid w:val="0"/>
        </w:rPr>
        <w:tab/>
        <w:t>signed or purporting to be signed by a prescribed officer of the Commission;</w:t>
      </w:r>
    </w:p>
    <w:p>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pPr>
        <w:pStyle w:val="Footnotesection"/>
      </w:pPr>
      <w:r>
        <w:tab/>
        <w:t>[Section 23 amended by No. 20 of 2000 s. 28, 29, 30 and 31.]</w:t>
      </w:r>
    </w:p>
    <w:p>
      <w:pPr>
        <w:pStyle w:val="Heading5"/>
        <w:rPr>
          <w:snapToGrid w:val="0"/>
        </w:rPr>
      </w:pPr>
      <w:bookmarkStart w:id="34" w:name="_Toc34207741"/>
      <w:r>
        <w:rPr>
          <w:rStyle w:val="CharSectno"/>
        </w:rPr>
        <w:t>24</w:t>
      </w:r>
      <w:r>
        <w:rPr>
          <w:snapToGrid w:val="0"/>
        </w:rPr>
        <w:t>.</w:t>
      </w:r>
      <w:r>
        <w:rPr>
          <w:snapToGrid w:val="0"/>
        </w:rPr>
        <w:tab/>
        <w:t>Protection of members</w:t>
      </w:r>
      <w:bookmarkEnd w:id="34"/>
    </w:p>
    <w:p>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pPr>
        <w:pStyle w:val="Footnotesection"/>
      </w:pPr>
      <w:r>
        <w:tab/>
        <w:t>[Section 24 amended by No. 20 of 2000 s. 31.]</w:t>
      </w:r>
    </w:p>
    <w:p>
      <w:pPr>
        <w:pStyle w:val="Heading5"/>
        <w:rPr>
          <w:snapToGrid w:val="0"/>
        </w:rPr>
      </w:pPr>
      <w:bookmarkStart w:id="35" w:name="_Toc34207742"/>
      <w:r>
        <w:rPr>
          <w:rStyle w:val="CharSectno"/>
        </w:rPr>
        <w:t>25</w:t>
      </w:r>
      <w:r>
        <w:rPr>
          <w:snapToGrid w:val="0"/>
        </w:rPr>
        <w:t>.</w:t>
      </w:r>
      <w:r>
        <w:rPr>
          <w:snapToGrid w:val="0"/>
        </w:rPr>
        <w:tab/>
        <w:t>Regulations</w:t>
      </w:r>
      <w:bookmarkEnd w:id="3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method of determining the eligibility of producers to be regarded as producers for the purposes of this Act; and</w:t>
      </w:r>
    </w:p>
    <w:p>
      <w:pPr>
        <w:pStyle w:val="Indenta"/>
        <w:spacing w:before="60"/>
        <w:rPr>
          <w:snapToGrid w:val="0"/>
        </w:rPr>
      </w:pPr>
      <w:r>
        <w:rPr>
          <w:snapToGrid w:val="0"/>
        </w:rPr>
        <w:tab/>
        <w:t>(b)</w:t>
      </w:r>
      <w:r>
        <w:rPr>
          <w:snapToGrid w:val="0"/>
        </w:rPr>
        <w:tab/>
        <w:t>provide for the taking of any poll including the method of voting at a poll and determining the manner in which the results of a poll shall be ascertained; and</w:t>
      </w:r>
    </w:p>
    <w:p>
      <w:pPr>
        <w:pStyle w:val="Indenta"/>
        <w:spacing w:before="60"/>
        <w:rPr>
          <w:snapToGrid w:val="0"/>
        </w:rPr>
      </w:pPr>
      <w:r>
        <w:rPr>
          <w:snapToGrid w:val="0"/>
        </w:rPr>
        <w:tab/>
        <w:t>(c)</w:t>
      </w:r>
      <w:r>
        <w:rPr>
          <w:snapToGrid w:val="0"/>
        </w:rPr>
        <w:tab/>
        <w:t>prescribe matters concerning the compilation and revision of lists of names of producers; and</w:t>
      </w:r>
    </w:p>
    <w:p>
      <w:pPr>
        <w:pStyle w:val="Indenta"/>
        <w:spacing w:before="60"/>
        <w:rPr>
          <w:snapToGrid w:val="0"/>
        </w:rPr>
      </w:pPr>
      <w:r>
        <w:rPr>
          <w:snapToGrid w:val="0"/>
        </w:rPr>
        <w:tab/>
        <w:t>(d)</w:t>
      </w:r>
      <w:r>
        <w:rPr>
          <w:snapToGrid w:val="0"/>
        </w:rPr>
        <w:tab/>
        <w:t>prescribe the manner in which the results of a poll taken under this Act shall be notified; and</w:t>
      </w:r>
    </w:p>
    <w:p>
      <w:pPr>
        <w:pStyle w:val="Indenta"/>
        <w:spacing w:before="60"/>
      </w:pPr>
      <w:r>
        <w:tab/>
        <w:t>(e)</w:t>
      </w:r>
      <w:r>
        <w:tab/>
        <w:t>require that for the purposes of this Act information relating to agricultural produce be furnished to prescribed persons or organizations; and</w:t>
      </w:r>
    </w:p>
    <w:p>
      <w:pPr>
        <w:pStyle w:val="Indenta"/>
        <w:spacing w:before="60"/>
      </w:pPr>
      <w:r>
        <w:tab/>
        <w:t>(ea)</w:t>
      </w:r>
      <w:r>
        <w:tab/>
        <w:t>prescribe the manner in which charges imposed under this Act shall be paid and collected and the persons to whom the charges shall be paid or by whom the charges shall be collected; and</w:t>
      </w:r>
    </w:p>
    <w:p>
      <w:pPr>
        <w:pStyle w:val="Indenta"/>
        <w:spacing w:before="60"/>
        <w:rPr>
          <w:snapToGrid w:val="0"/>
        </w:rPr>
      </w:pPr>
      <w:r>
        <w:rPr>
          <w:snapToGrid w:val="0"/>
        </w:rPr>
        <w:tab/>
        <w:t>(f)</w:t>
      </w:r>
      <w:r>
        <w:rPr>
          <w:snapToGrid w:val="0"/>
        </w:rPr>
        <w:tab/>
        <w:t>prescribing penalties not exceeding $2 000 for any breach of the regulations.</w:t>
      </w:r>
    </w:p>
    <w:p>
      <w:pPr>
        <w:pStyle w:val="Footnotesection"/>
        <w:spacing w:before="80"/>
      </w:pPr>
      <w:r>
        <w:tab/>
        <w:t>[Section 25 amended by No. 29 of 1993 s. 7; No. 20 of 2000 s. 24 and 30.]</w:t>
      </w:r>
    </w:p>
    <w:p>
      <w:pPr>
        <w:pStyle w:val="Heading5"/>
        <w:spacing w:before="180"/>
        <w:rPr>
          <w:snapToGrid w:val="0"/>
        </w:rPr>
      </w:pPr>
      <w:bookmarkStart w:id="36" w:name="_Toc34207743"/>
      <w:r>
        <w:rPr>
          <w:rStyle w:val="CharSectno"/>
        </w:rPr>
        <w:t>26</w:t>
      </w:r>
      <w:r>
        <w:rPr>
          <w:snapToGrid w:val="0"/>
        </w:rPr>
        <w:t>.</w:t>
      </w:r>
      <w:r>
        <w:rPr>
          <w:snapToGrid w:val="0"/>
        </w:rPr>
        <w:tab/>
        <w:t>Review</w:t>
      </w:r>
      <w:bookmarkEnd w:id="36"/>
    </w:p>
    <w:p>
      <w:pPr>
        <w:pStyle w:val="Subsection"/>
        <w:spacing w:before="120"/>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w:t>
      </w:r>
    </w:p>
    <w:p>
      <w:pPr>
        <w:pStyle w:val="Indenta"/>
        <w:spacing w:before="60"/>
        <w:rPr>
          <w:snapToGrid w:val="0"/>
        </w:rPr>
      </w:pPr>
      <w:r>
        <w:rPr>
          <w:snapToGrid w:val="0"/>
        </w:rPr>
        <w:tab/>
        <w:t>(a)</w:t>
      </w:r>
      <w:r>
        <w:rPr>
          <w:snapToGrid w:val="0"/>
        </w:rPr>
        <w:tab/>
        <w:t>the operation of this Act; and</w:t>
      </w:r>
    </w:p>
    <w:p>
      <w:pPr>
        <w:pStyle w:val="Indenta"/>
        <w:spacing w:before="60"/>
        <w:rPr>
          <w:snapToGrid w:val="0"/>
        </w:rPr>
      </w:pPr>
      <w:r>
        <w:rPr>
          <w:snapToGrid w:val="0"/>
        </w:rPr>
        <w:tab/>
        <w:t>(b)</w:t>
      </w:r>
      <w:r>
        <w:rPr>
          <w:snapToGrid w:val="0"/>
        </w:rPr>
        <w:tab/>
        <w:t>the operation of the Commission and any producers’ committee; and</w:t>
      </w:r>
    </w:p>
    <w:p>
      <w:pPr>
        <w:pStyle w:val="Indenta"/>
        <w:spacing w:before="60"/>
        <w:rPr>
          <w:snapToGrid w:val="0"/>
        </w:rPr>
      </w:pPr>
      <w:r>
        <w:rPr>
          <w:snapToGrid w:val="0"/>
        </w:rPr>
        <w:tab/>
        <w:t>(c)</w:t>
      </w:r>
      <w:r>
        <w:rPr>
          <w:snapToGrid w:val="0"/>
        </w:rPr>
        <w:tab/>
        <w:t>the need for this Act to continue in operation.</w:t>
      </w:r>
    </w:p>
    <w:p>
      <w:pPr>
        <w:pStyle w:val="Subsection"/>
        <w:spacing w:before="120"/>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Footnotesection"/>
        <w:spacing w:before="80"/>
      </w:pPr>
      <w:r>
        <w:tab/>
        <w:t>[Section 26 amended by No. 20 of 2000 s. 25 and 31.]</w:t>
      </w:r>
    </w:p>
    <w:p>
      <w:pPr>
        <w:pStyle w:val="Ednotesection"/>
        <w:spacing w:before="180"/>
        <w:rPr>
          <w:i w:val="0"/>
        </w:rPr>
      </w:pPr>
      <w:r>
        <w:t>[</w:t>
      </w:r>
      <w:r>
        <w:rPr>
          <w:b/>
        </w:rPr>
        <w:t>27.</w:t>
      </w:r>
      <w:r>
        <w:rPr>
          <w:b/>
        </w:rPr>
        <w:tab/>
      </w:r>
      <w:r>
        <w:t>Omitted under the Reprints Act 1984 s. 7(4)(e).]</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37" w:name="_Toc34207744"/>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The Commission and its proceedings</w:t>
      </w:r>
      <w:bookmarkEnd w:id="37"/>
    </w:p>
    <w:p>
      <w:pPr>
        <w:pStyle w:val="yShoulderClause"/>
        <w:rPr>
          <w:rFonts w:eastAsia="MS Mincho"/>
        </w:rPr>
      </w:pPr>
      <w:r>
        <w:rPr>
          <w:rFonts w:eastAsia="MS Mincho"/>
        </w:rPr>
        <w:t>[s. 5(6)]</w:t>
      </w:r>
    </w:p>
    <w:p>
      <w:pPr>
        <w:pStyle w:val="yFootnoteheading"/>
      </w:pPr>
      <w:r>
        <w:tab/>
        <w:t>[Heading inserted by No. 19 of 2010 s. 7.]</w:t>
      </w:r>
    </w:p>
    <w:p>
      <w:pPr>
        <w:pStyle w:val="yHeading5"/>
        <w:ind w:left="890" w:hanging="890"/>
        <w:outlineLvl w:val="9"/>
        <w:rPr>
          <w:snapToGrid w:val="0"/>
        </w:rPr>
      </w:pPr>
      <w:bookmarkStart w:id="38" w:name="_Toc34207745"/>
      <w:r>
        <w:rPr>
          <w:rStyle w:val="CharSClsNo"/>
        </w:rPr>
        <w:t>1</w:t>
      </w:r>
      <w:r>
        <w:rPr>
          <w:snapToGrid w:val="0"/>
        </w:rPr>
        <w:t>.</w:t>
      </w:r>
      <w:r>
        <w:rPr>
          <w:snapToGrid w:val="0"/>
        </w:rPr>
        <w:tab/>
        <w:t>Term of office of member of Commission</w:t>
      </w:r>
      <w:bookmarkEnd w:id="38"/>
    </w:p>
    <w:p>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pPr>
        <w:pStyle w:val="yHeading5"/>
        <w:ind w:left="890" w:hanging="890"/>
        <w:outlineLvl w:val="9"/>
        <w:rPr>
          <w:snapToGrid w:val="0"/>
        </w:rPr>
      </w:pPr>
      <w:bookmarkStart w:id="39" w:name="_Toc34207746"/>
      <w:r>
        <w:rPr>
          <w:rStyle w:val="CharSClsNo"/>
        </w:rPr>
        <w:t>2</w:t>
      </w:r>
      <w:r>
        <w:rPr>
          <w:snapToGrid w:val="0"/>
        </w:rPr>
        <w:t>.</w:t>
      </w:r>
      <w:r>
        <w:rPr>
          <w:snapToGrid w:val="0"/>
        </w:rPr>
        <w:tab/>
        <w:t>Remuneration of member of Commission</w:t>
      </w:r>
      <w:bookmarkEnd w:id="39"/>
    </w:p>
    <w:p>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Public Sector Commissioner</w:t>
      </w:r>
      <w:r>
        <w:rPr>
          <w:snapToGrid w:val="0"/>
        </w:rPr>
        <w:t>, determines.</w:t>
      </w:r>
    </w:p>
    <w:p>
      <w:pPr>
        <w:pStyle w:val="yFootnotesection"/>
      </w:pPr>
      <w:r>
        <w:tab/>
        <w:t>[Clause 2 amended by No. 20 of 2000 s. 26(1); No. 39 of 2010 s. 89.]</w:t>
      </w:r>
    </w:p>
    <w:p>
      <w:pPr>
        <w:pStyle w:val="yHeading5"/>
        <w:ind w:left="890" w:hanging="890"/>
        <w:outlineLvl w:val="9"/>
        <w:rPr>
          <w:snapToGrid w:val="0"/>
        </w:rPr>
      </w:pPr>
      <w:bookmarkStart w:id="40" w:name="_Toc34207747"/>
      <w:r>
        <w:rPr>
          <w:rStyle w:val="CharSClsNo"/>
        </w:rPr>
        <w:t>3</w:t>
      </w:r>
      <w:r>
        <w:rPr>
          <w:snapToGrid w:val="0"/>
        </w:rPr>
        <w:t>.</w:t>
      </w:r>
      <w:r>
        <w:rPr>
          <w:snapToGrid w:val="0"/>
        </w:rPr>
        <w:tab/>
        <w:t>Casual vacancies</w:t>
      </w:r>
      <w:bookmarkEnd w:id="40"/>
    </w:p>
    <w:p>
      <w:pPr>
        <w:pStyle w:val="ySubsection"/>
        <w:rPr>
          <w:snapToGrid w:val="0"/>
        </w:rPr>
      </w:pPr>
      <w:r>
        <w:rPr>
          <w:snapToGrid w:val="0"/>
        </w:rPr>
        <w:tab/>
      </w:r>
      <w:r>
        <w:rPr>
          <w:snapToGrid w:val="0"/>
        </w:rPr>
        <w:tab/>
        <w:t>Where an office of member of the Commission becomes vacant the Minister shall, subject to this Act, fill the vacancy.</w:t>
      </w:r>
    </w:p>
    <w:p>
      <w:pPr>
        <w:pStyle w:val="yHeading5"/>
        <w:ind w:left="890" w:hanging="890"/>
        <w:outlineLvl w:val="9"/>
        <w:rPr>
          <w:snapToGrid w:val="0"/>
        </w:rPr>
      </w:pPr>
      <w:bookmarkStart w:id="41" w:name="_Toc34207748"/>
      <w:r>
        <w:rPr>
          <w:rStyle w:val="CharSClsNo"/>
        </w:rPr>
        <w:t>4</w:t>
      </w:r>
      <w:r>
        <w:rPr>
          <w:snapToGrid w:val="0"/>
        </w:rPr>
        <w:t>.</w:t>
      </w:r>
      <w:r>
        <w:rPr>
          <w:snapToGrid w:val="0"/>
        </w:rPr>
        <w:tab/>
        <w:t>Vacation of office</w:t>
      </w:r>
      <w:bookmarkEnd w:id="41"/>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is absent from 4 consecutive meetings of the Commission without the permission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pPr>
        <w:pStyle w:val="yFootnotesection"/>
      </w:pPr>
      <w:r>
        <w:tab/>
        <w:t>[Clause 4 amended by No. 18 of 2009 s. 7.]</w:t>
      </w:r>
    </w:p>
    <w:p>
      <w:pPr>
        <w:pStyle w:val="yHeading5"/>
        <w:ind w:left="890" w:hanging="890"/>
        <w:outlineLvl w:val="9"/>
        <w:rPr>
          <w:snapToGrid w:val="0"/>
        </w:rPr>
      </w:pPr>
      <w:bookmarkStart w:id="42" w:name="_Toc34207749"/>
      <w:r>
        <w:rPr>
          <w:rStyle w:val="CharSClsNo"/>
        </w:rPr>
        <w:t>5</w:t>
      </w:r>
      <w:r>
        <w:rPr>
          <w:snapToGrid w:val="0"/>
        </w:rPr>
        <w:t>.</w:t>
      </w:r>
      <w:r>
        <w:rPr>
          <w:snapToGrid w:val="0"/>
        </w:rPr>
        <w:tab/>
        <w:t>Disclosure</w:t>
      </w:r>
      <w:bookmarkEnd w:id="42"/>
    </w:p>
    <w:p>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w:t>
      </w:r>
    </w:p>
    <w:p>
      <w:pPr>
        <w:pStyle w:val="yIndenta"/>
        <w:rPr>
          <w:snapToGrid w:val="0"/>
        </w:rPr>
      </w:pPr>
      <w:r>
        <w:rPr>
          <w:snapToGrid w:val="0"/>
        </w:rPr>
        <w:tab/>
        <w:t>(a)</w:t>
      </w:r>
      <w:r>
        <w:rPr>
          <w:snapToGrid w:val="0"/>
        </w:rPr>
        <w:tab/>
        <w:t>be present during any deliberation by the Commission with respect to that matter; or</w:t>
      </w:r>
    </w:p>
    <w:p>
      <w:pPr>
        <w:pStyle w:val="yIndenta"/>
        <w:rPr>
          <w:snapToGrid w:val="0"/>
        </w:rPr>
      </w:pPr>
      <w:r>
        <w:rPr>
          <w:snapToGrid w:val="0"/>
        </w:rPr>
        <w:tab/>
        <w:t>(b)</w:t>
      </w:r>
      <w:r>
        <w:rPr>
          <w:snapToGrid w:val="0"/>
        </w:rPr>
        <w:tab/>
        <w:t>take part in any decision of the Commission with respect to that matter.</w:t>
      </w:r>
    </w:p>
    <w:p>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w:t>
      </w:r>
    </w:p>
    <w:p>
      <w:pPr>
        <w:pStyle w:val="yIndenta"/>
        <w:rPr>
          <w:snapToGrid w:val="0"/>
        </w:rPr>
      </w:pPr>
      <w:r>
        <w:rPr>
          <w:snapToGrid w:val="0"/>
        </w:rPr>
        <w:tab/>
        <w:t>(a)</w:t>
      </w:r>
      <w:r>
        <w:rPr>
          <w:snapToGrid w:val="0"/>
        </w:rPr>
        <w:tab/>
        <w:t>be present during any deliberation of the Commission for the purpose of making the determination; or</w:t>
      </w:r>
    </w:p>
    <w:p>
      <w:pPr>
        <w:pStyle w:val="yIndenta"/>
        <w:rPr>
          <w:snapToGrid w:val="0"/>
        </w:rPr>
      </w:pPr>
      <w:r>
        <w:rPr>
          <w:snapToGrid w:val="0"/>
        </w:rPr>
        <w:tab/>
        <w:t>(b)</w:t>
      </w:r>
      <w:r>
        <w:rPr>
          <w:snapToGrid w:val="0"/>
        </w:rPr>
        <w:tab/>
        <w:t>take part in the making by the Commission of the determination.</w:t>
      </w:r>
    </w:p>
    <w:p>
      <w:pPr>
        <w:pStyle w:val="yHeading5"/>
        <w:ind w:left="890" w:hanging="890"/>
        <w:outlineLvl w:val="9"/>
        <w:rPr>
          <w:snapToGrid w:val="0"/>
        </w:rPr>
      </w:pPr>
      <w:bookmarkStart w:id="43" w:name="_Toc34207750"/>
      <w:r>
        <w:rPr>
          <w:rStyle w:val="CharSClsNo"/>
        </w:rPr>
        <w:t>6</w:t>
      </w:r>
      <w:r>
        <w:rPr>
          <w:snapToGrid w:val="0"/>
        </w:rPr>
        <w:t>.</w:t>
      </w:r>
      <w:r>
        <w:rPr>
          <w:snapToGrid w:val="0"/>
        </w:rPr>
        <w:tab/>
        <w:t>Meetings</w:t>
      </w:r>
      <w:bookmarkEnd w:id="43"/>
    </w:p>
    <w:p>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pPr>
        <w:pStyle w:val="ySubsection"/>
        <w:rPr>
          <w:snapToGrid w:val="0"/>
        </w:rPr>
      </w:pPr>
      <w:r>
        <w:rPr>
          <w:snapToGrid w:val="0"/>
        </w:rPr>
        <w:tab/>
        <w:t>(2)</w:t>
      </w:r>
      <w:r>
        <w:rPr>
          <w:snapToGrid w:val="0"/>
        </w:rPr>
        <w:tab/>
        <w:t>A special meeting of the Commission may at any time be convened by the chairperson of the Commission.</w:t>
      </w:r>
    </w:p>
    <w:p>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pPr>
        <w:pStyle w:val="ySubsection"/>
        <w:rPr>
          <w:snapToGrid w:val="0"/>
        </w:rPr>
      </w:pPr>
      <w:r>
        <w:rPr>
          <w:snapToGrid w:val="0"/>
        </w:rPr>
        <w:tab/>
        <w:t>(4)</w:t>
      </w:r>
      <w:r>
        <w:rPr>
          <w:snapToGrid w:val="0"/>
        </w:rPr>
        <w:tab/>
        <w:t>At any meeting of the Commission 3 members constitute a quorum.</w:t>
      </w:r>
    </w:p>
    <w:p>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pPr>
        <w:pStyle w:val="yFootnotesection"/>
      </w:pPr>
      <w:r>
        <w:tab/>
        <w:t>[Clause 6 amended by No. 20 of 2000 s. 26(2).]</w:t>
      </w:r>
    </w:p>
    <w:p>
      <w:pPr>
        <w:pStyle w:val="yHeading5"/>
        <w:ind w:left="890" w:hanging="890"/>
        <w:outlineLvl w:val="9"/>
        <w:rPr>
          <w:snapToGrid w:val="0"/>
        </w:rPr>
      </w:pPr>
      <w:bookmarkStart w:id="44" w:name="_Toc34207751"/>
      <w:r>
        <w:rPr>
          <w:rStyle w:val="CharSClsNo"/>
        </w:rPr>
        <w:t>7</w:t>
      </w:r>
      <w:r>
        <w:rPr>
          <w:snapToGrid w:val="0"/>
        </w:rPr>
        <w:t>.</w:t>
      </w:r>
      <w:r>
        <w:rPr>
          <w:snapToGrid w:val="0"/>
        </w:rPr>
        <w:tab/>
        <w:t>Resolution without meeting</w:t>
      </w:r>
      <w:bookmarkEnd w:id="44"/>
    </w:p>
    <w:p>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pPr>
        <w:pStyle w:val="yHeading5"/>
        <w:ind w:left="890" w:hanging="890"/>
        <w:outlineLvl w:val="9"/>
        <w:rPr>
          <w:snapToGrid w:val="0"/>
        </w:rPr>
      </w:pPr>
      <w:bookmarkStart w:id="45" w:name="_Toc34207752"/>
      <w:r>
        <w:rPr>
          <w:rStyle w:val="CharSClsNo"/>
        </w:rPr>
        <w:t>8</w:t>
      </w:r>
      <w:r>
        <w:rPr>
          <w:snapToGrid w:val="0"/>
        </w:rPr>
        <w:t>.</w:t>
      </w:r>
      <w:r>
        <w:rPr>
          <w:snapToGrid w:val="0"/>
        </w:rPr>
        <w:tab/>
        <w:t>Procedures of Commission</w:t>
      </w:r>
      <w:bookmarkEnd w:id="45"/>
    </w:p>
    <w:p>
      <w:pPr>
        <w:pStyle w:val="ySubsection"/>
        <w:rPr>
          <w:snapToGrid w:val="0"/>
        </w:rPr>
      </w:pPr>
      <w:r>
        <w:rPr>
          <w:snapToGrid w:val="0"/>
        </w:rPr>
        <w:tab/>
      </w:r>
      <w:r>
        <w:rPr>
          <w:snapToGrid w:val="0"/>
        </w:rPr>
        <w:tab/>
        <w:t>Except to the extent that they are prescribed, the Commission shall determine its own procedures.</w:t>
      </w:r>
    </w:p>
    <w:p>
      <w:pPr>
        <w:pStyle w:val="yHeading5"/>
        <w:ind w:left="890" w:hanging="890"/>
        <w:outlineLvl w:val="9"/>
        <w:rPr>
          <w:snapToGrid w:val="0"/>
        </w:rPr>
      </w:pPr>
      <w:bookmarkStart w:id="46" w:name="_Toc34207753"/>
      <w:r>
        <w:rPr>
          <w:rStyle w:val="CharSClsNo"/>
        </w:rPr>
        <w:t>9</w:t>
      </w:r>
      <w:r>
        <w:rPr>
          <w:snapToGrid w:val="0"/>
        </w:rPr>
        <w:t>.</w:t>
      </w:r>
      <w:r>
        <w:rPr>
          <w:snapToGrid w:val="0"/>
        </w:rPr>
        <w:tab/>
        <w:t>Validity of acts of Commission</w:t>
      </w:r>
      <w:bookmarkEnd w:id="46"/>
    </w:p>
    <w:p>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pPr>
        <w:pStyle w:val="CentredBaseLine"/>
        <w:jc w:val="center"/>
      </w:pPr>
      <w:r>
        <w:rPr>
          <w:noProof/>
        </w:rPr>
        <w:drawing>
          <wp:inline distT="0" distB="0" distL="0" distR="0">
            <wp:extent cx="936625"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6625" cy="170815"/>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pPr>
      <w:bookmarkStart w:id="47" w:name="_Toc34207754"/>
      <w:r>
        <w:t>Notes</w:t>
      </w:r>
      <w:bookmarkEnd w:id="47"/>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14 June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Agricultural Produce Commission Act 1988</w:t>
      </w:r>
      <w:r>
        <w:rPr>
          <w:i/>
          <w:snapToGrid w:val="0"/>
        </w:rPr>
        <w:fldChar w:fldCharType="end"/>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48" w:name="_Toc34207755"/>
      <w:r>
        <w:rPr>
          <w:snapToGrid w:val="0"/>
        </w:rPr>
        <w:t>Compilation table</w:t>
      </w:r>
      <w:bookmarkEnd w:id="48"/>
    </w:p>
    <w:tbl>
      <w:tblPr>
        <w:tblW w:w="7089" w:type="dxa"/>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z w:val="19"/>
              </w:rPr>
              <w:t>Horticultural Produce Commission Act 1988</w:t>
            </w:r>
            <w:r>
              <w:rPr>
                <w:sz w:val="19"/>
                <w:vertAlign w:val="superscript"/>
              </w:rPr>
              <w:t> 4</w:t>
            </w:r>
          </w:p>
        </w:tc>
        <w:tc>
          <w:tcPr>
            <w:tcW w:w="1135" w:type="dxa"/>
            <w:tcBorders>
              <w:top w:val="single" w:sz="8" w:space="0" w:color="auto"/>
            </w:tcBorders>
          </w:tcPr>
          <w:p>
            <w:pPr>
              <w:pStyle w:val="nTable"/>
              <w:spacing w:after="40"/>
              <w:rPr>
                <w:sz w:val="19"/>
              </w:rPr>
            </w:pPr>
            <w:r>
              <w:rPr>
                <w:sz w:val="19"/>
              </w:rPr>
              <w:t>75 of 1988</w:t>
            </w:r>
          </w:p>
        </w:tc>
        <w:tc>
          <w:tcPr>
            <w:tcW w:w="1135" w:type="dxa"/>
            <w:tcBorders>
              <w:top w:val="single" w:sz="8" w:space="0" w:color="auto"/>
            </w:tcBorders>
          </w:tcPr>
          <w:p>
            <w:pPr>
              <w:pStyle w:val="nTable"/>
              <w:spacing w:after="40"/>
              <w:rPr>
                <w:sz w:val="19"/>
              </w:rPr>
            </w:pPr>
            <w:r>
              <w:rPr>
                <w:sz w:val="19"/>
              </w:rPr>
              <w:t>23 Dec 1988</w:t>
            </w:r>
          </w:p>
        </w:tc>
        <w:tc>
          <w:tcPr>
            <w:tcW w:w="2551" w:type="dxa"/>
            <w:tcBorders>
              <w:top w:val="single" w:sz="8" w:space="0" w:color="auto"/>
            </w:tcBorders>
          </w:tcPr>
          <w:p>
            <w:pPr>
              <w:pStyle w:val="nTable"/>
              <w:spacing w:after="40"/>
              <w:rPr>
                <w:sz w:val="19"/>
              </w:rPr>
            </w:pPr>
            <w:r>
              <w:rPr>
                <w:sz w:val="19"/>
              </w:rPr>
              <w:t>s. 1 and 2: 23 Dec 1988;</w:t>
            </w:r>
            <w:r>
              <w:rPr>
                <w:sz w:val="19"/>
              </w:rPr>
              <w:br/>
              <w:t xml:space="preserve">Act other than s. 1 and 2: 1 Sep 1989 (see s. 2 and </w:t>
            </w:r>
            <w:r>
              <w:rPr>
                <w:i/>
                <w:sz w:val="19"/>
              </w:rPr>
              <w:t>Gazette</w:t>
            </w:r>
            <w:r>
              <w:rPr>
                <w:sz w:val="19"/>
              </w:rPr>
              <w:t xml:space="preserve"> 1 Sep 1989 p. 3017)</w:t>
            </w:r>
          </w:p>
        </w:tc>
      </w:tr>
      <w:tr>
        <w:trPr>
          <w:cantSplit/>
        </w:trPr>
        <w:tc>
          <w:tcPr>
            <w:tcW w:w="2268" w:type="dxa"/>
          </w:tcPr>
          <w:p>
            <w:pPr>
              <w:pStyle w:val="nTable"/>
              <w:spacing w:after="40"/>
              <w:ind w:right="113"/>
              <w:rPr>
                <w:sz w:val="19"/>
              </w:rPr>
            </w:pPr>
            <w:r>
              <w:rPr>
                <w:i/>
                <w:sz w:val="19"/>
              </w:rPr>
              <w:t>Horticultural Produce Commission Amendment Act 1993</w:t>
            </w:r>
          </w:p>
        </w:tc>
        <w:tc>
          <w:tcPr>
            <w:tcW w:w="1135" w:type="dxa"/>
          </w:tcPr>
          <w:p>
            <w:pPr>
              <w:pStyle w:val="nTable"/>
              <w:spacing w:after="40"/>
              <w:rPr>
                <w:sz w:val="19"/>
              </w:rPr>
            </w:pPr>
            <w:r>
              <w:rPr>
                <w:sz w:val="19"/>
              </w:rPr>
              <w:t>29 of 1993</w:t>
            </w:r>
          </w:p>
        </w:tc>
        <w:tc>
          <w:tcPr>
            <w:tcW w:w="1135" w:type="dxa"/>
          </w:tcPr>
          <w:p>
            <w:pPr>
              <w:pStyle w:val="nTable"/>
              <w:spacing w:after="40"/>
              <w:rPr>
                <w:sz w:val="19"/>
              </w:rPr>
            </w:pPr>
            <w:r>
              <w:rPr>
                <w:sz w:val="19"/>
              </w:rPr>
              <w:t>15 Dec 1993</w:t>
            </w:r>
          </w:p>
        </w:tc>
        <w:tc>
          <w:tcPr>
            <w:tcW w:w="2551" w:type="dxa"/>
          </w:tcPr>
          <w:p>
            <w:pPr>
              <w:pStyle w:val="nTable"/>
              <w:spacing w:after="40"/>
              <w:rPr>
                <w:sz w:val="19"/>
              </w:rPr>
            </w:pPr>
            <w:r>
              <w:rPr>
                <w:sz w:val="19"/>
              </w:rPr>
              <w:t>15 Dec 1993 (see s. 2)</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5"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Agricultural Legislation Amendment and Repeal Act 1998</w:t>
            </w:r>
            <w:r>
              <w:rPr>
                <w:sz w:val="19"/>
              </w:rPr>
              <w:t xml:space="preserve"> Pt. 6</w:t>
            </w:r>
          </w:p>
        </w:tc>
        <w:tc>
          <w:tcPr>
            <w:tcW w:w="1135" w:type="dxa"/>
          </w:tcPr>
          <w:p>
            <w:pPr>
              <w:pStyle w:val="nTable"/>
              <w:spacing w:after="40"/>
              <w:rPr>
                <w:sz w:val="19"/>
              </w:rPr>
            </w:pPr>
            <w:r>
              <w:rPr>
                <w:sz w:val="19"/>
              </w:rPr>
              <w:t>9 of 1998</w:t>
            </w:r>
          </w:p>
        </w:tc>
        <w:tc>
          <w:tcPr>
            <w:tcW w:w="1135" w:type="dxa"/>
          </w:tcPr>
          <w:p>
            <w:pPr>
              <w:pStyle w:val="nTable"/>
              <w:spacing w:after="40"/>
              <w:rPr>
                <w:sz w:val="19"/>
              </w:rPr>
            </w:pPr>
            <w:r>
              <w:rPr>
                <w:sz w:val="19"/>
              </w:rPr>
              <w:t>30 Apr 1998</w:t>
            </w:r>
          </w:p>
        </w:tc>
        <w:tc>
          <w:tcPr>
            <w:tcW w:w="2551" w:type="dxa"/>
          </w:tcPr>
          <w:p>
            <w:pPr>
              <w:pStyle w:val="nTable"/>
              <w:spacing w:after="40"/>
              <w:rPr>
                <w:sz w:val="19"/>
              </w:rPr>
            </w:pPr>
            <w:r>
              <w:rPr>
                <w:sz w:val="19"/>
              </w:rPr>
              <w:t xml:space="preserve">4 Jul 1998 (see s. 2 and </w:t>
            </w:r>
            <w:r>
              <w:rPr>
                <w:i/>
                <w:sz w:val="19"/>
              </w:rPr>
              <w:t>Gazette</w:t>
            </w:r>
            <w:r>
              <w:rPr>
                <w:sz w:val="19"/>
              </w:rPr>
              <w:t xml:space="preserve"> 3 Jul 1998 p. 3581)</w:t>
            </w:r>
          </w:p>
        </w:tc>
      </w:tr>
      <w:tr>
        <w:trPr>
          <w:cantSplit/>
        </w:trPr>
        <w:tc>
          <w:tcPr>
            <w:tcW w:w="2268" w:type="dxa"/>
          </w:tcPr>
          <w:p>
            <w:pPr>
              <w:pStyle w:val="nTable"/>
              <w:spacing w:after="40"/>
              <w:ind w:right="113"/>
              <w:rPr>
                <w:sz w:val="19"/>
              </w:rPr>
            </w:pPr>
            <w:r>
              <w:rPr>
                <w:i/>
                <w:sz w:val="19"/>
              </w:rPr>
              <w:t xml:space="preserve">Horticultural Produce Commission Amendment Act 2000 </w:t>
            </w:r>
            <w:r>
              <w:rPr>
                <w:snapToGrid w:val="0"/>
                <w:sz w:val="19"/>
                <w:vertAlign w:val="superscript"/>
              </w:rPr>
              <w:t>5</w:t>
            </w:r>
          </w:p>
        </w:tc>
        <w:tc>
          <w:tcPr>
            <w:tcW w:w="1135" w:type="dxa"/>
          </w:tcPr>
          <w:p>
            <w:pPr>
              <w:pStyle w:val="nTable"/>
              <w:spacing w:after="40"/>
              <w:rPr>
                <w:sz w:val="19"/>
              </w:rPr>
            </w:pPr>
            <w:r>
              <w:rPr>
                <w:sz w:val="19"/>
              </w:rPr>
              <w:t>20 of 2000</w:t>
            </w:r>
          </w:p>
        </w:tc>
        <w:tc>
          <w:tcPr>
            <w:tcW w:w="1135" w:type="dxa"/>
          </w:tcPr>
          <w:p>
            <w:pPr>
              <w:pStyle w:val="nTable"/>
              <w:spacing w:after="40"/>
              <w:rPr>
                <w:sz w:val="19"/>
              </w:rPr>
            </w:pPr>
            <w:r>
              <w:rPr>
                <w:sz w:val="19"/>
              </w:rPr>
              <w:t>30 Jun 2000</w:t>
            </w:r>
          </w:p>
        </w:tc>
        <w:tc>
          <w:tcPr>
            <w:tcW w:w="2551" w:type="dxa"/>
          </w:tcPr>
          <w:p>
            <w:pPr>
              <w:pStyle w:val="nTable"/>
              <w:spacing w:after="40"/>
              <w:rPr>
                <w:sz w:val="19"/>
              </w:rPr>
            </w:pPr>
            <w:r>
              <w:rPr>
                <w:sz w:val="19"/>
              </w:rPr>
              <w:t>s. 1 and 2: 30 Jun 2000;</w:t>
            </w:r>
            <w:r>
              <w:rPr>
                <w:sz w:val="19"/>
              </w:rPr>
              <w:br/>
              <w:t xml:space="preserve">Act other than s. 1 and 2: 11 Aug 2000 (see s. 2 and </w:t>
            </w:r>
            <w:r>
              <w:rPr>
                <w:i/>
                <w:sz w:val="19"/>
              </w:rPr>
              <w:t>Gazette</w:t>
            </w:r>
            <w:r>
              <w:rPr>
                <w:sz w:val="19"/>
              </w:rPr>
              <w:t xml:space="preserve"> 11 Aug 2000 p. 4691)</w:t>
            </w:r>
          </w:p>
        </w:tc>
      </w:tr>
      <w:tr>
        <w:trPr>
          <w:cantSplit/>
        </w:trPr>
        <w:tc>
          <w:tcPr>
            <w:tcW w:w="7089" w:type="dxa"/>
            <w:gridSpan w:val="4"/>
          </w:tcPr>
          <w:p>
            <w:pPr>
              <w:pStyle w:val="nTable"/>
              <w:spacing w:after="4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State Administrative Tribunal (Conferral of Jurisdiction) Amendment and Repeal Act 2004</w:t>
            </w:r>
            <w:r>
              <w:rPr>
                <w:iCs/>
                <w:sz w:val="19"/>
              </w:rPr>
              <w:t xml:space="preserve"> Pt. 2 Div. 5</w:t>
            </w:r>
            <w:r>
              <w:rPr>
                <w:iCs/>
                <w:sz w:val="19"/>
                <w:vertAlign w:val="superscript"/>
              </w:rPr>
              <w:t> 6</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Cs/>
                <w:sz w:val="19"/>
              </w:rPr>
            </w:pPr>
            <w:r>
              <w:rPr>
                <w:i/>
                <w:sz w:val="19"/>
              </w:rPr>
              <w:t>Machinery of Government (Miscellaneous Amendments) Act 2006</w:t>
            </w:r>
            <w:r>
              <w:rPr>
                <w:iCs/>
                <w:sz w:val="19"/>
              </w:rPr>
              <w:t xml:space="preserve"> Pt. 2 Div. 1</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rPr>
              <w:t xml:space="preserve">Financial Legislation Amendment and Repeal Act 2006 </w:t>
            </w:r>
            <w:r>
              <w:rPr>
                <w:iCs/>
                <w:snapToGrid w:val="0"/>
                <w:sz w:val="19"/>
              </w:rPr>
              <w:t>Sch. 1 cl. 3</w:t>
            </w:r>
          </w:p>
        </w:tc>
        <w:tc>
          <w:tcPr>
            <w:tcW w:w="1135" w:type="dxa"/>
          </w:tcPr>
          <w:p>
            <w:pPr>
              <w:pStyle w:val="nTable"/>
              <w:spacing w:after="40"/>
              <w:rPr>
                <w:sz w:val="19"/>
              </w:rPr>
            </w:pPr>
            <w:r>
              <w:rPr>
                <w:snapToGrid w:val="0"/>
                <w:sz w:val="19"/>
              </w:rPr>
              <w:t xml:space="preserve">77 of 2006 </w:t>
            </w:r>
          </w:p>
        </w:tc>
        <w:tc>
          <w:tcPr>
            <w:tcW w:w="1135" w:type="dxa"/>
          </w:tcPr>
          <w:p>
            <w:pPr>
              <w:pStyle w:val="nTable"/>
              <w:spacing w:after="40"/>
              <w:rPr>
                <w:sz w:val="19"/>
              </w:rPr>
            </w:pPr>
            <w:r>
              <w:rPr>
                <w:snapToGrid w:val="0"/>
                <w:sz w:val="19"/>
              </w:rPr>
              <w:t>21 Dec 2006</w:t>
            </w:r>
          </w:p>
        </w:tc>
        <w:tc>
          <w:tcPr>
            <w:tcW w:w="2551" w:type="dxa"/>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rPr>
            </w:pPr>
            <w:r>
              <w:rPr>
                <w:i/>
                <w:snapToGrid w:val="0"/>
                <w:sz w:val="19"/>
              </w:rPr>
              <w:t>Biosecurity and Agriculture Management (Repeal and Consequential Provisions) Act 2007</w:t>
            </w:r>
            <w:r>
              <w:rPr>
                <w:iCs/>
                <w:snapToGrid w:val="0"/>
                <w:sz w:val="19"/>
              </w:rPr>
              <w:t xml:space="preserve"> s. 63</w:t>
            </w:r>
          </w:p>
        </w:tc>
        <w:tc>
          <w:tcPr>
            <w:tcW w:w="1135" w:type="dxa"/>
            <w:tcBorders>
              <w:top w:val="nil"/>
              <w:bottom w:val="nil"/>
            </w:tcBorders>
          </w:tcPr>
          <w:p>
            <w:pPr>
              <w:pStyle w:val="nTable"/>
              <w:spacing w:after="40"/>
              <w:rPr>
                <w:snapToGrid w:val="0"/>
                <w:sz w:val="19"/>
              </w:rPr>
            </w:pPr>
            <w:r>
              <w:rPr>
                <w:snapToGrid w:val="0"/>
                <w:sz w:val="19"/>
              </w:rPr>
              <w:t>24 of 2007</w:t>
            </w:r>
          </w:p>
        </w:tc>
        <w:tc>
          <w:tcPr>
            <w:tcW w:w="1135" w:type="dxa"/>
            <w:tcBorders>
              <w:top w:val="nil"/>
              <w:bottom w:val="nil"/>
            </w:tcBorders>
          </w:tcPr>
          <w:p>
            <w:pPr>
              <w:pStyle w:val="nTable"/>
              <w:spacing w:after="40"/>
              <w:rPr>
                <w:sz w:val="19"/>
              </w:rPr>
            </w:pPr>
            <w:r>
              <w:rPr>
                <w:snapToGrid w:val="0"/>
                <w:sz w:val="19"/>
              </w:rPr>
              <w:t>12 Oct 2007</w:t>
            </w:r>
          </w:p>
        </w:tc>
        <w:tc>
          <w:tcPr>
            <w:tcW w:w="2551" w:type="dxa"/>
            <w:tcBorders>
              <w:top w:val="nil"/>
              <w:bottom w:val="nil"/>
            </w:tcBorders>
          </w:tcPr>
          <w:p>
            <w:pPr>
              <w:pStyle w:val="nTable"/>
              <w:spacing w:after="40"/>
              <w:rPr>
                <w:snapToGrid w:val="0"/>
                <w:sz w:val="19"/>
              </w:rPr>
            </w:pPr>
            <w:r>
              <w:rPr>
                <w:snapToGrid w:val="0"/>
                <w:sz w:val="19"/>
              </w:rPr>
              <w:t xml:space="preserve">1 May 2013 (see s. 2(2) and </w:t>
            </w:r>
            <w:r>
              <w:rPr>
                <w:i/>
                <w:snapToGrid w:val="0"/>
                <w:sz w:val="19"/>
              </w:rPr>
              <w:t>Gazette</w:t>
            </w:r>
            <w:r>
              <w:rPr>
                <w:snapToGrid w:val="0"/>
                <w:sz w:val="19"/>
              </w:rPr>
              <w:t xml:space="preserve"> 5 Feb 2013 p. 823-4)</w:t>
            </w:r>
          </w:p>
        </w:tc>
      </w:tr>
      <w:tr>
        <w:trPr>
          <w:cantSplit/>
        </w:trPr>
        <w:tc>
          <w:tcPr>
            <w:tcW w:w="7089" w:type="dxa"/>
            <w:gridSpan w:val="4"/>
          </w:tcPr>
          <w:p>
            <w:pPr>
              <w:pStyle w:val="nTable"/>
              <w:spacing w:after="40"/>
              <w:rPr>
                <w:snapToGrid w:val="0"/>
                <w:sz w:val="19"/>
              </w:rPr>
            </w:pPr>
            <w:r>
              <w:rPr>
                <w:b/>
                <w:sz w:val="19"/>
              </w:rPr>
              <w:t xml:space="preserve">Reprint 2: The </w:t>
            </w:r>
            <w:r>
              <w:rPr>
                <w:b/>
                <w:i/>
                <w:sz w:val="19"/>
              </w:rPr>
              <w:t>Agricultural Produce Commission Act 1988</w:t>
            </w:r>
            <w:r>
              <w:rPr>
                <w:b/>
                <w:sz w:val="19"/>
              </w:rPr>
              <w:t xml:space="preserve"> as at 1 May 2009</w:t>
            </w:r>
            <w:r>
              <w:rPr>
                <w:b/>
                <w:sz w:val="19"/>
              </w:rPr>
              <w:br/>
            </w:r>
            <w:r>
              <w:rPr>
                <w:sz w:val="19"/>
              </w:rPr>
              <w:t xml:space="preserve">(includes amendments listed above except those in the </w:t>
            </w:r>
            <w:r>
              <w:rPr>
                <w:i/>
                <w:sz w:val="19"/>
              </w:rPr>
              <w:t>Biosecurity and Agriculture Management (Repeal and Consequential Provisions) Act 2007</w:t>
            </w:r>
            <w:r>
              <w:rPr>
                <w:sz w:val="19"/>
              </w:rPr>
              <w:t>)</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7</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7</w:t>
            </w:r>
          </w:p>
        </w:tc>
        <w:tc>
          <w:tcPr>
            <w:tcW w:w="1135"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shd w:val="clear" w:color="auto" w:fill="auto"/>
          </w:tcPr>
          <w:p>
            <w:pPr>
              <w:pStyle w:val="nTable"/>
              <w:spacing w:after="40"/>
              <w:ind w:right="113"/>
              <w:rPr>
                <w:i/>
                <w:snapToGrid w:val="0"/>
                <w:sz w:val="19"/>
              </w:rPr>
            </w:pPr>
            <w:r>
              <w:rPr>
                <w:i/>
                <w:snapToGrid w:val="0"/>
                <w:sz w:val="19"/>
              </w:rPr>
              <w:t>Public Sector Reform Act 2010</w:t>
            </w:r>
            <w:r>
              <w:rPr>
                <w:iCs/>
                <w:snapToGrid w:val="0"/>
                <w:sz w:val="19"/>
              </w:rPr>
              <w:t xml:space="preserve"> s. 89</w:t>
            </w:r>
          </w:p>
        </w:tc>
        <w:tc>
          <w:tcPr>
            <w:tcW w:w="1135" w:type="dxa"/>
            <w:shd w:val="clear" w:color="auto" w:fill="auto"/>
          </w:tcPr>
          <w:p>
            <w:pPr>
              <w:pStyle w:val="nTable"/>
              <w:spacing w:after="40"/>
              <w:rPr>
                <w:snapToGrid w:val="0"/>
                <w:sz w:val="19"/>
              </w:rPr>
            </w:pPr>
            <w:r>
              <w:rPr>
                <w:snapToGrid w:val="0"/>
                <w:sz w:val="19"/>
              </w:rPr>
              <w:t>39 of 2010</w:t>
            </w:r>
          </w:p>
        </w:tc>
        <w:tc>
          <w:tcPr>
            <w:tcW w:w="1135" w:type="dxa"/>
            <w:shd w:val="clear" w:color="auto" w:fill="auto"/>
          </w:tcPr>
          <w:p>
            <w:pPr>
              <w:pStyle w:val="nTable"/>
              <w:spacing w:after="40"/>
              <w:rPr>
                <w:snapToGrid w:val="0"/>
                <w:sz w:val="19"/>
              </w:rPr>
            </w:pPr>
            <w:r>
              <w:rPr>
                <w:sz w:val="19"/>
              </w:rPr>
              <w:t>1 Oct 2010</w:t>
            </w:r>
          </w:p>
        </w:tc>
        <w:tc>
          <w:tcPr>
            <w:tcW w:w="2551" w:type="dxa"/>
            <w:shd w:val="clear" w:color="auto" w:fill="auto"/>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9" w:type="dxa"/>
            <w:gridSpan w:val="4"/>
            <w:tcBorders>
              <w:bottom w:val="single" w:sz="8" w:space="0" w:color="auto"/>
            </w:tcBorders>
            <w:shd w:val="clear" w:color="auto" w:fill="auto"/>
          </w:tcPr>
          <w:p>
            <w:pPr>
              <w:pStyle w:val="nTable"/>
              <w:spacing w:after="40"/>
              <w:rPr>
                <w:snapToGrid w:val="0"/>
                <w:sz w:val="19"/>
              </w:rPr>
            </w:pPr>
            <w:r>
              <w:rPr>
                <w:b/>
                <w:sz w:val="19"/>
              </w:rPr>
              <w:t xml:space="preserve">Reprint 3: The </w:t>
            </w:r>
            <w:r>
              <w:rPr>
                <w:b/>
                <w:i/>
                <w:sz w:val="19"/>
              </w:rPr>
              <w:t>Agricultural Produce Commission Act 1988</w:t>
            </w:r>
            <w:r>
              <w:rPr>
                <w:b/>
                <w:sz w:val="19"/>
              </w:rPr>
              <w:t xml:space="preserve"> as at 14 Jun 2013</w:t>
            </w:r>
            <w:r>
              <w:rPr>
                <w:b/>
                <w:sz w:val="19"/>
              </w:rPr>
              <w:br/>
            </w:r>
            <w:r>
              <w:rPr>
                <w:sz w:val="19"/>
              </w:rPr>
              <w:t>(includes amendments listed above)</w:t>
            </w:r>
          </w:p>
        </w:tc>
      </w:tr>
    </w:tbl>
    <w:p>
      <w:pPr>
        <w:pStyle w:val="nSubsection"/>
        <w:spacing w:before="100"/>
        <w:rPr>
          <w:snapToGrid w:val="0"/>
        </w:rPr>
      </w:pPr>
      <w:r>
        <w:rPr>
          <w:snapToGrid w:val="0"/>
          <w:vertAlign w:val="superscript"/>
        </w:rPr>
        <w:t>2</w:t>
      </w:r>
      <w:r>
        <w:rPr>
          <w:snapToGrid w:val="0"/>
        </w:rPr>
        <w:tab/>
        <w:t xml:space="preserve">The provision in this Act amending these Acts has been omitted under the </w:t>
      </w:r>
      <w:r>
        <w:rPr>
          <w:i/>
          <w:iCs/>
          <w:snapToGrid w:val="0"/>
        </w:rPr>
        <w:t>Reprints Act 1984</w:t>
      </w:r>
      <w:r>
        <w:rPr>
          <w:snapToGrid w:val="0"/>
        </w:rPr>
        <w:t xml:space="preserve"> s. 7(4)(e).</w:t>
      </w:r>
    </w:p>
    <w:p>
      <w:pPr>
        <w:pStyle w:val="nSubsection"/>
        <w:spacing w:before="100"/>
        <w:rPr>
          <w:snapToGrid w:val="0"/>
        </w:rPr>
      </w:pPr>
      <w:r>
        <w:rPr>
          <w:vertAlign w:val="superscript"/>
        </w:rPr>
        <w:t>3</w:t>
      </w:r>
      <w:r>
        <w:tab/>
      </w:r>
      <w:r>
        <w:rPr>
          <w:snapToGrid w:val="0"/>
        </w:rPr>
        <w:t xml:space="preserve">The </w:t>
      </w:r>
      <w:r>
        <w:rPr>
          <w:i/>
          <w:iCs/>
          <w:snapToGrid w:val="0"/>
        </w:rPr>
        <w:t>Courts Legislation Amendment and Repeal Act 2004</w:t>
      </w:r>
      <w:r>
        <w:rPr>
          <w:snapToGrid w:val="0"/>
        </w:rPr>
        <w:t xml:space="preserve"> Sch. 2 cl. 3 was repealed by the </w:t>
      </w:r>
      <w:r>
        <w:rPr>
          <w:i/>
          <w:iCs/>
          <w:snapToGrid w:val="0"/>
        </w:rPr>
        <w:t>Criminal Law and Evidence Amendment Act 2008</w:t>
      </w:r>
      <w:r>
        <w:rPr>
          <w:snapToGrid w:val="0"/>
        </w:rPr>
        <w:t xml:space="preserve"> s. 77(13).</w:t>
      </w:r>
    </w:p>
    <w:p>
      <w:pPr>
        <w:pStyle w:val="nSubsection"/>
        <w:spacing w:before="100"/>
      </w:pPr>
      <w:r>
        <w:rPr>
          <w:vertAlign w:val="superscript"/>
        </w:rPr>
        <w:t>4</w:t>
      </w:r>
      <w:r>
        <w:tab/>
        <w:t xml:space="preserve">Now known as the </w:t>
      </w:r>
      <w:r>
        <w:rPr>
          <w:i/>
        </w:rPr>
        <w:t>Agricultural Produce Commission Act 1988</w:t>
      </w:r>
      <w:r>
        <w:t>; short title changed (see note under s. 1).</w:t>
      </w:r>
    </w:p>
    <w:p>
      <w:pPr>
        <w:pStyle w:val="nSubsection"/>
        <w:spacing w:before="100"/>
      </w:pPr>
      <w:r>
        <w:rPr>
          <w:vertAlign w:val="superscript"/>
        </w:rPr>
        <w:t>5</w:t>
      </w:r>
      <w:r>
        <w:tab/>
        <w:t xml:space="preserve">The </w:t>
      </w:r>
      <w:r>
        <w:rPr>
          <w:i/>
        </w:rPr>
        <w:t>Horticultural Produce Commission Amendment Act 2000</w:t>
      </w:r>
      <w:r>
        <w:t xml:space="preserve"> s. 32 and 34 read as follows:</w:t>
      </w:r>
    </w:p>
    <w:p>
      <w:pPr>
        <w:pStyle w:val="BlankOpen"/>
      </w:pPr>
    </w:p>
    <w:p>
      <w:pPr>
        <w:pStyle w:val="nzHeading5"/>
      </w:pPr>
      <w:r>
        <w:t>32.</w:t>
      </w:r>
      <w:r>
        <w:tab/>
        <w:t>Validation</w:t>
      </w:r>
    </w:p>
    <w:p>
      <w:pPr>
        <w:pStyle w:val="nzSubsection"/>
      </w:pPr>
      <w:r>
        <w:tab/>
        <w:t>(1)</w:t>
      </w:r>
      <w:r>
        <w:tab/>
        <w:t xml:space="preserve">Any appointment made after the commencement of the </w:t>
      </w:r>
      <w:r>
        <w:rPr>
          <w:i/>
        </w:rPr>
        <w:t>Plant Diseases</w:t>
      </w:r>
      <w:r>
        <w:rPr>
          <w:i/>
          <w:iCs/>
        </w:rP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pPr>
        <w:pStyle w:val="nzSubsection"/>
      </w:pPr>
      <w:r>
        <w:tab/>
        <w:t>(2)</w:t>
      </w:r>
      <w:r>
        <w:tab/>
        <w:t xml:space="preserve">Any act or thing done after the commencement of the </w:t>
      </w:r>
      <w:r>
        <w:rPr>
          <w:i/>
        </w:rPr>
        <w:t>Plant Diseases 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pPr>
        <w:pStyle w:val="nzHeading5"/>
      </w:pPr>
      <w:r>
        <w:t>34.</w:t>
      </w:r>
      <w:r>
        <w:tab/>
        <w:t>Transitional</w:t>
      </w:r>
    </w:p>
    <w:p>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pPr>
        <w:pStyle w:val="nzIndenta"/>
      </w:pPr>
      <w:r>
        <w:tab/>
        <w:t>(a)</w:t>
      </w:r>
      <w:r>
        <w:tab/>
        <w:t>the committee continues in existence; and</w:t>
      </w:r>
    </w:p>
    <w:p>
      <w:pPr>
        <w:pStyle w:val="nzIndenta"/>
      </w:pPr>
      <w:r>
        <w:tab/>
        <w:t>(b)</w:t>
      </w:r>
      <w:r>
        <w:tab/>
        <w:t>the name of the committee is deemed to have “Producers</w:t>
      </w:r>
      <w:r>
        <w:rPr>
          <w:spacing w:val="20"/>
        </w:rPr>
        <w:t>’</w:t>
      </w:r>
      <w:r>
        <w:t>” substituted for “Growers</w:t>
      </w:r>
      <w:r>
        <w:rPr>
          <w:spacing w:val="20"/>
        </w:rPr>
        <w:t>’</w:t>
      </w:r>
      <w:r>
        <w:t>”.</w:t>
      </w:r>
    </w:p>
    <w:p>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pPr>
        <w:pStyle w:val="BlankClose"/>
      </w:pPr>
    </w:p>
    <w:p>
      <w:pPr>
        <w:pStyle w:val="nSubsection"/>
        <w:rPr>
          <w:iCs/>
        </w:rPr>
      </w:pPr>
      <w:bookmarkStart w:id="49" w:name="AutoSch"/>
      <w:bookmarkEnd w:id="49"/>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BlankOpen"/>
      </w:pPr>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
      <w:pPr>
        <w:pStyle w:val="nHeading2"/>
        <w:rPr>
          <w:sz w:val="28"/>
        </w:rPr>
      </w:pPr>
      <w:bookmarkStart w:id="50" w:name="_Toc34207756"/>
      <w:r>
        <w:rPr>
          <w:sz w:val="28"/>
        </w:rPr>
        <w:t>Defined terms</w:t>
      </w:r>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1" w:name="DefinedTerms"/>
      <w:bookmarkEnd w:id="51"/>
      <w:r>
        <w:t>agricultural industry</w:t>
      </w:r>
      <w:r>
        <w:tab/>
        <w:t>3(1)</w:t>
      </w:r>
    </w:p>
    <w:p>
      <w:pPr>
        <w:pStyle w:val="DefinedTerms"/>
      </w:pPr>
      <w:r>
        <w:t>agricultural produce</w:t>
      </w:r>
      <w:r>
        <w:tab/>
        <w:t>3(1)</w:t>
      </w:r>
    </w:p>
    <w:p>
      <w:pPr>
        <w:pStyle w:val="DefinedTerms"/>
      </w:pPr>
      <w:r>
        <w:t>Commission</w:t>
      </w:r>
      <w:r>
        <w:tab/>
        <w:t>3(1)</w:t>
      </w:r>
    </w:p>
    <w:p>
      <w:pPr>
        <w:pStyle w:val="DefinedTerms"/>
      </w:pPr>
      <w:r>
        <w:t>document</w:t>
      </w:r>
      <w:r>
        <w:tab/>
        <w:t>6B(4)</w:t>
      </w:r>
    </w:p>
    <w:p>
      <w:pPr>
        <w:pStyle w:val="DefinedTerms"/>
      </w:pPr>
      <w:r>
        <w:t>information</w:t>
      </w:r>
      <w:r>
        <w:tab/>
        <w:t>6B(4)</w:t>
      </w:r>
    </w:p>
    <w:p>
      <w:pPr>
        <w:pStyle w:val="DefinedTerms"/>
      </w:pPr>
      <w:r>
        <w:t>member</w:t>
      </w:r>
      <w:r>
        <w:tab/>
        <w:t>3(1)</w:t>
      </w:r>
    </w:p>
    <w:p>
      <w:pPr>
        <w:pStyle w:val="DefinedTerms"/>
      </w:pPr>
      <w:r>
        <w:t>orchard</w:t>
      </w:r>
      <w:r>
        <w:tab/>
        <w:t>12A(5)</w:t>
      </w:r>
    </w:p>
    <w:p>
      <w:pPr>
        <w:pStyle w:val="DefinedTerms"/>
      </w:pPr>
      <w:r>
        <w:t>parliamentary purposes</w:t>
      </w:r>
      <w:r>
        <w:tab/>
        <w:t>6B(4)</w:t>
      </w:r>
    </w:p>
    <w:p>
      <w:pPr>
        <w:pStyle w:val="DefinedTerms"/>
      </w:pPr>
      <w:r>
        <w:t>producer</w:t>
      </w:r>
      <w:r>
        <w:tab/>
        <w:t>19A(1)</w:t>
      </w:r>
    </w:p>
    <w:p>
      <w:pPr>
        <w:pStyle w:val="DefinedTerms"/>
      </w:pPr>
      <w:r>
        <w:t>producers’ committee</w:t>
      </w:r>
      <w:r>
        <w:tab/>
        <w:t>3(1)</w:t>
      </w:r>
    </w:p>
    <w:p>
      <w:pPr>
        <w:pStyle w:val="DefinedTerms"/>
      </w:pPr>
      <w:r>
        <w:t>specified area</w:t>
      </w:r>
      <w:r>
        <w:tab/>
        <w:t>12A(5)</w:t>
      </w:r>
    </w:p>
    <w:p>
      <w:pPr>
        <w:pStyle w:val="DefinedTerms"/>
      </w:pPr>
    </w:p>
    <w:p/>
    <w:p/>
    <w:p/>
    <w:p/>
    <w:p/>
    <w:p/>
    <w:p/>
    <w:p/>
    <w:p/>
    <w:p/>
    <w:p/>
    <w:p/>
    <w:p/>
    <w:p/>
    <w:p/>
    <w:p/>
    <w:p/>
    <w:p/>
    <w:p/>
    <w:p/>
    <w:p/>
    <w:p/>
    <w:p>
      <w:pPr>
        <w:sectPr>
          <w:headerReference w:type="even" r:id="rId36"/>
          <w:headerReference w:type="default" r:id="rId37"/>
          <w:footerReference w:type="even" r:id="rId38"/>
          <w:footerReference w:type="default" r:id="rId39"/>
          <w:headerReference w:type="first" r:id="rId40"/>
          <w:footerReference w:type="first" r:id="rId41"/>
          <w:pgSz w:w="11906" w:h="16838" w:code="9"/>
          <w:pgMar w:top="2381" w:right="2409" w:bottom="3543" w:left="2409" w:header="720" w:footer="3380" w:gutter="0"/>
          <w:cols w:space="720"/>
          <w:noEndnote/>
          <w:docGrid w:linePitch="326"/>
        </w:sectPr>
      </w:pPr>
    </w:p>
    <w:p>
      <w:pPr>
        <w:rPr>
          <w:snapToGrid w:val="0"/>
        </w:rPr>
      </w:pPr>
    </w:p>
    <w:p>
      <w:pPr>
        <w:pBdr>
          <w:top w:val="double" w:sz="4" w:space="0" w:color="auto"/>
        </w:pBdr>
        <w:jc w:val="center"/>
        <w:rPr>
          <w:rFonts w:ascii="Arial" w:hAnsi="Arial" w:cs="Arial"/>
          <w:snapToGrid w:val="0"/>
          <w:sz w:val="12"/>
        </w:rPr>
      </w:pPr>
      <w:r>
        <w:rPr>
          <w:rFonts w:ascii="Arial" w:hAnsi="Arial" w:cs="Arial"/>
          <w:snapToGrid w:val="0"/>
          <w:sz w:val="12"/>
        </w:rPr>
        <w:t>By Authority: JOHN A. STRIJK, Government Printer</w:t>
      </w:r>
    </w:p>
    <w:sectPr>
      <w:headerReference w:type="even" r:id="rId42"/>
      <w:headerReference w:type="default" r:id="rId4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28</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Produce Commission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Produce Commission Act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 w:numId="15">
    <w:abstractNumId w:val="21"/>
  </w:num>
  <w:num w:numId="1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35816"/>
    <w:docVar w:name="WAFER_20140311135816" w:val="RemoveTocBookmarks,RemoveUnusedBookmarks,RemoveLanguageTags,UsedStyles,ResetPageSize"/>
    <w:docVar w:name="WAFER_20140311135816_GUID" w:val="d8eca070-be2e-4204-8317-5ae7a24b2c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4.png"/><Relationship Id="rId41"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7961</Words>
  <Characters>39012</Characters>
  <Application>Microsoft Office Word</Application>
  <DocSecurity>0</DocSecurity>
  <Lines>1114</Lines>
  <Paragraphs>602</Paragraphs>
  <ScaleCrop>false</ScaleCrop>
  <HeadingPairs>
    <vt:vector size="2" baseType="variant">
      <vt:variant>
        <vt:lpstr>Title</vt:lpstr>
      </vt:variant>
      <vt:variant>
        <vt:i4>1</vt:i4>
      </vt:variant>
    </vt:vector>
  </HeadingPairs>
  <TitlesOfParts>
    <vt:vector size="1" baseType="lpstr">
      <vt:lpstr>Agricultural Produce Commission Act 1988</vt:lpstr>
    </vt:vector>
  </TitlesOfParts>
  <Manager/>
  <Company/>
  <LinksUpToDate>false</LinksUpToDate>
  <CharactersWithSpaces>46371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1988 - 03-00-01</dc:title>
  <dc:subject/>
  <dc:creator/>
  <cp:keywords/>
  <dc:description/>
  <cp:lastModifiedBy>svcMRProcess</cp:lastModifiedBy>
  <cp:revision>4</cp:revision>
  <cp:lastPrinted>2013-06-20T23:54:00Z</cp:lastPrinted>
  <dcterms:created xsi:type="dcterms:W3CDTF">2020-03-04T01:48:00Z</dcterms:created>
  <dcterms:modified xsi:type="dcterms:W3CDTF">2020-03-04T01:48:00Z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20130614</vt:lpwstr>
  </property>
  <property fmtid="{D5CDD505-2E9C-101B-9397-08002B2CF9AE}" pid="4" name="DocumentType">
    <vt:lpwstr>Act</vt:lpwstr>
  </property>
  <property fmtid="{D5CDD505-2E9C-101B-9397-08002B2CF9AE}" pid="5" name="OwlsUID">
    <vt:i4>354</vt:i4>
  </property>
  <property fmtid="{D5CDD505-2E9C-101B-9397-08002B2CF9AE}" pid="6" name="AsAtDate">
    <vt:lpwstr>14 Jun 2013</vt:lpwstr>
  </property>
  <property fmtid="{D5CDD505-2E9C-101B-9397-08002B2CF9AE}" pid="7" name="Suffix">
    <vt:lpwstr>03-00-01</vt:lpwstr>
  </property>
  <property fmtid="{D5CDD505-2E9C-101B-9397-08002B2CF9AE}" pid="8" name="ReprintNo">
    <vt:lpwstr>3</vt:lpwstr>
  </property>
  <property fmtid="{D5CDD505-2E9C-101B-9397-08002B2CF9AE}" pid="9" name="ReprintedAsAt">
    <vt:filetime>2013-06-13T16:00:00Z</vt:filetime>
  </property>
</Properties>
</file>