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Building Services (Complaint Resolution and Administration) Act 2011</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Building Services (Complaint Resolution and Administration) Regulations 2011</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1</w:t>
      </w:r>
      <w:r>
        <w:fldChar w:fldCharType="end"/>
      </w:r>
      <w:r>
        <w:t xml:space="preserve">:  The regulations as at </w:t>
      </w:r>
      <w:r>
        <w:fldChar w:fldCharType="begin"/>
      </w:r>
      <w:r>
        <w:instrText xml:space="preserve"> DOCPROPERTY "ReprintedAsAt" \@ "d MMMM yyyy" </w:instrText>
      </w:r>
      <w:r>
        <w:fldChar w:fldCharType="separate"/>
      </w:r>
      <w:r>
        <w:t>7 June 2013</w:t>
      </w:r>
      <w:r>
        <w:fldChar w:fldCharType="end"/>
      </w:r>
    </w:p>
    <w:p>
      <w:pPr>
        <w:tabs>
          <w:tab w:val="left" w:pos="567"/>
          <w:tab w:val="left" w:pos="851"/>
        </w:tabs>
        <w:ind w:left="851" w:hanging="851"/>
        <w:rPr>
          <w:b/>
          <w:sz w:val="20"/>
        </w:rPr>
      </w:pPr>
      <w:r>
        <w:rPr>
          <w:b/>
          <w:sz w:val="22"/>
          <w:highlight w:val="green"/>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8.5pt" o:ole="" fillcolor="window">
            <v:imagedata r:id="rId9" o:title=""/>
          </v:shape>
          <o:OLEObject Type="Embed" ProgID="Word.Picture.8" ShapeID="_x0000_i1025" DrawAspect="Content" ObjectID="_1644826024"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3"/>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7 June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_Toc382310610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_Toc382310611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_Toc382310612 \h </w:instrText>
      </w:r>
      <w:r>
        <w:fldChar w:fldCharType="separate"/>
      </w:r>
      <w:r>
        <w:t>2</w:t>
      </w:r>
      <w:r>
        <w:fldChar w:fldCharType="end"/>
      </w:r>
    </w:p>
    <w:p>
      <w:pPr>
        <w:pStyle w:val="TOC8"/>
        <w:rPr>
          <w:rFonts w:asciiTheme="minorHAnsi" w:eastAsiaTheme="minorEastAsia" w:hAnsiTheme="minorHAnsi" w:cstheme="minorBidi"/>
          <w:szCs w:val="22"/>
        </w:rPr>
      </w:pPr>
      <w:r>
        <w:t>4A.</w:t>
      </w:r>
      <w:r>
        <w:tab/>
        <w:t>Building services: building surveying work</w:t>
      </w:r>
      <w:r>
        <w:tab/>
      </w:r>
      <w:r>
        <w:fldChar w:fldCharType="begin"/>
      </w:r>
      <w:r>
        <w:instrText xml:space="preserve"> PAGEREF _Toc382310613 \h </w:instrText>
      </w:r>
      <w:r>
        <w:fldChar w:fldCharType="separate"/>
      </w:r>
      <w:r>
        <w:t>2</w:t>
      </w:r>
      <w:r>
        <w:fldChar w:fldCharType="end"/>
      </w:r>
    </w:p>
    <w:p>
      <w:pPr>
        <w:pStyle w:val="TOC8"/>
        <w:rPr>
          <w:rFonts w:asciiTheme="minorHAnsi" w:eastAsiaTheme="minorEastAsia" w:hAnsiTheme="minorHAnsi" w:cstheme="minorBidi"/>
          <w:szCs w:val="22"/>
        </w:rPr>
      </w:pPr>
      <w:r>
        <w:t>4.</w:t>
      </w:r>
      <w:r>
        <w:tab/>
        <w:t>Building services: painting work</w:t>
      </w:r>
      <w:r>
        <w:tab/>
      </w:r>
      <w:r>
        <w:fldChar w:fldCharType="begin"/>
      </w:r>
      <w:r>
        <w:instrText xml:space="preserve"> PAGEREF _Toc382310614 \h </w:instrText>
      </w:r>
      <w:r>
        <w:fldChar w:fldCharType="separate"/>
      </w:r>
      <w:r>
        <w:t>3</w:t>
      </w:r>
      <w:r>
        <w:fldChar w:fldCharType="end"/>
      </w:r>
    </w:p>
    <w:p>
      <w:pPr>
        <w:pStyle w:val="TOC8"/>
        <w:rPr>
          <w:rFonts w:asciiTheme="minorHAnsi" w:eastAsiaTheme="minorEastAsia" w:hAnsiTheme="minorHAnsi" w:cstheme="minorBidi"/>
          <w:szCs w:val="22"/>
        </w:rPr>
      </w:pPr>
      <w:r>
        <w:t>5A.</w:t>
      </w:r>
      <w:r>
        <w:tab/>
        <w:t>Regulated building service: unauthorised work</w:t>
      </w:r>
      <w:r>
        <w:tab/>
      </w:r>
      <w:r>
        <w:fldChar w:fldCharType="begin"/>
      </w:r>
      <w:r>
        <w:instrText xml:space="preserve"> PAGEREF _Toc382310615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Complaints</w:t>
      </w:r>
    </w:p>
    <w:p>
      <w:pPr>
        <w:pStyle w:val="TOC4"/>
        <w:tabs>
          <w:tab w:val="right" w:leader="dot" w:pos="7086"/>
        </w:tabs>
        <w:rPr>
          <w:rFonts w:asciiTheme="minorHAnsi" w:eastAsiaTheme="minorEastAsia" w:hAnsiTheme="minorHAnsi" w:cstheme="minorBidi"/>
          <w:b w:val="0"/>
          <w:szCs w:val="22"/>
        </w:rPr>
      </w:pPr>
      <w:r>
        <w:t>Division 1 — Building service complaints and HBWC complaints</w:t>
      </w:r>
    </w:p>
    <w:p>
      <w:pPr>
        <w:pStyle w:val="TOC8"/>
        <w:rPr>
          <w:rFonts w:asciiTheme="minorHAnsi" w:eastAsiaTheme="minorEastAsia" w:hAnsiTheme="minorHAnsi" w:cstheme="minorBidi"/>
          <w:szCs w:val="22"/>
        </w:rPr>
      </w:pPr>
      <w:r>
        <w:t>5.</w:t>
      </w:r>
      <w:r>
        <w:tab/>
        <w:t>Who can make building service complaint</w:t>
      </w:r>
      <w:r>
        <w:tab/>
      </w:r>
      <w:r>
        <w:fldChar w:fldCharType="begin"/>
      </w:r>
      <w:r>
        <w:instrText xml:space="preserve"> PAGEREF _Toc382310618 \h </w:instrText>
      </w:r>
      <w:r>
        <w:fldChar w:fldCharType="separate"/>
      </w:r>
      <w:r>
        <w:t>4</w:t>
      </w:r>
      <w:r>
        <w:fldChar w:fldCharType="end"/>
      </w:r>
    </w:p>
    <w:p>
      <w:pPr>
        <w:pStyle w:val="TOC8"/>
        <w:rPr>
          <w:rFonts w:asciiTheme="minorHAnsi" w:eastAsiaTheme="minorEastAsia" w:hAnsiTheme="minorHAnsi" w:cstheme="minorBidi"/>
          <w:szCs w:val="22"/>
        </w:rPr>
      </w:pPr>
      <w:r>
        <w:t>6.</w:t>
      </w:r>
      <w:r>
        <w:tab/>
        <w:t>Preliminary action</w:t>
      </w:r>
      <w:r>
        <w:tab/>
      </w:r>
      <w:r>
        <w:fldChar w:fldCharType="begin"/>
      </w:r>
      <w:r>
        <w:instrText xml:space="preserve"> PAGEREF _Toc382310619 \h </w:instrText>
      </w:r>
      <w:r>
        <w:fldChar w:fldCharType="separate"/>
      </w:r>
      <w:r>
        <w:t>4</w:t>
      </w:r>
      <w:r>
        <w:fldChar w:fldCharType="end"/>
      </w:r>
    </w:p>
    <w:p>
      <w:pPr>
        <w:pStyle w:val="TOC8"/>
        <w:rPr>
          <w:rFonts w:asciiTheme="minorHAnsi" w:eastAsiaTheme="minorEastAsia" w:hAnsiTheme="minorHAnsi" w:cstheme="minorBidi"/>
          <w:szCs w:val="22"/>
        </w:rPr>
      </w:pPr>
      <w:r>
        <w:t>7.</w:t>
      </w:r>
      <w:r>
        <w:tab/>
        <w:t>Criteria for determining date of completion of regulated building service</w:t>
      </w:r>
      <w:r>
        <w:tab/>
      </w:r>
      <w:r>
        <w:fldChar w:fldCharType="begin"/>
      </w:r>
      <w:r>
        <w:instrText xml:space="preserve"> PAGEREF _Toc382310620 \h </w:instrText>
      </w:r>
      <w:r>
        <w:fldChar w:fldCharType="separate"/>
      </w:r>
      <w:r>
        <w:t>5</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_Toc382310621 \h </w:instrText>
      </w:r>
      <w:r>
        <w:fldChar w:fldCharType="separate"/>
      </w:r>
      <w:r>
        <w:t>5</w:t>
      </w:r>
      <w:r>
        <w:fldChar w:fldCharType="end"/>
      </w:r>
    </w:p>
    <w:p>
      <w:pPr>
        <w:pStyle w:val="TOC8"/>
        <w:rPr>
          <w:rFonts w:asciiTheme="minorHAnsi" w:eastAsiaTheme="minorEastAsia" w:hAnsiTheme="minorHAnsi" w:cstheme="minorBidi"/>
          <w:szCs w:val="22"/>
        </w:rPr>
      </w:pPr>
      <w:r>
        <w:t>9.</w:t>
      </w:r>
      <w:r>
        <w:tab/>
        <w:t>Building Commissioner may remit complaint fees</w:t>
      </w:r>
      <w:r>
        <w:tab/>
      </w:r>
      <w:r>
        <w:fldChar w:fldCharType="begin"/>
      </w:r>
      <w:r>
        <w:instrText xml:space="preserve"> PAGEREF _Toc382310622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Disciplinary complaints</w:t>
      </w:r>
    </w:p>
    <w:p>
      <w:pPr>
        <w:pStyle w:val="TOC8"/>
        <w:rPr>
          <w:rFonts w:asciiTheme="minorHAnsi" w:eastAsiaTheme="minorEastAsia" w:hAnsiTheme="minorHAnsi" w:cstheme="minorBidi"/>
          <w:szCs w:val="22"/>
        </w:rPr>
      </w:pPr>
      <w:r>
        <w:t>10.</w:t>
      </w:r>
      <w:r>
        <w:tab/>
        <w:t>Who can make a disciplinary complaint</w:t>
      </w:r>
      <w:r>
        <w:tab/>
      </w:r>
      <w:r>
        <w:fldChar w:fldCharType="begin"/>
      </w:r>
      <w:r>
        <w:instrText xml:space="preserve"> PAGEREF _Toc382310624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3 — Building services levy</w:t>
      </w:r>
    </w:p>
    <w:p>
      <w:pPr>
        <w:pStyle w:val="TOC4"/>
        <w:tabs>
          <w:tab w:val="right" w:leader="dot" w:pos="7086"/>
        </w:tabs>
        <w:rPr>
          <w:rFonts w:asciiTheme="minorHAnsi" w:eastAsiaTheme="minorEastAsia" w:hAnsiTheme="minorHAnsi" w:cstheme="minorBidi"/>
          <w:b w:val="0"/>
          <w:szCs w:val="22"/>
        </w:rPr>
      </w:pPr>
      <w:r>
        <w:t>Division 2 — Levy in respect of building approval certificates and permits</w:t>
      </w:r>
    </w:p>
    <w:p>
      <w:pPr>
        <w:pStyle w:val="TOC8"/>
        <w:rPr>
          <w:rFonts w:asciiTheme="minorHAnsi" w:eastAsiaTheme="minorEastAsia" w:hAnsiTheme="minorHAnsi" w:cstheme="minorBidi"/>
          <w:szCs w:val="22"/>
        </w:rPr>
      </w:pPr>
      <w:r>
        <w:t>12.</w:t>
      </w:r>
      <w:r>
        <w:tab/>
        <w:t>Levy payable: building approval certificates and permits</w:t>
      </w:r>
      <w:r>
        <w:tab/>
      </w:r>
      <w:r>
        <w:fldChar w:fldCharType="begin"/>
      </w:r>
      <w:r>
        <w:instrText xml:space="preserve"> PAGEREF _Toc382310627 \h </w:instrText>
      </w:r>
      <w:r>
        <w:fldChar w:fldCharType="separate"/>
      </w:r>
      <w:r>
        <w:t>8</w:t>
      </w:r>
      <w:r>
        <w:fldChar w:fldCharType="end"/>
      </w:r>
    </w:p>
    <w:p>
      <w:pPr>
        <w:pStyle w:val="TOC8"/>
        <w:rPr>
          <w:rFonts w:asciiTheme="minorHAnsi" w:eastAsiaTheme="minorEastAsia" w:hAnsiTheme="minorHAnsi" w:cstheme="minorBidi"/>
          <w:szCs w:val="22"/>
        </w:rPr>
      </w:pPr>
      <w:r>
        <w:t>13.</w:t>
      </w:r>
      <w:r>
        <w:tab/>
        <w:t>Adjustment of levy: under statement of value</w:t>
      </w:r>
      <w:r>
        <w:tab/>
      </w:r>
      <w:r>
        <w:fldChar w:fldCharType="begin"/>
      </w:r>
      <w:r>
        <w:instrText xml:space="preserve"> PAGEREF _Toc382310628 \h </w:instrText>
      </w:r>
      <w:r>
        <w:fldChar w:fldCharType="separate"/>
      </w:r>
      <w:r>
        <w:t>9</w:t>
      </w:r>
      <w:r>
        <w:fldChar w:fldCharType="end"/>
      </w:r>
    </w:p>
    <w:p>
      <w:pPr>
        <w:pStyle w:val="TOC8"/>
        <w:rPr>
          <w:rFonts w:asciiTheme="minorHAnsi" w:eastAsiaTheme="minorEastAsia" w:hAnsiTheme="minorHAnsi" w:cstheme="minorBidi"/>
          <w:szCs w:val="22"/>
        </w:rPr>
      </w:pPr>
      <w:r>
        <w:t>14.</w:t>
      </w:r>
      <w:r>
        <w:tab/>
        <w:t>Adjustment for inflation: regulation 13</w:t>
      </w:r>
      <w:r>
        <w:tab/>
      </w:r>
      <w:r>
        <w:fldChar w:fldCharType="begin"/>
      </w:r>
      <w:r>
        <w:instrText xml:space="preserve"> PAGEREF _Toc382310629 \h </w:instrText>
      </w:r>
      <w:r>
        <w:fldChar w:fldCharType="separate"/>
      </w:r>
      <w:r>
        <w:t>10</w:t>
      </w:r>
      <w:r>
        <w:fldChar w:fldCharType="end"/>
      </w:r>
    </w:p>
    <w:p>
      <w:pPr>
        <w:pStyle w:val="TOC8"/>
        <w:rPr>
          <w:rFonts w:asciiTheme="minorHAnsi" w:eastAsiaTheme="minorEastAsia" w:hAnsiTheme="minorHAnsi" w:cstheme="minorBidi"/>
          <w:szCs w:val="22"/>
        </w:rPr>
      </w:pPr>
      <w:r>
        <w:t>15.</w:t>
      </w:r>
      <w:r>
        <w:tab/>
        <w:t>Waiver or reduction of levy</w:t>
      </w:r>
      <w:r>
        <w:tab/>
      </w:r>
      <w:r>
        <w:fldChar w:fldCharType="begin"/>
      </w:r>
      <w:r>
        <w:instrText xml:space="preserve"> PAGEREF _Toc382310630 \h </w:instrText>
      </w:r>
      <w:r>
        <w:fldChar w:fldCharType="separate"/>
      </w:r>
      <w:r>
        <w:t>10</w:t>
      </w:r>
      <w:r>
        <w:fldChar w:fldCharType="end"/>
      </w:r>
    </w:p>
    <w:p>
      <w:pPr>
        <w:pStyle w:val="TOC8"/>
        <w:rPr>
          <w:rFonts w:asciiTheme="minorHAnsi" w:eastAsiaTheme="minorEastAsia" w:hAnsiTheme="minorHAnsi" w:cstheme="minorBidi"/>
          <w:szCs w:val="22"/>
        </w:rPr>
      </w:pPr>
      <w:r>
        <w:t>16.</w:t>
      </w:r>
      <w:r>
        <w:tab/>
        <w:t>Refund of levy</w:t>
      </w:r>
      <w:r>
        <w:tab/>
      </w:r>
      <w:r>
        <w:fldChar w:fldCharType="begin"/>
      </w:r>
      <w:r>
        <w:instrText xml:space="preserve"> PAGEREF _Toc382310631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_Toc382310633 \h </w:instrText>
      </w:r>
      <w:r>
        <w:fldChar w:fldCharType="separate"/>
      </w:r>
      <w:r>
        <w:t>11</w:t>
      </w:r>
      <w:r>
        <w:fldChar w:fldCharType="end"/>
      </w:r>
    </w:p>
    <w:p>
      <w:pPr>
        <w:pStyle w:val="TOC8"/>
        <w:rPr>
          <w:rFonts w:asciiTheme="minorHAnsi" w:eastAsiaTheme="minorEastAsia" w:hAnsiTheme="minorHAnsi" w:cstheme="minorBidi"/>
          <w:szCs w:val="22"/>
        </w:rPr>
      </w:pPr>
      <w:r>
        <w:t>18.</w:t>
      </w:r>
      <w:r>
        <w:tab/>
        <w:t>Permit authority must remit levy, less payment, to Building Commissioner</w:t>
      </w:r>
      <w:r>
        <w:tab/>
      </w:r>
      <w:r>
        <w:fldChar w:fldCharType="begin"/>
      </w:r>
      <w:r>
        <w:instrText xml:space="preserve"> PAGEREF _Toc382310634 \h </w:instrText>
      </w:r>
      <w:r>
        <w:fldChar w:fldCharType="separate"/>
      </w:r>
      <w:r>
        <w:t>12</w:t>
      </w:r>
      <w:r>
        <w:fldChar w:fldCharType="end"/>
      </w:r>
    </w:p>
    <w:p>
      <w:pPr>
        <w:pStyle w:val="TOC8"/>
        <w:rPr>
          <w:rFonts w:asciiTheme="minorHAnsi" w:eastAsiaTheme="minorEastAsia" w:hAnsiTheme="minorHAnsi" w:cstheme="minorBidi"/>
          <w:szCs w:val="22"/>
        </w:rPr>
      </w:pPr>
      <w:r>
        <w:t>19.</w:t>
      </w:r>
      <w:r>
        <w:tab/>
        <w:t>Failure to remit levy</w:t>
      </w:r>
      <w:r>
        <w:tab/>
      </w:r>
      <w:r>
        <w:fldChar w:fldCharType="begin"/>
      </w:r>
      <w:r>
        <w:instrText xml:space="preserve"> PAGEREF _Toc382310635 \h </w:instrText>
      </w:r>
      <w:r>
        <w:fldChar w:fldCharType="separate"/>
      </w:r>
      <w:r>
        <w:t>12</w:t>
      </w:r>
      <w:r>
        <w:fldChar w:fldCharType="end"/>
      </w:r>
    </w:p>
    <w:p>
      <w:pPr>
        <w:pStyle w:val="TOC8"/>
        <w:rPr>
          <w:rFonts w:asciiTheme="minorHAnsi" w:eastAsiaTheme="minorEastAsia" w:hAnsiTheme="minorHAnsi" w:cstheme="minorBidi"/>
          <w:szCs w:val="22"/>
        </w:rPr>
      </w:pPr>
      <w:r>
        <w:t>20.</w:t>
      </w:r>
      <w:r>
        <w:tab/>
        <w:t>Penalty for overdue amounts</w:t>
      </w:r>
      <w:r>
        <w:tab/>
      </w:r>
      <w:r>
        <w:fldChar w:fldCharType="begin"/>
      </w:r>
      <w:r>
        <w:instrText xml:space="preserve"> PAGEREF _Toc382310636 \h </w:instrText>
      </w:r>
      <w:r>
        <w:fldChar w:fldCharType="separate"/>
      </w:r>
      <w:r>
        <w:t>12</w:t>
      </w:r>
      <w:r>
        <w:fldChar w:fldCharType="end"/>
      </w:r>
    </w:p>
    <w:p>
      <w:pPr>
        <w:pStyle w:val="TOC8"/>
        <w:rPr>
          <w:rFonts w:asciiTheme="minorHAnsi" w:eastAsiaTheme="minorEastAsia" w:hAnsiTheme="minorHAnsi" w:cstheme="minorBidi"/>
          <w:szCs w:val="22"/>
        </w:rPr>
      </w:pPr>
      <w:r>
        <w:t>21.</w:t>
      </w:r>
      <w:r>
        <w:tab/>
        <w:t>Recovery of levy and other amounts</w:t>
      </w:r>
      <w:r>
        <w:tab/>
      </w:r>
      <w:r>
        <w:fldChar w:fldCharType="begin"/>
      </w:r>
      <w:r>
        <w:instrText xml:space="preserve"> PAGEREF _Toc382310637 \h </w:instrText>
      </w:r>
      <w:r>
        <w:fldChar w:fldCharType="separate"/>
      </w:r>
      <w:r>
        <w:t>13</w:t>
      </w:r>
      <w:r>
        <w:fldChar w:fldCharType="end"/>
      </w:r>
    </w:p>
    <w:p>
      <w:pPr>
        <w:pStyle w:val="TOC8"/>
        <w:rPr>
          <w:rFonts w:asciiTheme="minorHAnsi" w:eastAsiaTheme="minorEastAsia" w:hAnsiTheme="minorHAnsi" w:cstheme="minorBidi"/>
          <w:szCs w:val="22"/>
        </w:rPr>
      </w:pPr>
      <w:r>
        <w:t>22.</w:t>
      </w:r>
      <w:r>
        <w:tab/>
        <w:t>Provision of information to Building Commissioner</w:t>
      </w:r>
      <w:r>
        <w:tab/>
      </w:r>
      <w:r>
        <w:fldChar w:fldCharType="begin"/>
      </w:r>
      <w:r>
        <w:instrText xml:space="preserve"> PAGEREF _Toc382310638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_Toc382310640 \h </w:instrText>
      </w:r>
      <w:r>
        <w:fldChar w:fldCharType="separate"/>
      </w:r>
      <w:r>
        <w:t>14</w:t>
      </w:r>
      <w:r>
        <w:fldChar w:fldCharType="end"/>
      </w:r>
    </w:p>
    <w:p>
      <w:pPr>
        <w:pStyle w:val="TOC8"/>
        <w:rPr>
          <w:rFonts w:asciiTheme="minorHAnsi" w:eastAsiaTheme="minorEastAsia" w:hAnsiTheme="minorHAnsi" w:cstheme="minorBidi"/>
          <w:szCs w:val="22"/>
        </w:rPr>
      </w:pPr>
      <w:r>
        <w:t>24.</w:t>
      </w:r>
      <w:r>
        <w:tab/>
        <w:t>Inspection of building work</w:t>
      </w:r>
      <w:r>
        <w:tab/>
      </w:r>
      <w:r>
        <w:fldChar w:fldCharType="begin"/>
      </w:r>
      <w:r>
        <w:instrText xml:space="preserve"> PAGEREF _Toc382310641 \h </w:instrText>
      </w:r>
      <w:r>
        <w:fldChar w:fldCharType="separate"/>
      </w:r>
      <w:r>
        <w:t>14</w:t>
      </w:r>
      <w:r>
        <w:fldChar w:fldCharType="end"/>
      </w:r>
    </w:p>
    <w:p>
      <w:pPr>
        <w:pStyle w:val="TOC8"/>
        <w:rPr>
          <w:rFonts w:asciiTheme="minorHAnsi" w:eastAsiaTheme="minorEastAsia" w:hAnsiTheme="minorHAnsi" w:cstheme="minorBidi"/>
          <w:szCs w:val="22"/>
        </w:rPr>
      </w:pPr>
      <w:r>
        <w:t>25.</w:t>
      </w:r>
      <w:r>
        <w:tab/>
        <w:t>Building Commissioner may exercise powers of registrar</w:t>
      </w:r>
      <w:r>
        <w:tab/>
      </w:r>
      <w:r>
        <w:fldChar w:fldCharType="begin"/>
      </w:r>
      <w:r>
        <w:instrText xml:space="preserve"> PAGEREF _Toc382310642 \h </w:instrText>
      </w:r>
      <w:r>
        <w:fldChar w:fldCharType="separate"/>
      </w:r>
      <w:r>
        <w:t>14</w:t>
      </w:r>
      <w:r>
        <w:fldChar w:fldCharType="end"/>
      </w:r>
    </w:p>
    <w:p>
      <w:pPr>
        <w:pStyle w:val="TOC8"/>
        <w:rPr>
          <w:rFonts w:asciiTheme="minorHAnsi" w:eastAsiaTheme="minorEastAsia" w:hAnsiTheme="minorHAnsi" w:cstheme="minorBidi"/>
          <w:szCs w:val="22"/>
        </w:rPr>
      </w:pPr>
      <w:r>
        <w:t>26.</w:t>
      </w:r>
      <w:r>
        <w:tab/>
        <w:t>Building levy for deemed applications</w:t>
      </w:r>
      <w:r>
        <w:tab/>
      </w:r>
      <w:r>
        <w:fldChar w:fldCharType="begin"/>
      </w:r>
      <w:r>
        <w:instrText xml:space="preserve"> PAGEREF _Toc382310643 \h </w:instrText>
      </w:r>
      <w:r>
        <w:fldChar w:fldCharType="separate"/>
      </w:r>
      <w:r>
        <w:t>14</w:t>
      </w:r>
      <w:r>
        <w:fldChar w:fldCharType="end"/>
      </w:r>
    </w:p>
    <w:p>
      <w:pPr>
        <w:pStyle w:val="TOC8"/>
        <w:rPr>
          <w:rFonts w:asciiTheme="minorHAnsi" w:eastAsiaTheme="minorEastAsia" w:hAnsiTheme="minorHAnsi" w:cstheme="minorBidi"/>
          <w:szCs w:val="22"/>
        </w:rPr>
      </w:pPr>
      <w:r>
        <w:t>27.</w:t>
      </w:r>
      <w:r>
        <w:tab/>
        <w:t>Enforcement of decisions of former Tribunal</w:t>
      </w:r>
      <w:r>
        <w:tab/>
      </w:r>
      <w:r>
        <w:fldChar w:fldCharType="begin"/>
      </w:r>
      <w:r>
        <w:instrText xml:space="preserve"> PAGEREF _Toc382310644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_Toc382310646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7</w:t>
            </w:r>
            <w:r>
              <w:rPr>
                <w:b/>
                <w:snapToGrid w:val="0"/>
                <w:sz w:val="22"/>
              </w:rPr>
              <w:t xml:space="preserve"> June 2013</w:t>
            </w:r>
            <w:r>
              <w:rPr>
                <w:b/>
                <w:sz w:val="22"/>
              </w:rPr>
              <w:fldChar w:fldCharType="end"/>
            </w:r>
          </w:p>
        </w:tc>
      </w:tr>
    </w:tbl>
    <w:p>
      <w:pPr>
        <w:pStyle w:val="WA"/>
        <w:spacing w:before="120"/>
      </w:pPr>
      <w:r>
        <w:t>Western Australia</w:t>
      </w:r>
    </w:p>
    <w:p>
      <w:pPr>
        <w:pStyle w:val="PrincipalActReg"/>
        <w:spacing w:after="600"/>
      </w:pPr>
      <w:r>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1" w:name="_Toc382310609"/>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82310610"/>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Building Services (Complaint Resolution and Administration) Regulations 2011</w:t>
      </w:r>
      <w:r>
        <w:rPr>
          <w:vertAlign w:val="superscript"/>
        </w:rPr>
        <w:t> 1</w:t>
      </w:r>
      <w:r>
        <w:t>.</w:t>
      </w:r>
    </w:p>
    <w:p>
      <w:pPr>
        <w:pStyle w:val="Heading5"/>
        <w:rPr>
          <w:spacing w:val="-2"/>
        </w:rPr>
      </w:pPr>
      <w:bookmarkStart w:id="4" w:name="_Toc382310611"/>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r>
        <w:rPr>
          <w:vertAlign w:val="superscript"/>
        </w:rPr>
        <w:t> 1</w:t>
      </w:r>
      <w:r>
        <w:t>;</w:t>
      </w:r>
    </w:p>
    <w:p>
      <w:pPr>
        <w:pStyle w:val="Indenta"/>
      </w:pPr>
      <w:r>
        <w:tab/>
        <w:t>(c)</w:t>
      </w:r>
      <w:r>
        <w:tab/>
        <w:t xml:space="preserve">regulation 7(a) and Part 3 Division 2 — on the day on which the </w:t>
      </w:r>
      <w:r>
        <w:rPr>
          <w:i/>
        </w:rPr>
        <w:t xml:space="preserve">Building Act 2011 </w:t>
      </w:r>
      <w:r>
        <w:t>Part 2 comes into operation</w:t>
      </w:r>
      <w:r>
        <w:rPr>
          <w:vertAlign w:val="superscript"/>
        </w:rPr>
        <w:t> 1</w:t>
      </w:r>
      <w:r>
        <w:t>;</w:t>
      </w:r>
    </w:p>
    <w:p>
      <w:pPr>
        <w:pStyle w:val="Indenta"/>
      </w:pPr>
      <w:r>
        <w:tab/>
        <w:t>(d)</w:t>
      </w:r>
      <w:r>
        <w:tab/>
        <w:t xml:space="preserve">the rest of the </w:t>
      </w:r>
      <w:r>
        <w:rPr>
          <w:spacing w:val="-2"/>
        </w:rPr>
        <w:t>regulations</w:t>
      </w:r>
      <w:r>
        <w:t> — on the day on which Part 2 of the Act comes into operation</w:t>
      </w:r>
      <w:r>
        <w:rPr>
          <w:vertAlign w:val="superscript"/>
        </w:rPr>
        <w:t> 1</w:t>
      </w:r>
      <w:r>
        <w:t>.</w:t>
      </w:r>
    </w:p>
    <w:p>
      <w:pPr>
        <w:pStyle w:val="Heading5"/>
      </w:pPr>
      <w:bookmarkStart w:id="5" w:name="_Toc382310612"/>
      <w:r>
        <w:rPr>
          <w:rStyle w:val="CharSectno"/>
        </w:rPr>
        <w:t>3</w:t>
      </w:r>
      <w:r>
        <w:t>.</w:t>
      </w:r>
      <w:r>
        <w:tab/>
        <w:t>Terms used</w:t>
      </w:r>
      <w:bookmarkEnd w:id="5"/>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2</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6" w:name="_Toc382310613"/>
      <w:r>
        <w:rPr>
          <w:rStyle w:val="CharSectno"/>
        </w:rPr>
        <w:t>4A</w:t>
      </w:r>
      <w:r>
        <w:t>.</w:t>
      </w:r>
      <w:r>
        <w:tab/>
        <w:t>Building services: building surveying work</w:t>
      </w:r>
      <w:bookmarkEnd w:id="6"/>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in Gazette 12 Mar 2012 p. 986.]</w:t>
      </w:r>
    </w:p>
    <w:p>
      <w:pPr>
        <w:pStyle w:val="Heading5"/>
      </w:pPr>
      <w:bookmarkStart w:id="7" w:name="_Toc382310614"/>
      <w:r>
        <w:rPr>
          <w:rStyle w:val="CharSectno"/>
        </w:rPr>
        <w:t>4</w:t>
      </w:r>
      <w:r>
        <w:t>.</w:t>
      </w:r>
      <w:r>
        <w:tab/>
        <w:t>Building services: painting work</w:t>
      </w:r>
      <w:bookmarkEnd w:id="7"/>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8" w:name="_Toc382310615"/>
      <w:r>
        <w:rPr>
          <w:rStyle w:val="CharSectno"/>
        </w:rPr>
        <w:t>5A</w:t>
      </w:r>
      <w:r>
        <w:t>.</w:t>
      </w:r>
      <w:r>
        <w:tab/>
        <w:t>Regulated building service: unauthorised work</w:t>
      </w:r>
      <w:bookmarkEnd w:id="8"/>
    </w:p>
    <w:p>
      <w:pPr>
        <w:pStyle w:val="Subsection"/>
      </w:pPr>
      <w:r>
        <w:tab/>
        <w:t>(1)</w:t>
      </w:r>
      <w:r>
        <w:tab/>
        <w:t xml:space="preserve">In this regulation — </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Unauthorised work is prescribed for the purposes of the definition of </w:t>
      </w:r>
      <w:r>
        <w:rPr>
          <w:b/>
          <w:i/>
        </w:rPr>
        <w:t>regulated building service</w:t>
      </w:r>
      <w:r>
        <w:t xml:space="preserve"> in section 3 of the Act.</w:t>
      </w:r>
    </w:p>
    <w:p>
      <w:pPr>
        <w:pStyle w:val="Footnotesection"/>
      </w:pPr>
      <w:r>
        <w:tab/>
        <w:t>[Regulation 5A inserted in Gazette 14 Aug 2012 p. 3827</w:t>
      </w:r>
      <w:r>
        <w:noBreakHyphen/>
        <w:t>8.]</w:t>
      </w:r>
    </w:p>
    <w:p>
      <w:pPr>
        <w:pStyle w:val="Heading2"/>
      </w:pPr>
      <w:bookmarkStart w:id="9" w:name="_Toc382310616"/>
      <w:r>
        <w:rPr>
          <w:rStyle w:val="CharPartNo"/>
        </w:rPr>
        <w:t>Part 2</w:t>
      </w:r>
      <w:r>
        <w:t> — </w:t>
      </w:r>
      <w:r>
        <w:rPr>
          <w:rStyle w:val="CharPartText"/>
        </w:rPr>
        <w:t>Complaints</w:t>
      </w:r>
      <w:bookmarkEnd w:id="9"/>
    </w:p>
    <w:p>
      <w:pPr>
        <w:pStyle w:val="Heading3"/>
      </w:pPr>
      <w:bookmarkStart w:id="10" w:name="_Toc382310617"/>
      <w:r>
        <w:rPr>
          <w:rStyle w:val="CharDivNo"/>
        </w:rPr>
        <w:t>Division 1</w:t>
      </w:r>
      <w:r>
        <w:t> — </w:t>
      </w:r>
      <w:r>
        <w:rPr>
          <w:rStyle w:val="CharDivText"/>
        </w:rPr>
        <w:t>Building service complaints and HBWC complaints</w:t>
      </w:r>
      <w:bookmarkEnd w:id="10"/>
    </w:p>
    <w:p>
      <w:pPr>
        <w:pStyle w:val="Heading5"/>
      </w:pPr>
      <w:bookmarkStart w:id="11" w:name="_Toc382310618"/>
      <w:r>
        <w:rPr>
          <w:rStyle w:val="CharSectno"/>
        </w:rPr>
        <w:t>5</w:t>
      </w:r>
      <w:r>
        <w:t>.</w:t>
      </w:r>
      <w:r>
        <w:tab/>
        <w:t>Who can make building service complaint</w:t>
      </w:r>
      <w:bookmarkEnd w:id="11"/>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12" w:name="_Toc382310619"/>
      <w:r>
        <w:rPr>
          <w:rStyle w:val="CharSectno"/>
        </w:rPr>
        <w:t>6</w:t>
      </w:r>
      <w:r>
        <w:t>.</w:t>
      </w:r>
      <w:r>
        <w:tab/>
        <w:t>Preliminary action</w:t>
      </w:r>
      <w:bookmarkEnd w:id="12"/>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13" w:name="_Toc382310620"/>
      <w:r>
        <w:rPr>
          <w:rStyle w:val="CharSectno"/>
        </w:rPr>
        <w:t>7</w:t>
      </w:r>
      <w:r>
        <w:t>.</w:t>
      </w:r>
      <w:r>
        <w:tab/>
        <w:t>Criteria for determining date of completion of regulated building service</w:t>
      </w:r>
      <w:bookmarkEnd w:id="13"/>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14" w:name="_Toc382310621"/>
      <w:r>
        <w:rPr>
          <w:rStyle w:val="CharSectno"/>
        </w:rPr>
        <w:t>8</w:t>
      </w:r>
      <w:r>
        <w:t>.</w:t>
      </w:r>
      <w:r>
        <w:tab/>
        <w:t>Fees</w:t>
      </w:r>
      <w:bookmarkEnd w:id="14"/>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$50.00; and</w:t>
      </w:r>
    </w:p>
    <w:p>
      <w:pPr>
        <w:pStyle w:val="Indenta"/>
      </w:pPr>
      <w:r>
        <w:tab/>
        <w:t>(b)</w:t>
      </w:r>
      <w:r>
        <w:tab/>
        <w:t>otherwise — a fee of $100.00.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in Gazette 14 Aug 2012 p. 3828.]</w:t>
      </w:r>
    </w:p>
    <w:p>
      <w:pPr>
        <w:pStyle w:val="Heading5"/>
      </w:pPr>
      <w:bookmarkStart w:id="15" w:name="_Toc382310622"/>
      <w:r>
        <w:rPr>
          <w:rStyle w:val="CharSectno"/>
        </w:rPr>
        <w:t>9</w:t>
      </w:r>
      <w:r>
        <w:t>.</w:t>
      </w:r>
      <w:r>
        <w:tab/>
        <w:t>Building Commissioner may remit complaint fees</w:t>
      </w:r>
      <w:bookmarkEnd w:id="15"/>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16" w:name="_Toc382310623"/>
      <w:r>
        <w:rPr>
          <w:rStyle w:val="CharDivNo"/>
        </w:rPr>
        <w:t>Division 2</w:t>
      </w:r>
      <w:r>
        <w:t> — </w:t>
      </w:r>
      <w:r>
        <w:rPr>
          <w:rStyle w:val="CharDivText"/>
        </w:rPr>
        <w:t>Disciplinary complaints</w:t>
      </w:r>
      <w:bookmarkEnd w:id="16"/>
    </w:p>
    <w:p>
      <w:pPr>
        <w:pStyle w:val="Heading5"/>
      </w:pPr>
      <w:bookmarkStart w:id="17" w:name="_Toc382310624"/>
      <w:r>
        <w:rPr>
          <w:rStyle w:val="CharSectno"/>
        </w:rPr>
        <w:t>10</w:t>
      </w:r>
      <w:r>
        <w:t>.</w:t>
      </w:r>
      <w:r>
        <w:tab/>
        <w:t>Who can make a disciplinary complaint</w:t>
      </w:r>
      <w:bookmarkEnd w:id="17"/>
    </w:p>
    <w:p>
      <w:pPr>
        <w:pStyle w:val="Subsection"/>
      </w:pPr>
      <w:r>
        <w:tab/>
      </w:r>
      <w:r>
        <w:tab/>
        <w:t>A disciplinary complaint may only be made by a person who has reasonable cause to believe that a disciplinary matter has occurred or is occurring.</w:t>
      </w:r>
    </w:p>
    <w:p>
      <w:pPr>
        <w:pStyle w:val="Heading2"/>
      </w:pPr>
      <w:bookmarkStart w:id="18" w:name="_Toc382310625"/>
      <w:r>
        <w:rPr>
          <w:rStyle w:val="CharPartNo"/>
        </w:rPr>
        <w:t>Part 3</w:t>
      </w:r>
      <w:r>
        <w:t> — </w:t>
      </w:r>
      <w:r>
        <w:rPr>
          <w:rStyle w:val="CharPartText"/>
        </w:rPr>
        <w:t>Building services levy</w:t>
      </w:r>
      <w:bookmarkEnd w:id="18"/>
    </w:p>
    <w:p>
      <w:pPr>
        <w:pStyle w:val="Ednotedivision"/>
      </w:pPr>
      <w:r>
        <w:t>[Division 1 (r. 11) deleted in Gazette 12 Mar 2012 p. 986.]</w:t>
      </w:r>
    </w:p>
    <w:p>
      <w:pPr>
        <w:pStyle w:val="Heading3"/>
      </w:pPr>
      <w:bookmarkStart w:id="19" w:name="_Toc382310626"/>
      <w:r>
        <w:rPr>
          <w:rStyle w:val="CharDivNo"/>
        </w:rPr>
        <w:t>Division 2</w:t>
      </w:r>
      <w:r>
        <w:t> — </w:t>
      </w:r>
      <w:r>
        <w:rPr>
          <w:rStyle w:val="CharDivText"/>
        </w:rPr>
        <w:t>Levy in respect of building approval certificates and permits</w:t>
      </w:r>
      <w:bookmarkEnd w:id="19"/>
    </w:p>
    <w:p>
      <w:pPr>
        <w:pStyle w:val="Heading5"/>
        <w:spacing w:before="180"/>
      </w:pPr>
      <w:bookmarkStart w:id="20" w:name="_Toc382310627"/>
      <w:r>
        <w:rPr>
          <w:rStyle w:val="CharSectno"/>
        </w:rPr>
        <w:t>12</w:t>
      </w:r>
      <w:r>
        <w:t>.</w:t>
      </w:r>
      <w:r>
        <w:tab/>
        <w:t>Levy payable: building approval certificates and permits</w:t>
      </w:r>
      <w:bookmarkEnd w:id="20"/>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$40.50 if the value of the building work is not more than $45 000; or</w:t>
      </w:r>
    </w:p>
    <w:p>
      <w:pPr>
        <w:pStyle w:val="Indenta"/>
      </w:pPr>
      <w:r>
        <w:tab/>
        <w:t>(b)</w:t>
      </w:r>
      <w:r>
        <w:tab/>
        <w:t>otherwise, at the rate of 0.09%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$40.50 if the value of the demolition work is not more than $45 000; or</w:t>
      </w:r>
    </w:p>
    <w:p>
      <w:pPr>
        <w:pStyle w:val="Indenta"/>
      </w:pPr>
      <w:r>
        <w:tab/>
        <w:t>(b)</w:t>
      </w:r>
      <w:r>
        <w:tab/>
        <w:t>otherwise, at the rate of 0.09%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$40.50.</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$91.00 if the value of the unauthorised work, as determined by the permit authority, is not more than $45 000; or</w:t>
      </w:r>
    </w:p>
    <w:p>
      <w:pPr>
        <w:pStyle w:val="Indenta"/>
      </w:pPr>
      <w:r>
        <w:tab/>
        <w:t>(b)</w:t>
      </w:r>
      <w:r>
        <w:tab/>
        <w:t>otherwise, at the rate of 0.18%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Heading5"/>
      </w:pPr>
      <w:bookmarkStart w:id="21" w:name="_Toc382310628"/>
      <w:r>
        <w:rPr>
          <w:rStyle w:val="CharSectno"/>
        </w:rPr>
        <w:t>13</w:t>
      </w:r>
      <w:r>
        <w:t>.</w:t>
      </w:r>
      <w:r>
        <w:tab/>
        <w:t>Adjustment of levy: under statement of value</w:t>
      </w:r>
      <w:bookmarkEnd w:id="21"/>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22" w:name="_Toc382310629"/>
      <w:r>
        <w:rPr>
          <w:rStyle w:val="CharSectno"/>
        </w:rPr>
        <w:t>14</w:t>
      </w:r>
      <w:r>
        <w:t>.</w:t>
      </w:r>
      <w:r>
        <w:tab/>
        <w:t>Adjustment for inflation: regulation 13</w:t>
      </w:r>
      <w:bookmarkEnd w:id="22"/>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23" w:name="_Toc382310630"/>
      <w:r>
        <w:rPr>
          <w:rStyle w:val="CharSectno"/>
        </w:rPr>
        <w:t>15</w:t>
      </w:r>
      <w:r>
        <w:t>.</w:t>
      </w:r>
      <w:r>
        <w:tab/>
        <w:t>Waiver or reduction of levy</w:t>
      </w:r>
      <w:bookmarkEnd w:id="23"/>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24" w:name="_Toc382310631"/>
      <w:r>
        <w:rPr>
          <w:rStyle w:val="CharSectno"/>
        </w:rPr>
        <w:t>16</w:t>
      </w:r>
      <w:r>
        <w:t>.</w:t>
      </w:r>
      <w:r>
        <w:tab/>
        <w:t>Refund of levy</w:t>
      </w:r>
      <w:bookmarkEnd w:id="24"/>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rPr>
          <w:rStyle w:val="CharDivText"/>
        </w:rPr>
      </w:pPr>
      <w:bookmarkStart w:id="25" w:name="_Toc382310632"/>
      <w:r>
        <w:rPr>
          <w:rStyle w:val="CharDivNo"/>
        </w:rPr>
        <w:t>Division 3</w:t>
      </w:r>
      <w:r>
        <w:t> — </w:t>
      </w:r>
      <w:r>
        <w:rPr>
          <w:rStyle w:val="CharDivText"/>
        </w:rPr>
        <w:t>General provisions</w:t>
      </w:r>
      <w:bookmarkEnd w:id="25"/>
    </w:p>
    <w:p>
      <w:pPr>
        <w:pStyle w:val="Heading5"/>
      </w:pPr>
      <w:bookmarkStart w:id="26" w:name="_Toc382310633"/>
      <w:r>
        <w:rPr>
          <w:rStyle w:val="CharSectno"/>
        </w:rPr>
        <w:t>17</w:t>
      </w:r>
      <w:r>
        <w:t>.</w:t>
      </w:r>
      <w:r>
        <w:tab/>
        <w:t>Terms used</w:t>
      </w:r>
      <w:bookmarkEnd w:id="26"/>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27" w:name="_Toc382310634"/>
      <w:r>
        <w:rPr>
          <w:rStyle w:val="CharSectno"/>
        </w:rPr>
        <w:t>18</w:t>
      </w:r>
      <w:r>
        <w:t>.</w:t>
      </w:r>
      <w:r>
        <w:tab/>
        <w:t>Permit authority must remit levy, less payment, to Building Commissioner</w:t>
      </w:r>
      <w:bookmarkEnd w:id="27"/>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28" w:name="_Toc382310635"/>
      <w:r>
        <w:rPr>
          <w:rStyle w:val="CharSectno"/>
        </w:rPr>
        <w:t>19</w:t>
      </w:r>
      <w:r>
        <w:t>.</w:t>
      </w:r>
      <w:r>
        <w:tab/>
        <w:t>Failure to remit levy</w:t>
      </w:r>
      <w:bookmarkEnd w:id="28"/>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29" w:name="_Toc382310636"/>
      <w:r>
        <w:rPr>
          <w:rStyle w:val="CharSectno"/>
        </w:rPr>
        <w:t>20</w:t>
      </w:r>
      <w:r>
        <w:t>.</w:t>
      </w:r>
      <w:r>
        <w:tab/>
        <w:t>Penalty for overdue amounts</w:t>
      </w:r>
      <w:bookmarkEnd w:id="29"/>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30" w:name="_Toc382310637"/>
      <w:r>
        <w:rPr>
          <w:rStyle w:val="CharSectno"/>
        </w:rPr>
        <w:t>21</w:t>
      </w:r>
      <w:r>
        <w:t>.</w:t>
      </w:r>
      <w:r>
        <w:tab/>
        <w:t>Recovery of levy and other amounts</w:t>
      </w:r>
      <w:bookmarkEnd w:id="30"/>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31" w:name="_Toc382310638"/>
      <w:r>
        <w:rPr>
          <w:rStyle w:val="CharSectno"/>
        </w:rPr>
        <w:t>22</w:t>
      </w:r>
      <w:r>
        <w:t>.</w:t>
      </w:r>
      <w:r>
        <w:tab/>
        <w:t>Provision of information to Building Commissioner</w:t>
      </w:r>
      <w:bookmarkEnd w:id="31"/>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32" w:name="_Toc382310639"/>
      <w:r>
        <w:rPr>
          <w:rStyle w:val="CharPartNo"/>
        </w:rPr>
        <w:t>Part 4</w:t>
      </w:r>
      <w:r>
        <w:rPr>
          <w:rStyle w:val="CharDivNo"/>
        </w:rPr>
        <w:t> </w:t>
      </w:r>
      <w:r>
        <w:t>—</w:t>
      </w:r>
      <w:r>
        <w:rPr>
          <w:rStyle w:val="CharDivText"/>
        </w:rPr>
        <w:t> </w:t>
      </w:r>
      <w:r>
        <w:rPr>
          <w:rStyle w:val="CharPartText"/>
        </w:rPr>
        <w:t>Transitional provisions</w:t>
      </w:r>
      <w:bookmarkEnd w:id="32"/>
    </w:p>
    <w:p>
      <w:pPr>
        <w:pStyle w:val="Heading5"/>
        <w:spacing w:before="180"/>
      </w:pPr>
      <w:bookmarkStart w:id="33" w:name="_Toc382310640"/>
      <w:r>
        <w:rPr>
          <w:rStyle w:val="CharSectno"/>
        </w:rPr>
        <w:t>23</w:t>
      </w:r>
      <w:r>
        <w:t>.</w:t>
      </w:r>
      <w:r>
        <w:tab/>
        <w:t>Terms used</w:t>
      </w:r>
      <w:bookmarkEnd w:id="33"/>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34" w:name="_Toc382310641"/>
      <w:r>
        <w:rPr>
          <w:rStyle w:val="CharSectno"/>
        </w:rPr>
        <w:t>24</w:t>
      </w:r>
      <w:r>
        <w:t>.</w:t>
      </w:r>
      <w:r>
        <w:tab/>
        <w:t>Inspection of building work</w:t>
      </w:r>
      <w:bookmarkEnd w:id="34"/>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35" w:name="_Toc382310642"/>
      <w:r>
        <w:rPr>
          <w:rStyle w:val="CharSectno"/>
        </w:rPr>
        <w:t>25</w:t>
      </w:r>
      <w:r>
        <w:t>.</w:t>
      </w:r>
      <w:r>
        <w:tab/>
        <w:t>Building Commissioner may exercise powers of registrar</w:t>
      </w:r>
      <w:bookmarkEnd w:id="35"/>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36" w:name="_Toc382310643"/>
      <w:r>
        <w:rPr>
          <w:rStyle w:val="CharSectno"/>
        </w:rPr>
        <w:t>26</w:t>
      </w:r>
      <w:r>
        <w:t>.</w:t>
      </w:r>
      <w:r>
        <w:tab/>
        <w:t>Building levy for deemed applications</w:t>
      </w:r>
      <w:bookmarkEnd w:id="36"/>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in Gazette 12 Mar 2012 p. 986-7.]</w:t>
      </w:r>
    </w:p>
    <w:p>
      <w:pPr>
        <w:pStyle w:val="Heading5"/>
      </w:pPr>
      <w:bookmarkStart w:id="37" w:name="_Toc382310644"/>
      <w:r>
        <w:rPr>
          <w:rStyle w:val="CharSectno"/>
        </w:rPr>
        <w:t>27</w:t>
      </w:r>
      <w:r>
        <w:t>.</w:t>
      </w:r>
      <w:r>
        <w:tab/>
        <w:t>Enforcement of decisions of former Tribunal</w:t>
      </w:r>
      <w:bookmarkEnd w:id="37"/>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pPr>
      <w:r>
        <w:tab/>
        <w:t>[Regulation 27 inserted in Gazette 14 Aug 2012 p. 3828.]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nHeading2"/>
      </w:pPr>
      <w:bookmarkStart w:id="38" w:name="_Toc382310645"/>
      <w:r>
        <w:t>Notes</w:t>
      </w:r>
      <w:bookmarkEnd w:id="38"/>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7 June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Building Services (Complaint Resolution and Administration) Regulations 2011</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pPr>
      <w:bookmarkStart w:id="39" w:name="_Toc382310646"/>
      <w:r>
        <w:t>Compilation table</w:t>
      </w:r>
      <w:bookmarkEnd w:id="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noProof/>
                <w:snapToGrid w:val="0"/>
                <w:sz w:val="19"/>
              </w:rPr>
              <w:t>Building Services (Complaint Resolution and Administration) Regulations 2011</w:t>
            </w:r>
          </w:p>
        </w:tc>
        <w:tc>
          <w:tcPr>
            <w:tcW w:w="1276" w:type="dxa"/>
            <w:tcBorders>
              <w:top w:val="single" w:sz="8" w:space="0" w:color="auto"/>
              <w:bottom w:val="nil"/>
            </w:tcBorders>
          </w:tcPr>
          <w:p>
            <w:pPr>
              <w:pStyle w:val="nTable"/>
              <w:spacing w:after="40"/>
              <w:rPr>
                <w:sz w:val="19"/>
              </w:rPr>
            </w:pPr>
            <w:r>
              <w:rPr>
                <w:sz w:val="19"/>
              </w:rPr>
              <w:t>26 Aug 2011 p. 3453</w:t>
            </w:r>
            <w:r>
              <w:rPr>
                <w:sz w:val="19"/>
              </w:rPr>
              <w:noBreakHyphen/>
              <w:t>71</w:t>
            </w:r>
          </w:p>
        </w:tc>
        <w:tc>
          <w:tcPr>
            <w:tcW w:w="2693" w:type="dxa"/>
            <w:tcBorders>
              <w:top w:val="single" w:sz="8" w:space="0" w:color="auto"/>
              <w:bottom w:val="nil"/>
            </w:tcBorders>
          </w:tcPr>
          <w:p>
            <w:pPr>
              <w:pStyle w:val="nTable"/>
              <w:spacing w:after="40"/>
              <w:rPr>
                <w:sz w:val="19"/>
              </w:rPr>
            </w:pPr>
            <w:r>
              <w:rPr>
                <w:sz w:val="19"/>
              </w:rPr>
              <w:t>r. 1 and 2: 26 Aug 2011 (see r. 2(a));</w:t>
            </w:r>
            <w:r>
              <w:rPr>
                <w:sz w:val="19"/>
              </w:rPr>
              <w:br/>
              <w:t xml:space="preserve">Pt. 3 Div. 1 and 3: 29 Aug 2011 (see r. 2(b) and </w:t>
            </w:r>
            <w:r>
              <w:rPr>
                <w:i/>
                <w:sz w:val="19"/>
              </w:rPr>
              <w:t>Gazette</w:t>
            </w:r>
            <w:r>
              <w:rPr>
                <w:sz w:val="19"/>
              </w:rPr>
              <w:t xml:space="preserve"> 26 Aug 2011 p. 3475);</w:t>
            </w:r>
            <w:r>
              <w:rPr>
                <w:sz w:val="19"/>
              </w:rPr>
              <w:br/>
              <w:t xml:space="preserve">r. 3, 4, Pt. 2 (other than r. 7(a)) and Pt. 4: 29 Aug 2011 (see r. 2(d) and </w:t>
            </w:r>
            <w:r>
              <w:rPr>
                <w:i/>
                <w:sz w:val="19"/>
              </w:rPr>
              <w:t>Gazette</w:t>
            </w:r>
            <w:r>
              <w:rPr>
                <w:sz w:val="19"/>
              </w:rPr>
              <w:t xml:space="preserve"> 26 Aug 2011 p. 3475);</w:t>
            </w:r>
            <w:r>
              <w:rPr>
                <w:sz w:val="19"/>
              </w:rPr>
              <w:br/>
              <w:t xml:space="preserve">r. 7(a) and Pt. 3 Div. 2: 2 Apr 2012 (see r. 2(c) and </w:t>
            </w:r>
            <w:r>
              <w:rPr>
                <w:i/>
                <w:sz w:val="19"/>
              </w:rPr>
              <w:t>Gazette</w:t>
            </w:r>
            <w:r>
              <w:rPr>
                <w:sz w:val="19"/>
              </w:rPr>
              <w:t xml:space="preserve"> 13 Mar 2012 p. 1033)</w:t>
            </w:r>
          </w:p>
        </w:tc>
      </w:tr>
      <w:tr>
        <w:tc>
          <w:tcPr>
            <w:tcW w:w="3118" w:type="dxa"/>
            <w:tcBorders>
              <w:top w:val="nil"/>
              <w:bottom w:val="nil"/>
            </w:tcBorders>
            <w:shd w:val="clear" w:color="auto" w:fill="auto"/>
          </w:tcPr>
          <w:p>
            <w:pPr>
              <w:pStyle w:val="nTable"/>
              <w:spacing w:after="40"/>
              <w:rPr>
                <w:noProof/>
                <w:snapToGrid w:val="0"/>
                <w:sz w:val="19"/>
              </w:rPr>
            </w:pPr>
            <w:r>
              <w:rPr>
                <w:i/>
                <w:noProof/>
                <w:snapToGrid w:val="0"/>
                <w:sz w:val="19"/>
              </w:rPr>
              <w:t>Building Services (Complaint Resolution and Administration) Amendment Regulations 2012</w:t>
            </w:r>
          </w:p>
        </w:tc>
        <w:tc>
          <w:tcPr>
            <w:tcW w:w="1276" w:type="dxa"/>
            <w:tcBorders>
              <w:top w:val="nil"/>
              <w:bottom w:val="nil"/>
            </w:tcBorders>
            <w:shd w:val="clear" w:color="auto" w:fill="auto"/>
          </w:tcPr>
          <w:p>
            <w:pPr>
              <w:pStyle w:val="nTable"/>
              <w:spacing w:after="40"/>
              <w:rPr>
                <w:sz w:val="19"/>
              </w:rPr>
            </w:pPr>
            <w:r>
              <w:rPr>
                <w:sz w:val="19"/>
                <w:szCs w:val="19"/>
              </w:rPr>
              <w:t>12 Mar 2012 p. 985-7</w:t>
            </w:r>
          </w:p>
        </w:tc>
        <w:tc>
          <w:tcPr>
            <w:tcW w:w="2693" w:type="dxa"/>
            <w:tcBorders>
              <w:top w:val="nil"/>
              <w:bottom w:val="nil"/>
            </w:tcBorders>
            <w:shd w:val="clear" w:color="auto" w:fill="auto"/>
          </w:tcPr>
          <w:p>
            <w:pPr>
              <w:pStyle w:val="nTable"/>
              <w:spacing w:after="40"/>
              <w:rPr>
                <w:sz w:val="19"/>
              </w:rPr>
            </w:pPr>
            <w:r>
              <w:rPr>
                <w:sz w:val="19"/>
              </w:rPr>
              <w:t>r. 1 and 2: 12 Mar 2012 (see r. 2(a));</w:t>
            </w:r>
            <w:r>
              <w:rPr>
                <w:sz w:val="19"/>
              </w:rPr>
              <w:br/>
              <w:t>r. 3 and 4: 13 Mar 2012 (see r. 2(b));</w:t>
            </w:r>
            <w:r>
              <w:rPr>
                <w:sz w:val="19"/>
              </w:rPr>
              <w:br/>
              <w:t xml:space="preserve">Regulations other than r. 1-4: 2 Apr 2012 (see r. 2(c) and </w:t>
            </w:r>
            <w:r>
              <w:rPr>
                <w:i/>
                <w:sz w:val="19"/>
              </w:rPr>
              <w:t>Gazette</w:t>
            </w:r>
            <w:r>
              <w:rPr>
                <w:sz w:val="19"/>
              </w:rP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sz w:val="19"/>
              </w:rPr>
            </w:pPr>
            <w:r>
              <w:rPr>
                <w:i/>
                <w:noProof/>
                <w:snapToGrid w:val="0"/>
                <w:sz w:val="19"/>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rPr>
                <w:sz w:val="19"/>
                <w:szCs w:val="19"/>
              </w:rPr>
            </w:pPr>
            <w:r>
              <w:rPr>
                <w:sz w:val="19"/>
                <w:szCs w:val="19"/>
              </w:rPr>
              <w:t>14 Aug 2012 p. 3827</w:t>
            </w:r>
            <w:r>
              <w:rPr>
                <w:sz w:val="19"/>
                <w:szCs w:val="19"/>
              </w:rPr>
              <w:noBreakHyphen/>
              <w:t>8</w:t>
            </w:r>
          </w:p>
        </w:tc>
        <w:tc>
          <w:tcPr>
            <w:tcW w:w="2693" w:type="dxa"/>
            <w:tcBorders>
              <w:top w:val="nil"/>
              <w:left w:val="nil"/>
              <w:bottom w:val="nil"/>
            </w:tcBorders>
            <w:shd w:val="clear" w:color="auto" w:fill="auto"/>
          </w:tcPr>
          <w:p>
            <w:pPr>
              <w:pStyle w:val="nTable"/>
              <w:spacing w:after="40"/>
              <w:rPr>
                <w:sz w:val="19"/>
              </w:rPr>
            </w:pPr>
            <w:r>
              <w:rPr>
                <w:sz w:val="19"/>
              </w:rPr>
              <w:t>r. 1 and 2: 14 Aug 2012 (see r. 2(a));</w:t>
            </w:r>
            <w:r>
              <w:rPr>
                <w:sz w:val="19"/>
              </w:rPr>
              <w:br/>
              <w:t>Regulations other than r. 1 and 2: 15 Aug 2012 (see r. 2(b))</w:t>
            </w:r>
          </w:p>
        </w:tc>
      </w:tr>
      <w:tr>
        <w:tc>
          <w:tcPr>
            <w:tcW w:w="7087" w:type="dxa"/>
            <w:gridSpan w:val="3"/>
            <w:tcBorders>
              <w:top w:val="nil"/>
              <w:bottom w:val="single" w:sz="8" w:space="0" w:color="auto"/>
            </w:tcBorders>
            <w:shd w:val="clear" w:color="auto" w:fill="auto"/>
          </w:tcPr>
          <w:p>
            <w:pPr>
              <w:pStyle w:val="nTable"/>
              <w:spacing w:after="40"/>
              <w:rPr>
                <w:sz w:val="19"/>
              </w:rPr>
            </w:pPr>
            <w:r>
              <w:rPr>
                <w:b/>
                <w:sz w:val="19"/>
              </w:rPr>
              <w:t xml:space="preserve">Reprint 1: The </w:t>
            </w:r>
            <w:r>
              <w:rPr>
                <w:b/>
                <w:i/>
                <w:noProof/>
                <w:snapToGrid w:val="0"/>
                <w:sz w:val="19"/>
              </w:rPr>
              <w:t>Building Services (Complaint Resolution and Administration) Regulations 2011</w:t>
            </w:r>
            <w:r>
              <w:rPr>
                <w:b/>
                <w:sz w:val="19"/>
              </w:rPr>
              <w:t xml:space="preserve"> as at 7 Jun 2013</w:t>
            </w:r>
            <w:r>
              <w:rPr>
                <w:sz w:val="19"/>
              </w:rPr>
              <w:t xml:space="preserve"> (includes amendments listed above)</w:t>
            </w:r>
          </w:p>
        </w:tc>
      </w:tr>
    </w:tbl>
    <w:p>
      <w:pPr>
        <w:pStyle w:val="nSubsection"/>
        <w:spacing w:before="160"/>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r>
        <w:rPr>
          <w:vertAlign w:val="superscript"/>
        </w:rPr>
        <w:t xml:space="preserve">2 </w:t>
      </w:r>
      <w:r>
        <w:rPr>
          <w:vertAlign w:val="superscript"/>
        </w:rPr>
        <w:tab/>
      </w:r>
      <w:r>
        <w:t xml:space="preserve">Section 374 was deleted by the </w:t>
      </w:r>
      <w:r>
        <w:rPr>
          <w:i/>
        </w:rPr>
        <w:t>Building Act 2011</w:t>
      </w:r>
      <w:r>
        <w:t xml:space="preserve"> s. 153(2).</w:t>
      </w:r>
    </w:p>
    <w:p/>
    <w:p>
      <w:pPr>
        <w:pStyle w:val="nHeading2"/>
        <w:rPr>
          <w:sz w:val="28"/>
        </w:rPr>
      </w:pPr>
      <w:bookmarkStart w:id="40" w:name="_Toc382310647"/>
      <w:r>
        <w:rPr>
          <w:sz w:val="28"/>
        </w:rPr>
        <w:t>Defined terms</w:t>
      </w:r>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 w:name="DefinedTerms"/>
      <w:bookmarkEnd w:id="41"/>
      <w:r>
        <w:t>applicant</w:t>
      </w:r>
      <w:r>
        <w:tab/>
        <w:t>12(1)</w:t>
      </w:r>
    </w:p>
    <w:p>
      <w:pPr>
        <w:pStyle w:val="DefinedTerms"/>
      </w:pPr>
      <w:r>
        <w:t>building approval certificate</w:t>
      </w:r>
      <w:r>
        <w:tab/>
        <w:t>3(2)</w:t>
      </w:r>
    </w:p>
    <w:p>
      <w:pPr>
        <w:pStyle w:val="DefinedTerms"/>
      </w:pPr>
      <w:r>
        <w:t>building licence</w:t>
      </w:r>
      <w:r>
        <w:tab/>
        <w:t>3(1)</w:t>
      </w:r>
    </w:p>
    <w:p>
      <w:pPr>
        <w:pStyle w:val="DefinedTerms"/>
      </w:pPr>
      <w:r>
        <w:t>building permit</w:t>
      </w:r>
      <w:r>
        <w:tab/>
        <w:t>3(2)</w:t>
      </w:r>
    </w:p>
    <w:p>
      <w:pPr>
        <w:pStyle w:val="DefinedTerms"/>
      </w:pPr>
      <w:r>
        <w:t>building surveying work</w:t>
      </w:r>
      <w:r>
        <w:tab/>
        <w:t>4A(1)</w:t>
      </w:r>
    </w:p>
    <w:p>
      <w:pPr>
        <w:pStyle w:val="DefinedTerms"/>
      </w:pPr>
      <w:r>
        <w:t>building work</w:t>
      </w:r>
      <w:r>
        <w:tab/>
        <w:t>3(2), 12(1)</w:t>
      </w:r>
    </w:p>
    <w:p>
      <w:pPr>
        <w:pStyle w:val="DefinedTerms"/>
      </w:pPr>
      <w:r>
        <w:t>Centrelink</w:t>
      </w:r>
      <w:r>
        <w:tab/>
        <w:t>8(1)</w:t>
      </w:r>
    </w:p>
    <w:p>
      <w:pPr>
        <w:pStyle w:val="DefinedTerms"/>
      </w:pPr>
      <w:r>
        <w:t>complainant</w:t>
      </w:r>
      <w:r>
        <w:tab/>
        <w:t>6(1)</w:t>
      </w:r>
    </w:p>
    <w:p>
      <w:pPr>
        <w:pStyle w:val="DefinedTerms"/>
      </w:pPr>
      <w:r>
        <w:t>CPI</w:t>
      </w:r>
      <w:r>
        <w:tab/>
        <w:t>14(3)</w:t>
      </w:r>
    </w:p>
    <w:p>
      <w:pPr>
        <w:pStyle w:val="DefinedTerms"/>
      </w:pPr>
      <w:r>
        <w:t>current proceeding</w:t>
      </w:r>
      <w:r>
        <w:tab/>
        <w:t>23</w:t>
      </w:r>
    </w:p>
    <w:p>
      <w:pPr>
        <w:pStyle w:val="DefinedTerms"/>
      </w:pPr>
      <w:r>
        <w:t>deemed application</w:t>
      </w:r>
      <w:r>
        <w:tab/>
        <w:t>26(1)</w:t>
      </w:r>
    </w:p>
    <w:p>
      <w:pPr>
        <w:pStyle w:val="DefinedTerms"/>
      </w:pPr>
      <w:r>
        <w:t>demolition permit</w:t>
      </w:r>
      <w:r>
        <w:tab/>
        <w:t>3(2)</w:t>
      </w:r>
    </w:p>
    <w:p>
      <w:pPr>
        <w:pStyle w:val="DefinedTerms"/>
      </w:pPr>
      <w:r>
        <w:t>demolition work</w:t>
      </w:r>
      <w:r>
        <w:tab/>
        <w:t>3(2)</w:t>
      </w:r>
    </w:p>
    <w:p>
      <w:pPr>
        <w:pStyle w:val="DefinedTerms"/>
      </w:pPr>
      <w:r>
        <w:t>financially disadvantaged person</w:t>
      </w:r>
      <w:r>
        <w:tab/>
        <w:t>8(1)</w:t>
      </w:r>
    </w:p>
    <w:p>
      <w:pPr>
        <w:pStyle w:val="DefinedTerms"/>
      </w:pPr>
      <w:r>
        <w:t>former registrar</w:t>
      </w:r>
      <w:r>
        <w:tab/>
        <w:t>23</w:t>
      </w:r>
    </w:p>
    <w:p>
      <w:pPr>
        <w:pStyle w:val="DefinedTerms"/>
      </w:pPr>
      <w:r>
        <w:t>former Tribunal</w:t>
      </w:r>
      <w:r>
        <w:tab/>
        <w:t>23, 27(1)</w:t>
      </w:r>
    </w:p>
    <w:p>
      <w:pPr>
        <w:pStyle w:val="DefinedTerms"/>
      </w:pPr>
      <w:r>
        <w:t>natural disaster</w:t>
      </w:r>
      <w:r>
        <w:tab/>
        <w:t>15(2)</w:t>
      </w:r>
    </w:p>
    <w:p>
      <w:pPr>
        <w:pStyle w:val="DefinedTerms"/>
      </w:pPr>
      <w:r>
        <w:t>occupancy permit</w:t>
      </w:r>
      <w:r>
        <w:tab/>
        <w:t>3(2)</w:t>
      </w:r>
    </w:p>
    <w:p>
      <w:pPr>
        <w:pStyle w:val="DefinedTerms"/>
      </w:pPr>
      <w:r>
        <w:t>paint</w:t>
      </w:r>
      <w:r>
        <w:tab/>
        <w:t>4(1)</w:t>
      </w:r>
    </w:p>
    <w:p>
      <w:pPr>
        <w:pStyle w:val="DefinedTerms"/>
      </w:pPr>
      <w:r>
        <w:t>painting work</w:t>
      </w:r>
      <w:r>
        <w:tab/>
        <w:t>4(1)</w:t>
      </w:r>
    </w:p>
    <w:p>
      <w:pPr>
        <w:pStyle w:val="DefinedTerms"/>
      </w:pPr>
      <w:r>
        <w:t>permit</w:t>
      </w:r>
      <w:r>
        <w:tab/>
        <w:t>3(1), 17</w:t>
      </w:r>
    </w:p>
    <w:p>
      <w:pPr>
        <w:pStyle w:val="DefinedTerms"/>
      </w:pPr>
      <w:r>
        <w:t>permit authority</w:t>
      </w:r>
      <w:r>
        <w:tab/>
        <w:t>17</w:t>
      </w:r>
    </w:p>
    <w:p>
      <w:pPr>
        <w:pStyle w:val="DefinedTerms"/>
      </w:pPr>
      <w:r>
        <w:t>repealed Act</w:t>
      </w:r>
      <w:r>
        <w:tab/>
        <w:t>23, 27(1)</w:t>
      </w:r>
    </w:p>
    <w:p>
      <w:pPr>
        <w:pStyle w:val="DefinedTerms"/>
      </w:pPr>
      <w:r>
        <w:t>unauthorised work</w:t>
      </w:r>
      <w:r>
        <w:tab/>
        <w:t>5A(1)</w:t>
      </w:r>
    </w:p>
    <w:p>
      <w:pPr>
        <w:pStyle w:val="DefinedTerms"/>
      </w:pPr>
      <w:r>
        <w:t>value</w:t>
      </w:r>
      <w:r>
        <w:tab/>
        <w:t>12(1)</w:t>
      </w:r>
    </w:p>
    <w:p>
      <w:pPr>
        <w:pStyle w:val="DefinedTerms"/>
      </w:pPr>
    </w:p>
    <w:p>
      <w:pPr>
        <w:sectPr>
          <w:headerReference w:type="even" r:id="rId33"/>
          <w:headerReference w:type="default" r:id="rId34"/>
          <w:footerReference w:type="even" r:id="rId35"/>
          <w:footerReference w:type="default" r:id="rId36"/>
          <w:headerReference w:type="first" r:id="rId37"/>
          <w:footerReference w:type="first" r:id="rId38"/>
          <w:pgSz w:w="11906" w:h="16838" w:code="9"/>
          <w:pgMar w:top="2376" w:right="2404" w:bottom="3544" w:left="2404" w:header="720" w:footer="3380" w:gutter="0"/>
          <w:cols w:space="720"/>
          <w:noEndnote/>
          <w:docGrid w:linePitch="326"/>
        </w:sectPr>
      </w:pPr>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9"/>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16</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17</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pacing w:val="-6"/>
            </w:rPr>
          </w:pPr>
          <w:r>
            <w:rPr>
              <w:spacing w:val="-6"/>
            </w:rPr>
            <w:fldChar w:fldCharType="begin"/>
          </w:r>
          <w:r>
            <w:rPr>
              <w:spacing w:val="-6"/>
            </w:rPr>
            <w:instrText xml:space="preserve"> Styleref "Name of Act/Reg" </w:instrText>
          </w:r>
          <w:r>
            <w:rPr>
              <w:spacing w:val="-6"/>
            </w:rPr>
            <w:fldChar w:fldCharType="separate"/>
          </w:r>
          <w:r>
            <w:rPr>
              <w:noProof/>
              <w:spacing w:val="-6"/>
            </w:rPr>
            <w:t>Building Services (Complaint Resolution and Administration) Regulations 2011</w:t>
          </w:r>
          <w:r>
            <w:rPr>
              <w:noProof/>
              <w:spacing w:val="-6"/>
            </w:rPr>
            <w:fldChar w:fldCharType="end"/>
          </w:r>
        </w:p>
      </w:tc>
    </w:tr>
    <w:tr>
      <w:tc>
        <w:tcPr>
          <w:tcW w:w="1548" w:type="dxa"/>
        </w:tcPr>
        <w:p>
          <w:pPr>
            <w:pStyle w:val="HeaderNumberLeft"/>
            <w:rPr>
              <w:spacing w:val="-6"/>
            </w:rPr>
          </w:pPr>
        </w:p>
      </w:tc>
      <w:tc>
        <w:tcPr>
          <w:tcW w:w="5715" w:type="dxa"/>
        </w:tcPr>
        <w:p>
          <w:pPr>
            <w:pStyle w:val="HeaderTextLeft"/>
            <w:rPr>
              <w:spacing w:val="-6"/>
            </w:rPr>
          </w:pPr>
        </w:p>
      </w:tc>
    </w:tr>
    <w:tr>
      <w:tc>
        <w:tcPr>
          <w:tcW w:w="1548" w:type="dxa"/>
        </w:tcPr>
        <w:p>
          <w:pPr>
            <w:pStyle w:val="HeaderNumberLeft"/>
            <w:rPr>
              <w:spacing w:val="-6"/>
            </w:rPr>
          </w:pPr>
        </w:p>
      </w:tc>
      <w:tc>
        <w:tcPr>
          <w:tcW w:w="5715" w:type="dxa"/>
        </w:tcPr>
        <w:p>
          <w:pPr>
            <w:pStyle w:val="HeaderTextLeft"/>
            <w:rPr>
              <w:spacing w:val="-6"/>
            </w:rPr>
          </w:pPr>
        </w:p>
      </w:tc>
    </w:tr>
    <w:tr>
      <w:trPr>
        <w:cantSplit/>
      </w:trPr>
      <w:tc>
        <w:tcPr>
          <w:tcW w:w="7258" w:type="dxa"/>
          <w:gridSpan w:val="2"/>
        </w:tcPr>
        <w:p>
          <w:pPr>
            <w:pStyle w:val="HeaderSectionLeft"/>
            <w:rPr>
              <w:b w:val="0"/>
              <w:spacing w:val="-6"/>
            </w:rPr>
          </w:pPr>
          <w:r>
            <w:rPr>
              <w:b w:val="0"/>
              <w:spacing w:val="-6"/>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pacing w:val="-6"/>
            </w:rPr>
          </w:pPr>
          <w:r>
            <w:rPr>
              <w:spacing w:val="-6"/>
            </w:rPr>
            <w:fldChar w:fldCharType="begin"/>
          </w:r>
          <w:r>
            <w:rPr>
              <w:spacing w:val="-6"/>
            </w:rPr>
            <w:instrText xml:space="preserve"> Styleref "Name of Act/Reg" </w:instrText>
          </w:r>
          <w:r>
            <w:rPr>
              <w:spacing w:val="-6"/>
            </w:rPr>
            <w:fldChar w:fldCharType="separate"/>
          </w:r>
          <w:r>
            <w:rPr>
              <w:noProof/>
              <w:spacing w:val="-6"/>
            </w:rPr>
            <w:t>Building Services (Complaint Resolution and Administration) Regulations 2011</w:t>
          </w:r>
          <w:r>
            <w:rPr>
              <w:noProof/>
              <w:spacing w:val="-6"/>
            </w:rPr>
            <w:fldChar w:fldCharType="end"/>
          </w:r>
        </w:p>
      </w:tc>
    </w:tr>
    <w:tr>
      <w:tc>
        <w:tcPr>
          <w:tcW w:w="1548" w:type="dxa"/>
        </w:tcPr>
        <w:p>
          <w:pPr>
            <w:pStyle w:val="HeaderNumberLeft"/>
            <w:rPr>
              <w:spacing w:val="-6"/>
            </w:rPr>
          </w:pPr>
          <w:r>
            <w:rPr>
              <w:spacing w:val="-6"/>
            </w:rPr>
            <w:fldChar w:fldCharType="begin"/>
          </w:r>
          <w:r>
            <w:rPr>
              <w:spacing w:val="-6"/>
            </w:rPr>
            <w:instrText xml:space="preserve"> styleref CharPartNo </w:instrText>
          </w:r>
          <w:r>
            <w:rPr>
              <w:noProof/>
              <w:spacing w:val="-6"/>
            </w:rPr>
            <w:fldChar w:fldCharType="end"/>
          </w:r>
        </w:p>
      </w:tc>
      <w:tc>
        <w:tcPr>
          <w:tcW w:w="5715" w:type="dxa"/>
          <w:vAlign w:val="bottom"/>
        </w:tcPr>
        <w:p>
          <w:pPr>
            <w:pStyle w:val="HeaderTextLeft"/>
            <w:rPr>
              <w:spacing w:val="-6"/>
            </w:rPr>
          </w:pPr>
          <w:r>
            <w:rPr>
              <w:spacing w:val="-6"/>
            </w:rPr>
            <w:fldChar w:fldCharType="begin"/>
          </w:r>
          <w:r>
            <w:rPr>
              <w:spacing w:val="-6"/>
            </w:rPr>
            <w:instrText xml:space="preserve"> styleref CharPartText </w:instrText>
          </w:r>
          <w:r>
            <w:rPr>
              <w:noProof/>
              <w:spacing w:val="-6"/>
            </w:rPr>
            <w:fldChar w:fldCharType="end"/>
          </w:r>
        </w:p>
      </w:tc>
    </w:tr>
    <w:tr>
      <w:tc>
        <w:tcPr>
          <w:tcW w:w="1548" w:type="dxa"/>
        </w:tcPr>
        <w:p>
          <w:pPr>
            <w:pStyle w:val="HeaderNumberLeft"/>
            <w:rPr>
              <w:spacing w:val="-6"/>
            </w:rPr>
          </w:pPr>
          <w:r>
            <w:rPr>
              <w:spacing w:val="-6"/>
            </w:rPr>
            <w:fldChar w:fldCharType="begin"/>
          </w:r>
          <w:r>
            <w:rPr>
              <w:spacing w:val="-6"/>
            </w:rPr>
            <w:instrText xml:space="preserve"> styleref CharDivNo </w:instrText>
          </w:r>
          <w:r>
            <w:rPr>
              <w:spacing w:val="-6"/>
            </w:rPr>
            <w:fldChar w:fldCharType="end"/>
          </w:r>
        </w:p>
      </w:tc>
      <w:tc>
        <w:tcPr>
          <w:tcW w:w="5715" w:type="dxa"/>
        </w:tcPr>
        <w:p>
          <w:pPr>
            <w:pStyle w:val="HeaderTextLeft"/>
            <w:rPr>
              <w:spacing w:val="-6"/>
            </w:rPr>
          </w:pPr>
          <w:r>
            <w:rPr>
              <w:spacing w:val="-6"/>
            </w:rPr>
            <w:fldChar w:fldCharType="begin"/>
          </w:r>
          <w:r>
            <w:rPr>
              <w:spacing w:val="-6"/>
            </w:rPr>
            <w:instrText xml:space="preserve"> styleref CharDivText </w:instrText>
          </w:r>
          <w:r>
            <w:rPr>
              <w:spacing w:val="-6"/>
            </w:rPr>
            <w:fldChar w:fldCharType="end"/>
          </w:r>
        </w:p>
      </w:tc>
    </w:tr>
    <w:tr>
      <w:trPr>
        <w:cantSplit/>
      </w:trPr>
      <w:tc>
        <w:tcPr>
          <w:tcW w:w="7258" w:type="dxa"/>
          <w:gridSpan w:val="2"/>
        </w:tcPr>
        <w:p>
          <w:pPr>
            <w:pStyle w:val="HeaderSectionLeft"/>
            <w:rPr>
              <w:spacing w:val="-6"/>
            </w:rPr>
          </w:pPr>
          <w:r>
            <w:rPr>
              <w:spacing w:val="-6"/>
            </w:rPr>
            <w:t xml:space="preserve">r. </w:t>
          </w:r>
          <w:r>
            <w:rPr>
              <w:spacing w:val="-6"/>
            </w:rPr>
            <w:fldChar w:fldCharType="begin"/>
          </w:r>
          <w:r>
            <w:rPr>
              <w:spacing w:val="-6"/>
            </w:rPr>
            <w:instrText xml:space="preserve"> styleref CharSectno </w:instrText>
          </w:r>
          <w:r>
            <w:rPr>
              <w:spacing w:val="-6"/>
            </w:rPr>
            <w:fldChar w:fldCharType="separate"/>
          </w:r>
          <w:r>
            <w:rPr>
              <w:noProof/>
              <w:spacing w:val="-6"/>
            </w:rPr>
            <w:t>1</w:t>
          </w:r>
          <w:r>
            <w:rPr>
              <w:noProof/>
              <w:spacing w:val="-6"/>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pacing w:val="-6"/>
            </w:rPr>
          </w:pPr>
          <w:r>
            <w:rPr>
              <w:spacing w:val="-6"/>
            </w:rPr>
            <w:fldChar w:fldCharType="begin"/>
          </w:r>
          <w:r>
            <w:rPr>
              <w:spacing w:val="-6"/>
            </w:rPr>
            <w:instrText xml:space="preserve"> Styleref "Name of Act/Reg" </w:instrText>
          </w:r>
          <w:r>
            <w:rPr>
              <w:spacing w:val="-6"/>
            </w:rPr>
            <w:fldChar w:fldCharType="separate"/>
          </w:r>
          <w:r>
            <w:rPr>
              <w:noProof/>
              <w:spacing w:val="-6"/>
            </w:rPr>
            <w:t>Building Services (Complaint Resolution and Administration) Regulations 2011</w:t>
          </w:r>
          <w:r>
            <w:rPr>
              <w:noProof/>
              <w:spacing w:val="-6"/>
            </w:rPr>
            <w:fldChar w:fldCharType="end"/>
          </w:r>
        </w:p>
      </w:tc>
    </w:tr>
    <w:tr>
      <w:tc>
        <w:tcPr>
          <w:tcW w:w="5715" w:type="dxa"/>
        </w:tcPr>
        <w:p>
          <w:pPr>
            <w:pStyle w:val="HeaderTextRight"/>
            <w:rPr>
              <w:spacing w:val="-6"/>
            </w:rPr>
          </w:pPr>
          <w:r>
            <w:rPr>
              <w:spacing w:val="-6"/>
            </w:rPr>
            <w:fldChar w:fldCharType="begin"/>
          </w:r>
          <w:r>
            <w:rPr>
              <w:spacing w:val="-6"/>
            </w:rPr>
            <w:instrText xml:space="preserve"> styleref CharPartText </w:instrText>
          </w:r>
          <w:r>
            <w:rPr>
              <w:noProof/>
              <w:spacing w:val="-6"/>
            </w:rPr>
            <w:fldChar w:fldCharType="end"/>
          </w:r>
        </w:p>
      </w:tc>
      <w:tc>
        <w:tcPr>
          <w:tcW w:w="1548" w:type="dxa"/>
        </w:tcPr>
        <w:p>
          <w:pPr>
            <w:pStyle w:val="HeaderNumberRight"/>
            <w:ind w:right="17"/>
            <w:rPr>
              <w:spacing w:val="-6"/>
            </w:rPr>
          </w:pPr>
          <w:r>
            <w:rPr>
              <w:spacing w:val="-6"/>
            </w:rPr>
            <w:fldChar w:fldCharType="begin"/>
          </w:r>
          <w:r>
            <w:rPr>
              <w:spacing w:val="-6"/>
            </w:rPr>
            <w:instrText xml:space="preserve"> styleref CharPartNo </w:instrText>
          </w:r>
          <w:r>
            <w:rPr>
              <w:noProof/>
              <w:spacing w:val="-6"/>
            </w:rPr>
            <w:fldChar w:fldCharType="end"/>
          </w:r>
        </w:p>
      </w:tc>
    </w:tr>
    <w:tr>
      <w:tc>
        <w:tcPr>
          <w:tcW w:w="5715" w:type="dxa"/>
        </w:tcPr>
        <w:p>
          <w:pPr>
            <w:pStyle w:val="HeaderTextRight"/>
            <w:rPr>
              <w:spacing w:val="-6"/>
            </w:rPr>
          </w:pPr>
          <w:r>
            <w:rPr>
              <w:spacing w:val="-6"/>
            </w:rPr>
            <w:fldChar w:fldCharType="begin"/>
          </w:r>
          <w:r>
            <w:rPr>
              <w:spacing w:val="-6"/>
            </w:rPr>
            <w:instrText xml:space="preserve"> styleref CharDivText </w:instrText>
          </w:r>
          <w:r>
            <w:rPr>
              <w:spacing w:val="-6"/>
            </w:rPr>
            <w:fldChar w:fldCharType="end"/>
          </w:r>
        </w:p>
      </w:tc>
      <w:tc>
        <w:tcPr>
          <w:tcW w:w="1548" w:type="dxa"/>
        </w:tcPr>
        <w:p>
          <w:pPr>
            <w:pStyle w:val="HeaderNumberRight"/>
            <w:ind w:right="17"/>
            <w:rPr>
              <w:spacing w:val="-6"/>
            </w:rPr>
          </w:pPr>
          <w:r>
            <w:rPr>
              <w:spacing w:val="-6"/>
            </w:rPr>
            <w:fldChar w:fldCharType="begin"/>
          </w:r>
          <w:r>
            <w:rPr>
              <w:spacing w:val="-6"/>
            </w:rPr>
            <w:instrText xml:space="preserve"> styleref CharDivNo </w:instrText>
          </w:r>
          <w:r>
            <w:rPr>
              <w:spacing w:val="-6"/>
            </w:rPr>
            <w:fldChar w:fldCharType="end"/>
          </w:r>
        </w:p>
      </w:tc>
    </w:tr>
    <w:tr>
      <w:trPr>
        <w:cantSplit/>
      </w:trPr>
      <w:tc>
        <w:tcPr>
          <w:tcW w:w="7258" w:type="dxa"/>
          <w:gridSpan w:val="2"/>
        </w:tcPr>
        <w:p>
          <w:pPr>
            <w:pStyle w:val="HeaderSectionRight"/>
            <w:ind w:right="17"/>
            <w:rPr>
              <w:spacing w:val="-6"/>
            </w:rPr>
          </w:pPr>
          <w:r>
            <w:rPr>
              <w:spacing w:val="-6"/>
            </w:rPr>
            <w:t xml:space="preserve">r. </w:t>
          </w:r>
          <w:r>
            <w:rPr>
              <w:spacing w:val="-6"/>
            </w:rPr>
            <w:fldChar w:fldCharType="begin"/>
          </w:r>
          <w:r>
            <w:rPr>
              <w:spacing w:val="-6"/>
            </w:rPr>
            <w:instrText xml:space="preserve"> styleref CharSectno </w:instrText>
          </w:r>
          <w:r>
            <w:rPr>
              <w:spacing w:val="-6"/>
            </w:rPr>
            <w:fldChar w:fldCharType="separate"/>
          </w:r>
          <w:r>
            <w:rPr>
              <w:noProof/>
              <w:spacing w:val="-6"/>
            </w:rPr>
            <w:t>1</w:t>
          </w:r>
          <w:r>
            <w:rPr>
              <w:noProof/>
              <w:spacing w:val="-6"/>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pacing w:val="-6"/>
            </w:rPr>
          </w:pPr>
          <w:r>
            <w:rPr>
              <w:spacing w:val="-6"/>
            </w:rPr>
            <w:fldChar w:fldCharType="begin"/>
          </w:r>
          <w:r>
            <w:rPr>
              <w:spacing w:val="-6"/>
            </w:rPr>
            <w:instrText xml:space="preserve"> Styleref "Name of Act/Reg" </w:instrText>
          </w:r>
          <w:r>
            <w:rPr>
              <w:spacing w:val="-6"/>
            </w:rPr>
            <w:fldChar w:fldCharType="separate"/>
          </w:r>
          <w:r>
            <w:rPr>
              <w:noProof/>
              <w:spacing w:val="-6"/>
            </w:rPr>
            <w:t>Building Services (Complaint Resolution and Administration) Regulations 2011</w:t>
          </w:r>
          <w:r>
            <w:rPr>
              <w:noProof/>
              <w:spacing w:val="-6"/>
            </w:rPr>
            <w:fldChar w:fldCharType="end"/>
          </w:r>
        </w:p>
      </w:tc>
    </w:tr>
    <w:tr>
      <w:tc>
        <w:tcPr>
          <w:tcW w:w="1548" w:type="dxa"/>
        </w:tcPr>
        <w:p>
          <w:pPr>
            <w:pStyle w:val="HeaderNumberLeft"/>
            <w:rPr>
              <w:spacing w:val="-6"/>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(Complaint Resolution and Administration)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pacing w:val="-6"/>
            </w:rPr>
          </w:pPr>
          <w:r>
            <w:rPr>
              <w:spacing w:val="-6"/>
            </w:rPr>
            <w:fldChar w:fldCharType="begin"/>
          </w:r>
          <w:r>
            <w:rPr>
              <w:spacing w:val="-6"/>
            </w:rPr>
            <w:instrText xml:space="preserve"> Styleref "Name of Act/Reg" </w:instrText>
          </w:r>
          <w:r>
            <w:rPr>
              <w:spacing w:val="-6"/>
            </w:rPr>
            <w:fldChar w:fldCharType="separate"/>
          </w:r>
          <w:r>
            <w:rPr>
              <w:noProof/>
              <w:spacing w:val="-6"/>
            </w:rPr>
            <w:t>Building Services (Complaint Resolution and Administration) Regulations 2011</w:t>
          </w:r>
          <w:r>
            <w:rPr>
              <w:noProof/>
              <w:spacing w:val="-6"/>
            </w:rPr>
            <w:fldChar w:fldCharType="end"/>
          </w:r>
        </w:p>
      </w:tc>
    </w:tr>
    <w:tr>
      <w:tc>
        <w:tcPr>
          <w:tcW w:w="5715" w:type="dxa"/>
        </w:tcPr>
        <w:p>
          <w:pPr>
            <w:pStyle w:val="HeaderTextRight"/>
            <w:rPr>
              <w:spacing w:val="-6"/>
            </w:rPr>
          </w:pPr>
        </w:p>
      </w:tc>
      <w:tc>
        <w:tcPr>
          <w:tcW w:w="1548" w:type="dxa"/>
        </w:tcPr>
        <w:p>
          <w:pPr>
            <w:pStyle w:val="HeaderNumberRight"/>
            <w:ind w:right="17"/>
            <w:rPr>
              <w:spacing w:val="-6"/>
            </w:rPr>
          </w:pPr>
        </w:p>
      </w:tc>
    </w:tr>
    <w:tr>
      <w:tc>
        <w:tcPr>
          <w:tcW w:w="5715" w:type="dxa"/>
        </w:tcPr>
        <w:p>
          <w:pPr>
            <w:pStyle w:val="HeaderTextRight"/>
            <w:rPr>
              <w:spacing w:val="-6"/>
            </w:rPr>
          </w:pPr>
        </w:p>
      </w:tc>
      <w:tc>
        <w:tcPr>
          <w:tcW w:w="1548" w:type="dxa"/>
        </w:tcPr>
        <w:p>
          <w:pPr>
            <w:pStyle w:val="HeaderNumberRight"/>
            <w:ind w:right="17"/>
            <w:rPr>
              <w:spacing w:val="-6"/>
            </w:rPr>
          </w:pPr>
        </w:p>
      </w:tc>
    </w:tr>
    <w:tr>
      <w:trPr>
        <w:cantSplit/>
      </w:trPr>
      <w:tc>
        <w:tcPr>
          <w:tcW w:w="7258" w:type="dxa"/>
          <w:gridSpan w:val="2"/>
        </w:tcPr>
        <w:p>
          <w:pPr>
            <w:pStyle w:val="HeaderSectionRight"/>
            <w:ind w:right="17"/>
            <w:rPr>
              <w:spacing w:val="-6"/>
            </w:rPr>
          </w:pPr>
          <w:r>
            <w:rPr>
              <w:spacing w:val="-6"/>
            </w:rPr>
            <w:t>Defined terms</w:t>
          </w:r>
        </w:p>
      </w:tc>
    </w:tr>
  </w:tbl>
  <w:p>
    <w:pPr>
      <w:pStyle w:val="Header"/>
      <w:pBdr>
        <w:top w:val="single" w:sz="4" w:space="1" w:color="auto"/>
      </w:pBdr>
      <w:rPr>
        <w:spacing w:val="-6"/>
        <w:sz w:val="20"/>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nsid w:val="22FF52EB"/>
    <w:multiLevelType w:val="multilevel"/>
    <w:tmpl w:val="F25E9A04"/>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7">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CC03303"/>
    <w:multiLevelType w:val="singleLevel"/>
    <w:tmpl w:val="0809000F"/>
    <w:lvl w:ilvl="0">
      <w:start w:val="1"/>
      <w:numFmt w:val="decimal"/>
      <w:lvlText w:val="%1."/>
      <w:lvlJc w:val="left"/>
      <w:pPr>
        <w:tabs>
          <w:tab w:val="num" w:pos="360"/>
        </w:tabs>
        <w:ind w:left="360" w:hanging="360"/>
      </w:pPr>
    </w:lvl>
  </w:abstractNum>
  <w:abstractNum w:abstractNumId="23">
    <w:nsid w:val="56AD6CBE"/>
    <w:multiLevelType w:val="multilevel"/>
    <w:tmpl w:val="E45C2C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5">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22"/>
  </w:num>
  <w:num w:numId="3">
    <w:abstractNumId w:val="14"/>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1"/>
  </w:num>
  <w:num w:numId="17">
    <w:abstractNumId w:val="20"/>
  </w:num>
  <w:num w:numId="18">
    <w:abstractNumId w:val="23"/>
  </w:num>
  <w:num w:numId="19">
    <w:abstractNumId w:val="23"/>
  </w:num>
  <w:num w:numId="20">
    <w:abstractNumId w:val="24"/>
  </w:num>
  <w:num w:numId="21">
    <w:abstractNumId w:val="25"/>
  </w:num>
  <w:num w:numId="22">
    <w:abstractNumId w:val="23"/>
  </w:num>
  <w:num w:numId="23">
    <w:abstractNumId w:val="13"/>
  </w:num>
  <w:num w:numId="24">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41029"/>
    <w:docVar w:name="WAFER_20140311141029" w:val="RemoveTocBookmarks,RemoveUnusedBookmarks,RemoveLanguageTags,UsedStyles,ResetPageSize"/>
    <w:docVar w:name="WAFER_20140311141029_GUID" w:val="bd5834c8-8d8b-41eb-b312-5affc6f97b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4.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4.png"/><Relationship Id="rId28" Type="http://schemas.openxmlformats.org/officeDocument/2006/relationships/header" Target="header8.xml"/><Relationship Id="rId36" Type="http://schemas.openxmlformats.org/officeDocument/2006/relationships/footer" Target="footer11.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4685</Words>
  <Characters>23472</Characters>
  <Application>Microsoft Office Word</Application>
  <DocSecurity>0</DocSecurity>
  <Lines>690</Lines>
  <Paragraphs>385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2011 - 01-00-01</dc:title>
  <dc:subject/>
  <dc:creator/>
  <cp:keywords/>
  <dc:description/>
  <cp:lastModifiedBy>svcMRProcess</cp:lastModifiedBy>
  <cp:revision>4</cp:revision>
  <cp:lastPrinted>2013-05-31T04:42:00Z</cp:lastPrinted>
  <dcterms:created xsi:type="dcterms:W3CDTF">2020-03-04T03:21:00Z</dcterms:created>
  <dcterms:modified xsi:type="dcterms:W3CDTF">2020-03-04T03:21:00Z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CommencementDate">
    <vt:lpwstr>20130607</vt:lpwstr>
  </property>
  <property fmtid="{D5CDD505-2E9C-101B-9397-08002B2CF9AE}" pid="4" name="AsAtDate">
    <vt:lpwstr>07 Jun 2013</vt:lpwstr>
  </property>
  <property fmtid="{D5CDD505-2E9C-101B-9397-08002B2CF9AE}" pid="5" name="Suffix">
    <vt:lpwstr>01-00-01</vt:lpwstr>
  </property>
  <property fmtid="{D5CDD505-2E9C-101B-9397-08002B2CF9AE}" pid="6" name="DocumentType">
    <vt:lpwstr>Reg</vt:lpwstr>
  </property>
  <property fmtid="{D5CDD505-2E9C-101B-9397-08002B2CF9AE}" pid="7" name="ReprintNo">
    <vt:lpwstr>1</vt:lpwstr>
  </property>
  <property fmtid="{D5CDD505-2E9C-101B-9397-08002B2CF9AE}" pid="8" name="ReprintedAsAt">
    <vt:filetime>2013-06-06T16:00:00Z</vt:filetime>
  </property>
</Properties>
</file>