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Gas Standards Act 1972</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(Gasfitting and Consumer Gas Installations) Regulations 1999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_Toc378257335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_Toc378257336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_Toc378257337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_Toc378257338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_Toc378257339 \h </w:instrText>
      </w:r>
      <w:r>
        <w:fldChar w:fldCharType="separate"/>
      </w:r>
      <w:r>
        <w:t>5</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_Toc378257340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_Toc378257342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_Toc378257343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_Toc378257344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_Toc378257346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_Toc378257347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_Toc378257348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_Toc378257349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_Toc378257350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_Toc378257351 \h </w:instrText>
      </w:r>
      <w:r>
        <w:fldChar w:fldCharType="separate"/>
      </w:r>
      <w:r>
        <w:t>10</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_Toc378257352 \h </w:instrText>
      </w:r>
      <w:r>
        <w:fldChar w:fldCharType="separate"/>
      </w:r>
      <w:r>
        <w:t>11</w:t>
      </w:r>
      <w:r>
        <w:fldChar w:fldCharType="end"/>
      </w:r>
    </w:p>
    <w:p>
      <w:pPr>
        <w:pStyle w:val="TOC2"/>
        <w:tabs>
          <w:tab w:val="right" w:leader="dot" w:pos="7086"/>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_Toc378257354 \h </w:instrText>
      </w:r>
      <w:r>
        <w:fldChar w:fldCharType="separate"/>
      </w:r>
      <w:r>
        <w:t>12</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_Toc378257355 \h </w:instrText>
      </w:r>
      <w:r>
        <w:fldChar w:fldCharType="separate"/>
      </w:r>
      <w:r>
        <w:t>12</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_Toc378257356 \h </w:instrText>
      </w:r>
      <w:r>
        <w:fldChar w:fldCharType="separate"/>
      </w:r>
      <w:r>
        <w:t>12</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_Toc378257357 \h </w:instrText>
      </w:r>
      <w:r>
        <w:fldChar w:fldCharType="separate"/>
      </w:r>
      <w:r>
        <w:t>13</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_Toc378257358 \h </w:instrText>
      </w:r>
      <w:r>
        <w:fldChar w:fldCharType="separate"/>
      </w:r>
      <w:r>
        <w:t>14</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_Toc378257359 \h </w:instrText>
      </w:r>
      <w:r>
        <w:fldChar w:fldCharType="separate"/>
      </w:r>
      <w:r>
        <w:t>14</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_Toc378257360 \h </w:instrText>
      </w:r>
      <w:r>
        <w:fldChar w:fldCharType="separate"/>
      </w:r>
      <w:r>
        <w:t>15</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_Toc378257361 \h </w:instrText>
      </w:r>
      <w:r>
        <w:fldChar w:fldCharType="separate"/>
      </w:r>
      <w:r>
        <w:t>16</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_Toc378257362 \h </w:instrText>
      </w:r>
      <w:r>
        <w:fldChar w:fldCharType="separate"/>
      </w:r>
      <w:r>
        <w:t>17</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_Toc378257363 \h </w:instrText>
      </w:r>
      <w:r>
        <w:fldChar w:fldCharType="separate"/>
      </w:r>
      <w:r>
        <w:t>17</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_Toc378257364 \h </w:instrText>
      </w:r>
      <w:r>
        <w:fldChar w:fldCharType="separate"/>
      </w:r>
      <w:r>
        <w:t>17</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_Toc378257365 \h </w:instrText>
      </w:r>
      <w:r>
        <w:fldChar w:fldCharType="separate"/>
      </w:r>
      <w:r>
        <w:t>18</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_Toc378257366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_Toc378257367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_Toc378257368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4A</w:t>
      </w:r>
      <w:r>
        <w:rPr>
          <w:b w:val="0"/>
        </w:rPr>
        <w:t> </w:t>
      </w:r>
      <w:r>
        <w:t>—</w:t>
      </w:r>
      <w:r>
        <w:rPr>
          <w:b w:val="0"/>
        </w:rPr>
        <w:t> </w:t>
      </w:r>
      <w:r>
        <w:t>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_Toc378257370 \h </w:instrText>
      </w:r>
      <w:r>
        <w:fldChar w:fldCharType="separate"/>
      </w:r>
      <w:r>
        <w:t>21</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_Toc378257371 \h </w:instrText>
      </w:r>
      <w:r>
        <w:fldChar w:fldCharType="separate"/>
      </w:r>
      <w:r>
        <w:t>21</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_Toc378257372 \h </w:instrText>
      </w:r>
      <w:r>
        <w:fldChar w:fldCharType="separate"/>
      </w:r>
      <w:r>
        <w:t>22</w:t>
      </w:r>
      <w:r>
        <w:fldChar w:fldCharType="end"/>
      </w:r>
    </w:p>
    <w:p>
      <w:pPr>
        <w:pStyle w:val="TOC2"/>
        <w:tabs>
          <w:tab w:val="right" w:leader="dot" w:pos="7086"/>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_Toc378257374 \h </w:instrText>
      </w:r>
      <w:r>
        <w:fldChar w:fldCharType="separate"/>
      </w:r>
      <w:r>
        <w:t>23</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_Toc378257375 \h </w:instrText>
      </w:r>
      <w:r>
        <w:fldChar w:fldCharType="separate"/>
      </w:r>
      <w:r>
        <w:t>24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_Toc378257376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_Toc378257378 \h </w:instrText>
      </w:r>
      <w:r>
        <w:fldChar w:fldCharType="separate"/>
      </w:r>
      <w:r>
        <w:t>26</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appliance</w:t>
      </w:r>
      <w:r>
        <w:tab/>
      </w:r>
      <w:r>
        <w:fldChar w:fldCharType="begin"/>
      </w:r>
      <w:r>
        <w:instrText xml:space="preserve"> PAGEREF _Toc378257379 \h </w:instrText>
      </w:r>
      <w:r>
        <w:fldChar w:fldCharType="separate"/>
      </w:r>
      <w:r>
        <w:t>26</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_Toc378257380 \h </w:instrText>
      </w:r>
      <w:r>
        <w:fldChar w:fldCharType="separate"/>
      </w:r>
      <w:r>
        <w:t>27</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_Toc378257381 \h </w:instrText>
      </w:r>
      <w:r>
        <w:fldChar w:fldCharType="separate"/>
      </w:r>
      <w:r>
        <w:t>27</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_Toc378257382 \h </w:instrText>
      </w:r>
      <w:r>
        <w:fldChar w:fldCharType="separate"/>
      </w:r>
      <w:r>
        <w:t>28</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_Toc378257383 \h </w:instrText>
      </w:r>
      <w:r>
        <w:fldChar w:fldCharType="separate"/>
      </w:r>
      <w:r>
        <w:t>30</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_Toc378257384 \h </w:instrText>
      </w:r>
      <w:r>
        <w:fldChar w:fldCharType="separate"/>
      </w:r>
      <w:r>
        <w:t>30</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_Toc378257385 \h </w:instrText>
      </w:r>
      <w:r>
        <w:fldChar w:fldCharType="separate"/>
      </w:r>
      <w:r>
        <w:t>31</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_Toc378257386 \h </w:instrText>
      </w:r>
      <w:r>
        <w:fldChar w:fldCharType="separate"/>
      </w:r>
      <w:r>
        <w:t>31</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_Toc378257387 \h </w:instrText>
      </w:r>
      <w:r>
        <w:fldChar w:fldCharType="separate"/>
      </w:r>
      <w:r>
        <w:t>31</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_Toc378257388 \h </w:instrText>
      </w:r>
      <w:r>
        <w:fldChar w:fldCharType="separate"/>
      </w:r>
      <w:r>
        <w:t>31</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_Toc378257389 \h </w:instrText>
      </w:r>
      <w:r>
        <w:fldChar w:fldCharType="separate"/>
      </w:r>
      <w:r>
        <w:t>32</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_Toc378257390 \h </w:instrText>
      </w:r>
      <w:r>
        <w:fldChar w:fldCharType="separate"/>
      </w:r>
      <w:r>
        <w:t>33</w:t>
      </w:r>
      <w:r>
        <w:fldChar w:fldCharType="end"/>
      </w:r>
    </w:p>
    <w:p>
      <w:pPr>
        <w:pStyle w:val="TOC2"/>
        <w:tabs>
          <w:tab w:val="right" w:leader="dot" w:pos="7086"/>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_Toc378257392 \h </w:instrText>
      </w:r>
      <w:r>
        <w:fldChar w:fldCharType="separate"/>
      </w:r>
      <w:r>
        <w:t>35</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_Toc378257393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rPr>
      </w:pPr>
      <w:r>
        <w:t>Schedule 2 — Forms</w:t>
      </w:r>
    </w:p>
    <w:p>
      <w:pPr>
        <w:pStyle w:val="TOC2"/>
        <w:tabs>
          <w:tab w:val="right" w:leader="dot" w:pos="7086"/>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_Toc378257396 \h </w:instrText>
      </w:r>
      <w:r>
        <w:fldChar w:fldCharType="separate"/>
      </w:r>
      <w:r>
        <w:t>40</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_Toc378257397 \h </w:instrText>
      </w:r>
      <w:r>
        <w:fldChar w:fldCharType="separate"/>
      </w:r>
      <w:r>
        <w:t>40</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_Toc378257398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Schedule 4 — Application fees for permits and authorisations</w:t>
      </w:r>
    </w:p>
    <w:p>
      <w:pPr>
        <w:pStyle w:val="TOC2"/>
        <w:tabs>
          <w:tab w:val="right" w:leader="dot" w:pos="7086"/>
        </w:tabs>
        <w:rPr>
          <w:rFonts w:asciiTheme="minorHAnsi" w:eastAsiaTheme="minorEastAsia" w:hAnsiTheme="minorHAnsi" w:cstheme="minorBidi"/>
          <w:b w:val="0"/>
          <w:sz w:val="22"/>
          <w:szCs w:val="22"/>
        </w:rPr>
      </w:pPr>
      <w:r>
        <w:t>Schedule 5 — Classes of gasfitting work</w:t>
      </w:r>
    </w:p>
    <w:p>
      <w:pPr>
        <w:pStyle w:val="TOC2"/>
        <w:tabs>
          <w:tab w:val="right" w:leader="dot" w:pos="7086"/>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86"/>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_Toc378257403 \h </w:instrText>
      </w:r>
      <w:r>
        <w:fldChar w:fldCharType="separate"/>
      </w:r>
      <w:r>
        <w:t>43</w:t>
      </w:r>
      <w:r>
        <w:fldChar w:fldCharType="end"/>
      </w:r>
    </w:p>
    <w:p>
      <w:pPr>
        <w:pStyle w:val="TOC4"/>
        <w:tabs>
          <w:tab w:val="right" w:leader="dot" w:pos="7086"/>
        </w:tabs>
        <w:rPr>
          <w:rFonts w:asciiTheme="minorHAnsi" w:eastAsiaTheme="minorEastAsia" w:hAnsiTheme="minorHAnsi" w:cstheme="minorBidi"/>
          <w:b w:val="0"/>
          <w:szCs w:val="22"/>
        </w:rPr>
      </w:pPr>
      <w:r>
        <w:t>Division 2 — Master meters</w:t>
      </w:r>
    </w:p>
    <w:p>
      <w:pPr>
        <w:pStyle w:val="TOC8"/>
        <w:rPr>
          <w:rFonts w:asciiTheme="minorHAnsi" w:eastAsiaTheme="minorEastAsia" w:hAnsiTheme="minorHAnsi" w:cstheme="minorBidi"/>
          <w:szCs w:val="22"/>
        </w:rPr>
      </w:pPr>
      <w:r>
        <w:t>202.</w:t>
      </w:r>
      <w:r>
        <w:tab/>
        <w:t>Location of master meters</w:t>
      </w:r>
      <w:r>
        <w:tab/>
      </w:r>
      <w:r>
        <w:fldChar w:fldCharType="begin"/>
      </w:r>
      <w:r>
        <w:instrText xml:space="preserve"> PAGEREF _Toc378257405 \h </w:instrText>
      </w:r>
      <w:r>
        <w:fldChar w:fldCharType="separate"/>
      </w:r>
      <w:r>
        <w:t>43</w:t>
      </w:r>
      <w:r>
        <w:fldChar w:fldCharType="end"/>
      </w:r>
    </w:p>
    <w:p>
      <w:pPr>
        <w:pStyle w:val="TOC8"/>
        <w:rPr>
          <w:rFonts w:asciiTheme="minorHAnsi" w:eastAsiaTheme="minorEastAsia" w:hAnsiTheme="minorHAnsi" w:cstheme="minorBidi"/>
          <w:szCs w:val="22"/>
        </w:rPr>
      </w:pPr>
      <w:r>
        <w:t>203.</w:t>
      </w:r>
      <w:r>
        <w:tab/>
        <w:t>Position of master meters generally</w:t>
      </w:r>
      <w:r>
        <w:tab/>
      </w:r>
      <w:r>
        <w:fldChar w:fldCharType="begin"/>
      </w:r>
      <w:r>
        <w:instrText xml:space="preserve"> PAGEREF _Toc378257406 \h </w:instrText>
      </w:r>
      <w:r>
        <w:fldChar w:fldCharType="separate"/>
      </w:r>
      <w:r>
        <w:t>44</w:t>
      </w:r>
      <w:r>
        <w:fldChar w:fldCharType="end"/>
      </w:r>
    </w:p>
    <w:p>
      <w:pPr>
        <w:pStyle w:val="TOC8"/>
        <w:rPr>
          <w:rFonts w:asciiTheme="minorHAnsi" w:eastAsiaTheme="minorEastAsia" w:hAnsiTheme="minorHAnsi" w:cstheme="minorBidi"/>
          <w:szCs w:val="22"/>
        </w:rPr>
      </w:pPr>
      <w:r>
        <w:t>204.</w:t>
      </w:r>
      <w:r>
        <w:tab/>
        <w:t>Prohibited positions for master meters</w:t>
      </w:r>
      <w:r>
        <w:tab/>
      </w:r>
      <w:r>
        <w:fldChar w:fldCharType="begin"/>
      </w:r>
      <w:r>
        <w:instrText xml:space="preserve"> PAGEREF _Toc378257407 \h </w:instrText>
      </w:r>
      <w:r>
        <w:fldChar w:fldCharType="separate"/>
      </w:r>
      <w:r>
        <w:t>44</w:t>
      </w:r>
      <w:r>
        <w:fldChar w:fldCharType="end"/>
      </w:r>
    </w:p>
    <w:p>
      <w:pPr>
        <w:pStyle w:val="TOC8"/>
        <w:rPr>
          <w:rFonts w:asciiTheme="minorHAnsi" w:eastAsiaTheme="minorEastAsia" w:hAnsiTheme="minorHAnsi" w:cstheme="minorBidi"/>
          <w:szCs w:val="22"/>
        </w:rPr>
      </w:pPr>
      <w:r>
        <w:t>205.</w:t>
      </w:r>
      <w:r>
        <w:tab/>
        <w:t>Master meter boxes</w:t>
      </w:r>
      <w:r>
        <w:tab/>
      </w:r>
      <w:r>
        <w:fldChar w:fldCharType="begin"/>
      </w:r>
      <w:r>
        <w:instrText xml:space="preserve"> PAGEREF _Toc378257408 \h </w:instrText>
      </w:r>
      <w:r>
        <w:fldChar w:fldCharType="separate"/>
      </w:r>
      <w:r>
        <w:t>44</w:t>
      </w:r>
      <w:r>
        <w:fldChar w:fldCharType="end"/>
      </w:r>
    </w:p>
    <w:p>
      <w:pPr>
        <w:pStyle w:val="TOC8"/>
        <w:rPr>
          <w:rFonts w:asciiTheme="minorHAnsi" w:eastAsiaTheme="minorEastAsia" w:hAnsiTheme="minorHAnsi" w:cstheme="minorBidi"/>
          <w:szCs w:val="22"/>
        </w:rPr>
      </w:pPr>
      <w:r>
        <w:t>206.</w:t>
      </w:r>
      <w:r>
        <w:tab/>
        <w:t>Master meter boxes in cavity walls</w:t>
      </w:r>
      <w:r>
        <w:tab/>
      </w:r>
      <w:r>
        <w:fldChar w:fldCharType="begin"/>
      </w:r>
      <w:r>
        <w:instrText xml:space="preserve"> PAGEREF _Toc378257409 \h </w:instrText>
      </w:r>
      <w:r>
        <w:fldChar w:fldCharType="separate"/>
      </w:r>
      <w:r>
        <w:t>44</w:t>
      </w:r>
      <w:r>
        <w:fldChar w:fldCharType="end"/>
      </w:r>
    </w:p>
    <w:p>
      <w:pPr>
        <w:pStyle w:val="TOC8"/>
        <w:rPr>
          <w:rFonts w:asciiTheme="minorHAnsi" w:eastAsiaTheme="minorEastAsia" w:hAnsiTheme="minorHAnsi" w:cstheme="minorBidi"/>
          <w:szCs w:val="22"/>
        </w:rPr>
      </w:pPr>
      <w:r>
        <w:t>207.</w:t>
      </w:r>
      <w:r>
        <w:tab/>
        <w:t>Prepayment meters</w:t>
      </w:r>
      <w:r>
        <w:tab/>
      </w:r>
      <w:r>
        <w:fldChar w:fldCharType="begin"/>
      </w:r>
      <w:r>
        <w:instrText xml:space="preserve"> PAGEREF _Toc378257410 \h </w:instrText>
      </w:r>
      <w:r>
        <w:fldChar w:fldCharType="separate"/>
      </w:r>
      <w:r>
        <w:t>45</w:t>
      </w:r>
      <w:r>
        <w:fldChar w:fldCharType="end"/>
      </w:r>
    </w:p>
    <w:p>
      <w:pPr>
        <w:pStyle w:val="TOC8"/>
        <w:rPr>
          <w:rFonts w:asciiTheme="minorHAnsi" w:eastAsiaTheme="minorEastAsia" w:hAnsiTheme="minorHAnsi" w:cstheme="minorBidi"/>
          <w:szCs w:val="22"/>
        </w:rPr>
      </w:pPr>
      <w:r>
        <w:t>208.</w:t>
      </w:r>
      <w:r>
        <w:tab/>
        <w:t>Identification of master meters</w:t>
      </w:r>
      <w:r>
        <w:tab/>
      </w:r>
      <w:r>
        <w:fldChar w:fldCharType="begin"/>
      </w:r>
      <w:r>
        <w:instrText xml:space="preserve"> PAGEREF _Toc378257411 \h </w:instrText>
      </w:r>
      <w:r>
        <w:fldChar w:fldCharType="separate"/>
      </w:r>
      <w:r>
        <w:t>45</w:t>
      </w:r>
      <w:r>
        <w:fldChar w:fldCharType="end"/>
      </w:r>
    </w:p>
    <w:p>
      <w:pPr>
        <w:pStyle w:val="TOC4"/>
        <w:tabs>
          <w:tab w:val="right" w:leader="dot" w:pos="7086"/>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_Toc378257413 \h </w:instrText>
      </w:r>
      <w:r>
        <w:fldChar w:fldCharType="separate"/>
      </w:r>
      <w:r>
        <w:t>45</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_Toc378257414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_Toc378257415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_Toc378257416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_Toc378257418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_Toc378257419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_Toc378257420 \h </w:instrText>
      </w:r>
      <w:r>
        <w:fldChar w:fldCharType="separate"/>
      </w:r>
      <w:r>
        <w:t>47</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_Toc378257421 \h </w:instrText>
      </w:r>
      <w:r>
        <w:fldChar w:fldCharType="separate"/>
      </w:r>
      <w:r>
        <w:t>47</w:t>
      </w:r>
      <w:r>
        <w:fldChar w:fldCharType="end"/>
      </w:r>
    </w:p>
    <w:p>
      <w:pPr>
        <w:pStyle w:val="TOC4"/>
        <w:tabs>
          <w:tab w:val="right" w:leader="dot" w:pos="7086"/>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_Toc378257423 \h </w:instrText>
      </w:r>
      <w:r>
        <w:fldChar w:fldCharType="separate"/>
      </w:r>
      <w:r>
        <w:t>48</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_Toc378257424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_Toc378257425 \h </w:instrText>
      </w:r>
      <w:r>
        <w:fldChar w:fldCharType="separate"/>
      </w:r>
      <w:r>
        <w:t>49</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_Toc378257426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_Toc378257427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_Toc378257428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_Toc378257429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_Toc378257430 \h </w:instrText>
      </w:r>
      <w:r>
        <w:fldChar w:fldCharType="separate"/>
      </w:r>
      <w:r>
        <w:t>51</w:t>
      </w:r>
      <w:r>
        <w:fldChar w:fldCharType="end"/>
      </w:r>
    </w:p>
    <w:p>
      <w:pPr>
        <w:pStyle w:val="TOC4"/>
        <w:tabs>
          <w:tab w:val="right" w:leader="dot" w:pos="7086"/>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_Toc378257432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_Toc378257433 \h </w:instrText>
      </w:r>
      <w:r>
        <w:fldChar w:fldCharType="separate"/>
      </w:r>
      <w:r>
        <w:t>52</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_Toc378257434 \h </w:instrText>
      </w:r>
      <w:r>
        <w:fldChar w:fldCharType="separate"/>
      </w:r>
      <w:r>
        <w:t>53</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_Toc378257435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_Toc378257436 \h </w:instrText>
      </w:r>
      <w:r>
        <w:fldChar w:fldCharType="separate"/>
      </w:r>
      <w:r>
        <w:t>54</w:t>
      </w:r>
      <w:r>
        <w:fldChar w:fldCharType="end"/>
      </w:r>
    </w:p>
    <w:p>
      <w:pPr>
        <w:pStyle w:val="TOC4"/>
        <w:tabs>
          <w:tab w:val="right" w:leader="dot" w:pos="7086"/>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_Toc378257438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_Toc378257439 \h </w:instrText>
      </w:r>
      <w:r>
        <w:fldChar w:fldCharType="separate"/>
      </w:r>
      <w:r>
        <w:t>55</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_Toc378257440 \h </w:instrText>
      </w:r>
      <w:r>
        <w:fldChar w:fldCharType="separate"/>
      </w:r>
      <w:r>
        <w:t>55</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_Toc378257441 \h </w:instrText>
      </w:r>
      <w:r>
        <w:fldChar w:fldCharType="separate"/>
      </w:r>
      <w:r>
        <w:t>56</w:t>
      </w:r>
      <w:r>
        <w:fldChar w:fldCharType="end"/>
      </w:r>
    </w:p>
    <w:p>
      <w:pPr>
        <w:pStyle w:val="TOC4"/>
        <w:tabs>
          <w:tab w:val="right" w:leader="dot" w:pos="7086"/>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_Toc378257443 \h </w:instrText>
      </w:r>
      <w:r>
        <w:fldChar w:fldCharType="separate"/>
      </w:r>
      <w:r>
        <w:t>56</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_Toc378257444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_Toc378257445 \h </w:instrText>
      </w:r>
      <w:r>
        <w:fldChar w:fldCharType="separate"/>
      </w:r>
      <w:r>
        <w:t>57</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_Toc378257446 \h </w:instrText>
      </w:r>
      <w:r>
        <w:fldChar w:fldCharType="separate"/>
      </w:r>
      <w:r>
        <w:t>57</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_Toc378257447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_Toc378257448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_Toc378257449 \h </w:instrText>
      </w:r>
      <w:r>
        <w:fldChar w:fldCharType="separate"/>
      </w:r>
      <w:r>
        <w:t>58</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_Toc378257450 \h </w:instrText>
      </w:r>
      <w:r>
        <w:fldChar w:fldCharType="separate"/>
      </w:r>
      <w:r>
        <w:t>59</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_Toc378257451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_Toc378257452 \h </w:instrText>
      </w:r>
      <w:r>
        <w:fldChar w:fldCharType="separate"/>
      </w:r>
      <w:r>
        <w:t>60</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_Toc378257453 \h </w:instrText>
      </w:r>
      <w:r>
        <w:fldChar w:fldCharType="separate"/>
      </w:r>
      <w:r>
        <w:t>60</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_Toc378257454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_Toc378257457 \h </w:instrText>
      </w:r>
      <w:r>
        <w:fldChar w:fldCharType="separate"/>
      </w:r>
      <w:r>
        <w:t>63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378257334"/>
      <w:r>
        <w:rPr>
          <w:rStyle w:val="CharPartNo"/>
        </w:rPr>
        <w:t>Part 1</w:t>
      </w:r>
      <w:r>
        <w:rPr>
          <w:rStyle w:val="CharDivNo"/>
        </w:rPr>
        <w:t xml:space="preserve"> </w:t>
      </w:r>
      <w:r>
        <w:t>—</w:t>
      </w:r>
      <w:r>
        <w:rPr>
          <w:rStyle w:val="CharDivText"/>
        </w:rPr>
        <w:t xml:space="preserve"> </w:t>
      </w:r>
      <w:r>
        <w:rPr>
          <w:rStyle w:val="CharPartText"/>
        </w:rPr>
        <w:t>Preliminary</w:t>
      </w:r>
      <w:bookmarkEnd w:id="1"/>
    </w:p>
    <w:p>
      <w:pPr>
        <w:pStyle w:val="Heading5"/>
      </w:pPr>
      <w:bookmarkStart w:id="2" w:name="_Toc378257335"/>
      <w:r>
        <w:rPr>
          <w:rStyle w:val="CharSectno"/>
        </w:rPr>
        <w:t>1</w:t>
      </w:r>
      <w:r>
        <w:t>.</w:t>
      </w:r>
      <w:r>
        <w:tab/>
        <w:t>Citation</w:t>
      </w:r>
      <w:bookmarkEnd w:id="2"/>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3" w:name="_Toc378257336"/>
      <w:r>
        <w:rPr>
          <w:rStyle w:val="CharSectno"/>
        </w:rPr>
        <w:t>2</w:t>
      </w:r>
      <w:r>
        <w:t>.</w:t>
      </w:r>
      <w:r>
        <w:tab/>
        <w:t>Commencement</w:t>
      </w:r>
      <w:bookmarkEnd w:id="3"/>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 w:name="_Toc378257337"/>
      <w:r>
        <w:rPr>
          <w:rStyle w:val="CharSectno"/>
        </w:rPr>
        <w:t>3</w:t>
      </w:r>
      <w:r>
        <w:t>.</w:t>
      </w:r>
      <w:r>
        <w:tab/>
        <w:t>Terms used</w:t>
      </w:r>
      <w:bookmarkEnd w:id="4"/>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5" w:name="_Toc378257338"/>
      <w:r>
        <w:rPr>
          <w:rStyle w:val="CharSectno"/>
        </w:rPr>
        <w:t>4</w:t>
      </w:r>
      <w:r>
        <w:t>.</w:t>
      </w:r>
      <w:r>
        <w:tab/>
        <w:t>Gasfitting work, defined</w:t>
      </w:r>
      <w:bookmarkEnd w:id="5"/>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6" w:name="_Toc378257339"/>
      <w:r>
        <w:rPr>
          <w:rStyle w:val="CharSectno"/>
        </w:rPr>
        <w:t>5</w:t>
      </w:r>
      <w:r>
        <w:t>.</w:t>
      </w:r>
      <w:r>
        <w:tab/>
        <w:t>Work etc. in nature of gasfitting prescribed (Act s. 13A(2))</w:t>
      </w:r>
      <w:bookmarkEnd w:id="6"/>
    </w:p>
    <w:p>
      <w:pPr>
        <w:pStyle w:val="Subsection"/>
      </w:pPr>
      <w:r>
        <w:tab/>
      </w:r>
      <w:r>
        <w:tab/>
        <w:t>For the purposes of section 13A(2) of the Act, doing or supervising any gasfitting work is of the nature of gasfitting.</w:t>
      </w:r>
    </w:p>
    <w:p>
      <w:pPr>
        <w:pStyle w:val="Heading5"/>
      </w:pPr>
      <w:bookmarkStart w:id="7" w:name="_Toc378257340"/>
      <w:r>
        <w:rPr>
          <w:rStyle w:val="CharSectno"/>
        </w:rPr>
        <w:t>6</w:t>
      </w:r>
      <w:r>
        <w:t>.</w:t>
      </w:r>
      <w:r>
        <w:tab/>
        <w:t>Capacity prescribed (Act s. 13A(2))</w:t>
      </w:r>
      <w:bookmarkEnd w:id="7"/>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8" w:name="_Toc378257341"/>
      <w:r>
        <w:rPr>
          <w:rStyle w:val="CharPartNo"/>
        </w:rPr>
        <w:t>Part 2</w:t>
      </w:r>
      <w:r>
        <w:rPr>
          <w:rStyle w:val="CharDivNo"/>
        </w:rPr>
        <w:t xml:space="preserve"> </w:t>
      </w:r>
      <w:r>
        <w:t>—</w:t>
      </w:r>
      <w:r>
        <w:rPr>
          <w:rStyle w:val="CharDivText"/>
        </w:rPr>
        <w:t xml:space="preserve"> </w:t>
      </w:r>
      <w:r>
        <w:rPr>
          <w:rStyle w:val="CharPartText"/>
        </w:rPr>
        <w:t>Administration</w:t>
      </w:r>
      <w:bookmarkEnd w:id="8"/>
    </w:p>
    <w:p>
      <w:pPr>
        <w:pStyle w:val="Heading5"/>
      </w:pPr>
      <w:bookmarkStart w:id="9" w:name="_Toc378257342"/>
      <w:r>
        <w:rPr>
          <w:rStyle w:val="CharSectno"/>
        </w:rPr>
        <w:t>7</w:t>
      </w:r>
      <w:r>
        <w:t>.</w:t>
      </w:r>
      <w:r>
        <w:tab/>
        <w:t>Particulars for register prescribed (Act s. 13A(4))</w:t>
      </w:r>
      <w:bookmarkEnd w:id="9"/>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0" w:name="_Toc378257343"/>
      <w:r>
        <w:rPr>
          <w:rStyle w:val="CharSectno"/>
        </w:rPr>
        <w:t>8</w:t>
      </w:r>
      <w:r>
        <w:t>.</w:t>
      </w:r>
      <w:r>
        <w:tab/>
        <w:t>Change of address, notice of to be given</w:t>
      </w:r>
      <w:bookmarkEnd w:id="10"/>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1" w:name="_Toc378257344"/>
      <w:r>
        <w:rPr>
          <w:rStyle w:val="CharSectno"/>
        </w:rPr>
        <w:t>9</w:t>
      </w:r>
      <w:r>
        <w:t>.</w:t>
      </w:r>
      <w:r>
        <w:tab/>
        <w:t>Inquiries etc., matters prescribed for (Act s. 13A)</w:t>
      </w:r>
      <w:bookmarkEnd w:id="11"/>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2" w:name="_Toc378257345"/>
      <w:r>
        <w:rPr>
          <w:rStyle w:val="CharPartNo"/>
        </w:rPr>
        <w:t>Part 3</w:t>
      </w:r>
      <w:r>
        <w:rPr>
          <w:rStyle w:val="CharDivNo"/>
        </w:rPr>
        <w:t xml:space="preserve"> </w:t>
      </w:r>
      <w:r>
        <w:t>—</w:t>
      </w:r>
      <w:r>
        <w:rPr>
          <w:rStyle w:val="CharDivText"/>
        </w:rPr>
        <w:t xml:space="preserve"> </w:t>
      </w:r>
      <w:r>
        <w:rPr>
          <w:rStyle w:val="CharPartText"/>
        </w:rPr>
        <w:t>Permits and authorisations</w:t>
      </w:r>
      <w:bookmarkEnd w:id="12"/>
    </w:p>
    <w:p>
      <w:pPr>
        <w:pStyle w:val="Heading5"/>
      </w:pPr>
      <w:bookmarkStart w:id="13" w:name="_Toc378257346"/>
      <w:r>
        <w:rPr>
          <w:rStyle w:val="CharSectno"/>
        </w:rPr>
        <w:t>11</w:t>
      </w:r>
      <w:r>
        <w:t>.</w:t>
      </w:r>
      <w:r>
        <w:tab/>
        <w:t>Applications for permits and authorisations (Act s. 13A(6))</w:t>
      </w:r>
      <w:bookmarkEnd w:id="13"/>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4" w:name="_Toc378257347"/>
      <w:r>
        <w:rPr>
          <w:rStyle w:val="CharSectno"/>
        </w:rPr>
        <w:t>12</w:t>
      </w:r>
      <w:r>
        <w:t>.</w:t>
      </w:r>
      <w:r>
        <w:tab/>
        <w:t>Issue of permits and authorisation</w:t>
      </w:r>
      <w:bookmarkEnd w:id="14"/>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5" w:name="_Toc378257348"/>
      <w:r>
        <w:rPr>
          <w:rStyle w:val="CharSectno"/>
        </w:rPr>
        <w:t>13A</w:t>
      </w:r>
      <w:r>
        <w:t>.</w:t>
      </w:r>
      <w:r>
        <w:tab/>
        <w:t>Replacing lost etc. permits and authorisations</w:t>
      </w:r>
      <w:bookmarkEnd w:id="15"/>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16" w:name="_Toc378257349"/>
      <w:r>
        <w:rPr>
          <w:rStyle w:val="CharSectno"/>
        </w:rPr>
        <w:t>13</w:t>
      </w:r>
      <w:r>
        <w:t>.</w:t>
      </w:r>
      <w:r>
        <w:tab/>
        <w:t>Grades of permit or authorisation</w:t>
      </w:r>
      <w:bookmarkEnd w:id="16"/>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7" w:name="_Toc378257350"/>
      <w:r>
        <w:rPr>
          <w:rStyle w:val="CharSectno"/>
        </w:rPr>
        <w:t>14</w:t>
      </w:r>
      <w:r>
        <w:t>.</w:t>
      </w:r>
      <w:r>
        <w:tab/>
        <w:t>Restrictions etc. on permits or authorisations</w:t>
      </w:r>
      <w:bookmarkEnd w:id="17"/>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8" w:name="_Toc378257351"/>
      <w:r>
        <w:rPr>
          <w:rStyle w:val="CharSectno"/>
        </w:rPr>
        <w:t>15</w:t>
      </w:r>
      <w:r>
        <w:t>.</w:t>
      </w:r>
      <w:r>
        <w:tab/>
        <w:t>Permits, effect of</w:t>
      </w:r>
      <w:bookmarkEnd w:id="18"/>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19" w:name="_Toc378257352"/>
      <w:r>
        <w:rPr>
          <w:rStyle w:val="CharSectno"/>
        </w:rPr>
        <w:t>16</w:t>
      </w:r>
      <w:r>
        <w:t>.</w:t>
      </w:r>
      <w:r>
        <w:tab/>
        <w:t>Authorisations, effect of</w:t>
      </w:r>
      <w:bookmarkEnd w:id="19"/>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0" w:name="_Toc378257353"/>
      <w:r>
        <w:rPr>
          <w:rStyle w:val="CharPartNo"/>
        </w:rPr>
        <w:t>Part 4</w:t>
      </w:r>
      <w:r>
        <w:t xml:space="preserve"> — </w:t>
      </w:r>
      <w:r>
        <w:rPr>
          <w:rStyle w:val="CharPartText"/>
        </w:rPr>
        <w:t>Performance of gasfitting</w:t>
      </w:r>
      <w:bookmarkEnd w:id="20"/>
    </w:p>
    <w:p>
      <w:pPr>
        <w:pStyle w:val="Heading5"/>
      </w:pPr>
      <w:bookmarkStart w:id="21" w:name="_Toc378257354"/>
      <w:r>
        <w:rPr>
          <w:rStyle w:val="CharSectno"/>
        </w:rPr>
        <w:t>17</w:t>
      </w:r>
      <w:r>
        <w:t>.</w:t>
      </w:r>
      <w:r>
        <w:tab/>
        <w:t>Terms used</w:t>
      </w:r>
      <w:bookmarkEnd w:id="21"/>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under regulation 29.</w:t>
      </w:r>
    </w:p>
    <w:p>
      <w:pPr>
        <w:pStyle w:val="Heading5"/>
      </w:pPr>
      <w:bookmarkStart w:id="22" w:name="_Toc378257355"/>
      <w:r>
        <w:rPr>
          <w:rStyle w:val="CharSectno"/>
        </w:rPr>
        <w:t>18</w:t>
      </w:r>
      <w:r>
        <w:t>.</w:t>
      </w:r>
      <w:r>
        <w:tab/>
        <w:t>Gas fitters, duties of as to gasfitting work</w:t>
      </w:r>
      <w:bookmarkEnd w:id="22"/>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3" w:name="_Toc378257356"/>
      <w:r>
        <w:rPr>
          <w:rStyle w:val="CharSectno"/>
        </w:rPr>
        <w:t>19</w:t>
      </w:r>
      <w:r>
        <w:t>.</w:t>
      </w:r>
      <w:r>
        <w:tab/>
        <w:t>Supervising gas fitter, duties of</w:t>
      </w:r>
      <w:bookmarkEnd w:id="23"/>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4" w:name="_Toc378257357"/>
      <w:r>
        <w:rPr>
          <w:rStyle w:val="CharSectno"/>
        </w:rPr>
        <w:t>20</w:t>
      </w:r>
      <w:r>
        <w:t>.</w:t>
      </w:r>
      <w:r>
        <w:tab/>
        <w:t>Installing etc. appliances etc., gas fitters’ duties as to</w:t>
      </w:r>
      <w:bookmarkEnd w:id="24"/>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5" w:name="_Toc378257358"/>
      <w:r>
        <w:rPr>
          <w:rStyle w:val="CharSectno"/>
        </w:rPr>
        <w:t>21</w:t>
      </w:r>
      <w:r>
        <w:t>.</w:t>
      </w:r>
      <w:r>
        <w:tab/>
        <w:t>Commissioning appliances, gas fitters’ duties as to</w:t>
      </w:r>
      <w:bookmarkEnd w:id="25"/>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6" w:name="_Toc378257359"/>
      <w:r>
        <w:rPr>
          <w:rStyle w:val="CharSectno"/>
        </w:rPr>
        <w:t>22</w:t>
      </w:r>
      <w:r>
        <w:t>.</w:t>
      </w:r>
      <w:r>
        <w:tab/>
        <w:t>Type B appliances, permanent connection of</w:t>
      </w:r>
      <w:bookmarkEnd w:id="26"/>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7" w:name="_Toc378257360"/>
      <w:r>
        <w:rPr>
          <w:rStyle w:val="CharSectno"/>
        </w:rPr>
        <w:t>22A</w:t>
      </w:r>
      <w:r>
        <w:t>.</w:t>
      </w:r>
      <w:r>
        <w:tab/>
        <w:t>Type B appliances, inspection and certification of</w:t>
      </w:r>
      <w:bookmarkEnd w:id="27"/>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8" w:name="_Toc378257361"/>
      <w:r>
        <w:rPr>
          <w:rStyle w:val="CharSectno"/>
        </w:rPr>
        <w:t>23</w:t>
      </w:r>
      <w:r>
        <w:t>.</w:t>
      </w:r>
      <w:r>
        <w:tab/>
        <w:t>Servicing gas installations, gas fitters’ duties as to</w:t>
      </w:r>
      <w:bookmarkEnd w:id="28"/>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9" w:name="_Toc378257362"/>
      <w:r>
        <w:rPr>
          <w:rStyle w:val="CharSectno"/>
        </w:rPr>
        <w:t>24</w:t>
      </w:r>
      <w:r>
        <w:t>.</w:t>
      </w:r>
      <w:r>
        <w:tab/>
        <w:t>Inaccessible fitting lines, gas fitters’ duties as to</w:t>
      </w:r>
      <w:bookmarkEnd w:id="29"/>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0" w:name="_Toc378257363"/>
      <w:r>
        <w:rPr>
          <w:rStyle w:val="CharSectno"/>
        </w:rPr>
        <w:t>25</w:t>
      </w:r>
      <w:r>
        <w:t>.</w:t>
      </w:r>
      <w:r>
        <w:tab/>
        <w:t>Fitting lines to be clean</w:t>
      </w:r>
      <w:bookmarkEnd w:id="30"/>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1" w:name="_Toc378257364"/>
      <w:r>
        <w:rPr>
          <w:rStyle w:val="CharSectno"/>
        </w:rPr>
        <w:t>26</w:t>
      </w:r>
      <w:r>
        <w:t>.</w:t>
      </w:r>
      <w:r>
        <w:tab/>
        <w:t>Pressure testing gas installations</w:t>
      </w:r>
      <w:bookmarkEnd w:id="31"/>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32" w:name="_Toc378257365"/>
      <w:r>
        <w:rPr>
          <w:rStyle w:val="CharSectno"/>
        </w:rPr>
        <w:t>28</w:t>
      </w:r>
      <w:r>
        <w:t>.</w:t>
      </w:r>
      <w:r>
        <w:tab/>
        <w:t>Completion of gasfitting work, gas fitters’ duties on</w:t>
      </w:r>
      <w:bookmarkEnd w:id="32"/>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3" w:name="_Toc378257366"/>
      <w:r>
        <w:rPr>
          <w:rStyle w:val="CharSectno"/>
        </w:rPr>
        <w:t>29</w:t>
      </w:r>
      <w:r>
        <w:t>.</w:t>
      </w:r>
      <w:r>
        <w:tab/>
        <w:t>Defective gasfitting work, notice of defects to gas fitter</w:t>
      </w:r>
      <w:bookmarkEnd w:id="33"/>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4" w:name="_Toc378257367"/>
      <w:r>
        <w:rPr>
          <w:rStyle w:val="CharSectno"/>
        </w:rPr>
        <w:t>30</w:t>
      </w:r>
      <w:r>
        <w:t>.</w:t>
      </w:r>
      <w:r>
        <w:tab/>
        <w:t>Notice of defects, gas fitter’s duties as to</w:t>
      </w:r>
      <w:bookmarkEnd w:id="34"/>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5" w:name="_Toc378257368"/>
      <w:r>
        <w:rPr>
          <w:rStyle w:val="CharSectno"/>
        </w:rPr>
        <w:t>31</w:t>
      </w:r>
      <w:r>
        <w:rPr>
          <w:snapToGrid w:val="0"/>
        </w:rPr>
        <w:t>.</w:t>
      </w:r>
      <w:r>
        <w:rPr>
          <w:snapToGrid w:val="0"/>
        </w:rPr>
        <w:tab/>
        <w:t>Appeal against notice of defects</w:t>
      </w:r>
      <w:bookmarkEnd w:id="35"/>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6" w:name="_Toc378257369"/>
      <w:r>
        <w:rPr>
          <w:rStyle w:val="CharPartNo"/>
        </w:rPr>
        <w:t>Part 4A</w:t>
      </w:r>
      <w:r>
        <w:rPr>
          <w:b w:val="0"/>
        </w:rPr>
        <w:t> </w:t>
      </w:r>
      <w:r>
        <w:t>—</w:t>
      </w:r>
      <w:r>
        <w:rPr>
          <w:b w:val="0"/>
        </w:rPr>
        <w:t> </w:t>
      </w:r>
      <w:r>
        <w:rPr>
          <w:rStyle w:val="CharPartText"/>
        </w:rPr>
        <w:t>Appeals under section 13N(1)(b) of the Act</w:t>
      </w:r>
      <w:bookmarkEnd w:id="36"/>
    </w:p>
    <w:p>
      <w:pPr>
        <w:pStyle w:val="Footnoteheading"/>
      </w:pPr>
      <w:r>
        <w:tab/>
        <w:t>[Heading inserted in Gazette 30 Nov 2007 p. 5934.]</w:t>
      </w:r>
    </w:p>
    <w:p>
      <w:pPr>
        <w:pStyle w:val="Heading5"/>
      </w:pPr>
      <w:bookmarkStart w:id="37" w:name="_Toc378257370"/>
      <w:r>
        <w:rPr>
          <w:rStyle w:val="CharSectno"/>
        </w:rPr>
        <w:t>31A</w:t>
      </w:r>
      <w:r>
        <w:t>.</w:t>
      </w:r>
      <w:r>
        <w:tab/>
        <w:t>Terms used</w:t>
      </w:r>
      <w:bookmarkEnd w:id="37"/>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8" w:name="_Toc378257371"/>
      <w:r>
        <w:rPr>
          <w:rStyle w:val="CharSectno"/>
        </w:rPr>
        <w:t>31B</w:t>
      </w:r>
      <w:r>
        <w:t>.</w:t>
      </w:r>
      <w:r>
        <w:tab/>
        <w:t>Technical review panel, convening of etc.</w:t>
      </w:r>
      <w:bookmarkEnd w:id="38"/>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39" w:name="_Toc378257372"/>
      <w:r>
        <w:rPr>
          <w:rStyle w:val="CharSectno"/>
        </w:rPr>
        <w:t>31C</w:t>
      </w:r>
      <w:r>
        <w:t>.</w:t>
      </w:r>
      <w:r>
        <w:tab/>
        <w:t>Procedure for appeals</w:t>
      </w:r>
      <w:bookmarkEnd w:id="39"/>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40" w:name="_Toc378257373"/>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40"/>
    </w:p>
    <w:p>
      <w:pPr>
        <w:pStyle w:val="Heading5"/>
        <w:spacing w:before="180"/>
      </w:pPr>
      <w:bookmarkStart w:id="41" w:name="_Toc378257374"/>
      <w:r>
        <w:rPr>
          <w:rStyle w:val="CharSectno"/>
        </w:rPr>
        <w:t>32</w:t>
      </w:r>
      <w:r>
        <w:t>.</w:t>
      </w:r>
      <w:r>
        <w:tab/>
        <w:t>Consumer’s gas installations, requirements for prescribed (Act s. 13)</w:t>
      </w:r>
      <w:bookmarkEnd w:id="41"/>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42" w:name="_Toc378257375"/>
      <w:r>
        <w:rPr>
          <w:rStyle w:val="CharSectno"/>
        </w:rPr>
        <w:t>32A</w:t>
      </w:r>
      <w:r>
        <w:t>.</w:t>
      </w:r>
      <w:r>
        <w:tab/>
        <w:t>Gas installations outside consumer’s land, plan required for</w:t>
      </w:r>
      <w:bookmarkEnd w:id="42"/>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3" w:name="_Toc378257376"/>
      <w:r>
        <w:rPr>
          <w:rStyle w:val="CharSectno"/>
        </w:rPr>
        <w:t>33</w:t>
      </w:r>
      <w:r>
        <w:rPr>
          <w:snapToGrid w:val="0"/>
        </w:rPr>
        <w:t>.</w:t>
      </w:r>
      <w:r>
        <w:rPr>
          <w:snapToGrid w:val="0"/>
        </w:rPr>
        <w:tab/>
        <w:t>Terms used in codes and standards</w:t>
      </w:r>
      <w:bookmarkEnd w:id="43"/>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44" w:name="_Toc378257377"/>
      <w:r>
        <w:rPr>
          <w:rStyle w:val="CharPartNo"/>
        </w:rPr>
        <w:t>Part 6</w:t>
      </w:r>
      <w:r>
        <w:rPr>
          <w:rStyle w:val="CharDivNo"/>
        </w:rPr>
        <w:t xml:space="preserve"> </w:t>
      </w:r>
      <w:r>
        <w:t>—</w:t>
      </w:r>
      <w:r>
        <w:rPr>
          <w:rStyle w:val="CharDivText"/>
        </w:rPr>
        <w:t xml:space="preserve"> </w:t>
      </w:r>
      <w:r>
        <w:rPr>
          <w:rStyle w:val="CharPartText"/>
        </w:rPr>
        <w:t>Miscellaneous</w:t>
      </w:r>
      <w:bookmarkEnd w:id="44"/>
    </w:p>
    <w:p>
      <w:pPr>
        <w:pStyle w:val="Heading5"/>
      </w:pPr>
      <w:bookmarkStart w:id="45" w:name="_Toc378257378"/>
      <w:r>
        <w:rPr>
          <w:rStyle w:val="CharSectno"/>
        </w:rPr>
        <w:t>34</w:t>
      </w:r>
      <w:r>
        <w:t>.</w:t>
      </w:r>
      <w:r>
        <w:tab/>
        <w:t>Records about gas fitters, employers to keep</w:t>
      </w:r>
      <w:bookmarkEnd w:id="45"/>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6" w:name="_Toc378257379"/>
      <w:r>
        <w:rPr>
          <w:rStyle w:val="CharSectno"/>
        </w:rPr>
        <w:t>35</w:t>
      </w:r>
      <w:r>
        <w:t>.</w:t>
      </w:r>
      <w:r>
        <w:tab/>
        <w:t>Gas suppliers’ duties after gasfitting work on installation that only has Type A appliance</w:t>
      </w:r>
      <w:bookmarkEnd w:id="46"/>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7" w:name="_Toc378257380"/>
      <w:r>
        <w:rPr>
          <w:rStyle w:val="CharSectno"/>
        </w:rPr>
        <w:t>35A</w:t>
      </w:r>
      <w:r>
        <w:t>.</w:t>
      </w:r>
      <w:r>
        <w:tab/>
        <w:t>Gas suppliers’ duties after gasfitting work on installation that includes Type B appliance</w:t>
      </w:r>
      <w:bookmarkEnd w:id="47"/>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8" w:name="_Toc378257381"/>
      <w:r>
        <w:rPr>
          <w:rStyle w:val="CharSectno"/>
        </w:rPr>
        <w:t>35B</w:t>
      </w:r>
      <w:r>
        <w:t>.</w:t>
      </w:r>
      <w:r>
        <w:tab/>
        <w:t>Gas suppliers’ duties as to Type B appliance in existing gas installation</w:t>
      </w:r>
      <w:bookmarkEnd w:id="48"/>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49" w:name="_Toc378257382"/>
      <w:r>
        <w:rPr>
          <w:rStyle w:val="CharSectno"/>
        </w:rPr>
        <w:t>36</w:t>
      </w:r>
      <w:r>
        <w:t>.</w:t>
      </w:r>
      <w:r>
        <w:tab/>
        <w:t>Consumers’ duties as to gas installations</w:t>
      </w:r>
      <w:bookmarkEnd w:id="49"/>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50" w:name="_Toc378257383"/>
      <w:r>
        <w:rPr>
          <w:rStyle w:val="CharSectno"/>
        </w:rPr>
        <w:t>37</w:t>
      </w:r>
      <w:r>
        <w:t>.</w:t>
      </w:r>
      <w:r>
        <w:tab/>
        <w:t>Service apparatus not to be installed etc. without owner’s authority</w:t>
      </w:r>
      <w:bookmarkEnd w:id="50"/>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51" w:name="_Toc378257384"/>
      <w:r>
        <w:rPr>
          <w:rStyle w:val="CharSectno"/>
        </w:rPr>
        <w:t>38</w:t>
      </w:r>
      <w:r>
        <w:t>.</w:t>
      </w:r>
      <w:r>
        <w:tab/>
        <w:t>Misleading statements etc. by gas fitters etc.</w:t>
      </w:r>
      <w:bookmarkEnd w:id="51"/>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52" w:name="_Toc378257385"/>
      <w:r>
        <w:rPr>
          <w:rStyle w:val="CharSectno"/>
        </w:rPr>
        <w:t>39</w:t>
      </w:r>
      <w:r>
        <w:t>.</w:t>
      </w:r>
      <w:r>
        <w:tab/>
        <w:t>Improper use of marks signifying Director’s approval</w:t>
      </w:r>
      <w:bookmarkEnd w:id="52"/>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53" w:name="_Toc378257386"/>
      <w:r>
        <w:rPr>
          <w:rStyle w:val="CharSectno"/>
        </w:rPr>
        <w:t>40</w:t>
      </w:r>
      <w:r>
        <w:t>.</w:t>
      </w:r>
      <w:r>
        <w:tab/>
        <w:t>Operators of appliances etc., duties of</w:t>
      </w:r>
      <w:bookmarkEnd w:id="53"/>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54" w:name="_Toc378257387"/>
      <w:r>
        <w:rPr>
          <w:rStyle w:val="CharSectno"/>
        </w:rPr>
        <w:t>41</w:t>
      </w:r>
      <w:r>
        <w:t>.</w:t>
      </w:r>
      <w:r>
        <w:tab/>
        <w:t>Boats left unattended, duties of master etc.</w:t>
      </w:r>
      <w:bookmarkEnd w:id="54"/>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55" w:name="_Toc378257388"/>
      <w:r>
        <w:rPr>
          <w:rStyle w:val="CharSectno"/>
        </w:rPr>
        <w:t>42</w:t>
      </w:r>
      <w:r>
        <w:t>.</w:t>
      </w:r>
      <w:r>
        <w:tab/>
        <w:t>Certain incidents, duty to report</w:t>
      </w:r>
      <w:bookmarkEnd w:id="55"/>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6" w:name="_Toc378257389"/>
      <w:r>
        <w:rPr>
          <w:rStyle w:val="CharSectno"/>
        </w:rPr>
        <w:t>42A</w:t>
      </w:r>
      <w:r>
        <w:t>.</w:t>
      </w:r>
      <w:r>
        <w:tab/>
        <w:t>Unsafe gas installations, gas fitters to report</w:t>
      </w:r>
      <w:bookmarkEnd w:id="56"/>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7" w:name="_Toc378257390"/>
      <w:r>
        <w:rPr>
          <w:rStyle w:val="CharSectno"/>
        </w:rPr>
        <w:t>42B</w:t>
      </w:r>
      <w:r>
        <w:t>.</w:t>
      </w:r>
      <w:r>
        <w:tab/>
        <w:t>Type A gas appliances prescribed (Act s. 4)</w:t>
      </w:r>
      <w:bookmarkEnd w:id="57"/>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58" w:name="_Toc378257391"/>
      <w:r>
        <w:rPr>
          <w:rStyle w:val="CharPartNo"/>
        </w:rPr>
        <w:t>Part 7</w:t>
      </w:r>
      <w:r>
        <w:rPr>
          <w:rStyle w:val="CharDivNo"/>
        </w:rPr>
        <w:t xml:space="preserve"> </w:t>
      </w:r>
      <w:r>
        <w:t>—</w:t>
      </w:r>
      <w:r>
        <w:rPr>
          <w:rStyle w:val="CharDivText"/>
        </w:rPr>
        <w:t xml:space="preserve"> </w:t>
      </w:r>
      <w:r>
        <w:rPr>
          <w:rStyle w:val="CharPartText"/>
        </w:rPr>
        <w:t>Saving and repeal</w:t>
      </w:r>
      <w:bookmarkEnd w:id="58"/>
    </w:p>
    <w:p>
      <w:pPr>
        <w:pStyle w:val="Heading5"/>
        <w:rPr>
          <w:snapToGrid w:val="0"/>
        </w:rPr>
      </w:pPr>
      <w:bookmarkStart w:id="59" w:name="_Toc378257392"/>
      <w:r>
        <w:rPr>
          <w:rStyle w:val="CharSectno"/>
        </w:rPr>
        <w:t>43</w:t>
      </w:r>
      <w:r>
        <w:rPr>
          <w:snapToGrid w:val="0"/>
        </w:rPr>
        <w:t>.</w:t>
      </w:r>
      <w:r>
        <w:rPr>
          <w:snapToGrid w:val="0"/>
        </w:rPr>
        <w:tab/>
        <w:t>Savings for repealed regulations</w:t>
      </w:r>
      <w:bookmarkEnd w:id="5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60" w:name="_Toc378257393"/>
      <w:r>
        <w:rPr>
          <w:rStyle w:val="CharSectno"/>
        </w:rPr>
        <w:t>44</w:t>
      </w:r>
      <w:r>
        <w:t>.</w:t>
      </w:r>
      <w:r>
        <w:tab/>
        <w:t>Repeal</w:t>
      </w:r>
      <w:bookmarkEnd w:id="6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61" w:name="_Toc378257394"/>
      <w:r>
        <w:rPr>
          <w:rStyle w:val="CharSchNo"/>
        </w:rPr>
        <w:t>Schedule 2</w:t>
      </w:r>
      <w:r>
        <w:rPr>
          <w:rStyle w:val="CharSDivNo"/>
        </w:rPr>
        <w:t xml:space="preserve"> </w:t>
      </w:r>
      <w:r>
        <w:t>—</w:t>
      </w:r>
      <w:r>
        <w:rPr>
          <w:rStyle w:val="CharSDivText"/>
        </w:rPr>
        <w:t xml:space="preserve"> </w:t>
      </w:r>
      <w:r>
        <w:rPr>
          <w:rStyle w:val="CharSchText"/>
        </w:rPr>
        <w:t>Forms</w:t>
      </w:r>
      <w:bookmarkEnd w:id="61"/>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yScheduleHeading"/>
      </w:pPr>
      <w:bookmarkStart w:id="62" w:name="_Toc378257395"/>
      <w:r>
        <w:rPr>
          <w:rStyle w:val="CharSchNo"/>
        </w:rPr>
        <w:t>Schedule 3</w:t>
      </w:r>
      <w:r>
        <w:t xml:space="preserve"> — </w:t>
      </w:r>
      <w:r>
        <w:rPr>
          <w:rStyle w:val="CharSchText"/>
        </w:rPr>
        <w:t>Witness fees and allowances</w:t>
      </w:r>
      <w:bookmarkEnd w:id="62"/>
    </w:p>
    <w:p>
      <w:pPr>
        <w:pStyle w:val="yShoulderClause"/>
      </w:pPr>
      <w:r>
        <w:t>[r. 9(4)]</w:t>
      </w:r>
    </w:p>
    <w:p>
      <w:pPr>
        <w:pStyle w:val="yHeading5"/>
        <w:outlineLvl w:val="9"/>
      </w:pPr>
      <w:bookmarkStart w:id="63" w:name="_Toc378257396"/>
      <w:r>
        <w:rPr>
          <w:rStyle w:val="CharSClsNo"/>
        </w:rPr>
        <w:t>1</w:t>
      </w:r>
      <w:r>
        <w:t>.</w:t>
      </w:r>
      <w:r>
        <w:tab/>
        <w:t>Daily allowance</w:t>
      </w:r>
      <w:bookmarkEnd w:id="63"/>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64" w:name="_Toc378257397"/>
      <w:r>
        <w:rPr>
          <w:rStyle w:val="CharSClsNo"/>
        </w:rPr>
        <w:t>2</w:t>
      </w:r>
      <w:r>
        <w:t>.</w:t>
      </w:r>
      <w:r>
        <w:tab/>
        <w:t>Expenses</w:t>
      </w:r>
      <w:bookmarkEnd w:id="64"/>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65" w:name="_Toc378257398"/>
      <w:r>
        <w:rPr>
          <w:rStyle w:val="CharSClsNo"/>
        </w:rPr>
        <w:t>3</w:t>
      </w:r>
      <w:r>
        <w:t>.</w:t>
      </w:r>
      <w:r>
        <w:tab/>
        <w:t>Expert evidence</w:t>
      </w:r>
      <w:bookmarkEnd w:id="65"/>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8"/>
          <w:headerReference w:type="default" r:id="rId29"/>
          <w:pgSz w:w="11906" w:h="16838" w:code="9"/>
          <w:pgMar w:top="2376" w:right="2405" w:bottom="3542" w:left="2405" w:header="706" w:footer="3380" w:gutter="0"/>
          <w:cols w:space="720"/>
          <w:noEndnote/>
          <w:docGrid w:linePitch="326"/>
        </w:sectPr>
      </w:pPr>
    </w:p>
    <w:p>
      <w:pPr>
        <w:pStyle w:val="yScheduleHeading"/>
      </w:pPr>
      <w:bookmarkStart w:id="66" w:name="_Toc378257399"/>
      <w:r>
        <w:rPr>
          <w:rStyle w:val="CharSchNo"/>
        </w:rPr>
        <w:t>Schedule 4</w:t>
      </w:r>
      <w:r>
        <w:rPr>
          <w:rStyle w:val="CharSDivNo"/>
        </w:rPr>
        <w:t> </w:t>
      </w:r>
      <w:r>
        <w:t>—</w:t>
      </w:r>
      <w:r>
        <w:rPr>
          <w:rStyle w:val="CharSDivText"/>
        </w:rPr>
        <w:t> </w:t>
      </w:r>
      <w:r>
        <w:rPr>
          <w:rStyle w:val="CharSchText"/>
        </w:rPr>
        <w:t>Application fees for permits and authorisations</w:t>
      </w:r>
      <w:bookmarkEnd w:id="66"/>
    </w:p>
    <w:p>
      <w:pPr>
        <w:pStyle w:val="yShoulderClause"/>
      </w:pPr>
      <w:r>
        <w:t>[r. 11 and 13A]</w:t>
      </w:r>
    </w:p>
    <w:p>
      <w:pPr>
        <w:pStyle w:val="yFootnotesection"/>
        <w:spacing w:after="120"/>
      </w:pPr>
      <w:r>
        <w:tab/>
        <w:t>[Heading inserted in Gazette 27 Jun 2013 p. 2712.]</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Pr>
          <w:p>
            <w:pPr>
              <w:pStyle w:val="yTableNAm"/>
            </w:pPr>
            <w:r>
              <w:rPr>
                <w:b/>
              </w:rPr>
              <w:t>Application for</w:t>
            </w:r>
          </w:p>
        </w:tc>
        <w:tc>
          <w:tcPr>
            <w:tcW w:w="968" w:type="dxa"/>
          </w:tcPr>
          <w:p>
            <w:pPr>
              <w:pStyle w:val="yTableNAm"/>
            </w:pPr>
            <w:r>
              <w:rPr>
                <w:b/>
              </w:rPr>
              <w:t>Fee</w:t>
            </w:r>
          </w:p>
        </w:tc>
      </w:tr>
      <w:tr>
        <w:tc>
          <w:tcPr>
            <w:tcW w:w="6120" w:type="dxa"/>
          </w:tcPr>
          <w:p>
            <w:pPr>
              <w:pStyle w:val="yTableNAm"/>
            </w:pPr>
            <w:r>
              <w:t>Permit</w:t>
            </w:r>
          </w:p>
        </w:tc>
        <w:tc>
          <w:tcPr>
            <w:tcW w:w="968" w:type="dxa"/>
          </w:tcPr>
          <w:p>
            <w:pPr>
              <w:pStyle w:val="yTableNAm"/>
            </w:pPr>
            <w:r>
              <w:t>$72</w:t>
            </w:r>
          </w:p>
        </w:tc>
      </w:tr>
      <w:tr>
        <w:tc>
          <w:tcPr>
            <w:tcW w:w="6120" w:type="dxa"/>
          </w:tcPr>
          <w:p>
            <w:pPr>
              <w:pStyle w:val="yTableNAm"/>
            </w:pPr>
            <w:r>
              <w:t>Authorisation</w:t>
            </w:r>
          </w:p>
        </w:tc>
        <w:tc>
          <w:tcPr>
            <w:tcW w:w="968" w:type="dxa"/>
          </w:tcPr>
          <w:p>
            <w:pPr>
              <w:pStyle w:val="yTableNAm"/>
            </w:pPr>
            <w:r>
              <w:t>$437</w:t>
            </w:r>
          </w:p>
        </w:tc>
      </w:tr>
      <w:tr>
        <w:tc>
          <w:tcPr>
            <w:tcW w:w="6120" w:type="dxa"/>
          </w:tcPr>
          <w:p>
            <w:pPr>
              <w:pStyle w:val="yTableNAm"/>
            </w:pPr>
            <w:r>
              <w:t>Replacement permit or authorisation</w:t>
            </w:r>
          </w:p>
        </w:tc>
        <w:tc>
          <w:tcPr>
            <w:tcW w:w="968" w:type="dxa"/>
          </w:tcPr>
          <w:p>
            <w:pPr>
              <w:pStyle w:val="yTableNAm"/>
            </w:pPr>
            <w:r>
              <w:t>$25</w:t>
            </w:r>
          </w:p>
        </w:tc>
      </w:tr>
    </w:tbl>
    <w:p>
      <w:pPr>
        <w:pStyle w:val="yFootnotesection"/>
      </w:pPr>
      <w:r>
        <w:tab/>
        <w:t>[Schedule 4 inserted in Gazette 27 Jun 2013 p. 2712.]</w:t>
      </w:r>
    </w:p>
    <w:p>
      <w:pPr>
        <w:pStyle w:val="yScheduleHeading"/>
      </w:pPr>
      <w:bookmarkStart w:id="67" w:name="_Toc378257400"/>
      <w:r>
        <w:rPr>
          <w:rStyle w:val="CharSchNo"/>
        </w:rPr>
        <w:t>Schedule 5</w:t>
      </w:r>
      <w:r>
        <w:t xml:space="preserve"> — </w:t>
      </w:r>
      <w:r>
        <w:rPr>
          <w:rStyle w:val="CharSchText"/>
        </w:rPr>
        <w:t>Classes of gasfitting work</w:t>
      </w:r>
      <w:bookmarkEnd w:id="67"/>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yScheduleHeading"/>
      </w:pPr>
      <w:bookmarkStart w:id="68" w:name="_Toc378257401"/>
      <w:r>
        <w:rPr>
          <w:rStyle w:val="CharSchNo"/>
        </w:rPr>
        <w:t>Schedule 6</w:t>
      </w:r>
      <w:r>
        <w:t xml:space="preserve"> — </w:t>
      </w:r>
      <w:r>
        <w:rPr>
          <w:rStyle w:val="CharSchText"/>
        </w:rPr>
        <w:t>Certain requirements as to consumers’ gas installations</w:t>
      </w:r>
      <w:bookmarkEnd w:id="68"/>
    </w:p>
    <w:p>
      <w:pPr>
        <w:pStyle w:val="yShoulderClause"/>
      </w:pPr>
      <w:r>
        <w:t>[r. 32(1)(a)]</w:t>
      </w:r>
    </w:p>
    <w:p>
      <w:pPr>
        <w:pStyle w:val="yHeading3"/>
        <w:outlineLvl w:val="9"/>
      </w:pPr>
      <w:bookmarkStart w:id="69" w:name="_Toc378257402"/>
      <w:r>
        <w:rPr>
          <w:rStyle w:val="CharSDivNo"/>
        </w:rPr>
        <w:t>Division 1</w:t>
      </w:r>
      <w:r>
        <w:t xml:space="preserve"> — </w:t>
      </w:r>
      <w:r>
        <w:rPr>
          <w:rStyle w:val="CharSDivText"/>
        </w:rPr>
        <w:t>Interpretation</w:t>
      </w:r>
      <w:bookmarkEnd w:id="69"/>
    </w:p>
    <w:p>
      <w:pPr>
        <w:pStyle w:val="yHeading5"/>
        <w:outlineLvl w:val="9"/>
      </w:pPr>
      <w:bookmarkStart w:id="70" w:name="_Toc378257403"/>
      <w:r>
        <w:rPr>
          <w:rStyle w:val="CharSClsNo"/>
        </w:rPr>
        <w:t>101</w:t>
      </w:r>
      <w:r>
        <w:t>.</w:t>
      </w:r>
      <w:r>
        <w:tab/>
        <w:t>Terms used</w:t>
      </w:r>
      <w:bookmarkEnd w:id="70"/>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71" w:name="_Toc378257404"/>
      <w:r>
        <w:rPr>
          <w:rStyle w:val="CharSDivNo"/>
        </w:rPr>
        <w:t>Division 2</w:t>
      </w:r>
      <w:r>
        <w:rPr>
          <w:rStyle w:val="CharDivNo"/>
        </w:rPr>
        <w:t xml:space="preserve"> — </w:t>
      </w:r>
      <w:r>
        <w:rPr>
          <w:rStyle w:val="CharSDivText"/>
        </w:rPr>
        <w:t>Master meters</w:t>
      </w:r>
      <w:bookmarkEnd w:id="71"/>
    </w:p>
    <w:p>
      <w:pPr>
        <w:pStyle w:val="yEdnotesection"/>
      </w:pPr>
      <w:r>
        <w:t>[</w:t>
      </w:r>
      <w:r>
        <w:rPr>
          <w:b/>
        </w:rPr>
        <w:t>201.</w:t>
      </w:r>
      <w:r>
        <w:rPr>
          <w:b/>
        </w:rPr>
        <w:tab/>
      </w:r>
      <w:r>
        <w:t>Deleted in Gazette 21 Apr 2006 p. 1578.]</w:t>
      </w:r>
    </w:p>
    <w:p>
      <w:pPr>
        <w:pStyle w:val="yHeading5"/>
        <w:outlineLvl w:val="9"/>
      </w:pPr>
      <w:bookmarkStart w:id="72" w:name="_Toc378257405"/>
      <w:r>
        <w:rPr>
          <w:rStyle w:val="CharSClsNo"/>
        </w:rPr>
        <w:t>202</w:t>
      </w:r>
      <w:r>
        <w:t>.</w:t>
      </w:r>
      <w:r>
        <w:tab/>
        <w:t>Location of master meters</w:t>
      </w:r>
      <w:bookmarkEnd w:id="72"/>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73" w:name="_Toc378257406"/>
      <w:r>
        <w:rPr>
          <w:rStyle w:val="CharSClsNo"/>
        </w:rPr>
        <w:t>203</w:t>
      </w:r>
      <w:r>
        <w:t>.</w:t>
      </w:r>
      <w:r>
        <w:tab/>
        <w:t>Position of master meters generally</w:t>
      </w:r>
      <w:bookmarkEnd w:id="73"/>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74" w:name="_Toc378257407"/>
      <w:r>
        <w:rPr>
          <w:rStyle w:val="CharSClsNo"/>
        </w:rPr>
        <w:t>204</w:t>
      </w:r>
      <w:r>
        <w:t>.</w:t>
      </w:r>
      <w:r>
        <w:tab/>
        <w:t>Prohibited positions for master meters</w:t>
      </w:r>
      <w:bookmarkEnd w:id="74"/>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75" w:name="_Toc378257408"/>
      <w:r>
        <w:rPr>
          <w:rStyle w:val="CharSClsNo"/>
        </w:rPr>
        <w:t>205</w:t>
      </w:r>
      <w:r>
        <w:t>.</w:t>
      </w:r>
      <w:r>
        <w:tab/>
        <w:t>Master meter boxes</w:t>
      </w:r>
      <w:bookmarkEnd w:id="75"/>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76" w:name="_Toc378257409"/>
      <w:r>
        <w:rPr>
          <w:rStyle w:val="CharSClsNo"/>
        </w:rPr>
        <w:t>206</w:t>
      </w:r>
      <w:r>
        <w:t>.</w:t>
      </w:r>
      <w:r>
        <w:tab/>
        <w:t>Master meter boxes in cavity walls</w:t>
      </w:r>
      <w:bookmarkEnd w:id="76"/>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77" w:name="_Toc378257410"/>
      <w:r>
        <w:rPr>
          <w:rStyle w:val="CharSClsNo"/>
        </w:rPr>
        <w:t>207</w:t>
      </w:r>
      <w:r>
        <w:t>.</w:t>
      </w:r>
      <w:r>
        <w:tab/>
        <w:t>Prepayment meters</w:t>
      </w:r>
      <w:bookmarkEnd w:id="77"/>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78" w:name="_Toc378257411"/>
      <w:r>
        <w:rPr>
          <w:rStyle w:val="CharSClsNo"/>
        </w:rPr>
        <w:t>208</w:t>
      </w:r>
      <w:r>
        <w:t>.</w:t>
      </w:r>
      <w:r>
        <w:tab/>
        <w:t>Identification of master meters</w:t>
      </w:r>
      <w:bookmarkEnd w:id="78"/>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79" w:name="_Toc378257412"/>
      <w:r>
        <w:rPr>
          <w:rStyle w:val="CharSDivNo"/>
        </w:rPr>
        <w:t>Division 3</w:t>
      </w:r>
      <w:r>
        <w:rPr>
          <w:rStyle w:val="CharDivNo"/>
        </w:rPr>
        <w:t xml:space="preserve"> — </w:t>
      </w:r>
      <w:r>
        <w:rPr>
          <w:rStyle w:val="CharSDivText"/>
        </w:rPr>
        <w:t>LPG cylinders and tanks</w:t>
      </w:r>
      <w:bookmarkEnd w:id="79"/>
    </w:p>
    <w:p>
      <w:pPr>
        <w:pStyle w:val="yHeading5"/>
        <w:outlineLvl w:val="9"/>
      </w:pPr>
      <w:bookmarkStart w:id="80" w:name="_Toc378257413"/>
      <w:r>
        <w:rPr>
          <w:rStyle w:val="CharSClsNo"/>
        </w:rPr>
        <w:t>301</w:t>
      </w:r>
      <w:r>
        <w:t>.</w:t>
      </w:r>
      <w:r>
        <w:tab/>
        <w:t>Location of cylinders, tanks and regulators</w:t>
      </w:r>
      <w:bookmarkEnd w:id="80"/>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81" w:name="_Toc378257414"/>
      <w:r>
        <w:rPr>
          <w:rStyle w:val="CharSClsNo"/>
        </w:rPr>
        <w:t>302</w:t>
      </w:r>
      <w:r>
        <w:t>.</w:t>
      </w:r>
      <w:r>
        <w:tab/>
        <w:t>Housings for cylinders</w:t>
      </w:r>
      <w:bookmarkEnd w:id="81"/>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outlineLvl w:val="9"/>
      </w:pPr>
      <w:bookmarkStart w:id="82" w:name="_Toc378257415"/>
      <w:r>
        <w:rPr>
          <w:rStyle w:val="CharSClsNo"/>
        </w:rPr>
        <w:t>303</w:t>
      </w:r>
      <w:r>
        <w:t>.</w:t>
      </w:r>
      <w:r>
        <w:tab/>
        <w:t>Pressure relief valve outlets, position of</w:t>
      </w:r>
      <w:bookmarkEnd w:id="82"/>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outlineLvl w:val="9"/>
      </w:pPr>
      <w:bookmarkStart w:id="83" w:name="_Toc378257416"/>
      <w:r>
        <w:rPr>
          <w:rStyle w:val="CharSClsNo"/>
        </w:rPr>
        <w:t>304</w:t>
      </w:r>
      <w:r>
        <w:t>.</w:t>
      </w:r>
      <w:r>
        <w:tab/>
        <w:t>Appliances not to be connected to gas supply for mobile engines</w:t>
      </w:r>
      <w:bookmarkEnd w:id="83"/>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84" w:name="_Toc378257417"/>
      <w:r>
        <w:rPr>
          <w:rStyle w:val="CharSDivNo"/>
        </w:rPr>
        <w:t>Division 4</w:t>
      </w:r>
      <w:r>
        <w:rPr>
          <w:rStyle w:val="CharDivNo"/>
        </w:rPr>
        <w:t xml:space="preserve"> — </w:t>
      </w:r>
      <w:r>
        <w:rPr>
          <w:rStyle w:val="CharSDivText"/>
        </w:rPr>
        <w:t>Fitting lines and fittings</w:t>
      </w:r>
      <w:bookmarkEnd w:id="84"/>
    </w:p>
    <w:p>
      <w:pPr>
        <w:pStyle w:val="yHeading5"/>
        <w:spacing w:before="160"/>
        <w:outlineLvl w:val="9"/>
      </w:pPr>
      <w:bookmarkStart w:id="85" w:name="_Toc378257418"/>
      <w:r>
        <w:rPr>
          <w:rStyle w:val="CharSClsNo"/>
        </w:rPr>
        <w:t>401</w:t>
      </w:r>
      <w:r>
        <w:t>.</w:t>
      </w:r>
      <w:r>
        <w:tab/>
        <w:t>Fitting lines and fittings</w:t>
      </w:r>
      <w:bookmarkEnd w:id="85"/>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86" w:name="_Toc378257419"/>
      <w:r>
        <w:rPr>
          <w:rStyle w:val="CharSClsNo"/>
        </w:rPr>
        <w:t>402</w:t>
      </w:r>
      <w:r>
        <w:t>.</w:t>
      </w:r>
      <w:r>
        <w:tab/>
        <w:t>PVC or PE fitting lines</w:t>
      </w:r>
      <w:bookmarkEnd w:id="86"/>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r>
        <w:t>[</w:t>
      </w:r>
      <w:r>
        <w:rPr>
          <w:b/>
          <w:bCs/>
        </w:rPr>
        <w:t>404.</w:t>
      </w:r>
      <w:r>
        <w:tab/>
        <w:t>Deleted in Gazette 21 Apr 2006 p. 1579.]</w:t>
      </w:r>
    </w:p>
    <w:p>
      <w:pPr>
        <w:pStyle w:val="yHeading5"/>
        <w:spacing w:before="240"/>
        <w:outlineLvl w:val="9"/>
      </w:pPr>
      <w:bookmarkStart w:id="87" w:name="_Toc378257420"/>
      <w:r>
        <w:rPr>
          <w:rStyle w:val="CharSClsNo"/>
        </w:rPr>
        <w:t>405</w:t>
      </w:r>
      <w:r>
        <w:t>.</w:t>
      </w:r>
      <w:r>
        <w:tab/>
        <w:t>Pressure holding capability of consumer’s gas installations</w:t>
      </w:r>
      <w:bookmarkEnd w:id="87"/>
    </w:p>
    <w:p>
      <w:pPr>
        <w:pStyle w:val="ySubsection"/>
        <w:rPr>
          <w:snapToGrid w:val="0"/>
        </w:rPr>
      </w:pPr>
      <w:r>
        <w:tab/>
      </w:r>
      <w:r>
        <w:tab/>
      </w:r>
      <w:r>
        <w:rPr>
          <w:snapToGrid w:val="0"/>
        </w:rPr>
        <w:t>A consumer’s gas installation must not leak when subjected to an approved test.</w:t>
      </w:r>
    </w:p>
    <w:p>
      <w:pPr>
        <w:pStyle w:val="yHeading5"/>
        <w:spacing w:before="240"/>
        <w:outlineLvl w:val="9"/>
      </w:pPr>
      <w:bookmarkStart w:id="88" w:name="_Toc378257421"/>
      <w:r>
        <w:rPr>
          <w:rStyle w:val="CharSClsNo"/>
        </w:rPr>
        <w:t>406</w:t>
      </w:r>
      <w:r>
        <w:t>.</w:t>
      </w:r>
      <w:r>
        <w:tab/>
        <w:t>Protection from excessive pressure</w:t>
      </w:r>
      <w:bookmarkEnd w:id="88"/>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89" w:name="_Toc378257422"/>
      <w:r>
        <w:rPr>
          <w:rStyle w:val="CharSDivNo"/>
        </w:rPr>
        <w:t>Division 5</w:t>
      </w:r>
      <w:r>
        <w:rPr>
          <w:rStyle w:val="CharDivNo"/>
        </w:rPr>
        <w:t xml:space="preserve"> — </w:t>
      </w:r>
      <w:r>
        <w:rPr>
          <w:rStyle w:val="CharSDivText"/>
        </w:rPr>
        <w:t>Appliances generally</w:t>
      </w:r>
      <w:bookmarkEnd w:id="89"/>
    </w:p>
    <w:p>
      <w:pPr>
        <w:pStyle w:val="yHeading5"/>
        <w:keepLines w:val="0"/>
        <w:outlineLvl w:val="9"/>
      </w:pPr>
      <w:bookmarkStart w:id="90" w:name="_Toc378257423"/>
      <w:r>
        <w:rPr>
          <w:rStyle w:val="CharSClsNo"/>
        </w:rPr>
        <w:t>501</w:t>
      </w:r>
      <w:r>
        <w:t>.</w:t>
      </w:r>
      <w:r>
        <w:tab/>
        <w:t>Appliances to be approved</w:t>
      </w:r>
      <w:bookmarkEnd w:id="90"/>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91" w:name="_Toc378257424"/>
      <w:r>
        <w:rPr>
          <w:rStyle w:val="CharSClsNo"/>
        </w:rPr>
        <w:t>502</w:t>
      </w:r>
      <w:r>
        <w:t>.</w:t>
      </w:r>
      <w:r>
        <w:tab/>
        <w:t>Appliances not to be connected to wrong type of gas</w:t>
      </w:r>
      <w:bookmarkEnd w:id="91"/>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92" w:name="_Toc378257425"/>
      <w:r>
        <w:rPr>
          <w:rStyle w:val="CharSClsNo"/>
        </w:rPr>
        <w:t>503</w:t>
      </w:r>
      <w:r>
        <w:t>.</w:t>
      </w:r>
      <w:r>
        <w:tab/>
        <w:t>Avoidance of hazards</w:t>
      </w:r>
      <w:bookmarkEnd w:id="92"/>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93" w:name="_Toc378257426"/>
      <w:r>
        <w:rPr>
          <w:rStyle w:val="CharSClsNo"/>
        </w:rPr>
        <w:t>504</w:t>
      </w:r>
      <w:r>
        <w:t>.</w:t>
      </w:r>
      <w:r>
        <w:tab/>
        <w:t>Certain appliances not to be installed in certain rooms</w:t>
      </w:r>
      <w:bookmarkEnd w:id="9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94" w:name="_Toc378257427"/>
      <w:r>
        <w:rPr>
          <w:rStyle w:val="CharSClsNo"/>
        </w:rPr>
        <w:t>505</w:t>
      </w:r>
      <w:r>
        <w:t>.</w:t>
      </w:r>
      <w:r>
        <w:tab/>
        <w:t>Safety devices required for certain appliances</w:t>
      </w:r>
      <w:bookmarkEnd w:id="9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95" w:name="_Toc378257428"/>
      <w:r>
        <w:rPr>
          <w:rStyle w:val="CharSClsNo"/>
        </w:rPr>
        <w:t>506</w:t>
      </w:r>
      <w:r>
        <w:t>.</w:t>
      </w:r>
      <w:r>
        <w:tab/>
        <w:t>Flues</w:t>
      </w:r>
      <w:bookmarkEnd w:id="95"/>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96" w:name="_Toc378257429"/>
      <w:r>
        <w:rPr>
          <w:rStyle w:val="CharSClsNo"/>
        </w:rPr>
        <w:t>507</w:t>
      </w:r>
      <w:r>
        <w:rPr>
          <w:snapToGrid w:val="0"/>
        </w:rPr>
        <w:t>.</w:t>
      </w:r>
      <w:r>
        <w:rPr>
          <w:snapToGrid w:val="0"/>
        </w:rPr>
        <w:tab/>
      </w:r>
      <w:r>
        <w:t>Hoods or canopies</w:t>
      </w:r>
      <w:bookmarkEnd w:id="96"/>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97" w:name="_Toc378257430"/>
      <w:r>
        <w:rPr>
          <w:rStyle w:val="CharSClsNo"/>
        </w:rPr>
        <w:t>508</w:t>
      </w:r>
      <w:r>
        <w:rPr>
          <w:snapToGrid w:val="0"/>
        </w:rPr>
        <w:t>.</w:t>
      </w:r>
      <w:r>
        <w:rPr>
          <w:snapToGrid w:val="0"/>
        </w:rPr>
        <w:tab/>
      </w:r>
      <w:r>
        <w:t>Electrical apparatus in appliances</w:t>
      </w:r>
      <w:bookmarkEnd w:id="97"/>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98" w:name="_Toc378257431"/>
      <w:r>
        <w:rPr>
          <w:rStyle w:val="CharSDivNo"/>
        </w:rPr>
        <w:t>Division 6</w:t>
      </w:r>
      <w:r>
        <w:rPr>
          <w:rStyle w:val="CharDivNo"/>
        </w:rPr>
        <w:t xml:space="preserve"> — </w:t>
      </w:r>
      <w:r>
        <w:rPr>
          <w:rStyle w:val="CharSDivText"/>
        </w:rPr>
        <w:t>Additional requirements for particular appliances</w:t>
      </w:r>
      <w:bookmarkEnd w:id="98"/>
    </w:p>
    <w:p>
      <w:pPr>
        <w:pStyle w:val="yHeading5"/>
        <w:outlineLvl w:val="9"/>
        <w:rPr>
          <w:snapToGrid w:val="0"/>
        </w:rPr>
      </w:pPr>
      <w:bookmarkStart w:id="99" w:name="_Toc378257432"/>
      <w:r>
        <w:rPr>
          <w:rStyle w:val="CharSClsNo"/>
        </w:rPr>
        <w:t>601</w:t>
      </w:r>
      <w:r>
        <w:rPr>
          <w:snapToGrid w:val="0"/>
        </w:rPr>
        <w:t>.</w:t>
      </w:r>
      <w:r>
        <w:rPr>
          <w:snapToGrid w:val="0"/>
        </w:rPr>
        <w:tab/>
        <w:t>Cooking appliances, fryers etc.</w:t>
      </w:r>
      <w:bookmarkEnd w:id="99"/>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100" w:name="_Toc378257433"/>
      <w:r>
        <w:rPr>
          <w:rStyle w:val="CharSClsNo"/>
        </w:rPr>
        <w:t>602</w:t>
      </w:r>
      <w:r>
        <w:rPr>
          <w:snapToGrid w:val="0"/>
        </w:rPr>
        <w:t>.</w:t>
      </w:r>
      <w:r>
        <w:rPr>
          <w:snapToGrid w:val="0"/>
        </w:rPr>
        <w:tab/>
        <w:t>Water heaters</w:t>
      </w:r>
      <w:bookmarkEnd w:id="10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101" w:name="_Toc378257434"/>
      <w:r>
        <w:rPr>
          <w:rStyle w:val="CharSClsNo"/>
        </w:rPr>
        <w:t>603</w:t>
      </w:r>
      <w:r>
        <w:rPr>
          <w:snapToGrid w:val="0"/>
        </w:rPr>
        <w:t>.</w:t>
      </w:r>
      <w:r>
        <w:rPr>
          <w:snapToGrid w:val="0"/>
        </w:rPr>
        <w:tab/>
        <w:t>Space heating appliances</w:t>
      </w:r>
      <w:bookmarkEnd w:id="101"/>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02" w:name="_Toc378257435"/>
      <w:r>
        <w:rPr>
          <w:rStyle w:val="CharSClsNo"/>
        </w:rPr>
        <w:t>604A</w:t>
      </w:r>
      <w:r>
        <w:t>.</w:t>
      </w:r>
      <w:r>
        <w:rPr>
          <w:b w:val="0"/>
        </w:rPr>
        <w:tab/>
      </w:r>
      <w:r>
        <w:t>Flueless gas space heaters in schools and child care centres</w:t>
      </w:r>
      <w:bookmarkEnd w:id="102"/>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outlineLvl w:val="9"/>
        <w:rPr>
          <w:snapToGrid w:val="0"/>
        </w:rPr>
      </w:pPr>
      <w:bookmarkStart w:id="103" w:name="_Toc378257436"/>
      <w:r>
        <w:rPr>
          <w:rStyle w:val="CharSClsNo"/>
        </w:rPr>
        <w:t>604</w:t>
      </w:r>
      <w:r>
        <w:rPr>
          <w:snapToGrid w:val="0"/>
        </w:rPr>
        <w:t>.</w:t>
      </w:r>
      <w:r>
        <w:rPr>
          <w:snapToGrid w:val="0"/>
        </w:rPr>
        <w:tab/>
        <w:t>Swimming pool heaters</w:t>
      </w:r>
      <w:bookmarkEnd w:id="103"/>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104" w:name="_Toc378257437"/>
      <w:r>
        <w:rPr>
          <w:rStyle w:val="CharSDivNo"/>
        </w:rPr>
        <w:t>Division 7</w:t>
      </w:r>
      <w:r>
        <w:rPr>
          <w:snapToGrid w:val="0"/>
        </w:rPr>
        <w:t xml:space="preserve"> — </w:t>
      </w:r>
      <w:r>
        <w:rPr>
          <w:rStyle w:val="CharSDivText"/>
        </w:rPr>
        <w:t>Caravans</w:t>
      </w:r>
      <w:bookmarkEnd w:id="104"/>
    </w:p>
    <w:p>
      <w:pPr>
        <w:pStyle w:val="yHeading5"/>
        <w:outlineLvl w:val="9"/>
        <w:rPr>
          <w:snapToGrid w:val="0"/>
        </w:rPr>
      </w:pPr>
      <w:bookmarkStart w:id="105" w:name="_Toc378257438"/>
      <w:r>
        <w:rPr>
          <w:rStyle w:val="CharSClsNo"/>
        </w:rPr>
        <w:t>701</w:t>
      </w:r>
      <w:r>
        <w:rPr>
          <w:snapToGrid w:val="0"/>
        </w:rPr>
        <w:t>.</w:t>
      </w:r>
      <w:r>
        <w:rPr>
          <w:snapToGrid w:val="0"/>
        </w:rPr>
        <w:tab/>
        <w:t>Application of this Division</w:t>
      </w:r>
      <w:bookmarkEnd w:id="105"/>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r>
        <w:t>[</w:t>
      </w:r>
      <w:r>
        <w:rPr>
          <w:b/>
        </w:rPr>
        <w:t>702.</w:t>
      </w:r>
      <w:r>
        <w:tab/>
        <w:t>Deleted in Gazette 26 Nov 2010 p. 5933.]</w:t>
      </w:r>
    </w:p>
    <w:p>
      <w:pPr>
        <w:pStyle w:val="yHeading5"/>
        <w:outlineLvl w:val="9"/>
        <w:rPr>
          <w:snapToGrid w:val="0"/>
        </w:rPr>
      </w:pPr>
      <w:bookmarkStart w:id="106" w:name="_Toc378257439"/>
      <w:r>
        <w:rPr>
          <w:rStyle w:val="CharSClsNo"/>
        </w:rPr>
        <w:t>703</w:t>
      </w:r>
      <w:r>
        <w:rPr>
          <w:snapToGrid w:val="0"/>
        </w:rPr>
        <w:t>.</w:t>
      </w:r>
      <w:r>
        <w:rPr>
          <w:snapToGrid w:val="0"/>
        </w:rPr>
        <w:tab/>
        <w:t>Location of appliances</w:t>
      </w:r>
      <w:bookmarkEnd w:id="106"/>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07" w:name="_Toc378257440"/>
      <w:r>
        <w:rPr>
          <w:rStyle w:val="CharSClsNo"/>
        </w:rPr>
        <w:t>704</w:t>
      </w:r>
      <w:r>
        <w:rPr>
          <w:snapToGrid w:val="0"/>
        </w:rPr>
        <w:t>.</w:t>
      </w:r>
      <w:r>
        <w:rPr>
          <w:snapToGrid w:val="0"/>
        </w:rPr>
        <w:tab/>
        <w:t>Pressure</w:t>
      </w:r>
      <w:bookmarkEnd w:id="107"/>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outlineLvl w:val="9"/>
        <w:rPr>
          <w:snapToGrid w:val="0"/>
        </w:rPr>
      </w:pPr>
      <w:bookmarkStart w:id="108" w:name="_Toc378257441"/>
      <w:r>
        <w:rPr>
          <w:rStyle w:val="CharSClsNo"/>
        </w:rPr>
        <w:t>705</w:t>
      </w:r>
      <w:r>
        <w:rPr>
          <w:snapToGrid w:val="0"/>
        </w:rPr>
        <w:t>.</w:t>
      </w:r>
      <w:r>
        <w:rPr>
          <w:snapToGrid w:val="0"/>
        </w:rPr>
        <w:tab/>
        <w:t>Warnings</w:t>
      </w:r>
      <w:bookmarkEnd w:id="108"/>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outlineLvl w:val="9"/>
      </w:pPr>
      <w:bookmarkStart w:id="109" w:name="_Toc378257442"/>
      <w:r>
        <w:rPr>
          <w:rStyle w:val="CharSDivNo"/>
        </w:rPr>
        <w:t>Division 8</w:t>
      </w:r>
      <w:r>
        <w:rPr>
          <w:rStyle w:val="CharDivNo"/>
        </w:rPr>
        <w:t xml:space="preserve"> — </w:t>
      </w:r>
      <w:r>
        <w:rPr>
          <w:rStyle w:val="CharSDivText"/>
        </w:rPr>
        <w:t>Marine craft</w:t>
      </w:r>
      <w:bookmarkEnd w:id="109"/>
    </w:p>
    <w:p>
      <w:pPr>
        <w:pStyle w:val="yHeading5"/>
        <w:outlineLvl w:val="9"/>
        <w:rPr>
          <w:snapToGrid w:val="0"/>
        </w:rPr>
      </w:pPr>
      <w:bookmarkStart w:id="110" w:name="_Toc378257443"/>
      <w:r>
        <w:rPr>
          <w:rStyle w:val="CharSClsNo"/>
        </w:rPr>
        <w:t>801</w:t>
      </w:r>
      <w:r>
        <w:rPr>
          <w:snapToGrid w:val="0"/>
        </w:rPr>
        <w:t>.</w:t>
      </w:r>
      <w:r>
        <w:rPr>
          <w:snapToGrid w:val="0"/>
        </w:rPr>
        <w:tab/>
        <w:t>Application of this Division</w:t>
      </w:r>
      <w:bookmarkEnd w:id="110"/>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11" w:name="_Toc378257444"/>
      <w:r>
        <w:rPr>
          <w:rStyle w:val="CharSClsNo"/>
        </w:rPr>
        <w:t>802</w:t>
      </w:r>
      <w:r>
        <w:rPr>
          <w:snapToGrid w:val="0"/>
        </w:rPr>
        <w:t>.</w:t>
      </w:r>
      <w:r>
        <w:rPr>
          <w:snapToGrid w:val="0"/>
        </w:rPr>
        <w:tab/>
        <w:t>Cylinders and their valves to be accessible</w:t>
      </w:r>
      <w:bookmarkEnd w:id="111"/>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12" w:name="_Toc378257445"/>
      <w:r>
        <w:rPr>
          <w:rStyle w:val="CharSClsNo"/>
        </w:rPr>
        <w:t>803</w:t>
      </w:r>
      <w:r>
        <w:rPr>
          <w:snapToGrid w:val="0"/>
        </w:rPr>
        <w:t>.</w:t>
      </w:r>
      <w:r>
        <w:rPr>
          <w:snapToGrid w:val="0"/>
        </w:rPr>
        <w:tab/>
        <w:t>Cylinders and their compartments</w:t>
      </w:r>
      <w:bookmarkEnd w:id="112"/>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13" w:name="_Toc378257446"/>
      <w:r>
        <w:rPr>
          <w:rStyle w:val="CharSClsNo"/>
        </w:rPr>
        <w:t>804</w:t>
      </w:r>
      <w:r>
        <w:rPr>
          <w:snapToGrid w:val="0"/>
        </w:rPr>
        <w:t>.</w:t>
      </w:r>
      <w:r>
        <w:rPr>
          <w:snapToGrid w:val="0"/>
        </w:rPr>
        <w:tab/>
        <w:t>Appliances etc. not be installed in some places</w:t>
      </w:r>
      <w:bookmarkEnd w:id="113"/>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14" w:name="_Toc378257447"/>
      <w:r>
        <w:rPr>
          <w:rStyle w:val="CharSClsNo"/>
        </w:rPr>
        <w:t>805</w:t>
      </w:r>
      <w:r>
        <w:rPr>
          <w:snapToGrid w:val="0"/>
        </w:rPr>
        <w:t>.</w:t>
      </w:r>
      <w:r>
        <w:rPr>
          <w:snapToGrid w:val="0"/>
        </w:rPr>
        <w:tab/>
        <w:t>Fitting lines, location of</w:t>
      </w:r>
      <w:bookmarkEnd w:id="114"/>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15" w:name="_Toc378257448"/>
      <w:r>
        <w:rPr>
          <w:rStyle w:val="CharSClsNo"/>
        </w:rPr>
        <w:t>806</w:t>
      </w:r>
      <w:r>
        <w:rPr>
          <w:snapToGrid w:val="0"/>
        </w:rPr>
        <w:t>.</w:t>
      </w:r>
      <w:r>
        <w:rPr>
          <w:snapToGrid w:val="0"/>
        </w:rPr>
        <w:tab/>
        <w:t>Appliances, location of</w:t>
      </w:r>
      <w:bookmarkEnd w:id="11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16" w:name="_Toc378257449"/>
      <w:r>
        <w:rPr>
          <w:rStyle w:val="CharSClsNo"/>
        </w:rPr>
        <w:t>807</w:t>
      </w:r>
      <w:r>
        <w:rPr>
          <w:snapToGrid w:val="0"/>
        </w:rPr>
        <w:t>.</w:t>
      </w:r>
      <w:r>
        <w:rPr>
          <w:snapToGrid w:val="0"/>
        </w:rPr>
        <w:tab/>
        <w:t>Pressure</w:t>
      </w:r>
      <w:bookmarkEnd w:id="116"/>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17" w:name="_Toc378257450"/>
      <w:r>
        <w:rPr>
          <w:rStyle w:val="CharSClsNo"/>
        </w:rPr>
        <w:t>808</w:t>
      </w:r>
      <w:r>
        <w:rPr>
          <w:snapToGrid w:val="0"/>
        </w:rPr>
        <w:t>.</w:t>
      </w:r>
      <w:r>
        <w:rPr>
          <w:snapToGrid w:val="0"/>
        </w:rPr>
        <w:tab/>
        <w:t>Ventilation</w:t>
      </w:r>
      <w:bookmarkEnd w:id="117"/>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118" w:name="_Toc378257451"/>
      <w:r>
        <w:rPr>
          <w:rStyle w:val="CharSClsNo"/>
        </w:rPr>
        <w:t>809</w:t>
      </w:r>
      <w:r>
        <w:rPr>
          <w:snapToGrid w:val="0"/>
        </w:rPr>
        <w:t>.</w:t>
      </w:r>
      <w:r>
        <w:rPr>
          <w:snapToGrid w:val="0"/>
        </w:rPr>
        <w:tab/>
        <w:t>Flues</w:t>
      </w:r>
      <w:bookmarkEnd w:id="118"/>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119" w:name="_Toc378257452"/>
      <w:r>
        <w:rPr>
          <w:rStyle w:val="CharSClsNo"/>
        </w:rPr>
        <w:t>810</w:t>
      </w:r>
      <w:r>
        <w:rPr>
          <w:snapToGrid w:val="0"/>
        </w:rPr>
        <w:t>.</w:t>
      </w:r>
      <w:r>
        <w:rPr>
          <w:snapToGrid w:val="0"/>
        </w:rPr>
        <w:tab/>
        <w:t>Water or room heaters</w:t>
      </w:r>
      <w:bookmarkEnd w:id="119"/>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20" w:name="_Toc378257453"/>
      <w:r>
        <w:rPr>
          <w:rStyle w:val="CharSClsNo"/>
        </w:rPr>
        <w:t>811</w:t>
      </w:r>
      <w:r>
        <w:rPr>
          <w:snapToGrid w:val="0"/>
        </w:rPr>
        <w:t>.</w:t>
      </w:r>
      <w:r>
        <w:rPr>
          <w:snapToGrid w:val="0"/>
        </w:rPr>
        <w:tab/>
        <w:t>Cooking appliances</w:t>
      </w:r>
      <w:bookmarkEnd w:id="120"/>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21" w:name="_Toc378257454"/>
      <w:r>
        <w:rPr>
          <w:rStyle w:val="CharSClsNo"/>
        </w:rPr>
        <w:t>812</w:t>
      </w:r>
      <w:r>
        <w:rPr>
          <w:snapToGrid w:val="0"/>
        </w:rPr>
        <w:t>.</w:t>
      </w:r>
      <w:r>
        <w:rPr>
          <w:snapToGrid w:val="0"/>
        </w:rPr>
        <w:tab/>
        <w:t>Warnings</w:t>
      </w:r>
      <w:bookmarkEnd w:id="121"/>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yScheduleHeading"/>
      </w:pPr>
      <w:bookmarkStart w:id="122" w:name="_Toc378257455"/>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22"/>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5"/>
          <w:headerReference w:type="default" r:id="rId36"/>
          <w:pgSz w:w="11906" w:h="16838" w:code="9"/>
          <w:pgMar w:top="2376" w:right="2405" w:bottom="3542" w:left="2405" w:header="706" w:footer="3380" w:gutter="0"/>
          <w:cols w:space="720"/>
          <w:noEndnote/>
          <w:docGrid w:linePitch="326"/>
        </w:sectPr>
      </w:pPr>
    </w:p>
    <w:p>
      <w:pPr>
        <w:pStyle w:val="nHeading2"/>
      </w:pPr>
      <w:bookmarkStart w:id="123" w:name="_Toc378257456"/>
      <w:r>
        <w:t>Notes</w:t>
      </w:r>
      <w:bookmarkEnd w:id="123"/>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4" w:name="_Toc378257457"/>
      <w:r>
        <w:rPr>
          <w:snapToGrid w:val="0"/>
        </w:rPr>
        <w:t>Compilation table</w:t>
      </w:r>
      <w:bookmarkEnd w:id="1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rPr>
              <w:t>r. 1 and 2: 23 Jun 2009 (see r. 2(a));</w:t>
            </w:r>
            <w:r>
              <w:rPr>
                <w:snapToGrid w:val="0"/>
                <w:spacing w:val="-2"/>
                <w:sz w:val="19"/>
              </w:rPr>
              <w:br/>
              <w:t>Regulations other than r. 1 and 2: 1 Jul 2009 (see r. 2(b))</w:t>
            </w:r>
          </w:p>
        </w:tc>
      </w:tr>
      <w:tr>
        <w:trPr>
          <w:cantSplit/>
        </w:trPr>
        <w:tc>
          <w:tcPr>
            <w:tcW w:w="7087" w:type="dxa"/>
            <w:gridSpan w:val="3"/>
          </w:tcPr>
          <w:p>
            <w:pPr>
              <w:pStyle w:val="nTable"/>
              <w:spacing w:after="40"/>
              <w:rPr>
                <w:snapToGrid w:val="0"/>
                <w:spacing w:val="-2"/>
                <w:sz w:val="19"/>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rPr>
              <w:t>r. 1 and 2: 25 Jun 2010 (see r. 2(a));</w:t>
            </w:r>
            <w:r>
              <w:rPr>
                <w:snapToGrid w:val="0"/>
                <w:spacing w:val="-2"/>
                <w:sz w:val="19"/>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rPr>
            </w:pPr>
            <w:r>
              <w:rPr>
                <w:snapToGrid w:val="0"/>
                <w:spacing w:val="-2"/>
                <w:sz w:val="19"/>
              </w:rPr>
              <w:t>r. 1 and 2: 26 Nov 2010 (see r. 2(a));</w:t>
            </w:r>
            <w:r>
              <w:rPr>
                <w:snapToGrid w:val="0"/>
                <w:spacing w:val="-2"/>
                <w:sz w:val="19"/>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rPr>
            </w:pPr>
            <w:r>
              <w:rPr>
                <w:snapToGrid w:val="0"/>
                <w:spacing w:val="-2"/>
                <w:sz w:val="19"/>
              </w:rPr>
              <w:t>r.</w:t>
            </w:r>
            <w:r>
              <w:rPr>
                <w:caps/>
                <w:snapToGrid w:val="0"/>
                <w:spacing w:val="-2"/>
                <w:sz w:val="19"/>
              </w:rPr>
              <w:t> </w:t>
            </w:r>
            <w:r>
              <w:rPr>
                <w:snapToGrid w:val="0"/>
                <w:spacing w:val="-2"/>
                <w:sz w:val="19"/>
              </w:rPr>
              <w:t>1 and 2: 18 Jan 2011 (see r. 2(a));</w:t>
            </w:r>
            <w:r>
              <w:rPr>
                <w:snapToGrid w:val="0"/>
                <w:spacing w:val="-2"/>
                <w:sz w:val="19"/>
              </w:rPr>
              <w:br/>
              <w:t>Regulations other than r. 1 and 2: 19 Jan 2011 (see r. 2(b))</w:t>
            </w:r>
          </w:p>
        </w:tc>
      </w:tr>
      <w:tr>
        <w:tc>
          <w:tcPr>
            <w:tcW w:w="3118" w:type="dxa"/>
          </w:tcPr>
          <w:p>
            <w:pPr>
              <w:pStyle w:val="nTable"/>
              <w:spacing w:after="40"/>
              <w:rPr>
                <w:i/>
                <w:snapToGrid w:val="0"/>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rPr>
            </w:pPr>
            <w:r>
              <w:rPr>
                <w:snapToGrid w:val="0"/>
                <w:spacing w:val="-2"/>
                <w:sz w:val="19"/>
              </w:rPr>
              <w:t>12 Feb 2011 (see r. 2(d))</w:t>
            </w:r>
          </w:p>
        </w:tc>
      </w:tr>
      <w:tr>
        <w:tc>
          <w:tcPr>
            <w:tcW w:w="3118" w:type="dxa"/>
          </w:tcPr>
          <w:p>
            <w:pPr>
              <w:pStyle w:val="nTable"/>
              <w:spacing w:after="40"/>
              <w:rPr>
                <w:i/>
                <w:sz w:val="19"/>
              </w:rPr>
            </w:pPr>
            <w:r>
              <w:rPr>
                <w:i/>
                <w:snapToGrid w:val="0"/>
                <w:sz w:val="19"/>
              </w:rPr>
              <w:t>Gas Standards (Gasfitting and Consumer Gas Installations) Amendment Regulations 2011</w:t>
            </w:r>
          </w:p>
        </w:tc>
        <w:tc>
          <w:tcPr>
            <w:tcW w:w="1276" w:type="dxa"/>
          </w:tcPr>
          <w:p>
            <w:pPr>
              <w:pStyle w:val="nTable"/>
              <w:spacing w:after="40"/>
              <w:rPr>
                <w:sz w:val="19"/>
              </w:rPr>
            </w:pPr>
            <w:r>
              <w:rPr>
                <w:sz w:val="19"/>
              </w:rPr>
              <w:t>22 Jun 2011 p. 2315</w:t>
            </w:r>
            <w:r>
              <w:rPr>
                <w:sz w:val="19"/>
              </w:rPr>
              <w:noBreakHyphen/>
              <w:t>16</w:t>
            </w:r>
          </w:p>
        </w:tc>
        <w:tc>
          <w:tcPr>
            <w:tcW w:w="2693" w:type="dxa"/>
          </w:tcPr>
          <w:p>
            <w:pPr>
              <w:pStyle w:val="nTable"/>
              <w:spacing w:after="40"/>
              <w:rPr>
                <w:snapToGrid w:val="0"/>
                <w:spacing w:val="-2"/>
                <w:sz w:val="19"/>
              </w:rPr>
            </w:pPr>
            <w:r>
              <w:rPr>
                <w:snapToGrid w:val="0"/>
                <w:spacing w:val="-2"/>
                <w:sz w:val="19"/>
              </w:rPr>
              <w:t>r. 1 and 2: 22 Jun 2011 (see r. 2(a));</w:t>
            </w:r>
            <w:r>
              <w:rPr>
                <w:snapToGrid w:val="0"/>
                <w:spacing w:val="-2"/>
                <w:sz w:val="19"/>
              </w:rPr>
              <w:br/>
              <w:t>Regulations other than r. 1 and 2: 1 Jul 2011 (see r. 2(b))</w:t>
            </w:r>
          </w:p>
        </w:tc>
      </w:tr>
      <w:tr>
        <w:tc>
          <w:tcPr>
            <w:tcW w:w="7087" w:type="dxa"/>
            <w:gridSpan w:val="3"/>
          </w:tcPr>
          <w:p>
            <w:pPr>
              <w:pStyle w:val="nTable"/>
              <w:spacing w:after="40"/>
              <w:rPr>
                <w:snapToGrid w:val="0"/>
                <w:spacing w:val="-2"/>
                <w:sz w:val="19"/>
              </w:rPr>
            </w:pPr>
            <w:r>
              <w:rPr>
                <w:b/>
                <w:sz w:val="19"/>
              </w:rPr>
              <w:t xml:space="preserve">Reprint 4:  The </w:t>
            </w:r>
            <w:r>
              <w:rPr>
                <w:b/>
                <w:i/>
                <w:sz w:val="19"/>
              </w:rPr>
              <w:t xml:space="preserve">Gas Standards (Gasfitting and Consumer Gas Installations) Regulations 1999 </w:t>
            </w:r>
            <w:r>
              <w:rPr>
                <w:b/>
                <w:sz w:val="19"/>
              </w:rPr>
              <w:t xml:space="preserve">as at 8 Jul 2011 </w:t>
            </w:r>
            <w:r>
              <w:rPr>
                <w:sz w:val="19"/>
              </w:rPr>
              <w:t>(includes amendments listed above)</w:t>
            </w:r>
          </w:p>
        </w:tc>
      </w:tr>
      <w:tr>
        <w:tc>
          <w:tcPr>
            <w:tcW w:w="3118" w:type="dxa"/>
          </w:tcPr>
          <w:p>
            <w:pPr>
              <w:pStyle w:val="nTable"/>
              <w:spacing w:after="40"/>
              <w:rPr>
                <w:i/>
                <w:sz w:val="19"/>
              </w:rPr>
            </w:pPr>
            <w:r>
              <w:rPr>
                <w:i/>
                <w:snapToGrid w:val="0"/>
                <w:sz w:val="19"/>
              </w:rPr>
              <w:t>Gas Standards (Gasfitting and Consumer Gas Installations) Amendment Regulations 2012</w:t>
            </w:r>
          </w:p>
        </w:tc>
        <w:tc>
          <w:tcPr>
            <w:tcW w:w="1276" w:type="dxa"/>
          </w:tcPr>
          <w:p>
            <w:pPr>
              <w:pStyle w:val="nTable"/>
              <w:spacing w:after="40"/>
              <w:rPr>
                <w:sz w:val="19"/>
              </w:rPr>
            </w:pPr>
            <w:r>
              <w:rPr>
                <w:sz w:val="19"/>
              </w:rPr>
              <w:t>15 Jun 2012 p. 2609-10</w:t>
            </w:r>
          </w:p>
        </w:tc>
        <w:tc>
          <w:tcPr>
            <w:tcW w:w="2693" w:type="dxa"/>
          </w:tcPr>
          <w:p>
            <w:pPr>
              <w:pStyle w:val="nTable"/>
              <w:spacing w:after="40"/>
              <w:rPr>
                <w:snapToGrid w:val="0"/>
                <w:spacing w:val="-2"/>
                <w:sz w:val="19"/>
              </w:rPr>
            </w:pPr>
            <w:r>
              <w:rPr>
                <w:snapToGrid w:val="0"/>
                <w:spacing w:val="-2"/>
                <w:sz w:val="19"/>
              </w:rPr>
              <w:t>r. 1 and 2: 15 Jun 2012 (see r. 2(a));</w:t>
            </w:r>
            <w:r>
              <w:rPr>
                <w:snapToGrid w:val="0"/>
                <w:spacing w:val="-2"/>
                <w:sz w:val="19"/>
              </w:rPr>
              <w:br/>
              <w:t>Regulations other than r. 1 and 2: 1 Jul 2012 (see r. 2(b))</w:t>
            </w:r>
          </w:p>
        </w:tc>
      </w:tr>
      <w:tr>
        <w:tc>
          <w:tcPr>
            <w:tcW w:w="3118" w:type="dxa"/>
            <w:tcBorders>
              <w:bottom w:val="single" w:sz="4" w:space="0" w:color="auto"/>
            </w:tcBorders>
          </w:tcPr>
          <w:p>
            <w:pPr>
              <w:pStyle w:val="nTable"/>
              <w:spacing w:after="40"/>
              <w:rPr>
                <w:i/>
                <w:snapToGrid w:val="0"/>
                <w:sz w:val="19"/>
              </w:rPr>
            </w:pPr>
            <w:r>
              <w:rPr>
                <w:i/>
                <w:snapToGrid w:val="0"/>
                <w:sz w:val="19"/>
              </w:rPr>
              <w:t>Gas Standards (Gasfitting and Consumer Gas Installations) Amendment Regulations (No. 2) 2013</w:t>
            </w:r>
          </w:p>
        </w:tc>
        <w:tc>
          <w:tcPr>
            <w:tcW w:w="1276" w:type="dxa"/>
            <w:tcBorders>
              <w:bottom w:val="single" w:sz="4" w:space="0" w:color="auto"/>
            </w:tcBorders>
          </w:tcPr>
          <w:p>
            <w:pPr>
              <w:pStyle w:val="nTable"/>
              <w:spacing w:after="40"/>
              <w:rPr>
                <w:sz w:val="19"/>
              </w:rPr>
            </w:pPr>
            <w:r>
              <w:rPr>
                <w:sz w:val="19"/>
              </w:rPr>
              <w:t>27 Jun 2013 p. 2711-12</w:t>
            </w:r>
          </w:p>
        </w:tc>
        <w:tc>
          <w:tcPr>
            <w:tcW w:w="2693" w:type="dxa"/>
            <w:tcBorders>
              <w:bottom w:val="single" w:sz="4" w:space="0" w:color="auto"/>
            </w:tcBorders>
          </w:tcPr>
          <w:p>
            <w:pPr>
              <w:pStyle w:val="nTable"/>
              <w:spacing w:after="40"/>
              <w:rPr>
                <w:snapToGrid w:val="0"/>
                <w:spacing w:val="-2"/>
                <w:sz w:val="19"/>
              </w:rPr>
            </w:pPr>
            <w:r>
              <w:rPr>
                <w:snapToGrid w:val="0"/>
                <w:spacing w:val="-2"/>
                <w:sz w:val="19"/>
              </w:rPr>
              <w:t>r. 1 and 2: 27 Jun 2013 (see r. 2(a));</w:t>
            </w:r>
            <w:r>
              <w:rPr>
                <w:snapToGrid w:val="0"/>
                <w:spacing w:val="-2"/>
                <w:sz w:val="19"/>
              </w:rPr>
              <w:br/>
              <w:t>Regulations other than r. 1 and 2: 1 Jul 2013 (see r. 2(b))</w:t>
            </w:r>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pPr>
        <w:pStyle w:val="nHeading2"/>
        <w:rPr>
          <w:sz w:val="28"/>
        </w:rPr>
      </w:pPr>
      <w:bookmarkStart w:id="125" w:name="_Toc378257458"/>
      <w:r>
        <w:rPr>
          <w:sz w:val="28"/>
        </w:rPr>
        <w:t>Defined Terms</w:t>
      </w:r>
      <w:bookmarkEnd w:id="1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26" w:name="DefinedTerms"/>
      <w:bookmarkEnd w:id="126"/>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child care service</w:t>
      </w:r>
      <w:r>
        <w:tab/>
        <w:t>Sch. 6 cl. 604A(1)</w:t>
      </w:r>
    </w:p>
    <w:p>
      <w:pPr>
        <w:pStyle w:val="DefinedTerms"/>
      </w:pPr>
      <w:r>
        <w:t>Class I permit</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rPr>
          <w:b/>
          <w:bCs/>
        </w:rPr>
      </w:pPr>
      <w:r>
        <w:t>family day care service</w:t>
      </w:r>
      <w:r>
        <w:tab/>
        <w:t>Sch. 6 cl. 604A(1)</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pPr>
    </w:p>
    <w:p/>
    <w:p>
      <w:pPr>
        <w:sectPr>
          <w:headerReference w:type="even" r:id="rId40"/>
          <w:headerReference w:type="default" r:id="rId41"/>
          <w:headerReference w:type="first" r:id="rId42"/>
          <w:pgSz w:w="11906" w:h="16838" w:code="9"/>
          <w:pgMar w:top="2376" w:right="2404" w:bottom="3544" w:left="2404" w:header="720" w:footer="3380" w:gutter="0"/>
          <w:cols w:space="720"/>
          <w:noEndnote/>
          <w:docGrid w:linePitch="326"/>
        </w:sectPr>
      </w:pPr>
    </w:p>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49"/>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51211132549" w:val="RemoveTrackChanges"/>
    <w:docVar w:name="WAFER_20151211132549_GUID" w:val="99b82ca9-f9c2-47bc-951e-3e2632697b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image" Target="media/image2.png"/><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16066</Words>
  <Characters>77602</Characters>
  <Application>Microsoft Office Word</Application>
  <DocSecurity>0</DocSecurity>
  <Lines>2282</Lines>
  <Paragraphs>1419</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1999 - 04-c0-02</dc:title>
  <dc:subject/>
  <dc:creator/>
  <cp:keywords/>
  <dc:description/>
  <cp:lastModifiedBy>svcMRProcess</cp:lastModifiedBy>
  <cp:revision>4</cp:revision>
  <cp:lastPrinted>2011-07-25T04:19:00Z</cp:lastPrinted>
  <dcterms:created xsi:type="dcterms:W3CDTF">2018-09-12T02:10:00Z</dcterms:created>
  <dcterms:modified xsi:type="dcterms:W3CDTF">2018-09-12T02:10:00Z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20130701</vt:lpwstr>
  </property>
  <property fmtid="{D5CDD505-2E9C-101B-9397-08002B2CF9AE}" pid="4" name="DocumentType">
    <vt:lpwstr>Reg</vt:lpwstr>
  </property>
  <property fmtid="{D5CDD505-2E9C-101B-9397-08002B2CF9AE}" pid="5" name="OwlsUID">
    <vt:i4>1382</vt:i4>
  </property>
  <property fmtid="{D5CDD505-2E9C-101B-9397-08002B2CF9AE}" pid="6" name="AsAtDate">
    <vt:lpwstr>01 Jul 2013</vt:lpwstr>
  </property>
  <property fmtid="{D5CDD505-2E9C-101B-9397-08002B2CF9AE}" pid="7" name="Suffix">
    <vt:lpwstr>04-c0-02</vt:lpwstr>
  </property>
  <property fmtid="{D5CDD505-2E9C-101B-9397-08002B2CF9AE}" pid="8" name="ReprintNo">
    <vt:lpwstr>4</vt:lpwstr>
  </property>
  <property fmtid="{D5CDD505-2E9C-101B-9397-08002B2CF9AE}" pid="9" name="ReprintedAsAt">
    <vt:filetime>2011-07-07T16:00:00Z</vt:filetime>
  </property>
</Properties>
</file>