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Water Agencies (Powers) Act 1984</w:t>
      </w:r>
    </w:p>
    <w:p>
      <w:pPr>
        <w:pStyle w:val="NameofActRegPage1"/>
        <w:spacing w:before="1980" w:after="4200"/>
        <w:ind w:left="482"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Agencies (Charges) By-laws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Water Agencies (Charges) By-laws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_Toc84424728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_Toc84424729 \h </w:instrText>
      </w:r>
      <w:r>
        <w:fldChar w:fldCharType="separate"/>
      </w:r>
      <w:r>
        <w:t>1</w:t>
      </w:r>
      <w:r>
        <w:fldChar w:fldCharType="end"/>
      </w:r>
    </w:p>
    <w:p>
      <w:pPr>
        <w:pStyle w:val="TOC2"/>
        <w:tabs>
          <w:tab w:val="right" w:leader="dot" w:pos="7087"/>
        </w:tabs>
        <w:rPr>
          <w:rFonts w:asciiTheme="minorHAnsi" w:eastAsiaTheme="minorEastAsia" w:hAnsiTheme="minorHAnsi" w:cstheme="minorBidi"/>
          <w:b w:val="0"/>
          <w:sz w:val="22"/>
          <w:szCs w:val="22"/>
        </w:rPr>
      </w:pPr>
      <w:r>
        <w:t>Part 1 — General</w:t>
      </w:r>
    </w:p>
    <w:p>
      <w:pPr>
        <w:pStyle w:val="TOC8"/>
        <w:rPr>
          <w:rFonts w:asciiTheme="minorHAnsi" w:eastAsiaTheme="minorEastAsia" w:hAnsiTheme="minorHAnsi" w:cstheme="minorBidi"/>
          <w:szCs w:val="22"/>
        </w:rPr>
      </w:pPr>
      <w:r>
        <w:t>3</w:t>
      </w:r>
      <w:r>
        <w:rPr>
          <w:snapToGrid w:val="0"/>
        </w:rPr>
        <w:t>.</w:t>
      </w:r>
      <w:r>
        <w:rPr>
          <w:snapToGrid w:val="0"/>
        </w:rPr>
        <w:tab/>
        <w:t>Proportionate charges for part of year</w:t>
      </w:r>
      <w:r>
        <w:tab/>
      </w:r>
      <w:r>
        <w:fldChar w:fldCharType="begin"/>
      </w:r>
      <w:r>
        <w:instrText xml:space="preserve"> PAGEREF _Toc84424731 \h </w:instrText>
      </w:r>
      <w:r>
        <w:fldChar w:fldCharType="separate"/>
      </w:r>
      <w:r>
        <w:t>9</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Minimum charge prior to revaluation</w:t>
      </w:r>
      <w:r>
        <w:tab/>
      </w:r>
      <w:r>
        <w:fldChar w:fldCharType="begin"/>
      </w:r>
      <w:r>
        <w:instrText xml:space="preserve"> PAGEREF _Toc84424732 \h </w:instrText>
      </w:r>
      <w:r>
        <w:fldChar w:fldCharType="separate"/>
      </w:r>
      <w:r>
        <w:t>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 land</w:t>
      </w:r>
      <w:r>
        <w:tab/>
      </w:r>
      <w:r>
        <w:fldChar w:fldCharType="begin"/>
      </w:r>
      <w:r>
        <w:instrText xml:space="preserve"> PAGEREF _Toc84424733 \h </w:instrText>
      </w:r>
      <w:r>
        <w:fldChar w:fldCharType="separate"/>
      </w:r>
      <w:r>
        <w:t>10</w:t>
      </w:r>
      <w:r>
        <w:fldChar w:fldCharType="end"/>
      </w:r>
    </w:p>
    <w:p>
      <w:pPr>
        <w:pStyle w:val="TOC8"/>
        <w:rPr>
          <w:rFonts w:asciiTheme="minorHAnsi" w:eastAsiaTheme="minorEastAsia" w:hAnsiTheme="minorHAnsi" w:cstheme="minorBidi"/>
          <w:szCs w:val="22"/>
        </w:rPr>
      </w:pPr>
      <w:r>
        <w:t>5A.</w:t>
      </w:r>
      <w:r>
        <w:tab/>
        <w:t>Exempt land, amount of exemption calculated</w:t>
      </w:r>
      <w:r>
        <w:tab/>
      </w:r>
      <w:r>
        <w:fldChar w:fldCharType="begin"/>
      </w:r>
      <w:r>
        <w:instrText xml:space="preserve"> PAGEREF _Toc84424734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Separately assessable residential land</w:t>
      </w:r>
      <w:r>
        <w:tab/>
      </w:r>
      <w:r>
        <w:fldChar w:fldCharType="begin"/>
      </w:r>
      <w:r>
        <w:instrText xml:space="preserve"> PAGEREF _Toc84424735 \h </w:instrText>
      </w:r>
      <w:r>
        <w:fldChar w:fldCharType="separate"/>
      </w:r>
      <w:r>
        <w:t>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Estimation upon meter malfunction or of non</w:t>
      </w:r>
      <w:r>
        <w:rPr>
          <w:snapToGrid w:val="0"/>
        </w:rPr>
        <w:noBreakHyphen/>
        <w:t>metered quantity</w:t>
      </w:r>
      <w:r>
        <w:tab/>
      </w:r>
      <w:r>
        <w:fldChar w:fldCharType="begin"/>
      </w:r>
      <w:r>
        <w:instrText xml:space="preserve"> PAGEREF _Toc84424736 \h </w:instrText>
      </w:r>
      <w:r>
        <w:fldChar w:fldCharType="separate"/>
      </w:r>
      <w:r>
        <w:t>14</w:t>
      </w:r>
      <w:r>
        <w:fldChar w:fldCharType="end"/>
      </w:r>
    </w:p>
    <w:p>
      <w:pPr>
        <w:pStyle w:val="TOC8"/>
        <w:rPr>
          <w:rFonts w:asciiTheme="minorHAnsi" w:eastAsiaTheme="minorEastAsia" w:hAnsiTheme="minorHAnsi" w:cstheme="minorBidi"/>
          <w:szCs w:val="22"/>
        </w:rPr>
      </w:pPr>
      <w:r>
        <w:t>7.</w:t>
      </w:r>
      <w:r>
        <w:tab/>
        <w:t>Payment of charges</w:t>
      </w:r>
      <w:r>
        <w:tab/>
      </w:r>
      <w:r>
        <w:fldChar w:fldCharType="begin"/>
      </w:r>
      <w:r>
        <w:instrText xml:space="preserve"> PAGEREF _Toc84424737 \h </w:instrText>
      </w:r>
      <w:r>
        <w:fldChar w:fldCharType="separate"/>
      </w:r>
      <w:r>
        <w:t>15</w:t>
      </w:r>
      <w:r>
        <w:fldChar w:fldCharType="end"/>
      </w:r>
    </w:p>
    <w:p>
      <w:pPr>
        <w:pStyle w:val="TOC8"/>
        <w:rPr>
          <w:rFonts w:asciiTheme="minorHAnsi" w:eastAsiaTheme="minorEastAsia" w:hAnsiTheme="minorHAnsi" w:cstheme="minorBidi"/>
          <w:szCs w:val="22"/>
        </w:rPr>
      </w:pPr>
      <w:r>
        <w:t>8.</w:t>
      </w:r>
      <w:r>
        <w:tab/>
        <w:t>Special arrangements</w:t>
      </w:r>
      <w:r>
        <w:tab/>
      </w:r>
      <w:r>
        <w:fldChar w:fldCharType="begin"/>
      </w:r>
      <w:r>
        <w:instrText xml:space="preserve"> PAGEREF _Toc84424738 \h </w:instrText>
      </w:r>
      <w:r>
        <w:fldChar w:fldCharType="separate"/>
      </w:r>
      <w:r>
        <w:t>16</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Concessional charges for retirement village residents</w:t>
      </w:r>
      <w:r>
        <w:tab/>
      </w:r>
      <w:r>
        <w:fldChar w:fldCharType="begin"/>
      </w:r>
      <w:r>
        <w:instrText xml:space="preserve"> PAGEREF _Toc84424739 \h </w:instrText>
      </w:r>
      <w:r>
        <w:fldChar w:fldCharType="separate"/>
      </w:r>
      <w:r>
        <w:t>17</w:t>
      </w:r>
      <w:r>
        <w:fldChar w:fldCharType="end"/>
      </w:r>
    </w:p>
    <w:p>
      <w:pPr>
        <w:pStyle w:val="TOC8"/>
        <w:rPr>
          <w:rFonts w:asciiTheme="minorHAnsi" w:eastAsiaTheme="minorEastAsia" w:hAnsiTheme="minorHAnsi" w:cstheme="minorBidi"/>
          <w:szCs w:val="22"/>
        </w:rPr>
      </w:pPr>
      <w:r>
        <w:t>8B.</w:t>
      </w:r>
      <w:r>
        <w:tab/>
        <w:t>Government trading organisation and non</w:t>
      </w:r>
      <w:r>
        <w:noBreakHyphen/>
        <w:t>commercial Government property</w:t>
      </w:r>
      <w:r>
        <w:tab/>
      </w:r>
      <w:r>
        <w:fldChar w:fldCharType="begin"/>
      </w:r>
      <w:r>
        <w:instrText xml:space="preserve"> PAGEREF _Toc84424740 \h </w:instrText>
      </w:r>
      <w:r>
        <w:fldChar w:fldCharType="separate"/>
      </w:r>
      <w:r>
        <w:t>18</w:t>
      </w:r>
      <w:r>
        <w:fldChar w:fldCharType="end"/>
      </w:r>
    </w:p>
    <w:p>
      <w:pPr>
        <w:pStyle w:val="TOC8"/>
        <w:rPr>
          <w:rFonts w:asciiTheme="minorHAnsi" w:eastAsiaTheme="minorEastAsia" w:hAnsiTheme="minorHAnsi" w:cstheme="minorBidi"/>
          <w:szCs w:val="22"/>
        </w:rPr>
      </w:pPr>
      <w:r>
        <w:t>8BA</w:t>
      </w:r>
      <w:r>
        <w:rPr>
          <w:snapToGrid w:val="0"/>
        </w:rPr>
        <w:t>.</w:t>
      </w:r>
      <w:r>
        <w:rPr>
          <w:snapToGrid w:val="0"/>
        </w:rPr>
        <w:tab/>
        <w:t>Annual charges to Government trading organisations that supply water to lessees or ships</w:t>
      </w:r>
      <w:r>
        <w:tab/>
      </w:r>
      <w:r>
        <w:fldChar w:fldCharType="begin"/>
      </w:r>
      <w:r>
        <w:instrText xml:space="preserve"> PAGEREF _Toc84424741 \h </w:instrText>
      </w:r>
      <w:r>
        <w:fldChar w:fldCharType="separate"/>
      </w:r>
      <w:r>
        <w:t>18</w:t>
      </w:r>
      <w:r>
        <w:fldChar w:fldCharType="end"/>
      </w:r>
    </w:p>
    <w:p>
      <w:pPr>
        <w:pStyle w:val="TOC8"/>
        <w:rPr>
          <w:rFonts w:asciiTheme="minorHAnsi" w:eastAsiaTheme="minorEastAsia" w:hAnsiTheme="minorHAnsi" w:cstheme="minorBidi"/>
          <w:szCs w:val="22"/>
        </w:rPr>
      </w:pPr>
      <w:r>
        <w:t>9.</w:t>
      </w:r>
      <w:r>
        <w:tab/>
        <w:t>Interest on overdue amounts</w:t>
      </w:r>
      <w:r>
        <w:tab/>
      </w:r>
      <w:r>
        <w:fldChar w:fldCharType="begin"/>
      </w:r>
      <w:r>
        <w:instrText xml:space="preserve"> PAGEREF _Toc84424742 \h </w:instrText>
      </w:r>
      <w:r>
        <w:fldChar w:fldCharType="separate"/>
      </w:r>
      <w:r>
        <w:t>19</w:t>
      </w:r>
      <w:r>
        <w:fldChar w:fldCharType="end"/>
      </w:r>
    </w:p>
    <w:p>
      <w:pPr>
        <w:pStyle w:val="TOC8"/>
        <w:rPr>
          <w:rFonts w:asciiTheme="minorHAnsi" w:eastAsiaTheme="minorEastAsia" w:hAnsiTheme="minorHAnsi" w:cstheme="minorBidi"/>
          <w:szCs w:val="22"/>
        </w:rPr>
      </w:pPr>
      <w:r>
        <w:t>9B.</w:t>
      </w:r>
      <w:r>
        <w:tab/>
        <w:t>Calculations, including maxima, for various GRV based charges</w:t>
      </w:r>
      <w:r>
        <w:tab/>
      </w:r>
      <w:r>
        <w:fldChar w:fldCharType="begin"/>
      </w:r>
      <w:r>
        <w:instrText xml:space="preserve"> PAGEREF _Toc84424743 \h </w:instrText>
      </w:r>
      <w:r>
        <w:fldChar w:fldCharType="separate"/>
      </w:r>
      <w:r>
        <w:t>20</w:t>
      </w:r>
      <w:r>
        <w:fldChar w:fldCharType="end"/>
      </w:r>
    </w:p>
    <w:p>
      <w:pPr>
        <w:pStyle w:val="TOC2"/>
        <w:tabs>
          <w:tab w:val="right" w:leader="dot" w:pos="7087"/>
        </w:tabs>
        <w:rPr>
          <w:rFonts w:asciiTheme="minorHAnsi" w:eastAsiaTheme="minorEastAsia" w:hAnsiTheme="minorHAnsi" w:cstheme="minorBidi"/>
          <w:b w:val="0"/>
          <w:sz w:val="22"/>
          <w:szCs w:val="22"/>
        </w:rPr>
      </w:pPr>
      <w:r>
        <w:t>Part 2 — Water supply</w:t>
      </w:r>
    </w:p>
    <w:p>
      <w:pPr>
        <w:pStyle w:val="TOC4"/>
        <w:tabs>
          <w:tab w:val="right" w:leader="dot" w:pos="7087"/>
        </w:tabs>
        <w:rPr>
          <w:rFonts w:asciiTheme="minorHAnsi" w:eastAsiaTheme="minorEastAsia" w:hAnsiTheme="minorHAnsi" w:cstheme="minorBidi"/>
          <w:b w:val="0"/>
          <w:szCs w:val="22"/>
        </w:rPr>
      </w:pPr>
      <w:r>
        <w:rPr>
          <w:spacing w:val="-4"/>
        </w:rPr>
        <w:t>Division 1</w:t>
      </w:r>
      <w:r>
        <w:rPr>
          <w:snapToGrid w:val="0"/>
          <w:spacing w:val="-4"/>
        </w:rPr>
        <w:t> — </w:t>
      </w:r>
      <w:r>
        <w:rPr>
          <w:spacing w:val="-4"/>
        </w:rPr>
        <w:t xml:space="preserve">Water supply other than under </w:t>
      </w:r>
      <w:r>
        <w:rPr>
          <w:i/>
          <w:spacing w:val="-4"/>
        </w:rPr>
        <w:t>Rights in Water and Irrigation Act 1914</w:t>
      </w:r>
    </w:p>
    <w:p>
      <w:pPr>
        <w:pStyle w:val="TOC8"/>
        <w:rPr>
          <w:rFonts w:asciiTheme="minorHAnsi" w:eastAsiaTheme="minorEastAsia" w:hAnsiTheme="minorHAnsi" w:cstheme="minorBidi"/>
          <w:szCs w:val="22"/>
        </w:rPr>
      </w:pPr>
      <w:r>
        <w:t>10</w:t>
      </w:r>
      <w:r>
        <w:rPr>
          <w:snapToGrid w:val="0"/>
        </w:rPr>
        <w:t>.</w:t>
      </w:r>
      <w:r>
        <w:rPr>
          <w:snapToGrid w:val="0"/>
        </w:rPr>
        <w:tab/>
        <w:t>Certain matters to be disregarded</w:t>
      </w:r>
      <w:r>
        <w:tab/>
      </w:r>
      <w:r>
        <w:fldChar w:fldCharType="begin"/>
      </w:r>
      <w:r>
        <w:instrText xml:space="preserve"> PAGEREF _Toc84424746 \h </w:instrText>
      </w:r>
      <w:r>
        <w:fldChar w:fldCharType="separate"/>
      </w:r>
      <w:r>
        <w:t>22</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Land subject to water supply charges under this Division</w:t>
      </w:r>
      <w:r>
        <w:tab/>
      </w:r>
      <w:r>
        <w:fldChar w:fldCharType="begin"/>
      </w:r>
      <w:r>
        <w:instrText xml:space="preserve"> PAGEREF _Toc84424747 \h </w:instrText>
      </w:r>
      <w:r>
        <w:fldChar w:fldCharType="separate"/>
      </w:r>
      <w:r>
        <w:t>22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Exempt land</w:t>
      </w:r>
      <w:r>
        <w:tab/>
      </w:r>
      <w:r>
        <w:fldChar w:fldCharType="begin"/>
      </w:r>
      <w:r>
        <w:instrText xml:space="preserve"> PAGEREF _Toc84424748 \h </w:instrText>
      </w:r>
      <w:r>
        <w:fldChar w:fldCharType="separate"/>
      </w:r>
      <w:r>
        <w:t>22</w:t>
      </w:r>
      <w:r>
        <w:fldChar w:fldCharType="end"/>
      </w:r>
    </w:p>
    <w:p>
      <w:pPr>
        <w:pStyle w:val="TOC8"/>
        <w:rPr>
          <w:rFonts w:asciiTheme="minorHAnsi" w:eastAsiaTheme="minorEastAsia" w:hAnsiTheme="minorHAnsi" w:cstheme="minorBidi"/>
          <w:szCs w:val="22"/>
        </w:rPr>
      </w:pPr>
      <w:r>
        <w:t>13.</w:t>
      </w:r>
      <w:r>
        <w:tab/>
        <w:t>Classification of land</w:t>
      </w:r>
      <w:r>
        <w:tab/>
      </w:r>
      <w:r>
        <w:fldChar w:fldCharType="begin"/>
      </w:r>
      <w:r>
        <w:instrText xml:space="preserve"> PAGEREF _Toc84424749 \h </w:instrText>
      </w:r>
      <w:r>
        <w:fldChar w:fldCharType="separate"/>
      </w:r>
      <w:r>
        <w:t>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Discrete residential units</w:t>
      </w:r>
      <w:r>
        <w:tab/>
      </w:r>
      <w:r>
        <w:fldChar w:fldCharType="begin"/>
      </w:r>
      <w:r>
        <w:instrText xml:space="preserve"> PAGEREF _Toc84424750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Quantity charges for the supply of water</w:t>
      </w:r>
      <w:r>
        <w:tab/>
      </w:r>
      <w:r>
        <w:fldChar w:fldCharType="begin"/>
      </w:r>
      <w:r>
        <w:instrText xml:space="preserve"> PAGEREF _Toc84424751 \h </w:instrText>
      </w:r>
      <w:r>
        <w:fldChar w:fldCharType="separate"/>
      </w:r>
      <w:r>
        <w:t>26</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Caravan parks</w:t>
      </w:r>
      <w:r>
        <w:tab/>
      </w:r>
      <w:r>
        <w:fldChar w:fldCharType="begin"/>
      </w:r>
      <w:r>
        <w:instrText xml:space="preserve"> PAGEREF _Toc84424752 \h </w:instrText>
      </w:r>
      <w:r>
        <w:fldChar w:fldCharType="separate"/>
      </w:r>
      <w:r>
        <w:t>27</w:t>
      </w:r>
      <w:r>
        <w:fldChar w:fldCharType="end"/>
      </w:r>
    </w:p>
    <w:p>
      <w:pPr>
        <w:pStyle w:val="TOC8"/>
        <w:rPr>
          <w:rFonts w:asciiTheme="minorHAnsi" w:eastAsiaTheme="minorEastAsia" w:hAnsiTheme="minorHAnsi" w:cstheme="minorBidi"/>
          <w:szCs w:val="22"/>
        </w:rPr>
      </w:pPr>
      <w:r>
        <w:t>17B.</w:t>
      </w:r>
      <w:r>
        <w:tab/>
      </w:r>
      <w:r>
        <w:rPr>
          <w:snapToGrid w:val="0"/>
        </w:rPr>
        <w:t>Metropolitan non</w:t>
      </w:r>
      <w:r>
        <w:rPr>
          <w:snapToGrid w:val="0"/>
        </w:rPr>
        <w:noBreakHyphen/>
        <w:t xml:space="preserve">residential </w:t>
      </w:r>
      <w:r>
        <w:t>or commercial residential</w:t>
      </w:r>
      <w:r>
        <w:rPr>
          <w:snapToGrid w:val="0"/>
        </w:rPr>
        <w:t xml:space="preserve"> property water supply charges</w:t>
      </w:r>
      <w:r>
        <w:tab/>
      </w:r>
      <w:r>
        <w:fldChar w:fldCharType="begin"/>
      </w:r>
      <w:r>
        <w:instrText xml:space="preserve"> PAGEREF _Toc84424753 \h </w:instrText>
      </w:r>
      <w:r>
        <w:fldChar w:fldCharType="separate"/>
      </w:r>
      <w:r>
        <w:t>29</w:t>
      </w:r>
      <w:r>
        <w:fldChar w:fldCharType="end"/>
      </w:r>
    </w:p>
    <w:p>
      <w:pPr>
        <w:pStyle w:val="TOC8"/>
        <w:rPr>
          <w:rFonts w:asciiTheme="minorHAnsi" w:eastAsiaTheme="minorEastAsia" w:hAnsiTheme="minorHAnsi" w:cstheme="minorBidi"/>
          <w:szCs w:val="22"/>
        </w:rPr>
      </w:pPr>
      <w:r>
        <w:t>17C.</w:t>
      </w:r>
      <w:r>
        <w:tab/>
        <w:t>Non</w:t>
      </w:r>
      <w:r>
        <w:noBreakHyphen/>
        <w:t>metropolitan, non</w:t>
      </w:r>
      <w:r>
        <w:noBreakHyphen/>
        <w:t>strata titled, Commercial or Industrial property water supply charges</w:t>
      </w:r>
      <w:r>
        <w:tab/>
      </w:r>
      <w:r>
        <w:fldChar w:fldCharType="begin"/>
      </w:r>
      <w:r>
        <w:instrText xml:space="preserve"> PAGEREF _Toc84424754 \h </w:instrText>
      </w:r>
      <w:r>
        <w:fldChar w:fldCharType="separate"/>
      </w:r>
      <w:r>
        <w:t>29</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t>Various non</w:t>
      </w:r>
      <w:r>
        <w:rPr>
          <w:snapToGrid w:val="0"/>
        </w:rPr>
        <w:noBreakHyphen/>
        <w:t>metropolitan water supply charges and classifications</w:t>
      </w:r>
      <w:r>
        <w:tab/>
      </w:r>
      <w:r>
        <w:fldChar w:fldCharType="begin"/>
      </w:r>
      <w:r>
        <w:instrText xml:space="preserve"> PAGEREF _Toc84424755 \h </w:instrText>
      </w:r>
      <w:r>
        <w:fldChar w:fldCharType="separate"/>
      </w:r>
      <w:r>
        <w:t>30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Concessional non</w:t>
      </w:r>
      <w:r>
        <w:rPr>
          <w:snapToGrid w:val="0"/>
        </w:rPr>
        <w:noBreakHyphen/>
        <w:t>metropolitan quantity charge</w:t>
      </w:r>
      <w:r>
        <w:tab/>
      </w:r>
      <w:r>
        <w:fldChar w:fldCharType="begin"/>
      </w:r>
      <w:r>
        <w:instrText xml:space="preserve"> PAGEREF _Toc84424756 \h </w:instrText>
      </w:r>
      <w:r>
        <w:fldChar w:fldCharType="separate"/>
      </w:r>
      <w:r>
        <w:t>31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Concessional metropolitan quantity charge</w:t>
      </w:r>
      <w:r>
        <w:tab/>
      </w:r>
      <w:r>
        <w:fldChar w:fldCharType="begin"/>
      </w:r>
      <w:r>
        <w:instrText xml:space="preserve"> PAGEREF _Toc84424757 \h </w:instrText>
      </w:r>
      <w:r>
        <w:fldChar w:fldCharType="separate"/>
      </w:r>
      <w:r>
        <w:t>32</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Residential multi</w:t>
      </w:r>
      <w:r>
        <w:rPr>
          <w:snapToGrid w:val="0"/>
        </w:rPr>
        <w:noBreakHyphen/>
        <w:t>unit properties — rebates for eligible pensioners</w:t>
      </w:r>
      <w:r>
        <w:tab/>
      </w:r>
      <w:r>
        <w:fldChar w:fldCharType="begin"/>
      </w:r>
      <w:r>
        <w:instrText xml:space="preserve"> PAGEREF _Toc84424758 \h </w:instrText>
      </w:r>
      <w:r>
        <w:fldChar w:fldCharType="separate"/>
      </w:r>
      <w:r>
        <w:t>34</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Capital infrastructure charges</w:t>
      </w:r>
      <w:r>
        <w:tab/>
      </w:r>
      <w:r>
        <w:fldChar w:fldCharType="begin"/>
      </w:r>
      <w:r>
        <w:instrText xml:space="preserve"> PAGEREF _Toc84424759 \h </w:instrText>
      </w:r>
      <w:r>
        <w:fldChar w:fldCharType="separate"/>
      </w:r>
      <w:r>
        <w:t>36</w:t>
      </w:r>
      <w:r>
        <w:fldChar w:fldCharType="end"/>
      </w:r>
    </w:p>
    <w:p>
      <w:pPr>
        <w:pStyle w:val="TOC4"/>
        <w:tabs>
          <w:tab w:val="right" w:leader="dot" w:pos="7087"/>
        </w:tabs>
        <w:rPr>
          <w:rFonts w:asciiTheme="minorHAnsi" w:eastAsiaTheme="minorEastAsia" w:hAnsiTheme="minorHAnsi" w:cstheme="minorBidi"/>
          <w:b w:val="0"/>
          <w:szCs w:val="22"/>
        </w:rPr>
      </w:pPr>
      <w:r>
        <w:t>Division 2</w:t>
      </w:r>
      <w:r>
        <w:rPr>
          <w:snapToGrid w:val="0"/>
        </w:rPr>
        <w:t> — </w:t>
      </w:r>
      <w:r>
        <w:t xml:space="preserve">Water supply under </w:t>
      </w:r>
      <w:r>
        <w:rPr>
          <w:i/>
        </w:rPr>
        <w:t>Rights in Water and Irrigation Act 1914</w:t>
      </w:r>
      <w:r>
        <w:t xml:space="preserve"> other than for irrigation</w:t>
      </w:r>
    </w:p>
    <w:p>
      <w:pPr>
        <w:pStyle w:val="TOC8"/>
        <w:rPr>
          <w:rFonts w:asciiTheme="minorHAnsi" w:eastAsiaTheme="minorEastAsia" w:hAnsiTheme="minorHAnsi" w:cstheme="minorBidi"/>
          <w:szCs w:val="22"/>
        </w:rPr>
      </w:pPr>
      <w:r>
        <w:t>20</w:t>
      </w:r>
      <w:r>
        <w:rPr>
          <w:snapToGrid w:val="0"/>
        </w:rPr>
        <w:t>.</w:t>
      </w:r>
      <w:r>
        <w:rPr>
          <w:snapToGrid w:val="0"/>
        </w:rPr>
        <w:tab/>
        <w:t>Land subject to water supply charges under this Division</w:t>
      </w:r>
      <w:r>
        <w:tab/>
      </w:r>
      <w:r>
        <w:fldChar w:fldCharType="begin"/>
      </w:r>
      <w:r>
        <w:instrText xml:space="preserve"> PAGEREF _Toc84424761 \h </w:instrText>
      </w:r>
      <w:r>
        <w:fldChar w:fldCharType="separate"/>
      </w:r>
      <w:r>
        <w:t>37</w:t>
      </w:r>
      <w:r>
        <w:fldChar w:fldCharType="end"/>
      </w:r>
    </w:p>
    <w:p>
      <w:pPr>
        <w:pStyle w:val="TOC2"/>
        <w:tabs>
          <w:tab w:val="right" w:leader="dot" w:pos="7087"/>
        </w:tabs>
        <w:rPr>
          <w:rFonts w:asciiTheme="minorHAnsi" w:eastAsiaTheme="minorEastAsia" w:hAnsiTheme="minorHAnsi" w:cstheme="minorBidi"/>
          <w:b w:val="0"/>
          <w:sz w:val="22"/>
          <w:szCs w:val="22"/>
        </w:rPr>
      </w:pPr>
      <w:r>
        <w:t>Part 3 — Sewerage</w:t>
      </w:r>
    </w:p>
    <w:p>
      <w:pPr>
        <w:pStyle w:val="TOC8"/>
        <w:rPr>
          <w:rFonts w:asciiTheme="minorHAnsi" w:eastAsiaTheme="minorEastAsia" w:hAnsiTheme="minorHAnsi" w:cstheme="minorBidi"/>
          <w:szCs w:val="22"/>
        </w:rPr>
      </w:pPr>
      <w:r>
        <w:t>21A.</w:t>
      </w:r>
      <w:r>
        <w:tab/>
        <w:t>Terms used</w:t>
      </w:r>
      <w:r>
        <w:tab/>
      </w:r>
      <w:r>
        <w:fldChar w:fldCharType="begin"/>
      </w:r>
      <w:r>
        <w:instrText xml:space="preserve"> PAGEREF _Toc84424763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Land subject to sewerage charges</w:t>
      </w:r>
      <w:r>
        <w:tab/>
      </w:r>
      <w:r>
        <w:fldChar w:fldCharType="begin"/>
      </w:r>
      <w:r>
        <w:instrText xml:space="preserve"> PAGEREF _Toc84424764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 land</w:t>
      </w:r>
      <w:r>
        <w:tab/>
      </w:r>
      <w:r>
        <w:fldChar w:fldCharType="begin"/>
      </w:r>
      <w:r>
        <w:instrText xml:space="preserve"> PAGEREF _Toc84424765 \h </w:instrText>
      </w:r>
      <w:r>
        <w:fldChar w:fldCharType="separate"/>
      </w:r>
      <w:r>
        <w:t>39</w:t>
      </w:r>
      <w:r>
        <w:fldChar w:fldCharType="end"/>
      </w:r>
    </w:p>
    <w:p>
      <w:pPr>
        <w:pStyle w:val="TOC8"/>
        <w:rPr>
          <w:rFonts w:asciiTheme="minorHAnsi" w:eastAsiaTheme="minorEastAsia" w:hAnsiTheme="minorHAnsi" w:cstheme="minorBidi"/>
          <w:szCs w:val="22"/>
        </w:rPr>
      </w:pPr>
      <w:r>
        <w:t>23.</w:t>
      </w:r>
      <w:r>
        <w:tab/>
        <w:t>Classification of land</w:t>
      </w:r>
      <w:r>
        <w:tab/>
      </w:r>
      <w:r>
        <w:fldChar w:fldCharType="begin"/>
      </w:r>
      <w:r>
        <w:instrText xml:space="preserve"> PAGEREF _Toc84424766 \h </w:instrText>
      </w:r>
      <w:r>
        <w:fldChar w:fldCharType="separate"/>
      </w:r>
      <w:r>
        <w:t>39</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Metered metropolitan non</w:t>
      </w:r>
      <w:r>
        <w:rPr>
          <w:snapToGrid w:val="0"/>
        </w:rPr>
        <w:noBreakHyphen/>
        <w:t>residential property sewerage charges</w:t>
      </w:r>
      <w:r>
        <w:tab/>
      </w:r>
      <w:r>
        <w:fldChar w:fldCharType="begin"/>
      </w:r>
      <w:r>
        <w:instrText xml:space="preserve"> PAGEREF _Toc84424767 \h </w:instrText>
      </w:r>
      <w:r>
        <w:fldChar w:fldCharType="separate"/>
      </w:r>
      <w:r>
        <w:t>41</w:t>
      </w:r>
      <w:r>
        <w:fldChar w:fldCharType="end"/>
      </w:r>
    </w:p>
    <w:p>
      <w:pPr>
        <w:pStyle w:val="TOC8"/>
        <w:rPr>
          <w:rFonts w:asciiTheme="minorHAnsi" w:eastAsiaTheme="minorEastAsia" w:hAnsiTheme="minorHAnsi" w:cstheme="minorBidi"/>
          <w:szCs w:val="22"/>
        </w:rPr>
      </w:pPr>
      <w: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r>
        <w:tab/>
      </w:r>
      <w:r>
        <w:fldChar w:fldCharType="begin"/>
      </w:r>
      <w:r>
        <w:instrText xml:space="preserve"> PAGEREF _Toc84424768 \h </w:instrText>
      </w:r>
      <w:r>
        <w:fldChar w:fldCharType="separate"/>
      </w:r>
      <w:r>
        <w:t>43</w:t>
      </w:r>
      <w:r>
        <w:fldChar w:fldCharType="end"/>
      </w:r>
    </w:p>
    <w:p>
      <w:pPr>
        <w:pStyle w:val="TOC8"/>
        <w:rPr>
          <w:rFonts w:asciiTheme="minorHAnsi" w:eastAsiaTheme="minorEastAsia" w:hAnsiTheme="minorHAnsi" w:cstheme="minorBidi"/>
          <w:szCs w:val="22"/>
        </w:rPr>
      </w:pPr>
      <w:r>
        <w:t>25C</w:t>
      </w:r>
      <w:r>
        <w:rPr>
          <w:snapToGrid w:val="0"/>
        </w:rPr>
        <w:t>.</w:t>
      </w:r>
      <w:r>
        <w:rPr>
          <w:snapToGrid w:val="0"/>
        </w:rPr>
        <w:tab/>
        <w:t>Charging for shared sewerage fixtures on metropolitan non</w:t>
      </w:r>
      <w:r>
        <w:rPr>
          <w:snapToGrid w:val="0"/>
        </w:rPr>
        <w:noBreakHyphen/>
        <w:t>residential property</w:t>
      </w:r>
      <w:r>
        <w:tab/>
      </w:r>
      <w:r>
        <w:fldChar w:fldCharType="begin"/>
      </w:r>
      <w:r>
        <w:instrText xml:space="preserve"> PAGEREF _Toc84424769 \h </w:instrText>
      </w:r>
      <w:r>
        <w:fldChar w:fldCharType="separate"/>
      </w:r>
      <w:r>
        <w:t>44</w:t>
      </w:r>
      <w:r>
        <w:fldChar w:fldCharType="end"/>
      </w:r>
    </w:p>
    <w:p>
      <w:pPr>
        <w:pStyle w:val="TOC8"/>
        <w:rPr>
          <w:rFonts w:asciiTheme="minorHAnsi" w:eastAsiaTheme="minorEastAsia" w:hAnsiTheme="minorHAnsi" w:cstheme="minorBidi"/>
          <w:szCs w:val="22"/>
        </w:rPr>
      </w:pPr>
      <w:r>
        <w:t>26.</w:t>
      </w:r>
      <w:r>
        <w:tab/>
      </w:r>
      <w:r>
        <w:rPr>
          <w:snapToGrid w:val="0"/>
        </w:rPr>
        <w:t xml:space="preserve">Metered country </w:t>
      </w:r>
      <w:r>
        <w:t>non</w:t>
      </w:r>
      <w:r>
        <w:noBreakHyphen/>
        <w:t>residential or commercial residential</w:t>
      </w:r>
      <w:r>
        <w:rPr>
          <w:snapToGrid w:val="0"/>
        </w:rPr>
        <w:t xml:space="preserve"> property sewerage charges</w:t>
      </w:r>
      <w:r>
        <w:tab/>
      </w:r>
      <w:r>
        <w:fldChar w:fldCharType="begin"/>
      </w:r>
      <w:r>
        <w:instrText xml:space="preserve"> PAGEREF _Toc84424770 \h </w:instrText>
      </w:r>
      <w:r>
        <w:fldChar w:fldCharType="separate"/>
      </w:r>
      <w:r>
        <w:t>44</w:t>
      </w:r>
      <w:r>
        <w:fldChar w:fldCharType="end"/>
      </w:r>
    </w:p>
    <w:p>
      <w:pPr>
        <w:pStyle w:val="TOC8"/>
        <w:rPr>
          <w:rFonts w:asciiTheme="minorHAnsi" w:eastAsiaTheme="minorEastAsia" w:hAnsiTheme="minorHAnsi" w:cstheme="minorBidi"/>
          <w:szCs w:val="22"/>
        </w:rPr>
      </w:pPr>
      <w:r>
        <w:t>26A.</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r>
        <w:tab/>
      </w:r>
      <w:r>
        <w:fldChar w:fldCharType="begin"/>
      </w:r>
      <w:r>
        <w:instrText xml:space="preserve"> PAGEREF _Toc84424771 \h </w:instrText>
      </w:r>
      <w:r>
        <w:fldChar w:fldCharType="separate"/>
      </w:r>
      <w:r>
        <w:t>46</w:t>
      </w:r>
      <w:r>
        <w:fldChar w:fldCharType="end"/>
      </w:r>
    </w:p>
    <w:p>
      <w:pPr>
        <w:pStyle w:val="TOC8"/>
        <w:rPr>
          <w:rFonts w:asciiTheme="minorHAnsi" w:eastAsiaTheme="minorEastAsia" w:hAnsiTheme="minorHAnsi" w:cstheme="minorBidi"/>
          <w:szCs w:val="22"/>
        </w:rPr>
      </w:pPr>
      <w:r>
        <w:lastRenderedPageBreak/>
        <w:t>26B.</w:t>
      </w:r>
      <w:r>
        <w:tab/>
        <w:t xml:space="preserve">Charging for shared sewerage fixtures on </w:t>
      </w:r>
      <w:r>
        <w:rPr>
          <w:snapToGrid w:val="0"/>
        </w:rPr>
        <w:t xml:space="preserve">country </w:t>
      </w:r>
      <w:r>
        <w:t>non</w:t>
      </w:r>
      <w:r>
        <w:noBreakHyphen/>
        <w:t>residential or commercial residential property</w:t>
      </w:r>
      <w:r>
        <w:tab/>
      </w:r>
      <w:r>
        <w:fldChar w:fldCharType="begin"/>
      </w:r>
      <w:r>
        <w:instrText xml:space="preserve"> PAGEREF _Toc84424772 \h </w:instrText>
      </w:r>
      <w:r>
        <w:fldChar w:fldCharType="separate"/>
      </w:r>
      <w:r>
        <w:t>47</w:t>
      </w:r>
      <w:r>
        <w:fldChar w:fldCharType="end"/>
      </w:r>
    </w:p>
    <w:p>
      <w:pPr>
        <w:pStyle w:val="TOC2"/>
        <w:tabs>
          <w:tab w:val="right" w:leader="dot" w:pos="7087"/>
        </w:tabs>
        <w:rPr>
          <w:rFonts w:asciiTheme="minorHAnsi" w:eastAsiaTheme="minorEastAsia" w:hAnsiTheme="minorHAnsi" w:cstheme="minorBidi"/>
          <w:b w:val="0"/>
          <w:sz w:val="22"/>
          <w:szCs w:val="22"/>
        </w:rPr>
      </w:pPr>
      <w:r>
        <w:t>Part 4 — Drainage</w:t>
      </w:r>
    </w:p>
    <w:p>
      <w:pPr>
        <w:pStyle w:val="TOC8"/>
        <w:rPr>
          <w:rFonts w:asciiTheme="minorHAnsi" w:eastAsiaTheme="minorEastAsia" w:hAnsiTheme="minorHAnsi" w:cstheme="minorBidi"/>
          <w:szCs w:val="22"/>
        </w:rPr>
      </w:pPr>
      <w:r>
        <w:t>27</w:t>
      </w:r>
      <w:r>
        <w:rPr>
          <w:snapToGrid w:val="0"/>
        </w:rPr>
        <w:t>.</w:t>
      </w:r>
      <w:r>
        <w:rPr>
          <w:snapToGrid w:val="0"/>
        </w:rPr>
        <w:tab/>
        <w:t>Land subject to drainage charges</w:t>
      </w:r>
      <w:r>
        <w:tab/>
      </w:r>
      <w:r>
        <w:fldChar w:fldCharType="begin"/>
      </w:r>
      <w:r>
        <w:instrText xml:space="preserve"> PAGEREF _Toc84424774 \h </w:instrText>
      </w:r>
      <w:r>
        <w:fldChar w:fldCharType="separate"/>
      </w:r>
      <w:r>
        <w:t>48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Exempt land</w:t>
      </w:r>
      <w:r>
        <w:tab/>
      </w:r>
      <w:r>
        <w:fldChar w:fldCharType="begin"/>
      </w:r>
      <w:r>
        <w:instrText xml:space="preserve"> PAGEREF _Toc84424775 \h </w:instrText>
      </w:r>
      <w:r>
        <w:fldChar w:fldCharType="separate"/>
      </w:r>
      <w:r>
        <w:t>48</w:t>
      </w:r>
      <w:r>
        <w:fldChar w:fldCharType="end"/>
      </w:r>
    </w:p>
    <w:p>
      <w:pPr>
        <w:pStyle w:val="TOC8"/>
        <w:rPr>
          <w:rFonts w:asciiTheme="minorHAnsi" w:eastAsiaTheme="minorEastAsia" w:hAnsiTheme="minorHAnsi" w:cstheme="minorBidi"/>
          <w:szCs w:val="22"/>
        </w:rPr>
      </w:pPr>
      <w:r>
        <w:t>29.</w:t>
      </w:r>
      <w:r>
        <w:tab/>
        <w:t>Classification of land</w:t>
      </w:r>
      <w:r>
        <w:tab/>
      </w:r>
      <w:r>
        <w:fldChar w:fldCharType="begin"/>
      </w:r>
      <w:r>
        <w:instrText xml:space="preserve"> PAGEREF _Toc84424776 \h </w:instrText>
      </w:r>
      <w:r>
        <w:fldChar w:fldCharType="separate"/>
      </w:r>
      <w:r>
        <w:t>49</w:t>
      </w:r>
      <w:r>
        <w:fldChar w:fldCharType="end"/>
      </w:r>
    </w:p>
    <w:p>
      <w:pPr>
        <w:pStyle w:val="TOC2"/>
        <w:tabs>
          <w:tab w:val="right" w:leader="dot" w:pos="7087"/>
        </w:tabs>
        <w:rPr>
          <w:rFonts w:asciiTheme="minorHAnsi" w:eastAsiaTheme="minorEastAsia" w:hAnsiTheme="minorHAnsi" w:cstheme="minorBidi"/>
          <w:b w:val="0"/>
          <w:sz w:val="22"/>
          <w:szCs w:val="22"/>
        </w:rPr>
      </w:pPr>
      <w:r>
        <w:t>Part 5 — Irrigation</w:t>
      </w:r>
    </w:p>
    <w:p>
      <w:pPr>
        <w:pStyle w:val="TOC8"/>
        <w:rPr>
          <w:rFonts w:asciiTheme="minorHAnsi" w:eastAsiaTheme="minorEastAsia" w:hAnsiTheme="minorHAnsi" w:cstheme="minorBidi"/>
          <w:szCs w:val="22"/>
        </w:rPr>
      </w:pPr>
      <w:r>
        <w:t>31</w:t>
      </w:r>
      <w:r>
        <w:rPr>
          <w:snapToGrid w:val="0"/>
        </w:rPr>
        <w:t>.</w:t>
      </w:r>
      <w:r>
        <w:rPr>
          <w:snapToGrid w:val="0"/>
        </w:rPr>
        <w:tab/>
        <w:t>Land subject to irrigation charges</w:t>
      </w:r>
      <w:r>
        <w:tab/>
      </w:r>
      <w:r>
        <w:fldChar w:fldCharType="begin"/>
      </w:r>
      <w:r>
        <w:instrText xml:space="preserve"> PAGEREF _Toc84424778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Exempt land</w:t>
      </w:r>
      <w:r>
        <w:tab/>
      </w:r>
      <w:r>
        <w:fldChar w:fldCharType="begin"/>
      </w:r>
      <w:r>
        <w:instrText xml:space="preserve"> PAGEREF _Toc84424779 \h </w:instrText>
      </w:r>
      <w:r>
        <w:fldChar w:fldCharType="separate"/>
      </w:r>
      <w:r>
        <w:t>50</w:t>
      </w:r>
      <w:r>
        <w:fldChar w:fldCharType="end"/>
      </w:r>
    </w:p>
    <w:p>
      <w:pPr>
        <w:pStyle w:val="TOC2"/>
        <w:tabs>
          <w:tab w:val="right" w:leader="dot" w:pos="7087"/>
        </w:tabs>
        <w:rPr>
          <w:rFonts w:asciiTheme="minorHAnsi" w:eastAsiaTheme="minorEastAsia" w:hAnsiTheme="minorHAnsi" w:cstheme="minorBidi"/>
          <w:b w:val="0"/>
          <w:sz w:val="22"/>
          <w:szCs w:val="22"/>
        </w:rPr>
      </w:pPr>
      <w:r>
        <w:t xml:space="preserve">Schedule 1 — Charges for water supply other than under the </w:t>
      </w:r>
      <w:r>
        <w:rPr>
          <w:i/>
        </w:rPr>
        <w:t>Rights in Water and Irrigation Act 1914</w:t>
      </w:r>
      <w:r>
        <w:t xml:space="preserve"> for 2013/2014</w:t>
      </w:r>
    </w:p>
    <w:p>
      <w:pPr>
        <w:pStyle w:val="TOC4"/>
        <w:tabs>
          <w:tab w:val="right" w:leader="dot" w:pos="7087"/>
        </w:tabs>
        <w:rPr>
          <w:rFonts w:asciiTheme="minorHAnsi" w:eastAsiaTheme="minorEastAsia" w:hAnsiTheme="minorHAnsi" w:cstheme="minorBidi"/>
          <w:b w:val="0"/>
          <w:szCs w:val="22"/>
        </w:rPr>
      </w:pPr>
      <w:r>
        <w:t>Division 1</w:t>
      </w:r>
      <w:r>
        <w:rPr>
          <w:b w:val="0"/>
        </w:rPr>
        <w:t> — </w:t>
      </w:r>
      <w:r>
        <w:t>Fixed charges</w:t>
      </w:r>
    </w:p>
    <w:p>
      <w:pPr>
        <w:pStyle w:val="TOC4"/>
        <w:tabs>
          <w:tab w:val="right" w:leader="dot" w:pos="7087"/>
        </w:tabs>
        <w:rPr>
          <w:rFonts w:asciiTheme="minorHAnsi" w:eastAsiaTheme="minorEastAsia" w:hAnsiTheme="minorHAnsi" w:cstheme="minorBidi"/>
          <w:b w:val="0"/>
          <w:szCs w:val="22"/>
        </w:rPr>
      </w:pPr>
      <w:r>
        <w:t>Division 2 — Quantity charges</w:t>
      </w:r>
    </w:p>
    <w:p>
      <w:pPr>
        <w:pStyle w:val="TOC4"/>
        <w:tabs>
          <w:tab w:val="right" w:leader="dot" w:pos="7087"/>
        </w:tabs>
        <w:rPr>
          <w:rFonts w:asciiTheme="minorHAnsi" w:eastAsiaTheme="minorEastAsia" w:hAnsiTheme="minorHAnsi" w:cstheme="minorBidi"/>
          <w:b w:val="0"/>
          <w:szCs w:val="22"/>
        </w:rPr>
      </w:pPr>
      <w:r>
        <w:t>Division 3</w:t>
      </w:r>
      <w:r>
        <w:rPr>
          <w:b w:val="0"/>
        </w:rPr>
        <w:t> — </w:t>
      </w:r>
      <w:r>
        <w:t>Formula for the purposes of by</w:t>
      </w:r>
      <w:r>
        <w:noBreakHyphen/>
        <w:t>law 17(3)</w:t>
      </w:r>
    </w:p>
    <w:p>
      <w:pPr>
        <w:pStyle w:val="TOC8"/>
        <w:rPr>
          <w:rFonts w:asciiTheme="minorHAnsi" w:eastAsiaTheme="minorEastAsia" w:hAnsiTheme="minorHAnsi" w:cstheme="minorBidi"/>
          <w:szCs w:val="22"/>
        </w:rPr>
      </w:pPr>
      <w:r>
        <w:t>35.</w:t>
      </w:r>
      <w:r>
        <w:tab/>
        <w:t>Formula for the purposes of by</w:t>
      </w:r>
      <w:r>
        <w:noBreakHyphen/>
        <w:t>law 17(3)</w:t>
      </w:r>
      <w:r>
        <w:tab/>
      </w:r>
      <w:r>
        <w:fldChar w:fldCharType="begin"/>
      </w:r>
      <w:r>
        <w:instrText xml:space="preserve"> PAGEREF _Toc84424784 \h </w:instrText>
      </w:r>
      <w:r>
        <w:fldChar w:fldCharType="separate"/>
      </w:r>
      <w:r>
        <w:t>69</w:t>
      </w:r>
      <w:r>
        <w:fldChar w:fldCharType="end"/>
      </w:r>
    </w:p>
    <w:p>
      <w:pPr>
        <w:pStyle w:val="TOC4"/>
        <w:tabs>
          <w:tab w:val="right" w:leader="dot" w:pos="7087"/>
        </w:tabs>
        <w:rPr>
          <w:rFonts w:asciiTheme="minorHAnsi" w:eastAsiaTheme="minorEastAsia" w:hAnsiTheme="minorHAnsi" w:cstheme="minorBidi"/>
          <w:b w:val="0"/>
          <w:szCs w:val="22"/>
        </w:rPr>
      </w:pPr>
      <w:r>
        <w:t>Division 4</w:t>
      </w:r>
      <w:r>
        <w:rPr>
          <w:b w:val="0"/>
        </w:rPr>
        <w:t> — </w:t>
      </w:r>
      <w:r>
        <w:t>Capital infrastructure charges determined under by</w:t>
      </w:r>
      <w:r>
        <w:noBreakHyphen/>
        <w:t>law 19A</w:t>
      </w:r>
    </w:p>
    <w:p>
      <w:pPr>
        <w:pStyle w:val="TOC8"/>
        <w:rPr>
          <w:rFonts w:asciiTheme="minorHAnsi" w:eastAsiaTheme="minorEastAsia" w:hAnsiTheme="minorHAnsi" w:cstheme="minorBidi"/>
          <w:szCs w:val="22"/>
        </w:rPr>
      </w:pPr>
      <w:r>
        <w:t>36.</w:t>
      </w:r>
      <w:r>
        <w:tab/>
        <w:t>Capital infrastructure charges determined under by</w:t>
      </w:r>
      <w:r>
        <w:noBreakHyphen/>
        <w:t>law 19A</w:t>
      </w:r>
      <w:r>
        <w:tab/>
      </w:r>
      <w:r>
        <w:fldChar w:fldCharType="begin"/>
      </w:r>
      <w:r>
        <w:instrText xml:space="preserve"> PAGEREF _Toc84424786 \h </w:instrText>
      </w:r>
      <w:r>
        <w:fldChar w:fldCharType="separate"/>
      </w:r>
      <w:r>
        <w:t>70</w:t>
      </w:r>
      <w:r>
        <w:fldChar w:fldCharType="end"/>
      </w:r>
    </w:p>
    <w:p>
      <w:pPr>
        <w:pStyle w:val="TOC2"/>
        <w:keepNext w:val="0"/>
        <w:tabs>
          <w:tab w:val="right" w:leader="dot" w:pos="7087"/>
        </w:tabs>
        <w:rPr>
          <w:rFonts w:asciiTheme="minorHAnsi" w:eastAsiaTheme="minorEastAsia" w:hAnsiTheme="minorHAnsi" w:cstheme="minorBidi"/>
          <w:b w:val="0"/>
          <w:sz w:val="22"/>
          <w:szCs w:val="22"/>
        </w:rPr>
      </w:pPr>
      <w:r>
        <w:t xml:space="preserve">Schedule 2 — Charges for water supply under the </w:t>
      </w:r>
      <w:r>
        <w:rPr>
          <w:i/>
        </w:rPr>
        <w:t>Rights in Water and Irrigation Act 1914</w:t>
      </w:r>
      <w:r>
        <w:t xml:space="preserve"> for 2013/2014</w:t>
      </w:r>
    </w:p>
    <w:p>
      <w:pPr>
        <w:pStyle w:val="TOC4"/>
        <w:keepNext w:val="0"/>
        <w:tabs>
          <w:tab w:val="right" w:leader="dot" w:pos="7087"/>
        </w:tabs>
        <w:rPr>
          <w:rFonts w:asciiTheme="minorHAnsi" w:eastAsiaTheme="minorEastAsia" w:hAnsiTheme="minorHAnsi" w:cstheme="minorBidi"/>
          <w:b w:val="0"/>
          <w:szCs w:val="22"/>
        </w:rPr>
      </w:pPr>
      <w:r>
        <w:t>Division 1 — Fixed charges</w:t>
      </w:r>
    </w:p>
    <w:p>
      <w:pPr>
        <w:pStyle w:val="TOC4"/>
        <w:keepNext w:val="0"/>
        <w:tabs>
          <w:tab w:val="right" w:leader="dot" w:pos="7087"/>
        </w:tabs>
        <w:rPr>
          <w:rFonts w:asciiTheme="minorHAnsi" w:eastAsiaTheme="minorEastAsia" w:hAnsiTheme="minorHAnsi" w:cstheme="minorBidi"/>
          <w:b w:val="0"/>
          <w:szCs w:val="22"/>
        </w:rPr>
      </w:pPr>
      <w:r>
        <w:t>Division 2 — Variable charges and charges by way of a rate</w:t>
      </w:r>
    </w:p>
    <w:p>
      <w:pPr>
        <w:pStyle w:val="TOC2"/>
        <w:tabs>
          <w:tab w:val="right" w:leader="dot" w:pos="7087"/>
        </w:tabs>
        <w:rPr>
          <w:rFonts w:asciiTheme="minorHAnsi" w:eastAsiaTheme="minorEastAsia" w:hAnsiTheme="minorHAnsi" w:cstheme="minorBidi"/>
          <w:b w:val="0"/>
          <w:sz w:val="22"/>
          <w:szCs w:val="22"/>
        </w:rPr>
      </w:pPr>
      <w:r>
        <w:lastRenderedPageBreak/>
        <w:t>Schedule 3 — Charges for sewerage for 2013/2014</w:t>
      </w:r>
    </w:p>
    <w:p>
      <w:pPr>
        <w:pStyle w:val="TOC4"/>
        <w:tabs>
          <w:tab w:val="right" w:leader="dot" w:pos="7087"/>
        </w:tabs>
        <w:rPr>
          <w:rFonts w:asciiTheme="minorHAnsi" w:eastAsiaTheme="minorEastAsia" w:hAnsiTheme="minorHAnsi" w:cstheme="minorBidi"/>
          <w:b w:val="0"/>
          <w:szCs w:val="22"/>
        </w:rPr>
      </w:pPr>
      <w:r>
        <w:t>Division 1</w:t>
      </w:r>
      <w:r>
        <w:rPr>
          <w:b w:val="0"/>
        </w:rPr>
        <w:t> — </w:t>
      </w:r>
      <w:r>
        <w:t>Fixed charges</w:t>
      </w:r>
    </w:p>
    <w:p>
      <w:pPr>
        <w:pStyle w:val="TOC4"/>
        <w:tabs>
          <w:tab w:val="right" w:leader="dot" w:pos="7087"/>
        </w:tabs>
        <w:rPr>
          <w:rFonts w:asciiTheme="minorHAnsi" w:eastAsiaTheme="minorEastAsia" w:hAnsiTheme="minorHAnsi" w:cstheme="minorBidi"/>
          <w:b w:val="0"/>
          <w:szCs w:val="22"/>
        </w:rPr>
      </w:pPr>
      <w:r>
        <w:t>Division 2 — Variable charges and charges by way of a rate</w:t>
      </w:r>
    </w:p>
    <w:p>
      <w:pPr>
        <w:pStyle w:val="TOC4"/>
        <w:tabs>
          <w:tab w:val="right" w:leader="dot" w:pos="7087"/>
        </w:tabs>
        <w:rPr>
          <w:rFonts w:asciiTheme="minorHAnsi" w:eastAsiaTheme="minorEastAsia" w:hAnsiTheme="minorHAnsi" w:cstheme="minorBidi"/>
          <w:b w:val="0"/>
          <w:szCs w:val="22"/>
        </w:rPr>
      </w:pPr>
      <w:r>
        <w:t>Division 3 — Variable charges</w:t>
      </w:r>
    </w:p>
    <w:p>
      <w:pPr>
        <w:pStyle w:val="TOC4"/>
        <w:tabs>
          <w:tab w:val="right" w:leader="dot" w:pos="7087"/>
        </w:tabs>
        <w:rPr>
          <w:rFonts w:asciiTheme="minorHAnsi" w:eastAsiaTheme="minorEastAsia" w:hAnsiTheme="minorHAnsi" w:cstheme="minorBidi"/>
          <w:b w:val="0"/>
          <w:szCs w:val="22"/>
        </w:rPr>
      </w:pPr>
      <w:r>
        <w:t>Division 4 — Metropolitan combined charges</w:t>
      </w:r>
    </w:p>
    <w:p>
      <w:pPr>
        <w:pStyle w:val="TOC4"/>
        <w:tabs>
          <w:tab w:val="right" w:leader="dot" w:pos="7087"/>
        </w:tabs>
        <w:rPr>
          <w:rFonts w:asciiTheme="minorHAnsi" w:eastAsiaTheme="minorEastAsia" w:hAnsiTheme="minorHAnsi" w:cstheme="minorBidi"/>
          <w:b w:val="0"/>
          <w:szCs w:val="22"/>
        </w:rPr>
      </w:pPr>
      <w:r>
        <w:t>Division 5</w:t>
      </w:r>
      <w:r>
        <w:rPr>
          <w:b w:val="0"/>
        </w:rPr>
        <w:t> — </w:t>
      </w:r>
      <w:r>
        <w:t>Computation of combined metropolitan charges</w:t>
      </w:r>
    </w:p>
    <w:p>
      <w:pPr>
        <w:pStyle w:val="TOC4"/>
        <w:tabs>
          <w:tab w:val="right" w:leader="dot" w:pos="7087"/>
        </w:tabs>
        <w:rPr>
          <w:rFonts w:asciiTheme="minorHAnsi" w:eastAsiaTheme="minorEastAsia" w:hAnsiTheme="minorHAnsi" w:cstheme="minorBidi"/>
          <w:b w:val="0"/>
          <w:szCs w:val="22"/>
        </w:rPr>
      </w:pPr>
      <w:r>
        <w:t>Division 6 — Service charges for industrial waste</w:t>
      </w:r>
    </w:p>
    <w:p>
      <w:pPr>
        <w:pStyle w:val="TOC4"/>
        <w:tabs>
          <w:tab w:val="right" w:leader="dot" w:pos="7087"/>
        </w:tabs>
        <w:rPr>
          <w:rFonts w:asciiTheme="minorHAnsi" w:eastAsiaTheme="minorEastAsia" w:hAnsiTheme="minorHAnsi" w:cstheme="minorBidi"/>
          <w:b w:val="0"/>
          <w:szCs w:val="22"/>
        </w:rPr>
      </w:pPr>
      <w:r>
        <w:t>Division 7 — Combined charges for country</w:t>
      </w:r>
    </w:p>
    <w:p>
      <w:pPr>
        <w:pStyle w:val="TOC4"/>
        <w:tabs>
          <w:tab w:val="right" w:leader="dot" w:pos="7087"/>
        </w:tabs>
        <w:rPr>
          <w:rFonts w:asciiTheme="minorHAnsi" w:eastAsiaTheme="minorEastAsia" w:hAnsiTheme="minorHAnsi" w:cstheme="minorBidi"/>
          <w:b w:val="0"/>
          <w:szCs w:val="22"/>
        </w:rPr>
      </w:pPr>
      <w:r>
        <w:t>Division 8 — Computation of combined charges for country</w:t>
      </w:r>
    </w:p>
    <w:p>
      <w:pPr>
        <w:pStyle w:val="TOC2"/>
        <w:tabs>
          <w:tab w:val="right" w:leader="dot" w:pos="7087"/>
        </w:tabs>
        <w:rPr>
          <w:rFonts w:asciiTheme="minorHAnsi" w:eastAsiaTheme="minorEastAsia" w:hAnsiTheme="minorHAnsi" w:cstheme="minorBidi"/>
          <w:b w:val="0"/>
          <w:sz w:val="22"/>
          <w:szCs w:val="22"/>
        </w:rPr>
      </w:pPr>
      <w:r>
        <w:t>Schedule 4 — Charges for drainage for 2013/2014</w:t>
      </w:r>
    </w:p>
    <w:p>
      <w:pPr>
        <w:pStyle w:val="TOC4"/>
        <w:tabs>
          <w:tab w:val="right" w:leader="dot" w:pos="7087"/>
        </w:tabs>
        <w:rPr>
          <w:rFonts w:asciiTheme="minorHAnsi" w:eastAsiaTheme="minorEastAsia" w:hAnsiTheme="minorHAnsi" w:cstheme="minorBidi"/>
          <w:b w:val="0"/>
          <w:szCs w:val="22"/>
        </w:rPr>
      </w:pPr>
      <w:r>
        <w:t>Division 1 — Fixed charges</w:t>
      </w:r>
    </w:p>
    <w:p>
      <w:pPr>
        <w:pStyle w:val="TOC4"/>
        <w:tabs>
          <w:tab w:val="right" w:leader="dot" w:pos="7087"/>
        </w:tabs>
        <w:rPr>
          <w:rFonts w:asciiTheme="minorHAnsi" w:eastAsiaTheme="minorEastAsia" w:hAnsiTheme="minorHAnsi" w:cstheme="minorBidi"/>
          <w:b w:val="0"/>
          <w:szCs w:val="22"/>
        </w:rPr>
      </w:pPr>
      <w:r>
        <w:t>Division 2 — Charges by way of rate</w:t>
      </w:r>
    </w:p>
    <w:p>
      <w:pPr>
        <w:pStyle w:val="TOC2"/>
        <w:tabs>
          <w:tab w:val="right" w:leader="dot" w:pos="7087"/>
        </w:tabs>
        <w:rPr>
          <w:rFonts w:asciiTheme="minorHAnsi" w:eastAsiaTheme="minorEastAsia" w:hAnsiTheme="minorHAnsi" w:cstheme="minorBidi"/>
          <w:b w:val="0"/>
          <w:sz w:val="22"/>
          <w:szCs w:val="22"/>
        </w:rPr>
      </w:pPr>
      <w:r>
        <w:t>Schedule 5 — Charges for irrigation for 2013/2014</w:t>
      </w:r>
    </w:p>
    <w:p>
      <w:pPr>
        <w:pStyle w:val="TOC2"/>
        <w:tabs>
          <w:tab w:val="right" w:leader="dot" w:pos="7087"/>
        </w:tabs>
        <w:rPr>
          <w:rFonts w:asciiTheme="minorHAnsi" w:eastAsiaTheme="minorEastAsia" w:hAnsiTheme="minorHAnsi" w:cstheme="minorBidi"/>
          <w:b w:val="0"/>
          <w:sz w:val="22"/>
          <w:szCs w:val="22"/>
        </w:rPr>
      </w:pPr>
      <w:r>
        <w:t>Schedule 7 — Concessional charges and interest rates</w:t>
      </w:r>
    </w:p>
    <w:p>
      <w:pPr>
        <w:pStyle w:val="TOC2"/>
        <w:tabs>
          <w:tab w:val="right" w:leader="dot" w:pos="7087"/>
        </w:tabs>
        <w:rPr>
          <w:rFonts w:asciiTheme="minorHAnsi" w:eastAsiaTheme="minorEastAsia" w:hAnsiTheme="minorHAnsi" w:cstheme="minorBidi"/>
          <w:b w:val="0"/>
          <w:sz w:val="22"/>
          <w:szCs w:val="22"/>
        </w:rPr>
      </w:pPr>
      <w:r>
        <w:t>Schedule 8 — Water supply charges for Government trading organisations and non</w:t>
      </w:r>
      <w:r>
        <w:noBreakHyphen/>
        <w:t>commercial Government property</w:t>
      </w:r>
    </w:p>
    <w:p>
      <w:pPr>
        <w:pStyle w:val="TOC2"/>
        <w:keepNext w:val="0"/>
        <w:tabs>
          <w:tab w:val="right" w:leader="dot" w:pos="7087"/>
        </w:tabs>
        <w:rPr>
          <w:rFonts w:asciiTheme="minorHAnsi" w:eastAsiaTheme="minorEastAsia" w:hAnsiTheme="minorHAnsi" w:cstheme="minorBidi"/>
          <w:b w:val="0"/>
          <w:sz w:val="22"/>
          <w:szCs w:val="22"/>
        </w:rPr>
      </w:pPr>
      <w:r>
        <w:t>Schedule 9 — Classification of towns/areas for the purpose of determining quantity charges in the previous year</w:t>
      </w:r>
    </w:p>
    <w:p>
      <w:pPr>
        <w:pStyle w:val="TOC2"/>
        <w:tabs>
          <w:tab w:val="right" w:leader="dot" w:pos="7087"/>
        </w:tabs>
        <w:rPr>
          <w:rFonts w:asciiTheme="minorHAnsi" w:eastAsiaTheme="minorEastAsia" w:hAnsiTheme="minorHAnsi" w:cstheme="minorBidi"/>
          <w:b w:val="0"/>
          <w:sz w:val="22"/>
          <w:szCs w:val="22"/>
        </w:rPr>
      </w:pPr>
      <w:r>
        <w:lastRenderedPageBreak/>
        <w:t>Schedule 10 — Classification of towns/areas for the purpose of determining quantity charges in the current year</w:t>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_Toc84424808 \h </w:instrText>
      </w:r>
      <w:r>
        <w:fldChar w:fldCharType="separate"/>
      </w:r>
      <w:r>
        <w:t>129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_Toc84424809 \h </w:instrText>
      </w:r>
      <w:r>
        <w:fldChar w:fldCharType="separate"/>
      </w:r>
      <w:r>
        <w:t>135</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Water Agencies (Powers) Act 1984</w:t>
      </w:r>
    </w:p>
    <w:p>
      <w:pPr>
        <w:pStyle w:val="NameofActReg"/>
        <w:spacing w:before="600" w:after="720"/>
      </w:pPr>
      <w:r>
        <w:t>Water Agencies (Charges) By</w:t>
      </w:r>
      <w:r>
        <w:noBreakHyphen/>
        <w:t>laws 1987</w:t>
      </w:r>
    </w:p>
    <w:p>
      <w:pPr>
        <w:pStyle w:val="Heading5"/>
        <w:spacing w:before="160"/>
        <w:rPr>
          <w:snapToGrid w:val="0"/>
        </w:rPr>
      </w:pPr>
      <w:bookmarkStart w:id="1" w:name="_Toc84424728"/>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2" w:name="_Toc84424729"/>
      <w:r>
        <w:rPr>
          <w:rStyle w:val="CharSectno"/>
        </w:rPr>
        <w:t>2</w:t>
      </w:r>
      <w:r>
        <w:rPr>
          <w:snapToGrid w:val="0"/>
        </w:rPr>
        <w:t>.</w:t>
      </w:r>
      <w:r>
        <w:rPr>
          <w:snapToGrid w:val="0"/>
        </w:rPr>
        <w:tab/>
        <w:t>Terms used</w:t>
      </w:r>
      <w:bookmarkEnd w:id="2"/>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tab/>
      </w:r>
      <w:r>
        <w:rPr>
          <w:rStyle w:val="CharDefText"/>
        </w:rPr>
        <w:t>aged home</w:t>
      </w:r>
      <w:r>
        <w:t xml:space="preserve"> means an institution that, in the opinion of the Corporation — </w:t>
      </w:r>
    </w:p>
    <w:p>
      <w:pPr>
        <w:pStyle w:val="Defpara"/>
      </w:pPr>
      <w:r>
        <w:tab/>
        <w:t>(a)</w:t>
      </w:r>
      <w:r>
        <w:tab/>
        <w:t>provides accommodation for aged persons; and</w:t>
      </w:r>
    </w:p>
    <w:p>
      <w:pPr>
        <w:pStyle w:val="Defpara"/>
      </w:pPr>
      <w:r>
        <w:tab/>
        <w:t>(b)</w:t>
      </w:r>
      <w:r>
        <w:tab/>
        <w:t>is not operated for the purpose of profit or gain;</w:t>
      </w:r>
    </w:p>
    <w:p>
      <w:pPr>
        <w:pStyle w:val="Defstart"/>
      </w:pPr>
      <w:r>
        <w:rPr>
          <w:b/>
        </w:rPr>
        <w:tab/>
      </w:r>
      <w:r>
        <w:rPr>
          <w:rStyle w:val="CharDefText"/>
        </w:rPr>
        <w:t>caravan bay</w:t>
      </w:r>
      <w:r>
        <w:t xml:space="preserve"> means </w:t>
      </w:r>
      <w:r>
        <w:rPr>
          <w:rStyle w:val="CharDefText"/>
        </w:rPr>
        <w:t>site</w:t>
      </w:r>
      <w:r>
        <w:t xml:space="preserve"> as that word is defined in the </w:t>
      </w:r>
      <w:r>
        <w:rPr>
          <w:i/>
        </w:rPr>
        <w:t>Caravan Parks and Camping Grounds Act 1995</w:t>
      </w:r>
      <w:r>
        <w:t>;</w:t>
      </w:r>
    </w:p>
    <w:p>
      <w:pPr>
        <w:pStyle w:val="Defstart"/>
      </w:pPr>
      <w:r>
        <w:tab/>
      </w:r>
      <w:r>
        <w:rPr>
          <w:rStyle w:val="CharDefText"/>
        </w:rPr>
        <w:t>consumption year</w:t>
      </w:r>
      <w:r>
        <w:t>, in relation to a property, means the period determined by the Corporation for the purposes of calculating the quantity charge for the supply of water to the property;</w:t>
      </w:r>
    </w:p>
    <w:p>
      <w:pPr>
        <w:pStyle w:val="Defstart"/>
      </w:pPr>
      <w:r>
        <w:rPr>
          <w:b/>
        </w:rPr>
        <w:tab/>
      </w:r>
      <w:r>
        <w:rPr>
          <w:rStyle w:val="CharDefText"/>
        </w:rPr>
        <w:t>country sewerage area</w:t>
      </w:r>
      <w:r>
        <w:t xml:space="preserve"> means a sewerage area constituted under the </w:t>
      </w:r>
      <w:r>
        <w:rPr>
          <w:i/>
        </w:rPr>
        <w:t>Country Towns Sewerage Act 1948</w:t>
      </w:r>
      <w:r>
        <w:t>;</w:t>
      </w:r>
    </w:p>
    <w:p>
      <w:pPr>
        <w:pStyle w:val="Defstart"/>
      </w:pPr>
      <w:r>
        <w:rPr>
          <w:b/>
        </w:rPr>
        <w:tab/>
      </w:r>
      <w:r>
        <w:rPr>
          <w:rStyle w:val="CharDefText"/>
        </w:rPr>
        <w:t>current year</w:t>
      </w:r>
      <w:r>
        <w:t xml:space="preserve"> means the current financial year;</w:t>
      </w:r>
    </w:p>
    <w:p>
      <w:pPr>
        <w:pStyle w:val="Defstart"/>
        <w:keepNext/>
      </w:pPr>
      <w:r>
        <w:rPr>
          <w:b/>
        </w:rPr>
        <w:lastRenderedPageBreak/>
        <w:tab/>
      </w:r>
      <w:r>
        <w:rPr>
          <w:rStyle w:val="CharDefText"/>
        </w:rPr>
        <w:t>discharge charge</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r>
      <w:r>
        <w:rPr>
          <w:rStyle w:val="CharDefText"/>
        </w:rPr>
        <w:t>discharge factor</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r>
      <w:r>
        <w:rPr>
          <w:rStyle w:val="CharDefText"/>
        </w:rPr>
        <w:t>discharge period</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r>
      <w:r>
        <w:rPr>
          <w:rStyle w:val="CharDefText"/>
        </w:rPr>
        <w:t>discharge volume</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tab/>
      </w:r>
      <w:r>
        <w:rPr>
          <w:rStyle w:val="CharDefText"/>
        </w:rPr>
        <w:t>garden purposes</w:t>
      </w:r>
      <w:r>
        <w:t>, in relation to the supply of water, means the use of water for watering lawns and gardens appurtenant to land, including lawns and gardens growing in a street or road adjoining the land;</w:t>
      </w:r>
    </w:p>
    <w:p>
      <w:pPr>
        <w:pStyle w:val="Defstart"/>
        <w:keepNext/>
      </w:pPr>
      <w:r>
        <w:rPr>
          <w:b/>
        </w:rPr>
        <w:lastRenderedPageBreak/>
        <w:tab/>
      </w:r>
      <w:r>
        <w:rPr>
          <w:rStyle w:val="CharDefText"/>
        </w:rPr>
        <w:t>Government trading organisation</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 xml:space="preserve"> </w:t>
      </w:r>
      <w:r>
        <w:rPr>
          <w:vertAlign w:val="superscript"/>
        </w:rPr>
        <w:t>6</w:t>
      </w:r>
      <w:r>
        <w:t>;</w:t>
      </w:r>
    </w:p>
    <w:p>
      <w:pPr>
        <w:pStyle w:val="Defpara"/>
      </w:pPr>
      <w:r>
        <w:lastRenderedPageBreak/>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pPr>
      <w:r>
        <w:tab/>
        <w:t>(a)</w:t>
      </w:r>
      <w:r>
        <w:tab/>
        <w:t xml:space="preserve">GoldCorp Australia — constituted under the </w:t>
      </w:r>
      <w:r>
        <w:rPr>
          <w:i/>
        </w:rPr>
        <w:t>Gold Corporation Act 1987</w:t>
      </w:r>
      <w:r>
        <w:t>;</w:t>
      </w:r>
    </w:p>
    <w:p>
      <w:pPr>
        <w:pStyle w:val="Defsubpara"/>
      </w:pPr>
      <w:r>
        <w:tab/>
        <w:t>(b)</w:t>
      </w:r>
      <w:r>
        <w:tab/>
        <w:t xml:space="preserve">Gold Corporation — constituted under the </w:t>
      </w:r>
      <w:r>
        <w:rPr>
          <w:i/>
        </w:rPr>
        <w:t>Gold Corporation Act 1987</w:t>
      </w:r>
      <w:r>
        <w:t>; and</w:t>
      </w:r>
    </w:p>
    <w:p>
      <w:pPr>
        <w:pStyle w:val="Defsubpara"/>
      </w:pPr>
      <w:r>
        <w:tab/>
        <w:t>(c)</w:t>
      </w:r>
      <w:r>
        <w:tab/>
        <w:t xml:space="preserve">the Perth Branch of the Royal Mint — established by proclamation under the </w:t>
      </w:r>
      <w:r>
        <w:rPr>
          <w:i/>
        </w:rPr>
        <w:t>Coinage Act 1870</w:t>
      </w:r>
      <w: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lastRenderedPageBreak/>
        <w:tab/>
      </w:r>
      <w:r>
        <w:rPr>
          <w:rStyle w:val="CharDefText"/>
        </w:rPr>
        <w:t>GRV</w:t>
      </w:r>
      <w:r>
        <w:t>, in relation to land, means the gross rental value of the land;</w:t>
      </w:r>
    </w:p>
    <w:p>
      <w:pPr>
        <w:pStyle w:val="Defstart"/>
        <w:keepNext/>
      </w:pPr>
      <w:r>
        <w:rPr>
          <w:b/>
        </w:rPr>
        <w:tab/>
      </w:r>
      <w:r>
        <w:rPr>
          <w:rStyle w:val="CharDefText"/>
        </w:rPr>
        <w:t>holiday accommodation</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keepNext/>
      </w:pPr>
      <w:r>
        <w:tab/>
        <w:t>(b)</w:t>
      </w:r>
      <w:r>
        <w:tab/>
        <w:t>is made available by that owner or occupier,</w:t>
      </w:r>
    </w:p>
    <w:p>
      <w:pPr>
        <w:pStyle w:val="Defstart"/>
      </w:pP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r>
      <w:r>
        <w:rPr>
          <w:rStyle w:val="CharDefText"/>
        </w:rPr>
        <w:t>irrigation district</w:t>
      </w:r>
      <w:r>
        <w:t xml:space="preserve"> refers to an irrigation district constituted under the </w:t>
      </w:r>
      <w:r>
        <w:rPr>
          <w:i/>
        </w:rPr>
        <w:t>Rights in Water and Irrigation Act 1914</w:t>
      </w:r>
      <w:r>
        <w:t>;</w:t>
      </w:r>
    </w:p>
    <w:p>
      <w:pPr>
        <w:pStyle w:val="Defstart"/>
      </w:pPr>
      <w:r>
        <w:rPr>
          <w:b/>
        </w:rPr>
        <w:tab/>
      </w:r>
      <w:r>
        <w:rPr>
          <w:rStyle w:val="CharDefText"/>
        </w:rPr>
        <w:t>long term residential caravan bay</w:t>
      </w:r>
      <w:r>
        <w:t xml:space="preserve"> means a caravan bay that is rented by a person as the person’s principal place of residence;</w:t>
      </w:r>
    </w:p>
    <w:p>
      <w:pPr>
        <w:pStyle w:val="Defstart"/>
      </w:pPr>
      <w:r>
        <w:rPr>
          <w:b/>
        </w:rPr>
        <w:tab/>
      </w:r>
      <w:r>
        <w:rPr>
          <w:rStyle w:val="CharDefText"/>
        </w:rPr>
        <w:t>major fixture</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rPr>
          <w:b/>
        </w:rPr>
        <w:tab/>
      </w:r>
      <w:r>
        <w:rPr>
          <w:rStyle w:val="CharDefText"/>
        </w:rPr>
        <w:t>metropolitan area</w:t>
      </w:r>
      <w:r>
        <w:t xml:space="preserve"> means Metropolitan Water, Sewerage, and Drainage Area constituted under the </w:t>
      </w:r>
      <w:r>
        <w:rPr>
          <w:i/>
        </w:rPr>
        <w:t>Metropolitan Water Supply, Sewerage, and Drainage Act 1909</w:t>
      </w:r>
      <w:r>
        <w:t>;</w:t>
      </w:r>
    </w:p>
    <w:p>
      <w:pPr>
        <w:pStyle w:val="Defstart"/>
        <w:keepNext/>
      </w:pPr>
      <w:r>
        <w:rPr>
          <w:b/>
        </w:rPr>
        <w:tab/>
      </w:r>
      <w:r>
        <w:rPr>
          <w:rStyle w:val="CharDefText"/>
        </w:rPr>
        <w:t>non</w:t>
      </w:r>
      <w:r>
        <w:rPr>
          <w:rStyle w:val="CharDefText"/>
        </w:rPr>
        <w:noBreakHyphen/>
        <w:t>commercial Government property</w:t>
      </w:r>
      <w:r>
        <w:t xml:space="preserve"> means property held by a State Government body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lastRenderedPageBreak/>
        <w:tab/>
        <w:t>(c)</w:t>
      </w:r>
      <w:r>
        <w:tab/>
        <w:t>upon which revenue may be generated, but not to the extent that it approaches the funding level necessary for the body itself,</w:t>
      </w:r>
    </w:p>
    <w:p>
      <w:pPr>
        <w:pStyle w:val="Defstart"/>
      </w:pPr>
      <w:r>
        <w:tab/>
        <w:t>and includes associated buildings and facilities.</w:t>
      </w:r>
    </w:p>
    <w:p>
      <w:pPr>
        <w:pStyle w:val="Defstart"/>
      </w:pPr>
      <w:r>
        <w:rPr>
          <w:b/>
        </w:rPr>
        <w:tab/>
      </w:r>
      <w:r>
        <w:rPr>
          <w:rStyle w:val="CharDefText"/>
        </w:rPr>
        <w:t>previous year</w:t>
      </w:r>
      <w:r>
        <w:t xml:space="preserve"> means the financial year immediately preceding the current year;</w:t>
      </w:r>
    </w:p>
    <w:p>
      <w:pPr>
        <w:pStyle w:val="Defstart"/>
        <w:keepNext/>
      </w:pPr>
      <w:r>
        <w:rPr>
          <w:b/>
        </w:rPr>
        <w:tab/>
      </w:r>
      <w:r>
        <w:rPr>
          <w:rStyle w:val="CharDefText"/>
        </w:rPr>
        <w:t>quantity charge</w:t>
      </w:r>
      <w:r>
        <w:t xml:space="preserve"> means —</w:t>
      </w:r>
    </w:p>
    <w:p>
      <w:pPr>
        <w:pStyle w:val="Defpara"/>
      </w:pPr>
      <w:r>
        <w:tab/>
        <w:t>(a)</w:t>
      </w:r>
      <w:r>
        <w:tab/>
        <w:t>in relation to the supply of water, a charge prescribed in these by</w:t>
      </w:r>
      <w:r>
        <w:noBreakHyphen/>
        <w:t>laws according to the quantity of water supplied, whether or not for irrigation; or</w:t>
      </w:r>
    </w:p>
    <w:p>
      <w:pPr>
        <w:pStyle w:val="Defpara"/>
      </w:pPr>
      <w:r>
        <w:tab/>
        <w:t>(b)</w:t>
      </w:r>
      <w:r>
        <w:tab/>
        <w:t>in relation to the provision of sewerage, a charge prescribed in these by</w:t>
      </w:r>
      <w:r>
        <w:noBreakHyphen/>
        <w:t>laws according to the discharge volume;</w:t>
      </w:r>
    </w:p>
    <w:p>
      <w:pPr>
        <w:pStyle w:val="Defstart"/>
      </w:pPr>
      <w:r>
        <w:rPr>
          <w:b/>
        </w:rPr>
        <w:tab/>
      </w:r>
      <w:r>
        <w:rPr>
          <w:rStyle w:val="CharDefText"/>
        </w:rPr>
        <w:t>residence</w:t>
      </w:r>
      <w:r>
        <w:t xml:space="preserve"> means a private dwelling house, home unit, or flat, and includes any yard, garden, outhouse, or appurtenance belonging thereto or usually enjoyed therewith;</w:t>
      </w:r>
    </w:p>
    <w:p>
      <w:pPr>
        <w:pStyle w:val="Defstart"/>
      </w:pPr>
      <w:r>
        <w:rPr>
          <w:b/>
        </w:rPr>
        <w:tab/>
      </w:r>
      <w:r>
        <w:rPr>
          <w:rStyle w:val="CharDefText"/>
        </w:rPr>
        <w:t>residential property</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r>
      <w:r>
        <w:rPr>
          <w:rStyle w:val="CharDefText"/>
        </w:rPr>
        <w:t>single capital infrastructure charge</w:t>
      </w:r>
      <w:r>
        <w:t xml:space="preserve"> means a charge set out in Column 2 of the Table to Schedule 1 item 36;</w:t>
      </w:r>
    </w:p>
    <w:p>
      <w:pPr>
        <w:pStyle w:val="Defstart"/>
      </w:pPr>
      <w:r>
        <w:rPr>
          <w:b/>
        </w:rPr>
        <w:tab/>
      </w:r>
      <w:r>
        <w:rPr>
          <w:rStyle w:val="CharDefText"/>
        </w:rPr>
        <w:t>UV</w:t>
      </w:r>
      <w:r>
        <w:t>, in relation to land, means the unimproved value of the land;</w:t>
      </w:r>
    </w:p>
    <w:p>
      <w:pPr>
        <w:pStyle w:val="Defstart"/>
      </w:pPr>
      <w:r>
        <w:rPr>
          <w:b/>
        </w:rPr>
        <w:tab/>
      </w:r>
      <w:r>
        <w:rPr>
          <w:rStyle w:val="CharDefText"/>
        </w:rPr>
        <w:t>water supply</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r>
      <w:r>
        <w:rPr>
          <w:rStyle w:val="CharDefText"/>
        </w:rPr>
        <w:t>year</w:t>
      </w:r>
      <w:r>
        <w:t>, preceded by a reference to 2 calendar years (for example, 1987/88 or 1999/2000), subject to sub</w:t>
      </w:r>
      <w:r>
        <w:noBreakHyphen/>
        <w:t>bylaw (2A),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lastRenderedPageBreak/>
        <w:tab/>
        <w:t>(b)</w:t>
      </w:r>
      <w:r>
        <w:tab/>
        <w:t>in relation to a quantity charge —</w:t>
      </w:r>
    </w:p>
    <w:p>
      <w:pPr>
        <w:pStyle w:val="Defsubpara"/>
        <w:keepLines w:val="0"/>
      </w:pPr>
      <w:r>
        <w:tab/>
        <w:t>(i)</w:t>
      </w:r>
      <w:r>
        <w:tab/>
        <w:t xml:space="preserve">that relates to water supplied under the </w:t>
      </w:r>
      <w:r>
        <w:rPr>
          <w:i/>
        </w:rPr>
        <w:t>Country Areas Water Supply Act 1947</w:t>
      </w:r>
      <w:r>
        <w:t>, the period commencing on a day determined by the Corporation, being a day between 1 July and 31 August, inclusive, in the first of the years referred to and ending on a day determined by the Corporation, being a day within 20 days of the expiration of one year after the commencement of the period;</w:t>
      </w:r>
    </w:p>
    <w:p>
      <w:pPr>
        <w:pStyle w:val="Defsubpara"/>
      </w:pPr>
      <w:r>
        <w:tab/>
        <w:t>(ii)</w:t>
      </w:r>
      <w:r>
        <w:tab/>
        <w:t xml:space="preserve">that relates to water supplied under the </w:t>
      </w:r>
      <w:r>
        <w:rPr>
          <w:i/>
        </w:rPr>
        <w:t>Metropolitan Water Supply, Sewerage, and Drainage Act 1909</w:t>
      </w:r>
      <w:r>
        <w:t xml:space="preserve"> or the </w:t>
      </w:r>
      <w:r>
        <w:rPr>
          <w:i/>
        </w:rPr>
        <w:t>Metropolitan Water Authority Act 1982</w:t>
      </w:r>
      <w:r>
        <w:t>, the period commencing on a day determined by the Corporation, being a day between 1 January and 30 June in the first of the years referred to and ending on a day determined by the Corporation, being a day within 20 days of the expiration of one year after the commencement of the period;</w:t>
      </w:r>
    </w:p>
    <w:p>
      <w:pPr>
        <w:pStyle w:val="Defsubpara"/>
        <w:keepLines w:val="0"/>
        <w:rPr>
          <w:spacing w:val="-2"/>
        </w:rPr>
      </w:pPr>
      <w:r>
        <w:tab/>
        <w:t>(iii)</w:t>
      </w:r>
      <w:r>
        <w:tab/>
      </w:r>
      <w:r>
        <w:rPr>
          <w:spacing w:val="-2"/>
        </w:rPr>
        <w:t xml:space="preserve">that relates to industrial waste discharged under the </w:t>
      </w:r>
      <w:r>
        <w:rPr>
          <w:i/>
          <w:spacing w:val="-2"/>
        </w:rPr>
        <w:t>Metropolitan Water Supply, Sewerage, and Drainage Act 1909</w:t>
      </w:r>
      <w:r>
        <w:rPr>
          <w:spacing w:val="-2"/>
        </w:rPr>
        <w:t xml:space="preserve"> or the </w:t>
      </w:r>
      <w:r>
        <w:rPr>
          <w:i/>
          <w:spacing w:val="-2"/>
        </w:rPr>
        <w:t>Country Towns Sewerage Act 1948</w:t>
      </w:r>
      <w:r>
        <w:rPr>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pPr>
      <w:r>
        <w:tab/>
        <w:t>(iv)</w:t>
      </w:r>
      <w:r>
        <w:tab/>
        <w:t>that relates to water discharged into the Corporation’s sewer, the period under subparagraphs (i) or (ii).</w:t>
      </w:r>
    </w:p>
    <w:p>
      <w:pPr>
        <w:pStyle w:val="Subsection"/>
      </w:pPr>
      <w:r>
        <w:tab/>
        <w:t>(2A)</w:t>
      </w:r>
      <w:r>
        <w:tab/>
        <w:t xml:space="preserve">For the purposes of the definition of </w:t>
      </w:r>
      <w:r>
        <w:rPr>
          <w:b/>
          <w:i/>
        </w:rPr>
        <w:t>year</w:t>
      </w:r>
      <w:r>
        <w:t xml:space="preserve">, for the 2012/2013 year the period set out in paragraph (b)(i) is to end on a day </w:t>
      </w:r>
      <w:r>
        <w:lastRenderedPageBreak/>
        <w:t>determined by the Corporation, being a day no earlier than 8 months after the commencement of the period.</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rStyle w:val="CharDefText"/>
        </w:rPr>
        <w:t>≤</w:t>
      </w:r>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rStyle w:val="CharDefText"/>
        </w:rPr>
        <w:t>&gt;</w:t>
      </w:r>
      <w:r>
        <w:rPr>
          <w:bCs/>
          <w:snapToGrid w:val="0"/>
        </w:rPr>
        <w:t xml:space="preserve"> </w:t>
      </w:r>
      <w:r>
        <w:rPr>
          <w:snapToGrid w:val="0"/>
        </w:rPr>
        <w:t>means greater than.</w:t>
      </w:r>
    </w:p>
    <w:p>
      <w:pPr>
        <w:pStyle w:val="Footnotesection"/>
        <w:keepLines w:val="0"/>
      </w:pPr>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 20 Jun 2012 p. 2695</w:t>
      </w:r>
      <w:r>
        <w:noBreakHyphen/>
        <w:t>6; 19 Jun 2013 p. 2347-8.]</w:t>
      </w:r>
    </w:p>
    <w:p>
      <w:pPr>
        <w:pStyle w:val="Heading2"/>
      </w:pPr>
      <w:bookmarkStart w:id="3" w:name="_Toc84424730"/>
      <w:r>
        <w:rPr>
          <w:rStyle w:val="CharPartNo"/>
        </w:rPr>
        <w:lastRenderedPageBreak/>
        <w:t>Part 1</w:t>
      </w:r>
      <w:r>
        <w:rPr>
          <w:rStyle w:val="CharDivNo"/>
        </w:rPr>
        <w:t> </w:t>
      </w:r>
      <w:r>
        <w:t>—</w:t>
      </w:r>
      <w:r>
        <w:rPr>
          <w:rStyle w:val="CharDivText"/>
        </w:rPr>
        <w:t> </w:t>
      </w:r>
      <w:r>
        <w:rPr>
          <w:rStyle w:val="CharPartText"/>
        </w:rPr>
        <w:t>General</w:t>
      </w:r>
      <w:bookmarkEnd w:id="3"/>
    </w:p>
    <w:p>
      <w:pPr>
        <w:pStyle w:val="Heading5"/>
        <w:rPr>
          <w:snapToGrid w:val="0"/>
        </w:rPr>
      </w:pPr>
      <w:bookmarkStart w:id="4" w:name="_Toc84424731"/>
      <w:r>
        <w:rPr>
          <w:rStyle w:val="CharSectno"/>
        </w:rPr>
        <w:t>3</w:t>
      </w:r>
      <w:r>
        <w:rPr>
          <w:snapToGrid w:val="0"/>
        </w:rPr>
        <w:t>.</w:t>
      </w:r>
      <w:r>
        <w:rPr>
          <w:snapToGrid w:val="0"/>
        </w:rPr>
        <w:tab/>
        <w:t>Proportionate charges for part of year</w:t>
      </w:r>
      <w:bookmarkEnd w:id="4"/>
    </w:p>
    <w:p>
      <w:pPr>
        <w:pStyle w:val="Subsection"/>
        <w:rPr>
          <w:snapToGrid w:val="0"/>
        </w:rPr>
      </w:pPr>
      <w:r>
        <w:rPr>
          <w:snapToGrid w:val="0"/>
        </w:rPr>
        <w:tab/>
        <w:t>(1)</w:t>
      </w:r>
      <w:r>
        <w:rPr>
          <w:snapToGrid w:val="0"/>
        </w:rPr>
        <w:tab/>
        <w:t>Subject to sub</w:t>
      </w:r>
      <w:r>
        <w:rPr>
          <w:snapToGrid w:val="0"/>
        </w:rPr>
        <w:noBreakHyphen/>
        <w:t>bylaw (3), where —</w:t>
      </w:r>
    </w:p>
    <w:p>
      <w:pPr>
        <w:pStyle w:val="Indenta"/>
      </w:pPr>
      <w:r>
        <w:tab/>
        <w:t>(a)</w:t>
      </w:r>
      <w:r>
        <w:tab/>
        <w:t>a charge, other than a quantity charge, 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 27 Jun 2008 p. 2983.]</w:t>
      </w:r>
    </w:p>
    <w:p>
      <w:pPr>
        <w:pStyle w:val="Heading5"/>
        <w:rPr>
          <w:snapToGrid w:val="0"/>
        </w:rPr>
      </w:pPr>
      <w:bookmarkStart w:id="5" w:name="_Toc84424732"/>
      <w:r>
        <w:rPr>
          <w:rStyle w:val="CharSectno"/>
        </w:rPr>
        <w:lastRenderedPageBreak/>
        <w:t>3A</w:t>
      </w:r>
      <w:r>
        <w:rPr>
          <w:snapToGrid w:val="0"/>
        </w:rPr>
        <w:t>.</w:t>
      </w:r>
      <w:r>
        <w:rPr>
          <w:snapToGrid w:val="0"/>
        </w:rPr>
        <w:tab/>
        <w:t>Minimum charge prior to revaluation</w:t>
      </w:r>
      <w:bookmarkEnd w:id="5"/>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6" w:name="_Toc84424733"/>
      <w:r>
        <w:rPr>
          <w:rStyle w:val="CharSectno"/>
        </w:rPr>
        <w:t>4</w:t>
      </w:r>
      <w:r>
        <w:rPr>
          <w:snapToGrid w:val="0"/>
        </w:rPr>
        <w:t>.</w:t>
      </w:r>
      <w:r>
        <w:rPr>
          <w:snapToGrid w:val="0"/>
        </w:rPr>
        <w:tab/>
        <w:t>Exempt land</w:t>
      </w:r>
      <w:bookmarkEnd w:id="6"/>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lastRenderedPageBreak/>
        <w:tab/>
        <w:t>(c)</w:t>
      </w:r>
      <w:r>
        <w:rPr>
          <w:snapToGrid w:val="0"/>
          <w:spacing w:val="-4"/>
        </w:rPr>
        <w:tab/>
        <w:t>land belonging to or leased by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THeadingNAm"/>
        <w:rPr>
          <w:snapToGrid w:val="0"/>
        </w:rPr>
      </w:pPr>
      <w:r>
        <w:rPr>
          <w:snapToGrid w:val="0"/>
        </w:rPr>
        <w:t>Table</w:t>
      </w:r>
    </w:p>
    <w:tbl>
      <w:tblPr>
        <w:tblW w:w="0" w:type="auto"/>
        <w:tblInd w:w="2432" w:type="dxa"/>
        <w:tblLayout w:type="fixed"/>
        <w:tblLook w:val="0000" w:firstRow="0" w:lastRow="0" w:firstColumn="0" w:lastColumn="0" w:noHBand="0" w:noVBand="0"/>
      </w:tblPr>
      <w:tblGrid>
        <w:gridCol w:w="4880"/>
      </w:tblGrid>
      <w:tr>
        <w:trPr>
          <w:cantSplit/>
        </w:trPr>
        <w:tc>
          <w:tcPr>
            <w:tcW w:w="4880" w:type="dxa"/>
          </w:tcPr>
          <w:p>
            <w:pPr>
              <w:pStyle w:val="TableNAm"/>
              <w:ind w:left="568" w:hanging="568"/>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880" w:type="dxa"/>
          </w:tcPr>
          <w:p>
            <w:pPr>
              <w:pStyle w:val="TableNAm"/>
              <w:ind w:left="568" w:hanging="568"/>
              <w:rPr>
                <w:snapToGrid w:val="0"/>
              </w:rPr>
            </w:pPr>
            <w:r>
              <w:rPr>
                <w:snapToGrid w:val="0"/>
              </w:rPr>
              <w:lastRenderedPageBreak/>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880" w:type="dxa"/>
          </w:tcPr>
          <w:p>
            <w:pPr>
              <w:pStyle w:val="TableNAm"/>
              <w:ind w:left="568" w:hanging="568"/>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vertAlign w:val="superscript"/>
        </w:rPr>
        <w:t> 11</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lastRenderedPageBreak/>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rStyle w:val="CharDefText"/>
        </w:rPr>
        <w:t>charitable purposes</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 19 Jun 2009 p. 2321.]</w:t>
      </w:r>
    </w:p>
    <w:p>
      <w:pPr>
        <w:pStyle w:val="Heading5"/>
      </w:pPr>
      <w:bookmarkStart w:id="7" w:name="_Toc84424734"/>
      <w:r>
        <w:rPr>
          <w:rStyle w:val="CharSectno"/>
        </w:rPr>
        <w:t>5A</w:t>
      </w:r>
      <w:r>
        <w:t>.</w:t>
      </w:r>
      <w:r>
        <w:tab/>
        <w:t>Exempt land, amount of exemption calculated</w:t>
      </w:r>
      <w:bookmarkEnd w:id="7"/>
    </w:p>
    <w:p>
      <w:pPr>
        <w:pStyle w:val="Subsection"/>
      </w:pPr>
      <w:r>
        <w:tab/>
        <w:t>(1)</w:t>
      </w:r>
      <w:r>
        <w:tab/>
        <w:t>In this by</w:t>
      </w:r>
      <w:r>
        <w:noBreakHyphen/>
        <w:t xml:space="preserve">law — </w:t>
      </w:r>
    </w:p>
    <w:p>
      <w:pPr>
        <w:pStyle w:val="Defstart"/>
      </w:pPr>
      <w:r>
        <w:tab/>
      </w:r>
      <w:r>
        <w:rPr>
          <w:rStyle w:val="CharDefText"/>
        </w:rPr>
        <w:t>exempt land</w:t>
      </w:r>
      <w:r>
        <w:t xml:space="preserve"> means land — </w:t>
      </w:r>
    </w:p>
    <w:p>
      <w:pPr>
        <w:pStyle w:val="Defpara"/>
      </w:pPr>
      <w:r>
        <w:tab/>
        <w:t>(a)</w:t>
      </w:r>
      <w:r>
        <w:tab/>
        <w:t>which is exempt from a charge for a water service; or</w:t>
      </w:r>
    </w:p>
    <w:p>
      <w:pPr>
        <w:pStyle w:val="Defpara"/>
      </w:pPr>
      <w:r>
        <w:tab/>
        <w:t>(b)</w:t>
      </w:r>
      <w:r>
        <w:tab/>
        <w:t>for which a discount is prescribed for a water service.</w:t>
      </w:r>
    </w:p>
    <w:p>
      <w:pPr>
        <w:pStyle w:val="Subsection"/>
      </w:pPr>
      <w:r>
        <w:tab/>
        <w:t>(2)</w:t>
      </w:r>
      <w:r>
        <w:tab/>
        <w:t>The Corporation may provide a person with an account in respect of exempt land showing the charge that would have been payable for a water service if the exemption or discount did not apply.</w:t>
      </w:r>
    </w:p>
    <w:p>
      <w:pPr>
        <w:pStyle w:val="Subsection"/>
      </w:pPr>
      <w:r>
        <w:lastRenderedPageBreak/>
        <w:tab/>
        <w:t>(3)</w:t>
      </w:r>
      <w:r>
        <w:tab/>
        <w:t xml:space="preserve">For the purposes of the definition of </w:t>
      </w:r>
      <w:r>
        <w:rPr>
          <w:b/>
          <w:i/>
        </w:rPr>
        <w:t>exempt land</w:t>
      </w:r>
      <w:r>
        <w:t xml:space="preserve"> paragraph (a) in this by</w:t>
      </w:r>
      <w:r>
        <w:noBreakHyphen/>
        <w:t>law, the amount of the exemption is to be calculated by reference to the quantity of water or wastewater concerned or the gross rental value, unimproved value or area of the land in respect of which the water service is provided.</w:t>
      </w:r>
    </w:p>
    <w:p>
      <w:pPr>
        <w:pStyle w:val="Footnotesection"/>
      </w:pPr>
      <w:r>
        <w:tab/>
        <w:t>[By-law 5A inserted in Gazette 20 Jun 2012 p. 2696-7.]</w:t>
      </w:r>
    </w:p>
    <w:p>
      <w:pPr>
        <w:pStyle w:val="Heading5"/>
        <w:rPr>
          <w:snapToGrid w:val="0"/>
        </w:rPr>
      </w:pPr>
      <w:bookmarkStart w:id="8" w:name="_Toc84424735"/>
      <w:r>
        <w:rPr>
          <w:rStyle w:val="CharSectno"/>
        </w:rPr>
        <w:t>5</w:t>
      </w:r>
      <w:r>
        <w:rPr>
          <w:snapToGrid w:val="0"/>
        </w:rPr>
        <w:t>.</w:t>
      </w:r>
      <w:r>
        <w:rPr>
          <w:snapToGrid w:val="0"/>
        </w:rPr>
        <w:tab/>
        <w:t>Separately assessable residential land</w:t>
      </w:r>
      <w:bookmarkEnd w:id="8"/>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pPr>
      <w:r>
        <w:tab/>
        <w:t>[By</w:t>
      </w:r>
      <w:r>
        <w:noBreakHyphen/>
        <w:t xml:space="preserve">law 5 amended in Gazette 29 Jun 2007 p. 3246.] </w:t>
      </w:r>
    </w:p>
    <w:p>
      <w:pPr>
        <w:pStyle w:val="Heading5"/>
        <w:rPr>
          <w:snapToGrid w:val="0"/>
        </w:rPr>
      </w:pPr>
      <w:bookmarkStart w:id="9" w:name="_Toc84424736"/>
      <w:r>
        <w:rPr>
          <w:rStyle w:val="CharSectno"/>
        </w:rPr>
        <w:t>6</w:t>
      </w:r>
      <w:r>
        <w:rPr>
          <w:snapToGrid w:val="0"/>
        </w:rPr>
        <w:t>.</w:t>
      </w:r>
      <w:r>
        <w:rPr>
          <w:snapToGrid w:val="0"/>
        </w:rPr>
        <w:tab/>
        <w:t>Estimation upon meter malfunction or of non</w:t>
      </w:r>
      <w:r>
        <w:rPr>
          <w:snapToGrid w:val="0"/>
        </w:rPr>
        <w:noBreakHyphen/>
        <w:t>metered quantity</w:t>
      </w:r>
      <w:bookmarkEnd w:id="9"/>
    </w:p>
    <w:p>
      <w:pPr>
        <w:pStyle w:val="Subsection"/>
      </w:pPr>
      <w:r>
        <w:tab/>
        <w:t>(1)</w:t>
      </w:r>
      <w:r>
        <w:tab/>
        <w:t>Where a charge is to be assessed by reference to the quantity of water concerned and, because of a circumstance specified in sub</w:t>
      </w:r>
      <w:r>
        <w:noBreakHyphen/>
        <w:t xml:space="preserve">bylaw (2A), an accurate meter reading measuring that quantity cannot be obtained the charge is to be assessed by reference to a quantity of water estimated by the Corporation — </w:t>
      </w:r>
    </w:p>
    <w:p>
      <w:pPr>
        <w:pStyle w:val="Indenta"/>
      </w:pPr>
      <w:r>
        <w:tab/>
        <w:t>(a)</w:t>
      </w:r>
      <w:r>
        <w:tab/>
        <w:t xml:space="preserve">by reference to a daily average of the quantity of water supplied in another period; or </w:t>
      </w:r>
    </w:p>
    <w:p>
      <w:pPr>
        <w:pStyle w:val="Indenta"/>
      </w:pPr>
      <w:r>
        <w:tab/>
        <w:t>(b)</w:t>
      </w:r>
      <w:r>
        <w:tab/>
        <w:t>by adjusting the quantity registered by the meter to take account of an error found on testing the meter; or</w:t>
      </w:r>
    </w:p>
    <w:p>
      <w:pPr>
        <w:pStyle w:val="Indenta"/>
      </w:pPr>
      <w:r>
        <w:tab/>
        <w:t>(c)</w:t>
      </w:r>
      <w:r>
        <w:tab/>
        <w:t>on such other basis as the Corporation may determine.</w:t>
      </w:r>
    </w:p>
    <w:p>
      <w:pPr>
        <w:pStyle w:val="Subsection"/>
      </w:pPr>
      <w:r>
        <w:tab/>
        <w:t>(2A)</w:t>
      </w:r>
      <w:r>
        <w:tab/>
        <w:t>For the purposes of sub</w:t>
      </w:r>
      <w:r>
        <w:noBreakHyphen/>
        <w:t xml:space="preserve">bylaw (1), the following circumstances are specified — </w:t>
      </w:r>
    </w:p>
    <w:p>
      <w:pPr>
        <w:pStyle w:val="Indenta"/>
      </w:pPr>
      <w:r>
        <w:tab/>
        <w:t>(a)</w:t>
      </w:r>
      <w:r>
        <w:tab/>
        <w:t xml:space="preserve">the meter is found not to be in proper order; </w:t>
      </w:r>
    </w:p>
    <w:p>
      <w:pPr>
        <w:pStyle w:val="Indenta"/>
      </w:pPr>
      <w:r>
        <w:tab/>
        <w:t>(b)</w:t>
      </w:r>
      <w:r>
        <w:tab/>
        <w:t xml:space="preserve">the meter has been removed for repair; </w:t>
      </w:r>
    </w:p>
    <w:p>
      <w:pPr>
        <w:pStyle w:val="Indenta"/>
      </w:pPr>
      <w:r>
        <w:lastRenderedPageBreak/>
        <w:tab/>
        <w:t>(c)</w:t>
      </w:r>
      <w:r>
        <w:tab/>
        <w:t xml:space="preserve">a physical obstruction, adverse weather or other unforeseen circumstances prevents practicable access to the meter; </w:t>
      </w:r>
    </w:p>
    <w:p>
      <w:pPr>
        <w:pStyle w:val="Indenta"/>
      </w:pPr>
      <w:r>
        <w:tab/>
        <w:t>(d)</w:t>
      </w:r>
      <w:r>
        <w:tab/>
        <w:t>the meter cannot be read because the face of the meter is obscured by damage, marking, dirt or any other substance.</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 21 Dec 2007 p. 6349; 19 Jun 2013 p. 2348-9.]</w:t>
      </w:r>
    </w:p>
    <w:p>
      <w:pPr>
        <w:pStyle w:val="Heading5"/>
      </w:pPr>
      <w:bookmarkStart w:id="10" w:name="_Toc84424737"/>
      <w:r>
        <w:rPr>
          <w:rStyle w:val="CharSectno"/>
        </w:rPr>
        <w:t>7</w:t>
      </w:r>
      <w:r>
        <w:t>.</w:t>
      </w:r>
      <w:r>
        <w:tab/>
        <w:t>Payment of charges</w:t>
      </w:r>
      <w:bookmarkEnd w:id="10"/>
    </w:p>
    <w:p>
      <w:pPr>
        <w:pStyle w:val="Subsection"/>
      </w:pPr>
      <w:r>
        <w:tab/>
        <w:t>(1)</w:t>
      </w:r>
      <w:r>
        <w:tab/>
        <w:t>In this by</w:t>
      </w:r>
      <w:r>
        <w:noBreakHyphen/>
        <w:t xml:space="preserve">law — </w:t>
      </w:r>
    </w:p>
    <w:p>
      <w:pPr>
        <w:pStyle w:val="Defstart"/>
      </w:pPr>
      <w:r>
        <w:tab/>
      </w:r>
      <w:r>
        <w:rPr>
          <w:rStyle w:val="CharDefText"/>
        </w:rPr>
        <w:t>annual charge</w:t>
      </w:r>
      <w:r>
        <w:t xml:space="preserve"> means a charge other than a quantity charge or an industrial waste charge;</w:t>
      </w:r>
    </w:p>
    <w:p>
      <w:pPr>
        <w:pStyle w:val="Defstart"/>
      </w:pPr>
      <w:r>
        <w:tab/>
      </w:r>
      <w:r>
        <w:rPr>
          <w:rStyle w:val="CharDefText"/>
        </w:rPr>
        <w:t>industrial waste charge</w:t>
      </w:r>
      <w:r>
        <w:t xml:space="preserve"> means a charge under Schedule 3 Division 1 item 6 or 7 or Division 3 or 6.</w:t>
      </w:r>
    </w:p>
    <w:p>
      <w:pPr>
        <w:pStyle w:val="Subsection"/>
      </w:pPr>
      <w:r>
        <w:tab/>
        <w:t>(2)</w:t>
      </w:r>
      <w:r>
        <w:tab/>
        <w:t>A charge, or a portion of a charge, is due for payment to the Corporation on the day specified in an invoice for the charge or the portion.</w:t>
      </w:r>
    </w:p>
    <w:p>
      <w:pPr>
        <w:pStyle w:val="Subsection"/>
      </w:pPr>
      <w:r>
        <w:tab/>
        <w:t>(3)</w:t>
      </w:r>
      <w:r>
        <w:tab/>
        <w:t xml:space="preserve">The day specified must be — </w:t>
      </w:r>
    </w:p>
    <w:p>
      <w:pPr>
        <w:pStyle w:val="Indenta"/>
      </w:pPr>
      <w:r>
        <w:tab/>
        <w:t>(a)</w:t>
      </w:r>
      <w:r>
        <w:tab/>
        <w:t>for an industrial waste charge or a single capital infrastructure charge — at least 28 days after the day on which the invoice is issued; or</w:t>
      </w:r>
    </w:p>
    <w:p>
      <w:pPr>
        <w:pStyle w:val="Indenta"/>
      </w:pPr>
      <w:r>
        <w:lastRenderedPageBreak/>
        <w:tab/>
        <w:t>(b)</w:t>
      </w:r>
      <w:r>
        <w:tab/>
        <w:t>for all other charges — at least 16 days after the day on which the invoice is issued.</w:t>
      </w:r>
    </w:p>
    <w:p>
      <w:pPr>
        <w:pStyle w:val="Subsection"/>
      </w:pPr>
      <w:r>
        <w:tab/>
        <w:t>(4)</w:t>
      </w:r>
      <w:r>
        <w:tab/>
        <w:t>An annual charge may be due for payment, in whole or in part, in advance, but not before the beginning of the year for which the charge applies.</w:t>
      </w:r>
    </w:p>
    <w:p>
      <w:pPr>
        <w:pStyle w:val="Subsection"/>
      </w:pPr>
      <w:r>
        <w:tab/>
        <w:t>(5)</w:t>
      </w:r>
      <w:r>
        <w:tab/>
        <w:t>This by</w:t>
      </w:r>
      <w:r>
        <w:noBreakHyphen/>
        <w:t>law is subject to a special payment arrangement under by</w:t>
      </w:r>
      <w:r>
        <w:noBreakHyphen/>
        <w:t>law 8.</w:t>
      </w:r>
    </w:p>
    <w:p>
      <w:pPr>
        <w:pStyle w:val="Footnotesection"/>
      </w:pPr>
      <w:r>
        <w:tab/>
        <w:t>[By</w:t>
      </w:r>
      <w:r>
        <w:noBreakHyphen/>
        <w:t>law 7 inserted in Gazette 19 Jun 2013 p. 2349-50.]</w:t>
      </w:r>
    </w:p>
    <w:p>
      <w:pPr>
        <w:pStyle w:val="Ednotesection"/>
      </w:pPr>
      <w:r>
        <w:t>[</w:t>
      </w:r>
      <w:r>
        <w:rPr>
          <w:b/>
        </w:rPr>
        <w:t>7A, 7B.</w:t>
      </w:r>
      <w:r>
        <w:tab/>
        <w:t>Deleted in Gazette 19 Jun 2013 p. 2349.]</w:t>
      </w:r>
    </w:p>
    <w:p>
      <w:pPr>
        <w:pStyle w:val="Heading5"/>
      </w:pPr>
      <w:bookmarkStart w:id="11" w:name="_Toc84424738"/>
      <w:r>
        <w:rPr>
          <w:rStyle w:val="CharSectno"/>
        </w:rPr>
        <w:t>8</w:t>
      </w:r>
      <w:r>
        <w:t>.</w:t>
      </w:r>
      <w:r>
        <w:tab/>
        <w:t>Special arrangements</w:t>
      </w:r>
      <w:bookmarkEnd w:id="11"/>
    </w:p>
    <w:p>
      <w:pPr>
        <w:pStyle w:val="Subsection"/>
      </w:pPr>
      <w:r>
        <w:tab/>
        <w:t>(1)</w:t>
      </w:r>
      <w:r>
        <w:tab/>
        <w:t>This by</w:t>
      </w:r>
      <w:r>
        <w:noBreakHyphen/>
        <w:t>law does not apply to a single capital infrastructure charge.</w:t>
      </w:r>
    </w:p>
    <w:p>
      <w:pPr>
        <w:pStyle w:val="Subsection"/>
      </w:pPr>
      <w:r>
        <w:tab/>
        <w:t>(2)</w:t>
      </w:r>
      <w:r>
        <w:tab/>
        <w:t>If, in a particular case, the Corporation is satisfied that there is proper cause, the Corporation may enter into a special arrangement with a person for the payment of charges.</w:t>
      </w:r>
    </w:p>
    <w:p>
      <w:pPr>
        <w:pStyle w:val="Subsection"/>
      </w:pPr>
      <w:r>
        <w:tab/>
        <w:t>(3)</w:t>
      </w:r>
      <w:r>
        <w:tab/>
        <w:t>A special arrangement may be on such terms and conditions, including as to the payment of additional charges and interest, as the Corporation, having regard to the person’s circumstances, considers appropriate.</w:t>
      </w:r>
    </w:p>
    <w:p>
      <w:pPr>
        <w:pStyle w:val="Subsection"/>
      </w:pPr>
      <w:r>
        <w:tab/>
        <w:t>(4)</w:t>
      </w:r>
      <w:r>
        <w:tab/>
        <w:t>Despite sub</w:t>
      </w:r>
      <w:r>
        <w:noBreakHyphen/>
        <w:t xml:space="preserve">bylaw (3) — </w:t>
      </w:r>
    </w:p>
    <w:p>
      <w:pPr>
        <w:pStyle w:val="Indenta"/>
      </w:pPr>
      <w:r>
        <w:tab/>
        <w:t>(a)</w:t>
      </w:r>
      <w:r>
        <w:tab/>
        <w:t>a special arrangement must provide for payment by regular instalments; and</w:t>
      </w:r>
    </w:p>
    <w:p>
      <w:pPr>
        <w:pStyle w:val="Ednotepara"/>
      </w:pPr>
      <w:r>
        <w:tab/>
        <w:t>[(b)</w:t>
      </w:r>
      <w:r>
        <w:tab/>
        <w:t>deleted]</w:t>
      </w:r>
    </w:p>
    <w:p>
      <w:pPr>
        <w:pStyle w:val="Indenta"/>
      </w:pPr>
      <w:r>
        <w:tab/>
        <w:t>(c)</w:t>
      </w:r>
      <w:r>
        <w:tab/>
        <w:t>if interest is payable under the arrangement — the rate at which the interest is calculated must not exceed the amount set out in Schedule 7 item 2.</w:t>
      </w:r>
    </w:p>
    <w:p>
      <w:pPr>
        <w:pStyle w:val="Footnotesection"/>
      </w:pPr>
      <w:r>
        <w:tab/>
        <w:t>[By-law 8 inserted in Gazette 27 Jun 2008 p. 2984; amended in Gazette 19 Jun 2013 p. 2350.]</w:t>
      </w:r>
    </w:p>
    <w:p>
      <w:pPr>
        <w:pStyle w:val="Heading5"/>
        <w:rPr>
          <w:snapToGrid w:val="0"/>
        </w:rPr>
      </w:pPr>
      <w:bookmarkStart w:id="12" w:name="_Toc84424739"/>
      <w:r>
        <w:rPr>
          <w:rStyle w:val="CharSectno"/>
        </w:rPr>
        <w:lastRenderedPageBreak/>
        <w:t>8A</w:t>
      </w:r>
      <w:r>
        <w:rPr>
          <w:snapToGrid w:val="0"/>
        </w:rPr>
        <w:t>.</w:t>
      </w:r>
      <w:r>
        <w:rPr>
          <w:snapToGrid w:val="0"/>
        </w:rPr>
        <w:tab/>
        <w:t>Concessional charges for retirement village residents</w:t>
      </w:r>
      <w:bookmarkEnd w:id="12"/>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1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rStyle w:val="CharDefText"/>
          <w:spacing w:val="-4"/>
        </w:rPr>
        <w:t>retirement village</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 19 Jun 2013 p. 2350.]</w:t>
      </w:r>
    </w:p>
    <w:p>
      <w:pPr>
        <w:pStyle w:val="Heading5"/>
      </w:pPr>
      <w:bookmarkStart w:id="13" w:name="_Toc84424740"/>
      <w:r>
        <w:rPr>
          <w:rStyle w:val="CharSectno"/>
        </w:rPr>
        <w:lastRenderedPageBreak/>
        <w:t>8B</w:t>
      </w:r>
      <w:r>
        <w:t>.</w:t>
      </w:r>
      <w:r>
        <w:tab/>
        <w:t>Government trading organisation and non</w:t>
      </w:r>
      <w:r>
        <w:noBreakHyphen/>
        <w:t>commercial Government property</w:t>
      </w:r>
      <w:bookmarkEnd w:id="13"/>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 or 27(a) or (f); or</w:t>
      </w:r>
    </w:p>
    <w:p>
      <w:pPr>
        <w:pStyle w:val="Indenta"/>
        <w:keepNext/>
        <w:keepLines/>
      </w:pPr>
      <w:r>
        <w:tab/>
        <w:t>(c)</w:t>
      </w:r>
      <w:r>
        <w:tab/>
        <w:t>Schedule 1 item 33,</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 27 Jun 2008 p. 2984</w:t>
      </w:r>
      <w:r>
        <w:noBreakHyphen/>
        <w:t>5; 19 Jun 2009 p. 2322.]</w:t>
      </w:r>
    </w:p>
    <w:p>
      <w:pPr>
        <w:pStyle w:val="Heading5"/>
        <w:rPr>
          <w:snapToGrid w:val="0"/>
        </w:rPr>
      </w:pPr>
      <w:bookmarkStart w:id="14" w:name="_Toc84424741"/>
      <w:r>
        <w:rPr>
          <w:rStyle w:val="CharSectno"/>
        </w:rPr>
        <w:t>8BA</w:t>
      </w:r>
      <w:r>
        <w:rPr>
          <w:snapToGrid w:val="0"/>
        </w:rPr>
        <w:t>.</w:t>
      </w:r>
      <w:r>
        <w:rPr>
          <w:snapToGrid w:val="0"/>
        </w:rPr>
        <w:tab/>
        <w:t>Annual charges to Government trading organisations that supply water to lessees or ships</w:t>
      </w:r>
      <w:bookmarkEnd w:id="14"/>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lastRenderedPageBreak/>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Deleted in Gazette 30 Jun 1995 p. 2735.]</w:t>
      </w:r>
    </w:p>
    <w:p>
      <w:pPr>
        <w:pStyle w:val="Heading5"/>
      </w:pPr>
      <w:bookmarkStart w:id="15" w:name="_Toc84424742"/>
      <w:r>
        <w:rPr>
          <w:rStyle w:val="CharSectno"/>
        </w:rPr>
        <w:t>9</w:t>
      </w:r>
      <w:r>
        <w:t>.</w:t>
      </w:r>
      <w:r>
        <w:tab/>
        <w:t>Interest on overdue amounts</w:t>
      </w:r>
      <w:bookmarkEnd w:id="15"/>
    </w:p>
    <w:p>
      <w:pPr>
        <w:pStyle w:val="Subsection"/>
      </w:pPr>
      <w:r>
        <w:tab/>
        <w:t>(1)</w:t>
      </w:r>
      <w:r>
        <w:tab/>
        <w:t xml:space="preserve">For the purposes of section 41L — </w:t>
      </w:r>
    </w:p>
    <w:p>
      <w:pPr>
        <w:pStyle w:val="Indenta"/>
      </w:pPr>
      <w:r>
        <w:tab/>
        <w:t>(a)</w:t>
      </w:r>
      <w:r>
        <w:tab/>
        <w:t>the time from which interest is to be calculated on overdue amounts is one day after the amount was due and payable; and</w:t>
      </w:r>
    </w:p>
    <w:p>
      <w:pPr>
        <w:pStyle w:val="Indenta"/>
      </w:pPr>
      <w:r>
        <w:tab/>
        <w:t>(b)</w:t>
      </w:r>
      <w:r>
        <w:tab/>
        <w:t>interest is to be calculated at the rate set out in Schedule 7 item 2.</w:t>
      </w:r>
    </w:p>
    <w:p>
      <w:pPr>
        <w:pStyle w:val="Subsection"/>
      </w:pPr>
      <w:r>
        <w:lastRenderedPageBreak/>
        <w:tab/>
        <w:t>(2)</w:t>
      </w:r>
      <w:r>
        <w:tab/>
        <w:t xml:space="preserve">For the purposes of the </w:t>
      </w:r>
      <w:r>
        <w:rPr>
          <w:i/>
        </w:rPr>
        <w:t>Land Drainage Act 1925</w:t>
      </w:r>
      <w:r>
        <w:t xml:space="preserve"> section 100B — </w:t>
      </w:r>
    </w:p>
    <w:p>
      <w:pPr>
        <w:pStyle w:val="Indenta"/>
      </w:pPr>
      <w:r>
        <w:tab/>
        <w:t>(a)</w:t>
      </w:r>
      <w:r>
        <w:tab/>
        <w:t>the period prescribed is one day after rates become due and payable; and</w:t>
      </w:r>
    </w:p>
    <w:p>
      <w:pPr>
        <w:pStyle w:val="Indenta"/>
      </w:pPr>
      <w:r>
        <w:tab/>
        <w:t>(b)</w:t>
      </w:r>
      <w:r>
        <w:tab/>
        <w:t>interest is to be payable at the rate set out in Schedule 7 item 2.</w:t>
      </w:r>
    </w:p>
    <w:p>
      <w:pPr>
        <w:pStyle w:val="Footnotesection"/>
      </w:pPr>
      <w:r>
        <w:tab/>
        <w:t>[By</w:t>
      </w:r>
      <w:r>
        <w:noBreakHyphen/>
        <w:t>law 9 inserted in Gazette 19 Jun 2013 p. 2351.]</w:t>
      </w:r>
    </w:p>
    <w:p>
      <w:pPr>
        <w:pStyle w:val="Ednotesection"/>
      </w:pPr>
      <w:r>
        <w:t>[</w:t>
      </w:r>
      <w:r>
        <w:rPr>
          <w:b/>
        </w:rPr>
        <w:t>9A.</w:t>
      </w:r>
      <w:r>
        <w:tab/>
        <w:t>Deleted in Gazette 19 Jun 2013 p. 2351.]</w:t>
      </w:r>
    </w:p>
    <w:p>
      <w:pPr>
        <w:pStyle w:val="Heading5"/>
      </w:pPr>
      <w:bookmarkStart w:id="16" w:name="_Toc84424743"/>
      <w:r>
        <w:rPr>
          <w:rStyle w:val="CharSectno"/>
        </w:rPr>
        <w:t>9B</w:t>
      </w:r>
      <w:r>
        <w:t>.</w:t>
      </w:r>
      <w:r>
        <w:tab/>
        <w:t>Calculations, including maxima, for various GRV based charges</w:t>
      </w:r>
      <w:bookmarkEnd w:id="16"/>
    </w:p>
    <w:p>
      <w:pPr>
        <w:pStyle w:val="Subsection"/>
      </w:pPr>
      <w:r>
        <w:tab/>
        <w:t>(1)</w:t>
      </w:r>
      <w:r>
        <w:tab/>
        <w:t>Where a charge that is determined by reference to the GRV of the relevant land under Schedule 3 item 8 or 10, or Schedule 4 item 5, for the current year, is more than 12% greater than the charge calculated for the same service (and under the same circumstances) in the previous year, the charge is only payable up to that 12% increase.</w:t>
      </w:r>
    </w:p>
    <w:p>
      <w:pPr>
        <w:pStyle w:val="Subsection"/>
      </w:pPr>
      <w:r>
        <w:tab/>
        <w:t>(2)</w:t>
      </w:r>
      <w:r>
        <w:tab/>
        <w:t>Where a charge that is determined by reference to the GRV of the relevant land under Schedule 4 item 3 or 4, for the current year, is more than $25.00 greater than the charge calculated for the same service (and under the same circumstances) in the previous year, the charge is only payable up to that $25.00 increase per residential unit in the case of residential land, or per lot in the case of vacant land.</w:t>
      </w:r>
    </w:p>
    <w:p>
      <w:pPr>
        <w:pStyle w:val="Subsection"/>
      </w:pPr>
      <w:r>
        <w:tab/>
        <w:t>(3)</w:t>
      </w:r>
      <w:r>
        <w:tab/>
        <w:t xml:space="preserve">Where, for a portion of the current year (the </w:t>
      </w:r>
      <w:r>
        <w:rPr>
          <w:rStyle w:val="CharDefText"/>
        </w:rPr>
        <w:t>part year</w:t>
      </w:r>
      <w:r>
        <w:t xml:space="preserve">), in respect of property subject to a charge that is determined by reference to the GRV of the relevant land under Schedule 3 item 8 or 10, or Schedule 4 item 3, 4 or 5, there is a change in the circumstances that affects the method of calculating the charge for that property, the charge payable for the part year is to be determined as follows — </w:t>
      </w:r>
    </w:p>
    <w:p>
      <w:pPr>
        <w:pStyle w:val="Indenta"/>
      </w:pPr>
      <w:r>
        <w:tab/>
        <w:t>(a)</w:t>
      </w:r>
      <w:r>
        <w:tab/>
        <w:t>the charge is to be determined for the whole of the current year on the basis of the changed circumstances;</w:t>
      </w:r>
    </w:p>
    <w:p>
      <w:pPr>
        <w:pStyle w:val="Indenta"/>
      </w:pPr>
      <w:r>
        <w:lastRenderedPageBreak/>
        <w:tab/>
        <w:t>(b)</w:t>
      </w:r>
      <w:r>
        <w:tab/>
        <w:t>the Corporation may estimate a notional charge for the previous year in respect of that property, being the charge that would have been payable for that year if the matters and circumstances currently prevailing had prevailed for the whole of that year;</w:t>
      </w:r>
    </w:p>
    <w:p>
      <w:pPr>
        <w:pStyle w:val="Indenta"/>
      </w:pPr>
      <w:r>
        <w:tab/>
        <w:t>(c)</w:t>
      </w:r>
      <w:r>
        <w:tab/>
        <w:t>the charge determined in accordance with paragraph (a) is to be limited (where relevant) in accordance with sub</w:t>
      </w:r>
      <w:r>
        <w:noBreakHyphen/>
        <w:t>bylaw (1) or (2) (whichever is relevant), using the notional charge estimated in accordance with paragraph (b);</w:t>
      </w:r>
    </w:p>
    <w:p>
      <w:pPr>
        <w:pStyle w:val="Indenta"/>
      </w:pPr>
      <w:r>
        <w:tab/>
        <w:t>(d)</w:t>
      </w:r>
      <w:r>
        <w:tab/>
        <w:t>the charge determined in accordance with paragraph (a) (as limited in accordance with paragraph (c) where relevant) is to be reduced by the same proportion that the part year bears to the whole of the current year.</w:t>
      </w:r>
    </w:p>
    <w:p>
      <w:pPr>
        <w:pStyle w:val="Footnotesection"/>
      </w:pPr>
      <w:r>
        <w:tab/>
        <w:t>[By-law 9B inserted in Gazette 25 Jun 2010 p. 2901</w:t>
      </w:r>
      <w:r>
        <w:noBreakHyphen/>
        <w:t>3; amended in Gazette 23 Jun 2011 p. 2417; 20 Jun 2012 p. 2697; 19 Jun 2013 p. 2351.]</w:t>
      </w:r>
    </w:p>
    <w:p>
      <w:pPr>
        <w:pStyle w:val="Heading2"/>
      </w:pPr>
      <w:bookmarkStart w:id="17" w:name="_Toc84424744"/>
      <w:r>
        <w:rPr>
          <w:rStyle w:val="CharPartNo"/>
        </w:rPr>
        <w:lastRenderedPageBreak/>
        <w:t>Part 2</w:t>
      </w:r>
      <w:r>
        <w:t> — </w:t>
      </w:r>
      <w:r>
        <w:rPr>
          <w:rStyle w:val="CharPartText"/>
        </w:rPr>
        <w:t>Water supply</w:t>
      </w:r>
      <w:bookmarkEnd w:id="17"/>
    </w:p>
    <w:p>
      <w:pPr>
        <w:pStyle w:val="Heading3"/>
        <w:rPr>
          <w:snapToGrid w:val="0"/>
          <w:spacing w:val="-4"/>
        </w:rPr>
      </w:pPr>
      <w:bookmarkStart w:id="18" w:name="_Toc84424745"/>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18"/>
    </w:p>
    <w:p>
      <w:pPr>
        <w:pStyle w:val="Heading5"/>
        <w:rPr>
          <w:snapToGrid w:val="0"/>
        </w:rPr>
      </w:pPr>
      <w:bookmarkStart w:id="19" w:name="_Toc84424746"/>
      <w:r>
        <w:rPr>
          <w:rStyle w:val="CharSectno"/>
        </w:rPr>
        <w:t>10</w:t>
      </w:r>
      <w:r>
        <w:rPr>
          <w:snapToGrid w:val="0"/>
        </w:rPr>
        <w:t>.</w:t>
      </w:r>
      <w:r>
        <w:rPr>
          <w:snapToGrid w:val="0"/>
        </w:rPr>
        <w:tab/>
        <w:t>Certain matters to be disregarded</w:t>
      </w:r>
      <w:bookmarkEnd w:id="19"/>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20" w:name="_Toc84424747"/>
      <w:r>
        <w:rPr>
          <w:rStyle w:val="CharSectno"/>
        </w:rPr>
        <w:t>11</w:t>
      </w:r>
      <w:r>
        <w:rPr>
          <w:snapToGrid w:val="0"/>
        </w:rPr>
        <w:t>.</w:t>
      </w:r>
      <w:r>
        <w:rPr>
          <w:snapToGrid w:val="0"/>
        </w:rPr>
        <w:tab/>
        <w:t>Land subject to water supply charges under this Division</w:t>
      </w:r>
      <w:bookmarkEnd w:id="20"/>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21" w:name="_Toc84424748"/>
      <w:r>
        <w:rPr>
          <w:rStyle w:val="CharSectno"/>
        </w:rPr>
        <w:t>12</w:t>
      </w:r>
      <w:r>
        <w:rPr>
          <w:snapToGrid w:val="0"/>
        </w:rPr>
        <w:t>.</w:t>
      </w:r>
      <w:r>
        <w:rPr>
          <w:snapToGrid w:val="0"/>
        </w:rPr>
        <w:tab/>
        <w:t>Exempt land</w:t>
      </w:r>
      <w:bookmarkEnd w:id="21"/>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water supply connection</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lastRenderedPageBreak/>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w:t>
      </w:r>
      <w:r>
        <w:t xml:space="preserve"> to the extent set out in that Schedule</w:t>
      </w:r>
      <w:r>
        <w:rPr>
          <w:snapToGrid w:val="0"/>
        </w:rPr>
        <w:t xml:space="preserve">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 20 Jun 2012 p. 2697.]</w:t>
      </w:r>
    </w:p>
    <w:p>
      <w:pPr>
        <w:pStyle w:val="Heading5"/>
      </w:pPr>
      <w:bookmarkStart w:id="22" w:name="_Toc84424749"/>
      <w:r>
        <w:rPr>
          <w:rStyle w:val="CharSectno"/>
        </w:rPr>
        <w:t>13</w:t>
      </w:r>
      <w:r>
        <w:t>.</w:t>
      </w:r>
      <w:r>
        <w:tab/>
        <w:t>Classification of land</w:t>
      </w:r>
      <w:bookmarkEnd w:id="22"/>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lastRenderedPageBreak/>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w:t>
      </w:r>
      <w:r>
        <w:rPr>
          <w:b/>
          <w:bCs/>
          <w:i/>
          <w:iCs/>
        </w:rPr>
        <w:t>farm land</w:t>
      </w:r>
      <w:r>
        <w:t xml:space="preserve"> in the </w:t>
      </w:r>
      <w:r>
        <w:rPr>
          <w:i/>
          <w:iCs/>
        </w:rPr>
        <w:t>Country Areas Water Supply Act 1947</w:t>
      </w:r>
      <w:r>
        <w:t xml:space="preserve"> section 5(1) and is within 2.5 kilometres of a main or other pipe from which the Corporation is prepared to supply water to the land;</w:t>
      </w:r>
    </w:p>
    <w:p>
      <w:pPr>
        <w:pStyle w:val="Ednotepara"/>
      </w:pPr>
      <w:r>
        <w:tab/>
        <w:t>[(g)</w:t>
      </w:r>
      <w:r>
        <w:tab/>
        <w:t>deleted]</w:t>
      </w:r>
    </w:p>
    <w:p>
      <w:pPr>
        <w:pStyle w:val="Indenta"/>
      </w:pPr>
      <w:r>
        <w:tab/>
        <w:t>(h)</w:t>
      </w:r>
      <w:r>
        <w:tab/>
        <w:t>local government, if the land is not in the metropolitan area and is used by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 xml:space="preserve">community residential, if the land is occupied as a communal property on which several family units dwell </w:t>
      </w:r>
      <w:r>
        <w:lastRenderedPageBreak/>
        <w:t>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Indenta"/>
      </w:pPr>
      <w:r>
        <w:tab/>
        <w:t>(m)</w:t>
      </w:r>
      <w:r>
        <w:tab/>
        <w:t>aged home, if the land is in the metropolitan area and the classification of the land is not otherwise specifically provided for in this by</w:t>
      </w:r>
      <w:r>
        <w:noBreakHyphen/>
        <w:t>law.</w:t>
      </w:r>
    </w:p>
    <w:p>
      <w:pPr>
        <w:pStyle w:val="Subsection"/>
      </w:pPr>
      <w:r>
        <w:tab/>
        <w:t>(2A)</w:t>
      </w:r>
      <w:r>
        <w:tab/>
        <w:t>For the purposes of this Division, land described in by</w:t>
      </w:r>
      <w:r>
        <w:noBreakHyphen/>
        <w:t xml:space="preserve">law 4 that is — </w:t>
      </w:r>
    </w:p>
    <w:p>
      <w:pPr>
        <w:pStyle w:val="Indenta"/>
      </w:pPr>
      <w:r>
        <w:tab/>
        <w:t>(a)</w:t>
      </w:r>
      <w:r>
        <w:tab/>
        <w:t xml:space="preserve">provided with a water supply connection; and </w:t>
      </w:r>
    </w:p>
    <w:p>
      <w:pPr>
        <w:pStyle w:val="Indenta"/>
      </w:pPr>
      <w:r>
        <w:tab/>
        <w:t>(b)</w:t>
      </w:r>
      <w:r>
        <w:tab/>
        <w:t>not otherwise classified under sub</w:t>
      </w:r>
      <w:r>
        <w:noBreakHyphen/>
        <w:t xml:space="preserve">bylaw (1), </w:t>
      </w:r>
    </w:p>
    <w:p>
      <w:pPr>
        <w:pStyle w:val="Subsection"/>
      </w:pPr>
      <w:r>
        <w:tab/>
      </w:r>
      <w:r>
        <w:tab/>
        <w:t>is classified as community purpose irrespective of any other classification under these by</w:t>
      </w:r>
      <w:r>
        <w:noBreakHyphen/>
        <w:t>laws.</w:t>
      </w:r>
    </w:p>
    <w:p>
      <w:pPr>
        <w:pStyle w:val="Subsection"/>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pPr>
      <w:r>
        <w:tab/>
        <w:t>(3)</w:t>
      </w:r>
      <w:r>
        <w:tab/>
        <w:t>For the purposes of this Division, land may, irrespective of any other classification under sub</w:t>
      </w:r>
      <w:r>
        <w:noBreakHyphen/>
        <w:t>bylaw (1), be classified by the Corporation as capital infrastructure if —</w:t>
      </w:r>
    </w:p>
    <w:p>
      <w:pPr>
        <w:pStyle w:val="Indenta"/>
      </w:pPr>
      <w:r>
        <w:tab/>
        <w:t>(a)</w:t>
      </w:r>
      <w:r>
        <w:tab/>
        <w:t>the Corporation determines that the land is in an area specified in Column 1 of the Table to Schedule 1 item 36; and</w:t>
      </w:r>
    </w:p>
    <w:p>
      <w:pPr>
        <w:pStyle w:val="Indenta"/>
      </w:pPr>
      <w:r>
        <w:tab/>
        <w:t>(b)</w:t>
      </w:r>
      <w:r>
        <w:tab/>
        <w:t>the Corporation provides or is to provide works to ensure the supply of water to the land.</w:t>
      </w:r>
    </w:p>
    <w:p>
      <w:pPr>
        <w:pStyle w:val="Footnotesection"/>
      </w:pPr>
      <w:r>
        <w:lastRenderedPageBreak/>
        <w:tab/>
        <w:t>[By</w:t>
      </w:r>
      <w:r>
        <w:noBreakHyphen/>
        <w:t>law 13 inserted in Gazette 29 Jun 2007 p. 3247</w:t>
      </w:r>
      <w:r>
        <w:noBreakHyphen/>
        <w:t>8; amended in Gazette 19 Jun 2009 p. 2322; 25 Jun 2010 p. 2903; 20 Jun 2012 p. 2697</w:t>
      </w:r>
      <w:r>
        <w:noBreakHyphen/>
        <w:t xml:space="preserve">8.] </w:t>
      </w:r>
    </w:p>
    <w:p>
      <w:pPr>
        <w:pStyle w:val="Ednotesection"/>
      </w:pPr>
      <w:r>
        <w:t>[</w:t>
      </w:r>
      <w:r>
        <w:rPr>
          <w:b/>
        </w:rPr>
        <w:t>13A.</w:t>
      </w:r>
      <w:r>
        <w:tab/>
        <w:t>Deleted in Gazette 29 Jun 1988 p. 2113.]</w:t>
      </w:r>
    </w:p>
    <w:p>
      <w:pPr>
        <w:pStyle w:val="Ednotesection"/>
      </w:pPr>
      <w:r>
        <w:t>[</w:t>
      </w:r>
      <w:r>
        <w:rPr>
          <w:b/>
        </w:rPr>
        <w:t>14.</w:t>
      </w:r>
      <w:r>
        <w:tab/>
        <w:t>Deleted in Gazette 19 Jun 2013 p. 2351.]</w:t>
      </w:r>
    </w:p>
    <w:p>
      <w:pPr>
        <w:pStyle w:val="Ednotesection"/>
      </w:pPr>
      <w:r>
        <w:t>[</w:t>
      </w:r>
      <w:r>
        <w:rPr>
          <w:b/>
        </w:rPr>
        <w:t>15.</w:t>
      </w:r>
      <w:r>
        <w:tab/>
        <w:t>Deleted in Gazette 1 Jul 2002 p. 3156.]</w:t>
      </w:r>
    </w:p>
    <w:p>
      <w:pPr>
        <w:pStyle w:val="Heading5"/>
        <w:rPr>
          <w:snapToGrid w:val="0"/>
        </w:rPr>
      </w:pPr>
      <w:bookmarkStart w:id="23" w:name="_Toc84424750"/>
      <w:r>
        <w:rPr>
          <w:rStyle w:val="CharSectno"/>
        </w:rPr>
        <w:t>16</w:t>
      </w:r>
      <w:r>
        <w:rPr>
          <w:snapToGrid w:val="0"/>
        </w:rPr>
        <w:t>.</w:t>
      </w:r>
      <w:r>
        <w:rPr>
          <w:snapToGrid w:val="0"/>
        </w:rPr>
        <w:tab/>
        <w:t>Discrete residential units</w:t>
      </w:r>
      <w:bookmarkEnd w:id="23"/>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discrete residential units to which that land is in its opinion equivalent and the land shall be regarded as including that number of discrete residential units.</w:t>
      </w:r>
    </w:p>
    <w:p>
      <w:pPr>
        <w:pStyle w:val="Footnotesection"/>
      </w:pPr>
      <w:r>
        <w:tab/>
        <w:t>[By</w:t>
      </w:r>
      <w:r>
        <w:noBreakHyphen/>
        <w:t>law 16 amended in Gazette 29 Dec 1995 p. 6331; 29 Jun 2007 p. 3248; 27 Jun 2008 p. 2985.]</w:t>
      </w:r>
    </w:p>
    <w:p>
      <w:pPr>
        <w:pStyle w:val="Heading5"/>
        <w:spacing w:before="240"/>
        <w:rPr>
          <w:snapToGrid w:val="0"/>
        </w:rPr>
      </w:pPr>
      <w:bookmarkStart w:id="24" w:name="_Toc84424751"/>
      <w:r>
        <w:rPr>
          <w:rStyle w:val="CharSectno"/>
        </w:rPr>
        <w:t>17</w:t>
      </w:r>
      <w:r>
        <w:rPr>
          <w:snapToGrid w:val="0"/>
        </w:rPr>
        <w:t>.</w:t>
      </w:r>
      <w:r>
        <w:rPr>
          <w:snapToGrid w:val="0"/>
        </w:rPr>
        <w:tab/>
        <w:t>Quantity charges for the supply of water</w:t>
      </w:r>
      <w:bookmarkEnd w:id="24"/>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lastRenderedPageBreak/>
        <w:tab/>
        <w:t>(b)</w:t>
      </w:r>
      <w:r>
        <w:rPr>
          <w:snapToGrid w:val="0"/>
        </w:rPr>
        <w:tab/>
        <w:t>within 10 days before or after the change in occupation the new occupier has obtained a special meter reading from the Corporation,</w:t>
      </w:r>
    </w:p>
    <w:p>
      <w:pPr>
        <w:pStyle w:val="Subsection"/>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25" w:name="_Toc84424752"/>
      <w:r>
        <w:rPr>
          <w:rStyle w:val="CharSectno"/>
        </w:rPr>
        <w:t>17A</w:t>
      </w:r>
      <w:r>
        <w:rPr>
          <w:snapToGrid w:val="0"/>
        </w:rPr>
        <w:t>.</w:t>
      </w:r>
      <w:r>
        <w:rPr>
          <w:snapToGrid w:val="0"/>
        </w:rPr>
        <w:tab/>
        <w:t>Caravan parks</w:t>
      </w:r>
      <w:bookmarkEnd w:id="25"/>
    </w:p>
    <w:p>
      <w:pPr>
        <w:pStyle w:val="Subsection"/>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24(b);</w:t>
      </w:r>
    </w:p>
    <w:p>
      <w:pPr>
        <w:pStyle w:val="Indenta"/>
        <w:rPr>
          <w:snapToGrid w:val="0"/>
        </w:rPr>
      </w:pPr>
      <w:r>
        <w:rPr>
          <w:snapToGrid w:val="0"/>
        </w:rPr>
        <w:tab/>
        <w:t>(b)</w:t>
      </w:r>
      <w:r>
        <w:rPr>
          <w:snapToGrid w:val="0"/>
        </w:rPr>
        <w:tab/>
        <w:t>for bays in the non</w:t>
      </w:r>
      <w:r>
        <w:rPr>
          <w:snapToGrid w:val="0"/>
        </w:rPr>
        <w:noBreakHyphen/>
        <w:t>metropolitan area, the first 150 kL of water supplied is charged at the rate for non</w:t>
      </w:r>
      <w:r>
        <w:rPr>
          <w:snapToGrid w:val="0"/>
        </w:rPr>
        <w:noBreakHyphen/>
        <w:t>metropolitan residential usage shown in</w:t>
      </w:r>
      <w:r>
        <w:t xml:space="preserve"> Schedule 1 item 22</w:t>
      </w:r>
      <w:r>
        <w:rPr>
          <w:snapToGrid w:val="0"/>
        </w:rPr>
        <w:t xml:space="preserve"> </w:t>
      </w:r>
      <w:r>
        <w:t xml:space="preserve">(according to the residential classification of the town/area set out in Schedule 10) </w:t>
      </w:r>
      <w:r>
        <w:rPr>
          <w:snapToGrid w:val="0"/>
        </w:rPr>
        <w:t>and water usage over 150 kL is charged at the maximum rate for non</w:t>
      </w:r>
      <w:r>
        <w:rPr>
          <w:snapToGrid w:val="0"/>
        </w:rPr>
        <w:noBreakHyphen/>
        <w:t>metropolitan</w:t>
      </w:r>
      <w:r>
        <w:t xml:space="preserve"> commercial residential usage set out in Schedule 1 item 27(g) (according to the non</w:t>
      </w:r>
      <w:r>
        <w:noBreakHyphen/>
        <w:t>residential classification of the town/area set out in Schedule 10).</w:t>
      </w:r>
    </w:p>
    <w:p>
      <w:pPr>
        <w:pStyle w:val="Subsection"/>
        <w:keepNext/>
        <w:keepLines/>
        <w:rPr>
          <w:snapToGrid w:val="0"/>
        </w:rPr>
      </w:pPr>
      <w:r>
        <w:rPr>
          <w:snapToGrid w:val="0"/>
        </w:rPr>
        <w:lastRenderedPageBreak/>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the non</w:t>
      </w:r>
      <w:r>
        <w:rPr>
          <w:snapToGrid w:val="0"/>
        </w:rPr>
        <w:noBreakHyphen/>
        <w:t>metropolitan non</w:t>
      </w:r>
      <w:r>
        <w:rPr>
          <w:snapToGrid w:val="0"/>
        </w:rPr>
        <w:noBreakHyphen/>
        <w:t>residential meter</w:t>
      </w:r>
      <w:r>
        <w:rPr>
          <w:snapToGrid w:val="0"/>
        </w:rPr>
        <w:noBreakHyphen/>
        <w:t xml:space="preserve">based charge set out in </w:t>
      </w:r>
      <w:r>
        <w:t>Schedule 1 item 10(c)</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 (according to the non</w:t>
      </w:r>
      <w:r>
        <w:noBreakHyphen/>
        <w:t>residential classification of the town/area set out in Schedule 10)</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 27 Jun 2008 p. 2985</w:t>
      </w:r>
      <w:r>
        <w:noBreakHyphen/>
        <w:t>6; 25 Jun 2010 p. 2903.]</w:t>
      </w:r>
    </w:p>
    <w:p>
      <w:pPr>
        <w:pStyle w:val="Heading5"/>
        <w:rPr>
          <w:snapToGrid w:val="0"/>
        </w:rPr>
      </w:pPr>
      <w:bookmarkStart w:id="26" w:name="_Toc84424753"/>
      <w:r>
        <w:rPr>
          <w:rStyle w:val="CharSectno"/>
        </w:rPr>
        <w:lastRenderedPageBreak/>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26"/>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Ednotesubsection"/>
      </w:pPr>
      <w:r>
        <w:tab/>
        <w:t>[(4)</w:t>
      </w:r>
      <w:r>
        <w:tab/>
        <w:t>deleted]</w:t>
      </w:r>
    </w:p>
    <w:p>
      <w:pPr>
        <w:pStyle w:val="Footnotesection"/>
      </w:pPr>
      <w:r>
        <w:tab/>
        <w:t>[By</w:t>
      </w:r>
      <w:r>
        <w:noBreakHyphen/>
        <w:t>law 17B inserted in Gazette 1 Jul 2002 p. 3156</w:t>
      </w:r>
      <w:r>
        <w:noBreakHyphen/>
        <w:t>7; amended in Gazette 29 Jun 2007 p. 3250; 19 Jun 2013 p. 2352.]</w:t>
      </w:r>
    </w:p>
    <w:p>
      <w:pPr>
        <w:pStyle w:val="Heading5"/>
      </w:pPr>
      <w:bookmarkStart w:id="27" w:name="_Toc84424754"/>
      <w:r>
        <w:rPr>
          <w:rStyle w:val="CharSectno"/>
        </w:rPr>
        <w:t>17C</w:t>
      </w:r>
      <w:r>
        <w:t>.</w:t>
      </w:r>
      <w:r>
        <w:tab/>
        <w:t>Non</w:t>
      </w:r>
      <w:r>
        <w:noBreakHyphen/>
        <w:t>metropolitan, non</w:t>
      </w:r>
      <w:r>
        <w:noBreakHyphen/>
        <w:t>strata titled, Commercial or Industrial property water supply charges</w:t>
      </w:r>
      <w:bookmarkEnd w:id="27"/>
    </w:p>
    <w:p>
      <w:pPr>
        <w:pStyle w:val="Subsection"/>
      </w:pPr>
      <w:r>
        <w:tab/>
        <w:t>(1)</w:t>
      </w:r>
      <w:r>
        <w:tab/>
        <w:t>Where a property referred to in Schedule 1 item 10 is not directly served by the Corporation, the charge payable for the current year for the provision of water supply to the property is the charge determined as if the water supply to the property was metered through a 20 mm meter.</w:t>
      </w:r>
    </w:p>
    <w:p>
      <w:pPr>
        <w:pStyle w:val="Subsection"/>
      </w:pPr>
      <w:r>
        <w:tab/>
        <w:t>(2)</w:t>
      </w:r>
      <w:r>
        <w:tab/>
        <w:t xml:space="preserve">Where a property referred to in Schedule 1 item 10 is served but not metered by the Corporation, the charge payable for the current year for the provision of water supply to the property is the charge calculated as if the water supply to the property was </w:t>
      </w:r>
      <w:r>
        <w:lastRenderedPageBreak/>
        <w:t>metered through a meter of a size equal to the diameter of the connecting pipe serving that property.</w:t>
      </w:r>
    </w:p>
    <w:p>
      <w:pPr>
        <w:pStyle w:val="Ednotesubsection"/>
      </w:pPr>
      <w:r>
        <w:tab/>
        <w:t>[(3)</w:t>
      </w:r>
      <w:r>
        <w:tab/>
        <w:t>deleted]</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 27 Jun 2008 p. 2986; 19 Jun 2009 p. 2322; 25 Jun 2010 p. 2903; 23 Jun 2011 p. 2418; 20 Jun 2012 p. 2698; 19 Jun 2013 p. 2352.]</w:t>
      </w:r>
    </w:p>
    <w:p>
      <w:pPr>
        <w:pStyle w:val="Heading5"/>
        <w:rPr>
          <w:snapToGrid w:val="0"/>
        </w:rPr>
      </w:pPr>
      <w:bookmarkStart w:id="28" w:name="_Toc84424755"/>
      <w:r>
        <w:rPr>
          <w:rStyle w:val="CharSectno"/>
        </w:rPr>
        <w:t>17D</w:t>
      </w:r>
      <w:r>
        <w:rPr>
          <w:snapToGrid w:val="0"/>
        </w:rPr>
        <w:t>.</w:t>
      </w:r>
      <w:r>
        <w:rPr>
          <w:snapToGrid w:val="0"/>
        </w:rPr>
        <w:tab/>
        <w:t>Various non</w:t>
      </w:r>
      <w:r>
        <w:rPr>
          <w:snapToGrid w:val="0"/>
        </w:rPr>
        <w:noBreakHyphen/>
        <w:t>metropolitan water supply charges and classifications</w:t>
      </w:r>
      <w:bookmarkEnd w:id="28"/>
    </w:p>
    <w:p>
      <w:pPr>
        <w:pStyle w:val="Subsection"/>
        <w:rPr>
          <w:snapToGrid w:val="0"/>
        </w:rPr>
      </w:pPr>
      <w:r>
        <w:rPr>
          <w:snapToGrid w:val="0"/>
        </w:rPr>
        <w:tab/>
        <w:t>(1)</w:t>
      </w:r>
      <w:r>
        <w:rPr>
          <w:snapToGrid w:val="0"/>
        </w:rPr>
        <w:tab/>
        <w:t>The charges for water supplied to non</w:t>
      </w:r>
      <w:r>
        <w:rPr>
          <w:snapToGrid w:val="0"/>
        </w:rPr>
        <w:noBreakHyphen/>
        <w:t>metropolitan residential</w:t>
      </w:r>
      <w:r>
        <w:t>, non</w:t>
      </w:r>
      <w:r>
        <w:noBreakHyphen/>
        <w:t xml:space="preserve">metropolitan community residential </w:t>
      </w:r>
      <w:r>
        <w:rPr>
          <w:snapToGrid w:val="0"/>
        </w:rPr>
        <w:t>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(ba)</w:t>
      </w:r>
      <w:r>
        <w:tab/>
        <w:t>Schedule 1 item 23(2); and</w:t>
      </w:r>
    </w:p>
    <w:p>
      <w:pPr>
        <w:pStyle w:val="Indenta"/>
      </w:pPr>
      <w:r>
        <w:tab/>
        <w:t>(b)</w:t>
      </w:r>
      <w:r>
        <w:tab/>
        <w:t>Schedule 1 item 27(b); and</w:t>
      </w:r>
    </w:p>
    <w:p>
      <w:pPr>
        <w:pStyle w:val="Indenta"/>
      </w:pPr>
      <w:r>
        <w:tab/>
        <w:t>(c)</w:t>
      </w:r>
      <w:r>
        <w:tab/>
        <w:t>Schedule 1 item 27(g); and</w:t>
      </w:r>
    </w:p>
    <w:p>
      <w:pPr>
        <w:pStyle w:val="Indenta"/>
      </w:pPr>
      <w:r>
        <w:tab/>
        <w:t>(d)</w:t>
      </w:r>
      <w:r>
        <w:tab/>
        <w:t>Schedule 8 item 2(2),</w:t>
      </w:r>
    </w:p>
    <w:p>
      <w:pPr>
        <w:pStyle w:val="Subsection"/>
        <w:rPr>
          <w:snapToGrid w:val="0"/>
        </w:rPr>
      </w:pPr>
      <w:r>
        <w:rPr>
          <w:snapToGrid w:val="0"/>
        </w:rPr>
        <w:tab/>
      </w:r>
      <w:r>
        <w:rPr>
          <w:snapToGrid w:val="0"/>
        </w:rPr>
        <w:tab/>
        <w:t>apply to towns/areas according to the classifications given to the towns/areas by the Corporation.</w:t>
      </w:r>
    </w:p>
    <w:p>
      <w:pPr>
        <w:pStyle w:val="Ednotesubsection"/>
      </w:pPr>
      <w:r>
        <w:tab/>
        <w:t>[(2)</w:t>
      </w:r>
      <w:r>
        <w:tab/>
        <w:t>deleted]</w:t>
      </w:r>
    </w:p>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spacing w:before="120"/>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lastRenderedPageBreak/>
        <w:tab/>
        <w:t>[By</w:t>
      </w:r>
      <w:r>
        <w:noBreakHyphen/>
        <w:t>law 17D inserted in Gazette 27 Jun 1997 p. 3179</w:t>
      </w:r>
      <w:r>
        <w:noBreakHyphen/>
        <w:t>80; amended in Gazette 6 Jan 1998 p. 40; 26 Jun 1998 p. 3400; 29 Jun 1999 p. 2793; 29 Jun 2001 p. 3192</w:t>
      </w:r>
      <w:r>
        <w:noBreakHyphen/>
        <w:t>3; 5 Oct 2001 p. 5479; 29 Jun 2007 p. 3250; 27 Jun 2008 p. 2986</w:t>
      </w:r>
      <w:r>
        <w:noBreakHyphen/>
        <w:t>7.]</w:t>
      </w:r>
    </w:p>
    <w:p>
      <w:pPr>
        <w:pStyle w:val="Heading5"/>
        <w:rPr>
          <w:snapToGrid w:val="0"/>
        </w:rPr>
      </w:pPr>
      <w:bookmarkStart w:id="29" w:name="_Toc84424756"/>
      <w:r>
        <w:rPr>
          <w:rStyle w:val="CharSectno"/>
        </w:rPr>
        <w:t>18</w:t>
      </w:r>
      <w:r>
        <w:rPr>
          <w:snapToGrid w:val="0"/>
        </w:rPr>
        <w:t>.</w:t>
      </w:r>
      <w:r>
        <w:rPr>
          <w:snapToGrid w:val="0"/>
        </w:rPr>
        <w:tab/>
        <w:t>Concessional non</w:t>
      </w:r>
      <w:r>
        <w:rPr>
          <w:snapToGrid w:val="0"/>
        </w:rPr>
        <w:noBreakHyphen/>
        <w:t>metropolitan quantity charge</w:t>
      </w:r>
      <w:bookmarkEnd w:id="29"/>
    </w:p>
    <w:p>
      <w:pPr>
        <w:pStyle w:val="Subsection"/>
        <w:spacing w:before="120"/>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subject to sub</w:t>
      </w:r>
      <w:r>
        <w:rPr>
          <w:snapToGrid w:val="0"/>
        </w:rPr>
        <w:noBreakHyphen/>
        <w:t>bylaw (3), 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spacing w:before="120"/>
        <w:rPr>
          <w:snapToGrid w:val="0"/>
        </w:rPr>
      </w:pPr>
      <w:r>
        <w:rPr>
          <w:snapToGrid w:val="0"/>
        </w:rPr>
        <w:lastRenderedPageBreak/>
        <w:tab/>
        <w:t>(3)</w:t>
      </w:r>
      <w:r>
        <w:rPr>
          <w:snapToGrid w:val="0"/>
        </w:rPr>
        <w:tab/>
        <w:t>Where the Corporation, having regard to the circumstances of the case, sees fit, it may dispense with the requirements of sub</w:t>
      </w:r>
      <w:r>
        <w:rPr>
          <w:snapToGrid w:val="0"/>
        </w:rPr>
        <w:noBreakHyphen/>
        <w:t>bylaw (2)(b).</w:t>
      </w:r>
    </w:p>
    <w:p>
      <w:pPr>
        <w:pStyle w:val="Subsection"/>
        <w:spacing w:before="120"/>
        <w:rPr>
          <w:snapToGrid w:val="0"/>
        </w:rPr>
      </w:pPr>
      <w:r>
        <w:rPr>
          <w:snapToGrid w:val="0"/>
        </w:rPr>
        <w:tab/>
        <w:t>(4)</w:t>
      </w:r>
      <w:r>
        <w:rPr>
          <w:snapToGrid w:val="0"/>
        </w:rPr>
        <w:tab/>
        <w:t xml:space="preserve">The </w:t>
      </w:r>
      <w:r>
        <w:t>amount of the concession</w:t>
      </w:r>
      <w:r>
        <w:rPr>
          <w:snapToGrid w:val="0"/>
        </w:rPr>
        <w:t xml:space="preserve">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 xml:space="preserve">in the town of Cue, Laverton, Leonora, Meekatharra, Menzies, Mt Magnet (from 1995/1996 onwards), </w:t>
      </w:r>
      <w:r>
        <w:t xml:space="preserve">Mullewa (from 2009/2010 onwards), </w:t>
      </w:r>
      <w:r>
        <w:rPr>
          <w:snapToGrid w:val="0"/>
        </w:rPr>
        <w:t>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120"/>
        <w:rPr>
          <w:snapToGrid w:val="0"/>
        </w:rPr>
      </w:pPr>
      <w:r>
        <w:rPr>
          <w:snapToGrid w:val="0"/>
        </w:rPr>
        <w:tab/>
        <w:t>(5)</w:t>
      </w:r>
      <w:r>
        <w:rPr>
          <w:snapToGrid w:val="0"/>
        </w:rPr>
        <w:tab/>
        <w:t xml:space="preserve">A person who, in connection with or for the purpose of obtaining a </w:t>
      </w:r>
      <w:r>
        <w:t>concession</w:t>
      </w:r>
      <w:r>
        <w:rPr>
          <w:snapToGrid w:val="0"/>
        </w:rPr>
        <w:t xml:space="preserve">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 25 Jun 2010 p. 2903</w:t>
      </w:r>
      <w:r>
        <w:noBreakHyphen/>
        <w:t>5.]</w:t>
      </w:r>
    </w:p>
    <w:p>
      <w:pPr>
        <w:pStyle w:val="Heading5"/>
        <w:rPr>
          <w:snapToGrid w:val="0"/>
        </w:rPr>
      </w:pPr>
      <w:bookmarkStart w:id="30" w:name="_Toc84424757"/>
      <w:r>
        <w:rPr>
          <w:rStyle w:val="CharSectno"/>
        </w:rPr>
        <w:t>18A</w:t>
      </w:r>
      <w:r>
        <w:rPr>
          <w:snapToGrid w:val="0"/>
        </w:rPr>
        <w:t>.</w:t>
      </w:r>
      <w:r>
        <w:rPr>
          <w:snapToGrid w:val="0"/>
        </w:rPr>
        <w:tab/>
        <w:t>Concessional metropolitan quantity charge</w:t>
      </w:r>
      <w:bookmarkEnd w:id="30"/>
    </w:p>
    <w:p>
      <w:pPr>
        <w:pStyle w:val="Subsection"/>
      </w:pPr>
      <w:r>
        <w:tab/>
        <w:t>(1)</w:t>
      </w:r>
      <w:r>
        <w:tab/>
        <w:t>In this by</w:t>
      </w:r>
      <w:r>
        <w:noBreakHyphen/>
        <w:t>law —</w:t>
      </w:r>
    </w:p>
    <w:p>
      <w:pPr>
        <w:pStyle w:val="Defstart"/>
      </w:pPr>
      <w:r>
        <w:lastRenderedPageBreak/>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rPr>
          <w:snapToGrid w:val="0"/>
        </w:rPr>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lastRenderedPageBreak/>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 25 Jun 2010 p. 2905</w:t>
      </w:r>
      <w:r>
        <w:noBreakHyphen/>
        <w:t>6.]</w:t>
      </w:r>
    </w:p>
    <w:p>
      <w:pPr>
        <w:pStyle w:val="Heading5"/>
        <w:rPr>
          <w:snapToGrid w:val="0"/>
        </w:rPr>
      </w:pPr>
      <w:bookmarkStart w:id="31" w:name="_Toc84424758"/>
      <w:r>
        <w:rPr>
          <w:rStyle w:val="CharSectno"/>
        </w:rPr>
        <w:t>18B</w:t>
      </w:r>
      <w:r>
        <w:rPr>
          <w:snapToGrid w:val="0"/>
        </w:rPr>
        <w:t>.</w:t>
      </w:r>
      <w:r>
        <w:rPr>
          <w:snapToGrid w:val="0"/>
        </w:rPr>
        <w:tab/>
        <w:t>Residential multi</w:t>
      </w:r>
      <w:r>
        <w:rPr>
          <w:snapToGrid w:val="0"/>
        </w:rPr>
        <w:noBreakHyphen/>
        <w:t>unit properties — rebates for eligible pensioners</w:t>
      </w:r>
      <w:bookmarkEnd w:id="31"/>
    </w:p>
    <w:p>
      <w:pPr>
        <w:pStyle w:val="Subsection"/>
      </w:pPr>
      <w:r>
        <w:tab/>
        <w:t>(1)</w:t>
      </w:r>
      <w:r>
        <w:tab/>
        <w:t>In this by-law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Defstart"/>
      </w:pPr>
      <w:r>
        <w:rPr>
          <w:b/>
        </w:rPr>
        <w:tab/>
      </w:r>
      <w:r>
        <w:rPr>
          <w:rStyle w:val="CharDefText"/>
        </w:rPr>
        <w:t>registered</w:t>
      </w:r>
      <w:r>
        <w:t xml:space="preserve"> in the case of an eligible pensioner who is a tenant, means registered or listed with the Corporation for the purposes of assessment under this by</w:t>
      </w:r>
      <w:r>
        <w:noBreakHyphen/>
        <w:t>law.</w:t>
      </w:r>
    </w:p>
    <w:p>
      <w:pPr>
        <w:pStyle w:val="Subsection"/>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lastRenderedPageBreak/>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 xml:space="preserve">600 kL of water is supplied in one year and where the land concerned is in the town of Cue, Laverton, Leonora, Meekatharra, Menzies, Mt Magnet (from 1995/1996 onwards), </w:t>
      </w:r>
      <w:r>
        <w:t xml:space="preserve">Mullewa (from 2009/2010 onwards), </w:t>
      </w:r>
      <w:r>
        <w:rPr>
          <w:snapToGrid w:val="0"/>
        </w:rPr>
        <w:t>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 xml:space="preserve">The Corporation may, after having regard to the circumstances in a particular case, dispense with the requirement in </w:t>
      </w:r>
      <w:r>
        <w:rPr>
          <w:snapToGrid w:val="0"/>
        </w:rPr>
        <w:lastRenderedPageBreak/>
        <w:t>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 25 Jun 2010 p. 2906.]</w:t>
      </w:r>
    </w:p>
    <w:p>
      <w:pPr>
        <w:pStyle w:val="Ednotesection"/>
      </w:pPr>
      <w:r>
        <w:t>[</w:t>
      </w:r>
      <w:r>
        <w:rPr>
          <w:b/>
        </w:rPr>
        <w:t>19.</w:t>
      </w:r>
      <w:r>
        <w:rPr>
          <w:b/>
        </w:rPr>
        <w:tab/>
      </w:r>
      <w:r>
        <w:t>Deleted in Gazette 26 Jun 1998 p. 3400.]</w:t>
      </w:r>
    </w:p>
    <w:p>
      <w:pPr>
        <w:pStyle w:val="Heading5"/>
        <w:rPr>
          <w:snapToGrid w:val="0"/>
        </w:rPr>
      </w:pPr>
      <w:bookmarkStart w:id="32" w:name="_Toc84424759"/>
      <w:r>
        <w:rPr>
          <w:rStyle w:val="CharSectno"/>
        </w:rPr>
        <w:t>19A</w:t>
      </w:r>
      <w:r>
        <w:rPr>
          <w:snapToGrid w:val="0"/>
        </w:rPr>
        <w:t>.</w:t>
      </w:r>
      <w:r>
        <w:rPr>
          <w:snapToGrid w:val="0"/>
        </w:rPr>
        <w:tab/>
        <w:t>Capital infrastructure charges</w:t>
      </w:r>
      <w:bookmarkEnd w:id="32"/>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land</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lastRenderedPageBreak/>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33" w:name="_Toc84424760"/>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33"/>
    </w:p>
    <w:p>
      <w:pPr>
        <w:pStyle w:val="Heading5"/>
        <w:rPr>
          <w:snapToGrid w:val="0"/>
        </w:rPr>
      </w:pPr>
      <w:bookmarkStart w:id="34" w:name="_Toc84424761"/>
      <w:r>
        <w:rPr>
          <w:rStyle w:val="CharSectno"/>
        </w:rPr>
        <w:t>20</w:t>
      </w:r>
      <w:r>
        <w:rPr>
          <w:snapToGrid w:val="0"/>
        </w:rPr>
        <w:t>.</w:t>
      </w:r>
      <w:r>
        <w:rPr>
          <w:snapToGrid w:val="0"/>
        </w:rPr>
        <w:tab/>
        <w:t>Land subject to water supply charges under this Division</w:t>
      </w:r>
      <w:bookmarkEnd w:id="34"/>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deleted in Gazette 27 Jun 1997 p. 3180.]</w:t>
      </w:r>
    </w:p>
    <w:p>
      <w:pPr>
        <w:pStyle w:val="Heading2"/>
      </w:pPr>
      <w:bookmarkStart w:id="35" w:name="_Toc84424762"/>
      <w:r>
        <w:rPr>
          <w:rStyle w:val="CharPartNo"/>
        </w:rPr>
        <w:lastRenderedPageBreak/>
        <w:t>Part 3</w:t>
      </w:r>
      <w:r>
        <w:rPr>
          <w:rStyle w:val="CharDivNo"/>
        </w:rPr>
        <w:t> </w:t>
      </w:r>
      <w:r>
        <w:t>—</w:t>
      </w:r>
      <w:r>
        <w:rPr>
          <w:rStyle w:val="CharDivText"/>
        </w:rPr>
        <w:t> </w:t>
      </w:r>
      <w:r>
        <w:rPr>
          <w:rStyle w:val="CharPartText"/>
        </w:rPr>
        <w:t>Sewerage</w:t>
      </w:r>
      <w:bookmarkEnd w:id="35"/>
    </w:p>
    <w:p>
      <w:pPr>
        <w:pStyle w:val="Heading5"/>
      </w:pPr>
      <w:bookmarkStart w:id="36" w:name="_Toc84424763"/>
      <w:r>
        <w:rPr>
          <w:rStyle w:val="CharSectno"/>
        </w:rPr>
        <w:t>21A</w:t>
      </w:r>
      <w:r>
        <w:t>.</w:t>
      </w:r>
      <w:r>
        <w:tab/>
        <w:t>Terms used</w:t>
      </w:r>
      <w:bookmarkEnd w:id="36"/>
    </w:p>
    <w:p>
      <w:pPr>
        <w:pStyle w:val="Subsection"/>
      </w:pPr>
      <w:r>
        <w:tab/>
      </w:r>
      <w:r>
        <w:tab/>
        <w:t>In this Part —</w:t>
      </w:r>
    </w:p>
    <w:p>
      <w:pPr>
        <w:pStyle w:val="Defstart"/>
      </w:pPr>
      <w:r>
        <w:rPr>
          <w:b/>
        </w:rPr>
        <w:tab/>
      </w:r>
      <w:r>
        <w:rPr>
          <w:rStyle w:val="CharDefText"/>
        </w:rPr>
        <w:t>country non</w:t>
      </w:r>
      <w:r>
        <w:rPr>
          <w:rStyle w:val="CharDefText"/>
        </w:rPr>
        <w:noBreakHyphen/>
        <w:t>residential or commercial residential property</w:t>
      </w:r>
      <w:r>
        <w:t xml:space="preserve"> means land referred to in Schedule 3 item 31;</w:t>
      </w:r>
    </w:p>
    <w:p>
      <w:pPr>
        <w:pStyle w:val="Defstart"/>
      </w:pPr>
      <w:r>
        <w:rPr>
          <w:b/>
        </w:rPr>
        <w:tab/>
      </w:r>
      <w:r>
        <w:rPr>
          <w:rStyle w:val="CharDefText"/>
        </w:rPr>
        <w:t>formula</w:t>
      </w:r>
      <w:r>
        <w:t xml:space="preserve"> means —</w:t>
      </w:r>
    </w:p>
    <w:p>
      <w:pPr>
        <w:pStyle w:val="Defpara"/>
        <w:spacing w:before="120"/>
      </w:pPr>
      <w:r>
        <w:tab/>
        <w:t>(a)</w:t>
      </w:r>
      <w:r>
        <w:tab/>
        <w:t>in a metropolitan context, the formula set out in Schedule 3 item 18; or</w:t>
      </w:r>
    </w:p>
    <w:p>
      <w:pPr>
        <w:pStyle w:val="Defpara"/>
        <w:spacing w:before="120"/>
      </w:pPr>
      <w:r>
        <w:tab/>
        <w:t>(b)</w:t>
      </w:r>
      <w:r>
        <w:tab/>
        <w:t>in a country context, the formula set out in Schedule 3 item 36;</w:t>
      </w:r>
    </w:p>
    <w:p>
      <w:pPr>
        <w:pStyle w:val="Defstart"/>
      </w:pPr>
      <w:r>
        <w:rPr>
          <w:b/>
        </w:rPr>
        <w:tab/>
      </w:r>
      <w:r>
        <w:rPr>
          <w:rStyle w:val="CharDefText"/>
        </w:rPr>
        <w:t>metropolitan non</w:t>
      </w:r>
      <w:r>
        <w:rPr>
          <w:rStyle w:val="CharDefText"/>
        </w:rPr>
        <w:noBreakHyphen/>
        <w:t>residential property</w:t>
      </w:r>
      <w:r>
        <w:t xml:space="preserve"> means land referred to in Schedule 3 item 13;</w:t>
      </w:r>
    </w:p>
    <w:p>
      <w:pPr>
        <w:pStyle w:val="Defstart"/>
        <w:outlineLvl w:val="0"/>
      </w:pPr>
      <w:r>
        <w:tab/>
      </w:r>
      <w:r>
        <w:rPr>
          <w:rStyle w:val="CharDefText"/>
        </w:rPr>
        <w:t>Table</w:t>
      </w:r>
      <w:r>
        <w:t xml:space="preserve"> means —</w:t>
      </w:r>
    </w:p>
    <w:p>
      <w:pPr>
        <w:pStyle w:val="Defpara"/>
        <w:spacing w:before="120"/>
      </w:pPr>
      <w:r>
        <w:tab/>
        <w:t>(a)</w:t>
      </w:r>
      <w:r>
        <w:tab/>
        <w:t>in a metropolitan context, the Table to Schedule 3 item 18; or</w:t>
      </w:r>
    </w:p>
    <w:p>
      <w:pPr>
        <w:pStyle w:val="Defpara"/>
        <w:spacing w:before="120"/>
      </w:pPr>
      <w:r>
        <w:tab/>
        <w:t>(b)</w:t>
      </w:r>
      <w:r>
        <w:tab/>
        <w:t>in a country context, the Table to Schedule 3 item 36.</w:t>
      </w:r>
    </w:p>
    <w:p>
      <w:pPr>
        <w:pStyle w:val="Footnotesection"/>
      </w:pPr>
      <w:r>
        <w:tab/>
        <w:t>[By</w:t>
      </w:r>
      <w:r>
        <w:noBreakHyphen/>
        <w:t>law 21A inserted in Gazette 27 Jun 2003 p. 2287; amended in Gazette 29 Jun 2007 p. 3251</w:t>
      </w:r>
      <w:r>
        <w:noBreakHyphen/>
        <w:t>2.]</w:t>
      </w:r>
    </w:p>
    <w:p>
      <w:pPr>
        <w:pStyle w:val="Heading5"/>
        <w:rPr>
          <w:snapToGrid w:val="0"/>
        </w:rPr>
      </w:pPr>
      <w:bookmarkStart w:id="37" w:name="_Toc84424764"/>
      <w:r>
        <w:rPr>
          <w:rStyle w:val="CharSectno"/>
        </w:rPr>
        <w:t>21</w:t>
      </w:r>
      <w:r>
        <w:rPr>
          <w:snapToGrid w:val="0"/>
        </w:rPr>
        <w:t>.</w:t>
      </w:r>
      <w:r>
        <w:rPr>
          <w:snapToGrid w:val="0"/>
        </w:rPr>
        <w:tab/>
        <w:t>Land subject to sewerage charges</w:t>
      </w:r>
      <w:bookmarkEnd w:id="37"/>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 xml:space="preserve">law 22, </w:t>
      </w:r>
      <w:r>
        <w:rPr>
          <w:snapToGrid w:val="0"/>
        </w:rPr>
        <w:lastRenderedPageBreak/>
        <w:t>charges as set out in Schedule 3, shall apply in respect of that land.</w:t>
      </w:r>
    </w:p>
    <w:p>
      <w:pPr>
        <w:pStyle w:val="Footnotesection"/>
        <w:spacing w:before="100"/>
        <w:ind w:left="890" w:hanging="890"/>
      </w:pPr>
      <w:r>
        <w:tab/>
        <w:t>[By</w:t>
      </w:r>
      <w:r>
        <w:noBreakHyphen/>
        <w:t>law 21 amended in Gazette 29 Dec 1995 p. 6331</w:t>
      </w:r>
      <w:r>
        <w:noBreakHyphen/>
        <w:t>2; 29 Jun 2001 p. 3194.]</w:t>
      </w:r>
    </w:p>
    <w:p>
      <w:pPr>
        <w:pStyle w:val="Heading5"/>
        <w:rPr>
          <w:snapToGrid w:val="0"/>
        </w:rPr>
      </w:pPr>
      <w:bookmarkStart w:id="38" w:name="_Toc84424765"/>
      <w:r>
        <w:rPr>
          <w:rStyle w:val="CharSectno"/>
        </w:rPr>
        <w:t>22</w:t>
      </w:r>
      <w:r>
        <w:rPr>
          <w:snapToGrid w:val="0"/>
        </w:rPr>
        <w:t>.</w:t>
      </w:r>
      <w:r>
        <w:rPr>
          <w:snapToGrid w:val="0"/>
        </w:rPr>
        <w:tab/>
        <w:t>Exempt land</w:t>
      </w:r>
      <w:bookmarkEnd w:id="38"/>
    </w:p>
    <w:p>
      <w:pPr>
        <w:pStyle w:val="Subsection"/>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 to the extent set out in that Schedule.</w:t>
      </w:r>
    </w:p>
    <w:p>
      <w:pPr>
        <w:pStyle w:val="Footnotesection"/>
        <w:spacing w:before="100"/>
        <w:ind w:left="890" w:hanging="890"/>
      </w:pPr>
      <w:r>
        <w:tab/>
        <w:t>[By</w:t>
      </w:r>
      <w:r>
        <w:noBreakHyphen/>
        <w:t>law 22 amended in Gazette 29 Jun 2001 p. 3194; 20 Jun 2012 p. 2699.]</w:t>
      </w:r>
    </w:p>
    <w:p>
      <w:pPr>
        <w:pStyle w:val="Heading5"/>
        <w:rPr>
          <w:rStyle w:val="CharSectno"/>
        </w:rPr>
      </w:pPr>
      <w:bookmarkStart w:id="39" w:name="_Toc84424766"/>
      <w:r>
        <w:rPr>
          <w:rStyle w:val="CharSectno"/>
        </w:rPr>
        <w:t>23.</w:t>
      </w:r>
      <w:r>
        <w:rPr>
          <w:rStyle w:val="CharSectno"/>
        </w:rPr>
        <w:tab/>
        <w:t>Classification of land</w:t>
      </w:r>
      <w:bookmarkEnd w:id="39"/>
    </w:p>
    <w:p>
      <w:pPr>
        <w:pStyle w:val="Subsection"/>
      </w:pPr>
      <w:r>
        <w:rPr>
          <w:snapToGrid w:val="0"/>
        </w:rPr>
        <w:tab/>
        <w:t>(1)</w:t>
      </w:r>
      <w:r>
        <w:rPr>
          <w:snapToGrid w:val="0"/>
        </w:rPr>
        <w:tab/>
        <w:t>For the purposes of this Part, land described in by</w:t>
      </w:r>
      <w:r>
        <w:rPr>
          <w:snapToGrid w:val="0"/>
        </w:rPr>
        <w:noBreakHyphen/>
        <w:t>law 4 that is</w:t>
      </w:r>
      <w:r>
        <w:t xml:space="preserve"> in a country sewerage area and is connected with a sewer may, irrespective of any other classification under these by</w:t>
      </w:r>
      <w:r>
        <w:noBreakHyphen/>
        <w:t xml:space="preserve">laws, be classified by the Corporation as follows — </w:t>
      </w:r>
    </w:p>
    <w:p>
      <w:pPr>
        <w:pStyle w:val="Indenta"/>
        <w:spacing w:before="100"/>
      </w:pPr>
      <w:r>
        <w:tab/>
        <w:t>(a)</w:t>
      </w:r>
      <w:r>
        <w:tab/>
        <w:t>institutional public, if the land is used for such club, institutional or public purpose as the Corporation approves, not being a purpose mentioned in paragraph (b);</w:t>
      </w:r>
    </w:p>
    <w:p>
      <w:pPr>
        <w:pStyle w:val="Indenta"/>
        <w:spacing w:before="100"/>
      </w:pPr>
      <w:r>
        <w:tab/>
        <w:t>(b)</w:t>
      </w:r>
      <w:r>
        <w:tab/>
        <w:t xml:space="preserve">charitable purposes, if, in the opinion of the Corporation, the land is used for the purpose of — </w:t>
      </w:r>
    </w:p>
    <w:p>
      <w:pPr>
        <w:pStyle w:val="Indenti"/>
        <w:spacing w:before="100"/>
      </w:pPr>
      <w:r>
        <w:tab/>
        <w:t>(i)</w:t>
      </w:r>
      <w:r>
        <w:tab/>
        <w:t>providing relief or assistance to sick, aged, disadvantaged, unemployed or young persons; or</w:t>
      </w:r>
    </w:p>
    <w:p>
      <w:pPr>
        <w:pStyle w:val="Indenti"/>
        <w:spacing w:before="100"/>
      </w:pPr>
      <w:r>
        <w:tab/>
        <w:t>(ii)</w:t>
      </w:r>
      <w:r>
        <w:tab/>
        <w:t>conducting other activities for the benefit of the public or in the interests of social welfare,</w:t>
      </w:r>
    </w:p>
    <w:p>
      <w:pPr>
        <w:pStyle w:val="Indenta"/>
        <w:spacing w:before="100"/>
      </w:pPr>
      <w:r>
        <w:tab/>
      </w:r>
      <w:r>
        <w:tab/>
        <w:t>by a private organisation that is not operated for the purpose of profit or gain to individual members, shareholders or owners;</w:t>
      </w:r>
    </w:p>
    <w:p>
      <w:pPr>
        <w:pStyle w:val="Indenta"/>
        <w:spacing w:before="100"/>
      </w:pPr>
      <w:r>
        <w:tab/>
        <w:t>(c)</w:t>
      </w:r>
      <w:r>
        <w:tab/>
        <w:t xml:space="preserve">community residential, if the land is occupied as a communal property on which several family units dwell </w:t>
      </w:r>
      <w:r>
        <w:lastRenderedPageBreak/>
        <w:t>at the same time and is managed by the persons dwelling on the land or a committee of them;</w:t>
      </w:r>
    </w:p>
    <w:p>
      <w:pPr>
        <w:pStyle w:val="Indenta"/>
      </w:pPr>
      <w:r>
        <w:tab/>
        <w:t>(d)</w:t>
      </w:r>
      <w:r>
        <w:tab/>
        <w:t>local government, if the land is not in the metropolitan area and is used by the local government for business, professional, commercial or office purposes, or as a power station, and the classification of the land is not otherwise specifically provided for in this by</w:t>
      </w:r>
      <w:r>
        <w:noBreakHyphen/>
        <w:t>law;</w:t>
      </w:r>
    </w:p>
    <w:p>
      <w:pPr>
        <w:pStyle w:val="Indenta"/>
      </w:pPr>
      <w:r>
        <w:tab/>
        <w:t>(e)</w:t>
      </w:r>
      <w:r>
        <w:tab/>
        <w:t>aged home, if the land is in the metropolitan area and the classification of the land is not otherwise specifically provided for in this by</w:t>
      </w:r>
      <w:r>
        <w:noBreakHyphen/>
        <w:t>law,</w:t>
      </w:r>
    </w:p>
    <w:p>
      <w:pPr>
        <w:pStyle w:val="Subsection"/>
        <w:spacing w:before="120"/>
      </w:pPr>
      <w:r>
        <w:tab/>
      </w:r>
      <w:r>
        <w:tab/>
        <w:t>and, where it is not classified under paragraph (a), (b), (c), (d) or (e), shall be taken to have been classified as community purpose.</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23 inserted in Gazette 29 Jun 2007 p. 3252-3; amended in Gazette 19 Jun 2009 p. 2322; 20 Jun 2012 p. 2699.] </w:t>
      </w:r>
    </w:p>
    <w:p>
      <w:pPr>
        <w:pStyle w:val="Ednotesection"/>
      </w:pPr>
      <w:r>
        <w:t>[</w:t>
      </w:r>
      <w:r>
        <w:rPr>
          <w:b/>
        </w:rPr>
        <w:t>24.</w:t>
      </w:r>
      <w:r>
        <w:tab/>
        <w:t>Deleted in Gazette 19 Jun 2013 p. 2352.]</w:t>
      </w:r>
    </w:p>
    <w:p>
      <w:pPr>
        <w:pStyle w:val="Ednotesection"/>
      </w:pPr>
      <w:r>
        <w:t>[</w:t>
      </w:r>
      <w:r>
        <w:rPr>
          <w:b/>
        </w:rPr>
        <w:t>25.</w:t>
      </w:r>
      <w:r>
        <w:tab/>
        <w:t>Deleted in Gazette 1 Jul 2002 p. 3157.]</w:t>
      </w:r>
    </w:p>
    <w:p>
      <w:pPr>
        <w:pStyle w:val="Heading5"/>
        <w:rPr>
          <w:snapToGrid w:val="0"/>
        </w:rPr>
      </w:pPr>
      <w:bookmarkStart w:id="40" w:name="_Toc84424767"/>
      <w:r>
        <w:rPr>
          <w:rStyle w:val="CharSectno"/>
        </w:rPr>
        <w:lastRenderedPageBreak/>
        <w:t>25A</w:t>
      </w:r>
      <w:r>
        <w:rPr>
          <w:snapToGrid w:val="0"/>
        </w:rPr>
        <w:t>.</w:t>
      </w:r>
      <w:r>
        <w:rPr>
          <w:snapToGrid w:val="0"/>
        </w:rPr>
        <w:tab/>
        <w:t>Metered metropolitan non</w:t>
      </w:r>
      <w:r>
        <w:rPr>
          <w:snapToGrid w:val="0"/>
        </w:rPr>
        <w:noBreakHyphen/>
        <w:t>residential property sewerage charges</w:t>
      </w:r>
      <w:bookmarkEnd w:id="40"/>
    </w:p>
    <w:p>
      <w:pPr>
        <w:pStyle w:val="Subsection"/>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lastRenderedPageBreak/>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12% </w:t>
      </w:r>
      <w:r>
        <w:rPr>
          <w:snapToGrid w:val="0"/>
        </w:rPr>
        <w:t xml:space="preserve">greater than the charge calculated for the same service (and under the same circumstances) in the previous year, the charge is only payable up to that </w:t>
      </w:r>
      <w:r>
        <w:t xml:space="preserve">12% </w:t>
      </w:r>
      <w:r>
        <w:rPr>
          <w:snapToGrid w:val="0"/>
        </w:rPr>
        <w:t>increase.</w:t>
      </w:r>
    </w:p>
    <w:p>
      <w:pPr>
        <w:pStyle w:val="Footnotesection"/>
        <w:spacing w:before="80"/>
        <w:ind w:left="890" w:hanging="890"/>
      </w:pPr>
      <w:r>
        <w:lastRenderedPageBreak/>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 27 Jun 2008 p. 2987; 19 Jun 2009 p. 2323; 25 Jun 2010 p. 2906; 23 Jun 2011 p. 2418; 20 Jun 2012 p. 2700; 19 Jun 2013 p. 2352.]</w:t>
      </w:r>
    </w:p>
    <w:p>
      <w:pPr>
        <w:pStyle w:val="Heading5"/>
        <w:keepLines w:val="0"/>
        <w:spacing w:before="180"/>
        <w:rPr>
          <w:snapToGrid w:val="0"/>
        </w:rPr>
      </w:pPr>
      <w:bookmarkStart w:id="41" w:name="_Toc84424768"/>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41"/>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42" w:name="_Toc84424769"/>
      <w:r>
        <w:rPr>
          <w:rStyle w:val="CharSectno"/>
        </w:rPr>
        <w:lastRenderedPageBreak/>
        <w:t>25C</w:t>
      </w:r>
      <w:r>
        <w:rPr>
          <w:snapToGrid w:val="0"/>
        </w:rPr>
        <w:t>.</w:t>
      </w:r>
      <w:r>
        <w:rPr>
          <w:snapToGrid w:val="0"/>
        </w:rPr>
        <w:tab/>
        <w:t>Charging for shared sewerage fixtures on metropolitan non</w:t>
      </w:r>
      <w:r>
        <w:rPr>
          <w:snapToGrid w:val="0"/>
        </w:rPr>
        <w:noBreakHyphen/>
        <w:t>residential property</w:t>
      </w:r>
      <w:bookmarkEnd w:id="42"/>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43" w:name="_Toc84424770"/>
      <w:r>
        <w:rPr>
          <w:rStyle w:val="CharSectno"/>
        </w:rPr>
        <w:t>26</w:t>
      </w:r>
      <w:r>
        <w:t>.</w:t>
      </w:r>
      <w:r>
        <w:tab/>
      </w:r>
      <w:r>
        <w:rPr>
          <w:snapToGrid w:val="0"/>
        </w:rPr>
        <w:t xml:space="preserve">Metered country </w:t>
      </w:r>
      <w:r>
        <w:t>non</w:t>
      </w:r>
      <w:r>
        <w:noBreakHyphen/>
        <w:t>residential or commercial residential</w:t>
      </w:r>
      <w:r>
        <w:rPr>
          <w:snapToGrid w:val="0"/>
        </w:rPr>
        <w:t xml:space="preserve"> property sewerage charges</w:t>
      </w:r>
      <w:bookmarkEnd w:id="43"/>
    </w:p>
    <w:p>
      <w:pPr>
        <w:pStyle w:val="Subsection"/>
        <w:spacing w:before="200"/>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spacing w:before="200"/>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lastRenderedPageBreak/>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lastRenderedPageBreak/>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r>
        <w:tab/>
        <w:t>[By</w:t>
      </w:r>
      <w:r>
        <w:noBreakHyphen/>
        <w:t>law 26 inserted in Gazette 27 Jun 2003 p. 2288-90; amended in Gazette 29 Jun 2007 p. 3253.]</w:t>
      </w:r>
    </w:p>
    <w:p>
      <w:pPr>
        <w:pStyle w:val="Heading5"/>
      </w:pPr>
      <w:bookmarkStart w:id="44" w:name="_Toc84424771"/>
      <w:r>
        <w:rPr>
          <w:rStyle w:val="CharSectno"/>
        </w:rPr>
        <w:t>26A</w:t>
      </w:r>
      <w:r>
        <w:t>.</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bookmarkEnd w:id="44"/>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 xml:space="preserve">is not separately metered by the Corporation and is partially or fully supplied by a supplier other than the Corporation — is calculated, based on an estimate of </w:t>
      </w:r>
      <w:r>
        <w:lastRenderedPageBreak/>
        <w:t>water volume delivered or using an estimate of the water volume discharged, in accordance with the formula,</w:t>
      </w:r>
    </w:p>
    <w:p>
      <w:pPr>
        <w:pStyle w:val="Subsection"/>
      </w:pPr>
      <w:r>
        <w:tab/>
      </w:r>
      <w:r>
        <w:tab/>
        <w:t>and the discharge charge will be applied accordingly.</w:t>
      </w:r>
    </w:p>
    <w:p>
      <w:pPr>
        <w:pStyle w:val="Footnotesection"/>
      </w:pPr>
      <w:r>
        <w:tab/>
        <w:t>[By</w:t>
      </w:r>
      <w:r>
        <w:noBreakHyphen/>
        <w:t>law 26A inserted in Gazette 27 Jun 2003 p. 2290-1; amended in Gazette 29 Jun 2007 p. 3253.]</w:t>
      </w:r>
    </w:p>
    <w:p>
      <w:pPr>
        <w:pStyle w:val="Heading5"/>
      </w:pPr>
      <w:bookmarkStart w:id="45" w:name="_Toc84424772"/>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45"/>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 amended in Gazette 29 Jun 2007 p. 3253.]</w:t>
      </w:r>
    </w:p>
    <w:p>
      <w:pPr>
        <w:pStyle w:val="Heading2"/>
      </w:pPr>
      <w:bookmarkStart w:id="46" w:name="_Toc84424773"/>
      <w:r>
        <w:rPr>
          <w:rStyle w:val="CharPartNo"/>
        </w:rPr>
        <w:lastRenderedPageBreak/>
        <w:t>Part 4</w:t>
      </w:r>
      <w:r>
        <w:rPr>
          <w:rStyle w:val="CharDivNo"/>
        </w:rPr>
        <w:t> </w:t>
      </w:r>
      <w:r>
        <w:t>—</w:t>
      </w:r>
      <w:r>
        <w:rPr>
          <w:rStyle w:val="CharDivText"/>
        </w:rPr>
        <w:t> </w:t>
      </w:r>
      <w:r>
        <w:rPr>
          <w:rStyle w:val="CharPartText"/>
        </w:rPr>
        <w:t>Drainage</w:t>
      </w:r>
      <w:bookmarkEnd w:id="46"/>
    </w:p>
    <w:p>
      <w:pPr>
        <w:pStyle w:val="Heading5"/>
        <w:rPr>
          <w:snapToGrid w:val="0"/>
        </w:rPr>
      </w:pPr>
      <w:bookmarkStart w:id="47" w:name="_Toc84424774"/>
      <w:r>
        <w:rPr>
          <w:rStyle w:val="CharSectno"/>
        </w:rPr>
        <w:t>27</w:t>
      </w:r>
      <w:r>
        <w:rPr>
          <w:snapToGrid w:val="0"/>
        </w:rPr>
        <w:t>.</w:t>
      </w:r>
      <w:r>
        <w:rPr>
          <w:snapToGrid w:val="0"/>
        </w:rPr>
        <w:tab/>
        <w:t>Land subject to drainage charges</w:t>
      </w:r>
      <w:bookmarkEnd w:id="47"/>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be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 19 Jun 2009 p. 2323.]</w:t>
      </w:r>
    </w:p>
    <w:p>
      <w:pPr>
        <w:pStyle w:val="Heading5"/>
        <w:rPr>
          <w:snapToGrid w:val="0"/>
        </w:rPr>
      </w:pPr>
      <w:bookmarkStart w:id="48" w:name="_Toc84424775"/>
      <w:r>
        <w:rPr>
          <w:rStyle w:val="CharSectno"/>
        </w:rPr>
        <w:t>28</w:t>
      </w:r>
      <w:r>
        <w:rPr>
          <w:snapToGrid w:val="0"/>
        </w:rPr>
        <w:t>.</w:t>
      </w:r>
      <w:r>
        <w:rPr>
          <w:snapToGrid w:val="0"/>
        </w:rPr>
        <w:tab/>
        <w:t>Exempt land</w:t>
      </w:r>
      <w:bookmarkEnd w:id="48"/>
    </w:p>
    <w:p>
      <w:pPr>
        <w:pStyle w:val="Subsection"/>
        <w:rPr>
          <w:snapToGrid w:val="0"/>
        </w:rPr>
      </w:pPr>
      <w:r>
        <w:rPr>
          <w:snapToGrid w:val="0"/>
        </w:rPr>
        <w:tab/>
        <w:t>(1)</w:t>
      </w:r>
      <w:r>
        <w:rPr>
          <w:snapToGrid w:val="0"/>
        </w:rPr>
        <w:tab/>
        <w:t>Land described in by</w:t>
      </w:r>
      <w:r>
        <w:rPr>
          <w:snapToGrid w:val="0"/>
        </w:rPr>
        <w:noBreakHyphen/>
        <w:t>law 4 is exempt from any charge set out in</w:t>
      </w:r>
      <w:r>
        <w:t xml:space="preserve"> Schedule 4</w:t>
      </w:r>
      <w:r>
        <w:rPr>
          <w:snapToGrid w:val="0"/>
        </w:rPr>
        <w:t>.</w:t>
      </w:r>
    </w:p>
    <w:p>
      <w:pPr>
        <w:pStyle w:val="Subsection"/>
      </w:pPr>
      <w:r>
        <w:tab/>
        <w:t>(2)</w:t>
      </w:r>
      <w:r>
        <w:tab/>
        <w:t xml:space="preserve">A lot that is — </w:t>
      </w:r>
    </w:p>
    <w:p>
      <w:pPr>
        <w:pStyle w:val="Indenta"/>
      </w:pPr>
      <w:r>
        <w:tab/>
        <w:t>(a)</w:t>
      </w:r>
      <w:r>
        <w:tab/>
        <w:t>greater than one hectare in area; and</w:t>
      </w:r>
    </w:p>
    <w:p>
      <w:pPr>
        <w:pStyle w:val="Indenta"/>
      </w:pPr>
      <w:r>
        <w:tab/>
        <w:t>(b)</w:t>
      </w:r>
      <w:r>
        <w:tab/>
        <w:t xml:space="preserve">comprised wholly of — </w:t>
      </w:r>
    </w:p>
    <w:p>
      <w:pPr>
        <w:pStyle w:val="Indenti"/>
      </w:pPr>
      <w:r>
        <w:tab/>
        <w:t>(i)</w:t>
      </w:r>
      <w:r>
        <w:tab/>
        <w:t>rural land; or</w:t>
      </w:r>
    </w:p>
    <w:p>
      <w:pPr>
        <w:pStyle w:val="Indenti"/>
      </w:pPr>
      <w:r>
        <w:tab/>
        <w:t>(ii)</w:t>
      </w:r>
      <w:r>
        <w:tab/>
        <w:t>land that has not been the subject of development,</w:t>
      </w:r>
    </w:p>
    <w:p>
      <w:pPr>
        <w:pStyle w:val="Subsection"/>
      </w:pPr>
      <w:r>
        <w:tab/>
      </w:r>
      <w:r>
        <w:tab/>
        <w:t>is exempt from any charge set out in Schedule 4.</w:t>
      </w:r>
    </w:p>
    <w:p>
      <w:pPr>
        <w:pStyle w:val="Subsection"/>
      </w:pPr>
      <w:r>
        <w:tab/>
        <w:t>(3)</w:t>
      </w:r>
      <w:r>
        <w:tab/>
        <w:t>In sub</w:t>
      </w:r>
      <w:r>
        <w:noBreakHyphen/>
        <w:t xml:space="preserve">bylaw (2) — </w:t>
      </w:r>
    </w:p>
    <w:p>
      <w:pPr>
        <w:pStyle w:val="Defstart"/>
      </w:pPr>
      <w:r>
        <w:rPr>
          <w:b/>
        </w:rPr>
        <w:tab/>
      </w:r>
      <w:r>
        <w:rPr>
          <w:rStyle w:val="CharDefText"/>
        </w:rPr>
        <w:t>development</w:t>
      </w:r>
      <w:r>
        <w:t xml:space="preserve"> has the meaning given in the </w:t>
      </w:r>
      <w:r>
        <w:rPr>
          <w:i/>
        </w:rPr>
        <w:t>Planning and Development Act 2005</w:t>
      </w:r>
      <w:r>
        <w:t>;</w:t>
      </w:r>
    </w:p>
    <w:p>
      <w:pPr>
        <w:pStyle w:val="Defstart"/>
      </w:pPr>
      <w:r>
        <w:rPr>
          <w:b/>
        </w:rPr>
        <w:tab/>
      </w:r>
      <w:r>
        <w:rPr>
          <w:rStyle w:val="CharDefText"/>
        </w:rPr>
        <w:t>lot</w:t>
      </w:r>
      <w:r>
        <w:t xml:space="preserve"> has the meaning given in the </w:t>
      </w:r>
      <w:r>
        <w:rPr>
          <w:i/>
        </w:rPr>
        <w:t>Planning and Development Act 2005</w:t>
      </w:r>
      <w:r>
        <w:t>;</w:t>
      </w:r>
    </w:p>
    <w:p>
      <w:pPr>
        <w:pStyle w:val="Defstart"/>
      </w:pPr>
      <w:r>
        <w:rPr>
          <w:b/>
        </w:rPr>
        <w:tab/>
      </w:r>
      <w:r>
        <w:rPr>
          <w:rStyle w:val="CharDefText"/>
        </w:rPr>
        <w:t>rural land</w:t>
      </w:r>
      <w:r>
        <w:t xml:space="preserve"> means land zoned for agricultural or rural use under a local planning scheme made under the </w:t>
      </w:r>
      <w:r>
        <w:rPr>
          <w:i/>
        </w:rPr>
        <w:t>Planning and Development Act 2005</w:t>
      </w:r>
      <w:r>
        <w:t>.</w:t>
      </w:r>
    </w:p>
    <w:p>
      <w:pPr>
        <w:pStyle w:val="Footnotesection"/>
      </w:pPr>
      <w:r>
        <w:lastRenderedPageBreak/>
        <w:tab/>
        <w:t>[By</w:t>
      </w:r>
      <w:r>
        <w:noBreakHyphen/>
        <w:t>law 28 amended in Gazette 29 Jun 2001 p. 3194; 27 Jun 2008 p. 2987.]</w:t>
      </w:r>
    </w:p>
    <w:p>
      <w:pPr>
        <w:pStyle w:val="Heading5"/>
      </w:pPr>
      <w:bookmarkStart w:id="49" w:name="_Toc84424776"/>
      <w:r>
        <w:rPr>
          <w:rStyle w:val="CharSectno"/>
        </w:rPr>
        <w:t>29</w:t>
      </w:r>
      <w:r>
        <w:t>.</w:t>
      </w:r>
      <w:r>
        <w:tab/>
        <w:t>Classification of land</w:t>
      </w:r>
      <w:bookmarkEnd w:id="49"/>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29 inserted in Gazette 29 Jun 2007 p. 3254; amended in Gazette 19 Jun 2009 p. 2323.] </w:t>
      </w:r>
    </w:p>
    <w:p>
      <w:pPr>
        <w:pStyle w:val="Ednotesection"/>
      </w:pPr>
      <w:r>
        <w:t>[</w:t>
      </w:r>
      <w:r>
        <w:rPr>
          <w:b/>
        </w:rPr>
        <w:t>30.</w:t>
      </w:r>
      <w:r>
        <w:tab/>
        <w:t>Deleted in Gazette 1 Jul 2002 p. 3157.]</w:t>
      </w:r>
    </w:p>
    <w:p>
      <w:pPr>
        <w:pStyle w:val="Heading2"/>
      </w:pPr>
      <w:bookmarkStart w:id="50" w:name="_Toc84424777"/>
      <w:r>
        <w:rPr>
          <w:rStyle w:val="CharPartNo"/>
        </w:rPr>
        <w:lastRenderedPageBreak/>
        <w:t>Part 5</w:t>
      </w:r>
      <w:r>
        <w:rPr>
          <w:rStyle w:val="CharDivNo"/>
        </w:rPr>
        <w:t> </w:t>
      </w:r>
      <w:r>
        <w:t>—</w:t>
      </w:r>
      <w:r>
        <w:rPr>
          <w:rStyle w:val="CharDivText"/>
        </w:rPr>
        <w:t> </w:t>
      </w:r>
      <w:r>
        <w:rPr>
          <w:rStyle w:val="CharPartText"/>
        </w:rPr>
        <w:t>Irrigation</w:t>
      </w:r>
      <w:bookmarkEnd w:id="50"/>
    </w:p>
    <w:p>
      <w:pPr>
        <w:pStyle w:val="Heading5"/>
        <w:rPr>
          <w:snapToGrid w:val="0"/>
        </w:rPr>
      </w:pPr>
      <w:bookmarkStart w:id="51" w:name="_Toc84424778"/>
      <w:r>
        <w:rPr>
          <w:rStyle w:val="CharSectno"/>
        </w:rPr>
        <w:t>31</w:t>
      </w:r>
      <w:r>
        <w:rPr>
          <w:snapToGrid w:val="0"/>
        </w:rPr>
        <w:t>.</w:t>
      </w:r>
      <w:r>
        <w:rPr>
          <w:snapToGrid w:val="0"/>
        </w:rPr>
        <w:tab/>
        <w:t>Land subject to irrigation charges</w:t>
      </w:r>
      <w:bookmarkEnd w:id="51"/>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52" w:name="_Toc84424779"/>
      <w:r>
        <w:rPr>
          <w:rStyle w:val="CharSectno"/>
        </w:rPr>
        <w:t>32</w:t>
      </w:r>
      <w:r>
        <w:rPr>
          <w:snapToGrid w:val="0"/>
        </w:rPr>
        <w:t>.</w:t>
      </w:r>
      <w:r>
        <w:rPr>
          <w:snapToGrid w:val="0"/>
        </w:rPr>
        <w:tab/>
        <w:t>Exempt land</w:t>
      </w:r>
      <w:bookmarkEnd w:id="52"/>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Ednotesection"/>
      </w:pPr>
      <w:r>
        <w:t>[</w:t>
      </w:r>
      <w:r>
        <w:rPr>
          <w:b/>
        </w:rPr>
        <w:t>33.</w:t>
      </w:r>
      <w:r>
        <w:tab/>
        <w:t>Deleted in Gazette 19 Jun 2013 p. 2352.]</w:t>
      </w:r>
    </w:p>
    <w:p>
      <w:pPr>
        <w:pStyle w:val="Ednotepart"/>
      </w:pPr>
      <w:r>
        <w:t>[Part 6 deleted in Gazette 29 Jun 1989 p. 1871.]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53" w:name="_Toc84424780"/>
      <w:r>
        <w:rPr>
          <w:rStyle w:val="CharSchNo"/>
        </w:rPr>
        <w:lastRenderedPageBreak/>
        <w:t>Schedule 1</w:t>
      </w:r>
      <w:r>
        <w:t> — </w:t>
      </w:r>
      <w:r>
        <w:rPr>
          <w:rStyle w:val="CharSchText"/>
        </w:rPr>
        <w:t xml:space="preserve">Charges for water supply other than under the </w:t>
      </w:r>
      <w:r>
        <w:rPr>
          <w:rStyle w:val="CharSchText"/>
          <w:i/>
        </w:rPr>
        <w:t>Rights in Water and Irrigation Act 1914</w:t>
      </w:r>
      <w:r>
        <w:rPr>
          <w:rStyle w:val="CharSchText"/>
        </w:rPr>
        <w:t xml:space="preserve"> for 2013/2014</w:t>
      </w:r>
      <w:bookmarkEnd w:id="53"/>
    </w:p>
    <w:p>
      <w:pPr>
        <w:pStyle w:val="yShoulderClause"/>
      </w:pPr>
      <w:r>
        <w:rPr>
          <w:szCs w:val="22"/>
        </w:rPr>
        <w:t>[bl. 11 and 19A]</w:t>
      </w:r>
    </w:p>
    <w:p>
      <w:pPr>
        <w:pStyle w:val="yFootnoteheading"/>
        <w:spacing w:after="60"/>
      </w:pPr>
      <w:r>
        <w:tab/>
        <w:t>[Heading inserted in Gazette 20 Jun 2012 p. 2700; amended in Gazette 19 Jun 2013 p. 2352-3.]</w:t>
      </w:r>
    </w:p>
    <w:p>
      <w:pPr>
        <w:pStyle w:val="yHeading3"/>
      </w:pPr>
      <w:bookmarkStart w:id="54" w:name="_Toc84424781"/>
      <w:r>
        <w:rPr>
          <w:rStyle w:val="CharSDivNo"/>
        </w:rPr>
        <w:t>Division 1</w:t>
      </w:r>
      <w:r>
        <w:rPr>
          <w:b w:val="0"/>
        </w:rPr>
        <w:t> — </w:t>
      </w:r>
      <w:r>
        <w:rPr>
          <w:rStyle w:val="CharSDivText"/>
        </w:rPr>
        <w:t>Fixed charges</w:t>
      </w:r>
      <w:bookmarkEnd w:id="54"/>
    </w:p>
    <w:p>
      <w:pPr>
        <w:pStyle w:val="yFootnoteheading"/>
        <w:spacing w:after="120"/>
      </w:pPr>
      <w:r>
        <w:tab/>
        <w:t>[Heading inserted in Gazette 19 Jun 2013 p. 2353.]</w:t>
      </w:r>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pPr>
            <w:r>
              <w:rPr>
                <w:b/>
                <w:bCs/>
              </w:rPr>
              <w:t>1.</w:t>
            </w:r>
          </w:p>
        </w:tc>
        <w:tc>
          <w:tcPr>
            <w:tcW w:w="4235" w:type="dxa"/>
          </w:tcPr>
          <w:p>
            <w:pPr>
              <w:pStyle w:val="yTableNAm"/>
            </w:pPr>
            <w:r>
              <w:rPr>
                <w:b/>
                <w:bCs/>
              </w:rPr>
              <w:t>Residential</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right" w:leader="dot" w:pos="3952"/>
              </w:tabs>
              <w:rPr>
                <w:rFonts w:ascii="Arial" w:hAnsi="Arial"/>
                <w:b/>
              </w:rPr>
            </w:pPr>
            <w:r>
              <w:t xml:space="preserve">In respect of each residential property, not being land mentioned in item 3, 4, 7, 8 or 9 </w:t>
            </w:r>
            <w:r>
              <w:tab/>
            </w:r>
          </w:p>
        </w:tc>
        <w:tc>
          <w:tcPr>
            <w:tcW w:w="1152" w:type="dxa"/>
            <w:vAlign w:val="bottom"/>
          </w:tcPr>
          <w:p>
            <w:pPr>
              <w:pStyle w:val="yTableNAm"/>
            </w:pPr>
            <w:r>
              <w:t>$205.71</w:t>
            </w:r>
          </w:p>
        </w:tc>
      </w:tr>
      <w:tr>
        <w:trPr>
          <w:cantSplit/>
        </w:trPr>
        <w:tc>
          <w:tcPr>
            <w:tcW w:w="850" w:type="dxa"/>
          </w:tcPr>
          <w:p>
            <w:pPr>
              <w:pStyle w:val="yTableNAm"/>
            </w:pPr>
            <w:r>
              <w:rPr>
                <w:b/>
                <w:bCs/>
              </w:rPr>
              <w:t>2.</w:t>
            </w:r>
          </w:p>
        </w:tc>
        <w:tc>
          <w:tcPr>
            <w:tcW w:w="4235" w:type="dxa"/>
          </w:tcPr>
          <w:p>
            <w:pPr>
              <w:pStyle w:val="yTableNAm"/>
            </w:pPr>
            <w:r>
              <w:rPr>
                <w:b/>
                <w:bCs/>
              </w:rPr>
              <w:t>Metropolitan residential garden supply</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pPr>
            <w:r>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(a)</w:t>
            </w:r>
            <w:r>
              <w:tab/>
              <w:t>if the area of land is less than 400 m</w:t>
            </w:r>
            <w:r>
              <w:rPr>
                <w:vertAlign w:val="superscript"/>
              </w:rPr>
              <w:t>2</w:t>
            </w:r>
            <w:r>
              <w:t xml:space="preserve">, in addition to any other charge applicable to the land under this Schedule, a charge of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w:t>
            </w:r>
            <w:r>
              <w:tab/>
              <w:t>in the suburb of Butler</w:t>
            </w:r>
            <w:r>
              <w:tab/>
            </w:r>
          </w:p>
        </w:tc>
        <w:tc>
          <w:tcPr>
            <w:tcW w:w="1152" w:type="dxa"/>
            <w:vAlign w:val="bottom"/>
          </w:tcPr>
          <w:p>
            <w:pPr>
              <w:pStyle w:val="yTableNAm"/>
            </w:pPr>
            <w:r>
              <w:t>$75.48</w:t>
            </w: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(ii)</w:t>
            </w:r>
            <w:r>
              <w:tab/>
              <w:t>in the suburb of Baldivis</w:t>
            </w:r>
            <w:r>
              <w:tab/>
            </w:r>
          </w:p>
        </w:tc>
        <w:tc>
          <w:tcPr>
            <w:tcW w:w="1152" w:type="dxa"/>
            <w:vAlign w:val="bottom"/>
          </w:tcPr>
          <w:p>
            <w:pPr>
              <w:pStyle w:val="yTableNAm"/>
            </w:pPr>
            <w:r>
              <w:t>$121.69</w:t>
            </w: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(b)</w:t>
            </w:r>
            <w:r>
              <w:tab/>
              <w:t>if the area of land is equal to or greater than 400 m</w:t>
            </w:r>
            <w:r>
              <w:rPr>
                <w:vertAlign w:val="superscript"/>
              </w:rPr>
              <w:t>2</w:t>
            </w:r>
            <w:r>
              <w:t xml:space="preserve">, in addition to any other charge applicable to the land under this Schedule, a charge of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w:t>
            </w:r>
            <w:r>
              <w:tab/>
              <w:t xml:space="preserve">in the suburb of Butler </w:t>
            </w:r>
            <w:r>
              <w:tab/>
            </w:r>
          </w:p>
        </w:tc>
        <w:tc>
          <w:tcPr>
            <w:tcW w:w="1152" w:type="dxa"/>
            <w:vAlign w:val="bottom"/>
          </w:tcPr>
          <w:p>
            <w:pPr>
              <w:pStyle w:val="yTableNAm"/>
            </w:pPr>
            <w:r>
              <w:t>$150.96</w:t>
            </w: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(ii)</w:t>
            </w:r>
            <w:r>
              <w:tab/>
              <w:t xml:space="preserve">in the suburb of Baldivis </w:t>
            </w:r>
            <w:r>
              <w:tab/>
            </w:r>
          </w:p>
        </w:tc>
        <w:tc>
          <w:tcPr>
            <w:tcW w:w="1152" w:type="dxa"/>
            <w:vAlign w:val="bottom"/>
          </w:tcPr>
          <w:p>
            <w:pPr>
              <w:pStyle w:val="yTableNAm"/>
            </w:pPr>
            <w:r>
              <w:t>$243.37</w:t>
            </w:r>
          </w:p>
        </w:tc>
      </w:tr>
      <w:tr>
        <w:trPr>
          <w:cantSplit/>
        </w:trPr>
        <w:tc>
          <w:tcPr>
            <w:tcW w:w="850" w:type="dxa"/>
          </w:tcPr>
          <w:p>
            <w:pPr>
              <w:pStyle w:val="yTableNAm"/>
            </w:pPr>
            <w:r>
              <w:rPr>
                <w:b/>
                <w:bCs/>
              </w:rPr>
              <w:lastRenderedPageBreak/>
              <w:t>3.</w:t>
            </w:r>
          </w:p>
        </w:tc>
        <w:tc>
          <w:tcPr>
            <w:tcW w:w="4235" w:type="dxa"/>
          </w:tcPr>
          <w:p>
            <w:pPr>
              <w:pStyle w:val="yTableNAm"/>
            </w:pPr>
            <w:r>
              <w:rPr>
                <w:b/>
                <w:bCs/>
              </w:rPr>
              <w:t xml:space="preserve">Connected metropolitan exempt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pPr>
            <w:r>
              <w:t xml:space="preserve">In respect of land </w:t>
            </w:r>
            <w:r>
              <w:rPr>
                <w:szCs w:val="22"/>
              </w:rPr>
              <w:t>that is in the metropolitan area and is</w:t>
            </w:r>
            <w:r>
              <w:t xml:space="preserve">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(a)</w:t>
            </w:r>
            <w:r>
              <w:tab/>
              <w:t>described in by</w:t>
            </w:r>
            <w:r>
              <w:noBreakHyphen/>
              <w:t>law 4; or</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(b)</w:t>
            </w:r>
            <w:r>
              <w:tab/>
              <w:t>classified as aged home or charitable purposes,</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pPr>
            <w:r>
              <w:rPr>
                <w:szCs w:val="22"/>
              </w:rPr>
              <w:t xml:space="preserve">a charge for each connection, not being a connection the subject of a charge under item 15, determined by meter size minus the discount as set out in the following Table — </w:t>
            </w:r>
          </w:p>
        </w:tc>
        <w:tc>
          <w:tcPr>
            <w:tcW w:w="1152" w:type="dxa"/>
            <w:vAlign w:val="bottom"/>
          </w:tcPr>
          <w:p>
            <w:pPr>
              <w:pStyle w:val="yTableNAm"/>
            </w:pPr>
          </w:p>
        </w:tc>
      </w:tr>
    </w:tbl>
    <w:p>
      <w:pPr>
        <w:pStyle w:val="yTHeadingNAm"/>
      </w:pPr>
      <w:r>
        <w:t>Table of meter</w:t>
      </w:r>
      <w:r>
        <w:noBreakHyphen/>
        <w:t>based fixed charges</w:t>
      </w:r>
    </w:p>
    <w:tbl>
      <w:tblPr>
        <w:tblW w:w="4282" w:type="pct"/>
        <w:jc w:val="center"/>
        <w:tblLook w:val="0000" w:firstRow="0" w:lastRow="0" w:firstColumn="0" w:lastColumn="0" w:noHBand="0" w:noVBand="0"/>
      </w:tblPr>
      <w:tblGrid>
        <w:gridCol w:w="2026"/>
        <w:gridCol w:w="2027"/>
        <w:gridCol w:w="2025"/>
      </w:tblGrid>
      <w:tr>
        <w:trPr>
          <w:cantSplit/>
          <w:tblHeader/>
          <w:jc w:val="center"/>
        </w:trPr>
        <w:tc>
          <w:tcPr>
            <w:tcW w:w="1666" w:type="pct"/>
            <w:tcBorders>
              <w:top w:val="single" w:sz="4" w:space="0" w:color="auto"/>
              <w:bottom w:val="single" w:sz="4" w:space="0" w:color="auto"/>
            </w:tcBorders>
            <w:vAlign w:val="bottom"/>
          </w:tcPr>
          <w:p>
            <w:pPr>
              <w:pStyle w:val="yTableNAm"/>
              <w:jc w:val="center"/>
              <w:rPr>
                <w:rFonts w:ascii="Arial" w:hAnsi="Arial"/>
                <w:b/>
              </w:rPr>
            </w:pPr>
            <w:r>
              <w:rPr>
                <w:b/>
              </w:rPr>
              <w:t>Meter size</w:t>
            </w:r>
            <w:r>
              <w:rPr>
                <w:b/>
              </w:rPr>
              <w:br/>
              <w:t>mm</w:t>
            </w:r>
          </w:p>
        </w:tc>
        <w:tc>
          <w:tcPr>
            <w:tcW w:w="1667" w:type="pct"/>
            <w:tcBorders>
              <w:top w:val="single" w:sz="4" w:space="0" w:color="auto"/>
              <w:bottom w:val="single" w:sz="4" w:space="0" w:color="auto"/>
            </w:tcBorders>
            <w:vAlign w:val="bottom"/>
          </w:tcPr>
          <w:p>
            <w:pPr>
              <w:pStyle w:val="yTableNAm"/>
              <w:jc w:val="center"/>
            </w:pPr>
            <w:r>
              <w:rPr>
                <w:b/>
              </w:rPr>
              <w:t>Charge</w:t>
            </w:r>
            <w:r>
              <w:rPr>
                <w:b/>
              </w:rPr>
              <w:br/>
              <w:t>$</w:t>
            </w:r>
          </w:p>
        </w:tc>
        <w:tc>
          <w:tcPr>
            <w:tcW w:w="1666" w:type="pct"/>
            <w:tcBorders>
              <w:top w:val="single" w:sz="4" w:space="0" w:color="auto"/>
              <w:bottom w:val="single" w:sz="4" w:space="0" w:color="auto"/>
            </w:tcBorders>
            <w:vAlign w:val="bottom"/>
          </w:tcPr>
          <w:p>
            <w:pPr>
              <w:pStyle w:val="yTableNAm"/>
              <w:jc w:val="center"/>
            </w:pPr>
            <w:r>
              <w:rPr>
                <w:b/>
              </w:rPr>
              <w:t>Discount</w:t>
            </w:r>
            <w:r>
              <w:rPr>
                <w:b/>
              </w:rPr>
              <w:br/>
              <w:t>%</w:t>
            </w:r>
          </w:p>
        </w:tc>
      </w:tr>
      <w:tr>
        <w:trPr>
          <w:cantSplit/>
          <w:jc w:val="center"/>
        </w:trPr>
        <w:tc>
          <w:tcPr>
            <w:tcW w:w="1666" w:type="pct"/>
            <w:vAlign w:val="bottom"/>
          </w:tcPr>
          <w:p>
            <w:pPr>
              <w:pStyle w:val="yTableNAm"/>
              <w:jc w:val="center"/>
            </w:pPr>
            <w:r>
              <w:t>20</w:t>
            </w:r>
          </w:p>
        </w:tc>
        <w:tc>
          <w:tcPr>
            <w:tcW w:w="1667" w:type="pct"/>
            <w:vAlign w:val="bottom"/>
          </w:tcPr>
          <w:p>
            <w:pPr>
              <w:pStyle w:val="yTableNAm"/>
              <w:jc w:val="center"/>
              <w:rPr>
                <w:rFonts w:ascii="Arial" w:hAnsi="Arial"/>
                <w:b/>
              </w:rPr>
            </w:pPr>
            <w:r>
              <w:t>205.71</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25</w:t>
            </w:r>
          </w:p>
        </w:tc>
        <w:tc>
          <w:tcPr>
            <w:tcW w:w="1667" w:type="pct"/>
            <w:vAlign w:val="bottom"/>
          </w:tcPr>
          <w:p>
            <w:pPr>
              <w:pStyle w:val="yTableNAm"/>
              <w:jc w:val="center"/>
              <w:rPr>
                <w:rFonts w:ascii="Arial" w:hAnsi="Arial"/>
                <w:b/>
              </w:rPr>
            </w:pPr>
            <w:r>
              <w:t>321.42</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30</w:t>
            </w:r>
          </w:p>
        </w:tc>
        <w:tc>
          <w:tcPr>
            <w:tcW w:w="1667" w:type="pct"/>
            <w:vAlign w:val="bottom"/>
          </w:tcPr>
          <w:p>
            <w:pPr>
              <w:pStyle w:val="yTableNAm"/>
              <w:jc w:val="center"/>
              <w:rPr>
                <w:rFonts w:ascii="Arial" w:hAnsi="Arial"/>
                <w:b/>
              </w:rPr>
            </w:pPr>
            <w:r>
              <w:t>462.82</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40</w:t>
            </w:r>
          </w:p>
        </w:tc>
        <w:tc>
          <w:tcPr>
            <w:tcW w:w="1667" w:type="pct"/>
            <w:vAlign w:val="bottom"/>
          </w:tcPr>
          <w:p>
            <w:pPr>
              <w:pStyle w:val="yTableNAm"/>
              <w:jc w:val="center"/>
              <w:rPr>
                <w:rFonts w:ascii="Arial" w:hAnsi="Arial"/>
                <w:b/>
              </w:rPr>
            </w:pPr>
            <w:r>
              <w:t>822.83</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50</w:t>
            </w:r>
          </w:p>
        </w:tc>
        <w:tc>
          <w:tcPr>
            <w:tcW w:w="1667" w:type="pct"/>
            <w:vAlign w:val="bottom"/>
          </w:tcPr>
          <w:p>
            <w:pPr>
              <w:pStyle w:val="yTableNAm"/>
              <w:jc w:val="center"/>
              <w:rPr>
                <w:rFonts w:ascii="Arial" w:hAnsi="Arial"/>
                <w:b/>
              </w:rPr>
            </w:pPr>
            <w:r>
              <w:t>1 285.67</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80</w:t>
            </w:r>
          </w:p>
        </w:tc>
        <w:tc>
          <w:tcPr>
            <w:tcW w:w="1667" w:type="pct"/>
            <w:vAlign w:val="bottom"/>
          </w:tcPr>
          <w:p>
            <w:pPr>
              <w:pStyle w:val="yTableNAm"/>
              <w:jc w:val="center"/>
              <w:rPr>
                <w:rFonts w:ascii="Arial" w:hAnsi="Arial"/>
                <w:b/>
              </w:rPr>
            </w:pPr>
            <w:r>
              <w:t>3 291.31</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100</w:t>
            </w:r>
          </w:p>
        </w:tc>
        <w:tc>
          <w:tcPr>
            <w:tcW w:w="1667" w:type="pct"/>
            <w:vAlign w:val="bottom"/>
          </w:tcPr>
          <w:p>
            <w:pPr>
              <w:pStyle w:val="yTableNAm"/>
              <w:jc w:val="center"/>
              <w:rPr>
                <w:rFonts w:ascii="Arial" w:hAnsi="Arial"/>
                <w:b/>
              </w:rPr>
            </w:pPr>
            <w:r>
              <w:t>5 142.67</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150</w:t>
            </w:r>
          </w:p>
        </w:tc>
        <w:tc>
          <w:tcPr>
            <w:tcW w:w="1667" w:type="pct"/>
            <w:vAlign w:val="bottom"/>
          </w:tcPr>
          <w:p>
            <w:pPr>
              <w:pStyle w:val="yTableNAm"/>
              <w:jc w:val="center"/>
              <w:rPr>
                <w:rFonts w:ascii="Arial" w:hAnsi="Arial"/>
                <w:b/>
              </w:rPr>
            </w:pPr>
            <w:r>
              <w:t>11 571.02</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200</w:t>
            </w:r>
          </w:p>
        </w:tc>
        <w:tc>
          <w:tcPr>
            <w:tcW w:w="1667" w:type="pct"/>
            <w:vAlign w:val="bottom"/>
          </w:tcPr>
          <w:p>
            <w:pPr>
              <w:pStyle w:val="yTableNAm"/>
              <w:jc w:val="center"/>
              <w:rPr>
                <w:rFonts w:ascii="Arial" w:hAnsi="Arial"/>
                <w:b/>
              </w:rPr>
            </w:pPr>
            <w:r>
              <w:t>20 570.70</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250</w:t>
            </w:r>
          </w:p>
        </w:tc>
        <w:tc>
          <w:tcPr>
            <w:tcW w:w="1667" w:type="pct"/>
            <w:vAlign w:val="bottom"/>
          </w:tcPr>
          <w:p>
            <w:pPr>
              <w:pStyle w:val="yTableNAm"/>
              <w:jc w:val="center"/>
              <w:rPr>
                <w:rFonts w:ascii="Arial" w:hAnsi="Arial"/>
                <w:b/>
              </w:rPr>
            </w:pPr>
            <w:r>
              <w:t>32 141.69</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300</w:t>
            </w:r>
          </w:p>
        </w:tc>
        <w:tc>
          <w:tcPr>
            <w:tcW w:w="1667" w:type="pct"/>
            <w:vAlign w:val="bottom"/>
          </w:tcPr>
          <w:p>
            <w:pPr>
              <w:pStyle w:val="yTableNAm"/>
              <w:jc w:val="center"/>
              <w:rPr>
                <w:rFonts w:ascii="Arial" w:hAnsi="Arial"/>
                <w:b/>
              </w:rPr>
            </w:pPr>
            <w:r>
              <w:t>46 284.07</w:t>
            </w:r>
          </w:p>
        </w:tc>
        <w:tc>
          <w:tcPr>
            <w:tcW w:w="1666" w:type="pct"/>
            <w:vAlign w:val="bottom"/>
          </w:tcPr>
          <w:p>
            <w:pPr>
              <w:pStyle w:val="yTableNAm"/>
              <w:jc w:val="center"/>
              <w:rPr>
                <w:rFonts w:ascii="Arial" w:hAnsi="Arial"/>
                <w:b/>
              </w:rPr>
            </w:pPr>
            <w:r>
              <w:t>100</w:t>
            </w:r>
          </w:p>
        </w:tc>
      </w:tr>
      <w:tr>
        <w:trPr>
          <w:cantSplit/>
          <w:jc w:val="center"/>
        </w:trPr>
        <w:tc>
          <w:tcPr>
            <w:tcW w:w="1666" w:type="pct"/>
            <w:tcBorders>
              <w:bottom w:val="single" w:sz="4" w:space="0" w:color="auto"/>
            </w:tcBorders>
            <w:vAlign w:val="bottom"/>
          </w:tcPr>
          <w:p>
            <w:pPr>
              <w:pStyle w:val="yTableNAm"/>
              <w:jc w:val="center"/>
              <w:rPr>
                <w:rFonts w:ascii="Arial" w:hAnsi="Arial"/>
                <w:b/>
              </w:rPr>
            </w:pPr>
            <w:r>
              <w:t>350</w:t>
            </w:r>
          </w:p>
        </w:tc>
        <w:tc>
          <w:tcPr>
            <w:tcW w:w="1667" w:type="pct"/>
            <w:tcBorders>
              <w:bottom w:val="single" w:sz="4" w:space="0" w:color="auto"/>
            </w:tcBorders>
            <w:vAlign w:val="bottom"/>
          </w:tcPr>
          <w:p>
            <w:pPr>
              <w:pStyle w:val="yTableNAm"/>
              <w:jc w:val="center"/>
              <w:rPr>
                <w:rFonts w:ascii="Arial" w:hAnsi="Arial"/>
                <w:b/>
              </w:rPr>
            </w:pPr>
            <w:r>
              <w:t>62 997.77</w:t>
            </w:r>
          </w:p>
        </w:tc>
        <w:tc>
          <w:tcPr>
            <w:tcW w:w="1666" w:type="pct"/>
            <w:tcBorders>
              <w:bottom w:val="single" w:sz="4" w:space="0" w:color="auto"/>
            </w:tcBorders>
            <w:vAlign w:val="bottom"/>
          </w:tcPr>
          <w:p>
            <w:pPr>
              <w:pStyle w:val="yTableNAm"/>
              <w:jc w:val="center"/>
              <w:rPr>
                <w:rFonts w:ascii="Arial" w:hAnsi="Arial"/>
                <w:b/>
              </w:rPr>
            </w:pPr>
            <w:r>
              <w:t>100</w:t>
            </w:r>
          </w:p>
        </w:tc>
      </w:tr>
    </w:tbl>
    <w:p>
      <w:pPr>
        <w:pStyle w:val="yMiscellaneousBody"/>
      </w:pPr>
    </w:p>
    <w:tbl>
      <w:tblPr>
        <w:tblW w:w="4271" w:type="pct"/>
        <w:tblInd w:w="534" w:type="dxa"/>
        <w:tblLook w:val="0000" w:firstRow="0" w:lastRow="0" w:firstColumn="0" w:lastColumn="0" w:noHBand="0" w:noVBand="0"/>
      </w:tblPr>
      <w:tblGrid>
        <w:gridCol w:w="826"/>
        <w:gridCol w:w="4116"/>
        <w:gridCol w:w="1120"/>
      </w:tblGrid>
      <w:tr>
        <w:trPr>
          <w:cantSplit/>
        </w:trPr>
        <w:tc>
          <w:tcPr>
            <w:tcW w:w="681" w:type="pct"/>
          </w:tcPr>
          <w:p>
            <w:pPr>
              <w:pStyle w:val="yTableNAm"/>
            </w:pPr>
            <w:r>
              <w:rPr>
                <w:b/>
                <w:bCs/>
              </w:rPr>
              <w:t>4.</w:t>
            </w:r>
          </w:p>
        </w:tc>
        <w:tc>
          <w:tcPr>
            <w:tcW w:w="3395" w:type="pct"/>
          </w:tcPr>
          <w:p>
            <w:pPr>
              <w:pStyle w:val="yTableNAm"/>
            </w:pPr>
            <w:r>
              <w:rPr>
                <w:b/>
                <w:bCs/>
              </w:rPr>
              <w:t>Strata</w:t>
            </w:r>
            <w:r>
              <w:rPr>
                <w:b/>
                <w:bCs/>
              </w:rPr>
              <w:noBreakHyphen/>
              <w:t>titled (or long</w:t>
            </w:r>
            <w:r>
              <w:rPr>
                <w:b/>
                <w:bCs/>
              </w:rPr>
              <w:noBreakHyphen/>
              <w:t>term residential) caravan bays</w:t>
            </w:r>
          </w:p>
        </w:tc>
        <w:tc>
          <w:tcPr>
            <w:tcW w:w="924" w:type="pct"/>
            <w:vAlign w:val="bottom"/>
          </w:tcPr>
          <w:p>
            <w:pPr>
              <w:pStyle w:val="yTableNAm"/>
            </w:pPr>
          </w:p>
        </w:tc>
      </w:tr>
      <w:tr>
        <w:trPr>
          <w:cantSplit/>
        </w:trPr>
        <w:tc>
          <w:tcPr>
            <w:tcW w:w="681" w:type="pct"/>
          </w:tcPr>
          <w:p>
            <w:pPr>
              <w:pStyle w:val="zyTableNAm"/>
              <w:widowControl w:val="0"/>
            </w:pPr>
          </w:p>
        </w:tc>
        <w:tc>
          <w:tcPr>
            <w:tcW w:w="3395" w:type="pct"/>
          </w:tcPr>
          <w:p>
            <w:pPr>
              <w:pStyle w:val="yTableNAm"/>
              <w:tabs>
                <w:tab w:val="right" w:leader="dot" w:pos="3952"/>
              </w:tabs>
              <w:rPr>
                <w:rFonts w:ascii="Arial" w:hAnsi="Arial"/>
                <w:b/>
              </w:rPr>
            </w:pPr>
            <w:r>
              <w:t xml:space="preserve">In respect of each caravan bay that is a residential property and a lot within the meaning of the </w:t>
            </w:r>
            <w:r>
              <w:rPr>
                <w:i/>
                <w:iCs/>
              </w:rPr>
              <w:t>Strata Titles Act 1985</w:t>
            </w:r>
            <w:r>
              <w:t>, or a caravan bay designated as a long</w:t>
            </w:r>
            <w:r>
              <w:noBreakHyphen/>
              <w:t xml:space="preserve">term residential caravan bay </w:t>
            </w:r>
            <w:r>
              <w:tab/>
            </w:r>
          </w:p>
        </w:tc>
        <w:tc>
          <w:tcPr>
            <w:tcW w:w="924" w:type="pct"/>
            <w:vAlign w:val="bottom"/>
          </w:tcPr>
          <w:p>
            <w:pPr>
              <w:pStyle w:val="yTableNAm"/>
            </w:pPr>
            <w:r>
              <w:t>$144.57</w:t>
            </w:r>
          </w:p>
        </w:tc>
      </w:tr>
      <w:tr>
        <w:trPr>
          <w:cantSplit/>
        </w:trPr>
        <w:tc>
          <w:tcPr>
            <w:tcW w:w="681" w:type="pct"/>
          </w:tcPr>
          <w:p>
            <w:pPr>
              <w:pStyle w:val="yTableNAm"/>
            </w:pPr>
            <w:r>
              <w:rPr>
                <w:b/>
                <w:bCs/>
              </w:rPr>
              <w:t>5.</w:t>
            </w:r>
          </w:p>
        </w:tc>
        <w:tc>
          <w:tcPr>
            <w:tcW w:w="3395" w:type="pct"/>
          </w:tcPr>
          <w:p>
            <w:pPr>
              <w:pStyle w:val="yTableNAm"/>
            </w:pPr>
            <w:r>
              <w:rPr>
                <w:b/>
                <w:bCs/>
              </w:rPr>
              <w:t>Strata</w:t>
            </w:r>
            <w:r>
              <w:rPr>
                <w:b/>
                <w:bCs/>
              </w:rPr>
              <w:noBreakHyphen/>
              <w:t>titled storage unit and strata</w:t>
            </w:r>
            <w:r>
              <w:rPr>
                <w:b/>
                <w:bCs/>
              </w:rPr>
              <w:noBreakHyphen/>
              <w:t>titled parking bay</w:t>
            </w:r>
          </w:p>
        </w:tc>
        <w:tc>
          <w:tcPr>
            <w:tcW w:w="924" w:type="pct"/>
            <w:vAlign w:val="bottom"/>
          </w:tcPr>
          <w:p>
            <w:pPr>
              <w:pStyle w:val="yTableNAm"/>
            </w:pPr>
          </w:p>
        </w:tc>
      </w:tr>
      <w:tr>
        <w:trPr>
          <w:cantSplit/>
        </w:trPr>
        <w:tc>
          <w:tcPr>
            <w:tcW w:w="681" w:type="pct"/>
          </w:tcPr>
          <w:p>
            <w:pPr>
              <w:pStyle w:val="zyTableNAm"/>
              <w:keepNext/>
              <w:keepLines/>
              <w:widowControl w:val="0"/>
            </w:pPr>
          </w:p>
        </w:tc>
        <w:tc>
          <w:tcPr>
            <w:tcW w:w="3395" w:type="pct"/>
          </w:tcPr>
          <w:p>
            <w:pPr>
              <w:pStyle w:val="yTableNAm"/>
              <w:tabs>
                <w:tab w:val="right" w:leader="dot" w:pos="3952"/>
              </w:tabs>
              <w:rPr>
                <w:rFonts w:ascii="Arial" w:hAnsi="Arial"/>
                <w:b/>
              </w:rPr>
            </w:pPr>
            <w:r>
              <w:t xml:space="preserve">In respect of land comprised in a unit used for storage purposes or as a parking bay that is a lot within the meaning of the </w:t>
            </w:r>
            <w:r>
              <w:rPr>
                <w:i/>
                <w:iCs/>
              </w:rPr>
              <w:t>Strata Titles Act 1985</w:t>
            </w:r>
            <w:r>
              <w:t xml:space="preserve"> </w:t>
            </w:r>
            <w:r>
              <w:tab/>
            </w:r>
          </w:p>
        </w:tc>
        <w:tc>
          <w:tcPr>
            <w:tcW w:w="924" w:type="pct"/>
            <w:vAlign w:val="bottom"/>
          </w:tcPr>
          <w:p>
            <w:pPr>
              <w:pStyle w:val="yTableNAm"/>
            </w:pPr>
            <w:r>
              <w:t>$72.40</w:t>
            </w:r>
          </w:p>
        </w:tc>
      </w:tr>
      <w:tr>
        <w:trPr>
          <w:cantSplit/>
        </w:trPr>
        <w:tc>
          <w:tcPr>
            <w:tcW w:w="681" w:type="pct"/>
          </w:tcPr>
          <w:p>
            <w:pPr>
              <w:pStyle w:val="yTableNAm"/>
            </w:pPr>
            <w:r>
              <w:rPr>
                <w:b/>
                <w:bCs/>
              </w:rPr>
              <w:t>6.</w:t>
            </w:r>
          </w:p>
        </w:tc>
        <w:tc>
          <w:tcPr>
            <w:tcW w:w="3395" w:type="pct"/>
          </w:tcPr>
          <w:p>
            <w:pPr>
              <w:pStyle w:val="yTableNAm"/>
            </w:pPr>
            <w:r>
              <w:rPr>
                <w:b/>
                <w:bCs/>
              </w:rPr>
              <w:t>Non</w:t>
            </w:r>
            <w:r>
              <w:rPr>
                <w:b/>
                <w:bCs/>
              </w:rPr>
              <w:noBreakHyphen/>
              <w:t>residential strata</w:t>
            </w:r>
            <w:r>
              <w:rPr>
                <w:b/>
                <w:bCs/>
              </w:rPr>
              <w:noBreakHyphen/>
              <w:t>titled units that share a service</w:t>
            </w:r>
          </w:p>
        </w:tc>
        <w:tc>
          <w:tcPr>
            <w:tcW w:w="924" w:type="pct"/>
            <w:vAlign w:val="bottom"/>
          </w:tcPr>
          <w:p>
            <w:pPr>
              <w:pStyle w:val="yTableNAm"/>
            </w:pPr>
          </w:p>
        </w:tc>
      </w:tr>
      <w:tr>
        <w:trPr>
          <w:cantSplit/>
        </w:trPr>
        <w:tc>
          <w:tcPr>
            <w:tcW w:w="681" w:type="pct"/>
          </w:tcPr>
          <w:p>
            <w:pPr>
              <w:pStyle w:val="zyTableNAm"/>
              <w:keepNext/>
            </w:pPr>
          </w:p>
        </w:tc>
        <w:tc>
          <w:tcPr>
            <w:tcW w:w="3395" w:type="pct"/>
          </w:tcPr>
          <w:p>
            <w:pPr>
              <w:pStyle w:val="yTableNAm"/>
            </w:pPr>
            <w:r>
              <w:t>In respect of land that —</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(a)</w:t>
            </w:r>
            <w:r>
              <w:tab/>
              <w:t>is not referred to in item 4 or 5; and</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(b)</w:t>
            </w:r>
            <w:r>
              <w:tab/>
              <w:t xml:space="preserve">comprises a unit that is a lot within the meaning of the </w:t>
            </w:r>
            <w:r>
              <w:rPr>
                <w:i/>
                <w:iCs/>
              </w:rPr>
              <w:t>Strata Titles Act 1985</w:t>
            </w:r>
            <w:r>
              <w:t>; and</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(c)</w:t>
            </w:r>
            <w:r>
              <w:tab/>
              <w:t xml:space="preserve">shares a service with another unit described in paragraph (b) </w:t>
            </w:r>
            <w:r>
              <w:tab/>
            </w:r>
          </w:p>
        </w:tc>
        <w:tc>
          <w:tcPr>
            <w:tcW w:w="924" w:type="pct"/>
            <w:vAlign w:val="bottom"/>
          </w:tcPr>
          <w:p>
            <w:pPr>
              <w:pStyle w:val="yTableNAm"/>
            </w:pPr>
            <w:r>
              <w:t>$205.71</w:t>
            </w:r>
          </w:p>
        </w:tc>
      </w:tr>
      <w:tr>
        <w:trPr>
          <w:cantSplit/>
        </w:trPr>
        <w:tc>
          <w:tcPr>
            <w:tcW w:w="681" w:type="pct"/>
          </w:tcPr>
          <w:p>
            <w:pPr>
              <w:pStyle w:val="yTableNAm"/>
            </w:pPr>
            <w:r>
              <w:rPr>
                <w:b/>
              </w:rPr>
              <w:t>7.</w:t>
            </w:r>
          </w:p>
        </w:tc>
        <w:tc>
          <w:tcPr>
            <w:tcW w:w="3395" w:type="pct"/>
          </w:tcPr>
          <w:p>
            <w:pPr>
              <w:pStyle w:val="yTableNAm"/>
            </w:pPr>
            <w:r>
              <w:rPr>
                <w:b/>
              </w:rPr>
              <w:t>Community residential</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pPr>
            <w:r>
              <w:t>In respect of each discrete residential unit as determined under by</w:t>
            </w:r>
            <w:r>
              <w:noBreakHyphen/>
              <w:t>law 16 the charge payable in accordance with the following formula —</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pPr>
            <w:r>
              <w:rPr>
                <w:b/>
              </w:rPr>
              <w:t>A</w:t>
            </w:r>
            <w:r>
              <w:t xml:space="preserve"> </w:t>
            </w:r>
            <w:r>
              <w:sym w:font="Symbol" w:char="F02D"/>
            </w:r>
            <w:r>
              <w:t xml:space="preserve"> (</w:t>
            </w:r>
            <w:r>
              <w:rPr>
                <w:b/>
              </w:rPr>
              <w:t>A</w:t>
            </w:r>
            <w:r>
              <w:t xml:space="preserve"> </w:t>
            </w:r>
            <w:r>
              <w:sym w:font="Symbol" w:char="F0B4"/>
            </w:r>
            <w:r>
              <w:t xml:space="preserve"> </w:t>
            </w:r>
            <w:r>
              <w:rPr>
                <w:b/>
              </w:rPr>
              <w:t>B</w:t>
            </w:r>
            <w:r>
              <w:t>)</w:t>
            </w:r>
          </w:p>
          <w:p>
            <w:pPr>
              <w:pStyle w:val="yTableNAm"/>
            </w:pPr>
            <w:r>
              <w:t xml:space="preserve">where — </w:t>
            </w:r>
          </w:p>
          <w:p>
            <w:pPr>
              <w:pStyle w:val="yTableNAm"/>
              <w:tabs>
                <w:tab w:val="clear" w:pos="567"/>
                <w:tab w:val="left" w:pos="306"/>
                <w:tab w:val="left" w:pos="883"/>
              </w:tabs>
            </w:pPr>
            <w:r>
              <w:tab/>
            </w:r>
            <w:r>
              <w:rPr>
                <w:b/>
              </w:rPr>
              <w:t>A</w:t>
            </w:r>
            <w:r>
              <w:t xml:space="preserve"> =</w:t>
            </w:r>
            <w:r>
              <w:tab/>
              <w:t>$205.71;</w:t>
            </w:r>
          </w:p>
          <w:p>
            <w:pPr>
              <w:pStyle w:val="yTableNAm"/>
              <w:tabs>
                <w:tab w:val="clear" w:pos="567"/>
                <w:tab w:val="left" w:pos="306"/>
                <w:tab w:val="left" w:pos="883"/>
              </w:tabs>
            </w:pPr>
            <w:r>
              <w:tab/>
            </w:r>
            <w:r>
              <w:rPr>
                <w:b/>
              </w:rPr>
              <w:t>B</w:t>
            </w:r>
            <w:r>
              <w:t xml:space="preserve"> =</w:t>
            </w:r>
            <w:r>
              <w:tab/>
              <w:t>50%.</w:t>
            </w:r>
          </w:p>
        </w:tc>
        <w:tc>
          <w:tcPr>
            <w:tcW w:w="924" w:type="pct"/>
            <w:vAlign w:val="bottom"/>
          </w:tcPr>
          <w:p>
            <w:pPr>
              <w:pStyle w:val="yTableNAm"/>
            </w:pPr>
          </w:p>
        </w:tc>
      </w:tr>
      <w:tr>
        <w:trPr>
          <w:cantSplit/>
        </w:trPr>
        <w:tc>
          <w:tcPr>
            <w:tcW w:w="681" w:type="pct"/>
          </w:tcPr>
          <w:p>
            <w:pPr>
              <w:pStyle w:val="yTableNAm"/>
            </w:pPr>
            <w:r>
              <w:rPr>
                <w:b/>
                <w:bCs/>
              </w:rPr>
              <w:t>8.</w:t>
            </w:r>
          </w:p>
        </w:tc>
        <w:tc>
          <w:tcPr>
            <w:tcW w:w="3395" w:type="pct"/>
          </w:tcPr>
          <w:p>
            <w:pPr>
              <w:pStyle w:val="yTableNAm"/>
            </w:pPr>
            <w:r>
              <w:rPr>
                <w:b/>
                <w:bCs/>
              </w:rPr>
              <w:t>Semi</w:t>
            </w:r>
            <w:r>
              <w:rPr>
                <w:b/>
                <w:bCs/>
              </w:rPr>
              <w:noBreakHyphen/>
              <w:t>rural residential</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right" w:leader="dot" w:pos="3952"/>
              </w:tabs>
              <w:rPr>
                <w:rFonts w:ascii="Arial" w:hAnsi="Arial"/>
                <w:b/>
              </w:rPr>
            </w:pPr>
            <w:r>
              <w:t>In respect of each semi</w:t>
            </w:r>
            <w:r>
              <w:noBreakHyphen/>
              <w:t xml:space="preserve">rural residential property not being land mentioned in item 3 </w:t>
            </w:r>
            <w:r>
              <w:tab/>
            </w:r>
          </w:p>
        </w:tc>
        <w:tc>
          <w:tcPr>
            <w:tcW w:w="924" w:type="pct"/>
            <w:vAlign w:val="bottom"/>
          </w:tcPr>
          <w:p>
            <w:pPr>
              <w:pStyle w:val="yTableNAm"/>
            </w:pPr>
            <w:r>
              <w:t>$205.71</w:t>
            </w:r>
          </w:p>
        </w:tc>
      </w:tr>
      <w:tr>
        <w:trPr>
          <w:cantSplit/>
        </w:trPr>
        <w:tc>
          <w:tcPr>
            <w:tcW w:w="681" w:type="pct"/>
          </w:tcPr>
          <w:p>
            <w:pPr>
              <w:pStyle w:val="yTableNAm"/>
            </w:pPr>
            <w:r>
              <w:rPr>
                <w:b/>
                <w:bCs/>
              </w:rPr>
              <w:t>9.</w:t>
            </w:r>
          </w:p>
        </w:tc>
        <w:tc>
          <w:tcPr>
            <w:tcW w:w="3395" w:type="pct"/>
          </w:tcPr>
          <w:p>
            <w:pPr>
              <w:pStyle w:val="yTableNAm"/>
            </w:pPr>
            <w:r>
              <w:rPr>
                <w:b/>
                <w:bCs/>
              </w:rPr>
              <w:t>Connected non</w:t>
            </w:r>
            <w:r>
              <w:rPr>
                <w:b/>
                <w:bCs/>
              </w:rPr>
              <w:noBreakHyphen/>
              <w:t>metropolitan exempt</w:t>
            </w:r>
          </w:p>
        </w:tc>
        <w:tc>
          <w:tcPr>
            <w:tcW w:w="924" w:type="pct"/>
            <w:vAlign w:val="bottom"/>
          </w:tcPr>
          <w:p>
            <w:pPr>
              <w:pStyle w:val="yTableNAm"/>
            </w:pPr>
          </w:p>
        </w:tc>
      </w:tr>
      <w:tr>
        <w:trPr>
          <w:cantSplit/>
        </w:trPr>
        <w:tc>
          <w:tcPr>
            <w:tcW w:w="681" w:type="pct"/>
          </w:tcPr>
          <w:p>
            <w:pPr>
              <w:pStyle w:val="zyTableNAm"/>
              <w:keepNext/>
              <w:keepLines/>
              <w:widowControl w:val="0"/>
            </w:pPr>
          </w:p>
        </w:tc>
        <w:tc>
          <w:tcPr>
            <w:tcW w:w="3395" w:type="pct"/>
          </w:tcPr>
          <w:p>
            <w:pPr>
              <w:pStyle w:val="yTableNAm"/>
            </w:pPr>
            <w:r>
              <w:t xml:space="preserve">In respect of land — </w:t>
            </w:r>
          </w:p>
        </w:tc>
        <w:tc>
          <w:tcPr>
            <w:tcW w:w="924" w:type="pct"/>
            <w:vAlign w:val="bottom"/>
          </w:tcPr>
          <w:p>
            <w:pPr>
              <w:pStyle w:val="yTableNAm"/>
            </w:pPr>
          </w:p>
        </w:tc>
      </w:tr>
      <w:tr>
        <w:trPr>
          <w:cantSplit/>
        </w:trPr>
        <w:tc>
          <w:tcPr>
            <w:tcW w:w="681" w:type="pct"/>
          </w:tcPr>
          <w:p>
            <w:pPr>
              <w:pStyle w:val="zyTableNAm"/>
              <w:keepNext/>
              <w:keepLines/>
              <w:widowControl w:val="0"/>
            </w:pPr>
          </w:p>
        </w:tc>
        <w:tc>
          <w:tcPr>
            <w:tcW w:w="3395" w:type="pct"/>
          </w:tcPr>
          <w:p>
            <w:pPr>
              <w:pStyle w:val="yTableNAm"/>
              <w:tabs>
                <w:tab w:val="clear" w:pos="567"/>
                <w:tab w:val="left" w:pos="268"/>
                <w:tab w:val="left" w:pos="715"/>
              </w:tabs>
              <w:ind w:left="730" w:hanging="730"/>
              <w:rPr>
                <w:rFonts w:ascii="Arial" w:hAnsi="Arial"/>
                <w:b/>
              </w:rPr>
            </w:pPr>
            <w:r>
              <w:tab/>
              <w:t>(a)</w:t>
            </w:r>
            <w:r>
              <w:tab/>
              <w:t>described in by</w:t>
            </w:r>
            <w:r>
              <w:noBreakHyphen/>
              <w:t>law 4 that is comprised in a residential property and is not in the metropolitan area; and</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(b)</w:t>
            </w:r>
            <w:r>
              <w:tab/>
              <w:t>classified as local government, charitable purposes or institutional public that is neither in the metropolitan area or comprised in a residential property,</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pPr>
            <w:r>
              <w:rPr>
                <w:szCs w:val="22"/>
              </w:rPr>
              <w:t>a charge, not being a connection the subject of a charge under item 15, determined by meter size minus the discount as set out in the following Table —</w:t>
            </w:r>
          </w:p>
        </w:tc>
        <w:tc>
          <w:tcPr>
            <w:tcW w:w="924" w:type="pct"/>
            <w:vAlign w:val="bottom"/>
          </w:tcPr>
          <w:p>
            <w:pPr>
              <w:pStyle w:val="yTableNAm"/>
            </w:pPr>
          </w:p>
        </w:tc>
      </w:tr>
    </w:tbl>
    <w:p>
      <w:pPr>
        <w:pStyle w:val="yTHeadingNAm"/>
      </w:pPr>
      <w:r>
        <w:t>Table of meter</w:t>
      </w:r>
      <w:r>
        <w:noBreakHyphen/>
        <w:t>based fixed charges</w:t>
      </w:r>
    </w:p>
    <w:tbl>
      <w:tblPr>
        <w:tblW w:w="3964" w:type="pct"/>
        <w:jc w:val="center"/>
        <w:tblLook w:val="0000" w:firstRow="0" w:lastRow="0" w:firstColumn="0" w:lastColumn="0" w:noHBand="0" w:noVBand="0"/>
      </w:tblPr>
      <w:tblGrid>
        <w:gridCol w:w="1359"/>
        <w:gridCol w:w="2027"/>
        <w:gridCol w:w="2241"/>
      </w:tblGrid>
      <w:tr>
        <w:trPr>
          <w:cantSplit/>
          <w:tblHeader/>
          <w:jc w:val="center"/>
        </w:trPr>
        <w:tc>
          <w:tcPr>
            <w:tcW w:w="1208" w:type="pct"/>
            <w:tcBorders>
              <w:top w:val="single" w:sz="4" w:space="0" w:color="auto"/>
              <w:bottom w:val="single" w:sz="4" w:space="0" w:color="auto"/>
            </w:tcBorders>
          </w:tcPr>
          <w:p>
            <w:pPr>
              <w:pStyle w:val="yTableNAm"/>
              <w:jc w:val="center"/>
              <w:rPr>
                <w:rFonts w:ascii="Arial" w:hAnsi="Arial"/>
                <w:b/>
              </w:rPr>
            </w:pPr>
            <w:r>
              <w:rPr>
                <w:b/>
                <w:bCs/>
              </w:rPr>
              <w:t>Meter size</w:t>
            </w:r>
            <w:r>
              <w:rPr>
                <w:b/>
                <w:bCs/>
              </w:rPr>
              <w:br/>
              <w:t>mm</w:t>
            </w:r>
          </w:p>
        </w:tc>
        <w:tc>
          <w:tcPr>
            <w:tcW w:w="1801" w:type="pct"/>
            <w:tcBorders>
              <w:top w:val="single" w:sz="4" w:space="0" w:color="auto"/>
              <w:bottom w:val="single" w:sz="4" w:space="0" w:color="auto"/>
            </w:tcBorders>
          </w:tcPr>
          <w:p>
            <w:pPr>
              <w:pStyle w:val="yTableNAm"/>
              <w:jc w:val="center"/>
            </w:pPr>
            <w:r>
              <w:rPr>
                <w:b/>
                <w:bCs/>
              </w:rPr>
              <w:t>Charge</w:t>
            </w:r>
            <w:r>
              <w:rPr>
                <w:b/>
                <w:bCs/>
              </w:rPr>
              <w:br/>
              <w:t>$</w:t>
            </w:r>
          </w:p>
        </w:tc>
        <w:tc>
          <w:tcPr>
            <w:tcW w:w="1991" w:type="pct"/>
            <w:tcBorders>
              <w:top w:val="single" w:sz="4" w:space="0" w:color="auto"/>
              <w:bottom w:val="single" w:sz="4" w:space="0" w:color="auto"/>
            </w:tcBorders>
          </w:tcPr>
          <w:p>
            <w:pPr>
              <w:pStyle w:val="yTableNAm"/>
              <w:jc w:val="center"/>
            </w:pPr>
            <w:r>
              <w:rPr>
                <w:b/>
                <w:bCs/>
              </w:rPr>
              <w:t>Discount</w:t>
            </w:r>
            <w:r>
              <w:rPr>
                <w:b/>
                <w:bCs/>
              </w:rPr>
              <w:br/>
              <w:t>%</w:t>
            </w:r>
          </w:p>
        </w:tc>
      </w:tr>
      <w:tr>
        <w:trPr>
          <w:cantSplit/>
          <w:jc w:val="center"/>
        </w:trPr>
        <w:tc>
          <w:tcPr>
            <w:tcW w:w="1208" w:type="pct"/>
          </w:tcPr>
          <w:p>
            <w:pPr>
              <w:pStyle w:val="yTableNAm"/>
              <w:jc w:val="center"/>
            </w:pPr>
            <w:r>
              <w:t>20</w:t>
            </w:r>
          </w:p>
        </w:tc>
        <w:tc>
          <w:tcPr>
            <w:tcW w:w="1801" w:type="pct"/>
            <w:vAlign w:val="bottom"/>
          </w:tcPr>
          <w:p>
            <w:pPr>
              <w:pStyle w:val="yTableNAm"/>
              <w:jc w:val="center"/>
              <w:rPr>
                <w:rFonts w:ascii="Arial" w:hAnsi="Arial"/>
                <w:b/>
              </w:rPr>
            </w:pPr>
            <w:r>
              <w:t>205.71</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25</w:t>
            </w:r>
          </w:p>
        </w:tc>
        <w:tc>
          <w:tcPr>
            <w:tcW w:w="1801" w:type="pct"/>
            <w:vAlign w:val="bottom"/>
          </w:tcPr>
          <w:p>
            <w:pPr>
              <w:pStyle w:val="yTableNAm"/>
              <w:jc w:val="center"/>
              <w:rPr>
                <w:rFonts w:ascii="Arial" w:hAnsi="Arial"/>
                <w:b/>
              </w:rPr>
            </w:pPr>
            <w:r>
              <w:t>321.42</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30</w:t>
            </w:r>
          </w:p>
        </w:tc>
        <w:tc>
          <w:tcPr>
            <w:tcW w:w="1801" w:type="pct"/>
            <w:vAlign w:val="bottom"/>
          </w:tcPr>
          <w:p>
            <w:pPr>
              <w:pStyle w:val="yTableNAm"/>
              <w:jc w:val="center"/>
              <w:rPr>
                <w:rFonts w:ascii="Arial" w:hAnsi="Arial"/>
                <w:b/>
              </w:rPr>
            </w:pPr>
            <w:r>
              <w:t>462.82</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40</w:t>
            </w:r>
          </w:p>
        </w:tc>
        <w:tc>
          <w:tcPr>
            <w:tcW w:w="1801" w:type="pct"/>
            <w:vAlign w:val="bottom"/>
          </w:tcPr>
          <w:p>
            <w:pPr>
              <w:pStyle w:val="yTableNAm"/>
              <w:jc w:val="center"/>
              <w:rPr>
                <w:rFonts w:ascii="Arial" w:hAnsi="Arial"/>
                <w:b/>
              </w:rPr>
            </w:pPr>
            <w:r>
              <w:t>822.83</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50</w:t>
            </w:r>
          </w:p>
        </w:tc>
        <w:tc>
          <w:tcPr>
            <w:tcW w:w="1801" w:type="pct"/>
            <w:vAlign w:val="bottom"/>
          </w:tcPr>
          <w:p>
            <w:pPr>
              <w:pStyle w:val="yTableNAm"/>
              <w:jc w:val="center"/>
              <w:rPr>
                <w:rFonts w:ascii="Arial" w:hAnsi="Arial"/>
                <w:b/>
              </w:rPr>
            </w:pPr>
            <w:r>
              <w:t>1 285.67</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80</w:t>
            </w:r>
          </w:p>
        </w:tc>
        <w:tc>
          <w:tcPr>
            <w:tcW w:w="1801" w:type="pct"/>
            <w:vAlign w:val="bottom"/>
          </w:tcPr>
          <w:p>
            <w:pPr>
              <w:pStyle w:val="yTableNAm"/>
              <w:jc w:val="center"/>
              <w:rPr>
                <w:rFonts w:ascii="Arial" w:hAnsi="Arial"/>
                <w:b/>
              </w:rPr>
            </w:pPr>
            <w:r>
              <w:t>3 291.31</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100</w:t>
            </w:r>
          </w:p>
        </w:tc>
        <w:tc>
          <w:tcPr>
            <w:tcW w:w="1801" w:type="pct"/>
            <w:vAlign w:val="bottom"/>
          </w:tcPr>
          <w:p>
            <w:pPr>
              <w:pStyle w:val="yTableNAm"/>
              <w:jc w:val="center"/>
              <w:rPr>
                <w:rFonts w:ascii="Arial" w:hAnsi="Arial"/>
                <w:b/>
              </w:rPr>
            </w:pPr>
            <w:r>
              <w:t>5 142.67</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150</w:t>
            </w:r>
          </w:p>
        </w:tc>
        <w:tc>
          <w:tcPr>
            <w:tcW w:w="1801" w:type="pct"/>
            <w:vAlign w:val="bottom"/>
          </w:tcPr>
          <w:p>
            <w:pPr>
              <w:pStyle w:val="yTableNAm"/>
              <w:jc w:val="center"/>
              <w:rPr>
                <w:rFonts w:ascii="Arial" w:hAnsi="Arial"/>
                <w:b/>
              </w:rPr>
            </w:pPr>
            <w:r>
              <w:t>11 571.02</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200</w:t>
            </w:r>
          </w:p>
        </w:tc>
        <w:tc>
          <w:tcPr>
            <w:tcW w:w="1801" w:type="pct"/>
            <w:vAlign w:val="bottom"/>
          </w:tcPr>
          <w:p>
            <w:pPr>
              <w:pStyle w:val="yTableNAm"/>
              <w:jc w:val="center"/>
              <w:rPr>
                <w:rFonts w:ascii="Arial" w:hAnsi="Arial"/>
                <w:b/>
              </w:rPr>
            </w:pPr>
            <w:r>
              <w:t>20 570.70</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lastRenderedPageBreak/>
              <w:t>250</w:t>
            </w:r>
          </w:p>
        </w:tc>
        <w:tc>
          <w:tcPr>
            <w:tcW w:w="1801" w:type="pct"/>
            <w:vAlign w:val="bottom"/>
          </w:tcPr>
          <w:p>
            <w:pPr>
              <w:pStyle w:val="yTableNAm"/>
              <w:jc w:val="center"/>
              <w:rPr>
                <w:rFonts w:ascii="Arial" w:hAnsi="Arial"/>
                <w:b/>
              </w:rPr>
            </w:pPr>
            <w:r>
              <w:t>32 141.69</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300</w:t>
            </w:r>
          </w:p>
        </w:tc>
        <w:tc>
          <w:tcPr>
            <w:tcW w:w="1801" w:type="pct"/>
            <w:vAlign w:val="bottom"/>
          </w:tcPr>
          <w:p>
            <w:pPr>
              <w:pStyle w:val="yTableNAm"/>
              <w:jc w:val="center"/>
              <w:rPr>
                <w:rFonts w:ascii="Arial" w:hAnsi="Arial"/>
                <w:b/>
              </w:rPr>
            </w:pPr>
            <w:r>
              <w:t>46 284.07</w:t>
            </w:r>
          </w:p>
        </w:tc>
        <w:tc>
          <w:tcPr>
            <w:tcW w:w="1991" w:type="pct"/>
          </w:tcPr>
          <w:p>
            <w:pPr>
              <w:pStyle w:val="yTableNAm"/>
              <w:jc w:val="center"/>
              <w:rPr>
                <w:rFonts w:ascii="Arial" w:hAnsi="Arial"/>
                <w:b/>
              </w:rPr>
            </w:pPr>
            <w:r>
              <w:t>100</w:t>
            </w:r>
          </w:p>
        </w:tc>
      </w:tr>
      <w:tr>
        <w:trPr>
          <w:cantSplit/>
          <w:jc w:val="center"/>
        </w:trPr>
        <w:tc>
          <w:tcPr>
            <w:tcW w:w="1208" w:type="pct"/>
            <w:tcBorders>
              <w:bottom w:val="single" w:sz="4" w:space="0" w:color="auto"/>
            </w:tcBorders>
          </w:tcPr>
          <w:p>
            <w:pPr>
              <w:pStyle w:val="yTableNAm"/>
              <w:jc w:val="center"/>
              <w:rPr>
                <w:rFonts w:ascii="Arial" w:hAnsi="Arial"/>
                <w:b/>
              </w:rPr>
            </w:pPr>
            <w:r>
              <w:t>350</w:t>
            </w:r>
          </w:p>
        </w:tc>
        <w:tc>
          <w:tcPr>
            <w:tcW w:w="1801" w:type="pct"/>
            <w:tcBorders>
              <w:bottom w:val="single" w:sz="4" w:space="0" w:color="auto"/>
            </w:tcBorders>
            <w:vAlign w:val="bottom"/>
          </w:tcPr>
          <w:p>
            <w:pPr>
              <w:pStyle w:val="yTableNAm"/>
              <w:jc w:val="center"/>
              <w:rPr>
                <w:rFonts w:ascii="Arial" w:hAnsi="Arial"/>
                <w:b/>
              </w:rPr>
            </w:pPr>
            <w:r>
              <w:t>62 997.77</w:t>
            </w:r>
          </w:p>
        </w:tc>
        <w:tc>
          <w:tcPr>
            <w:tcW w:w="1991" w:type="pct"/>
            <w:tcBorders>
              <w:bottom w:val="single" w:sz="4" w:space="0" w:color="auto"/>
            </w:tcBorders>
          </w:tcPr>
          <w:p>
            <w:pPr>
              <w:pStyle w:val="yTableNAm"/>
              <w:jc w:val="center"/>
              <w:rPr>
                <w:rFonts w:ascii="Arial" w:hAnsi="Arial"/>
                <w:b/>
              </w:rPr>
            </w:pPr>
            <w:r>
              <w:t>100</w:t>
            </w:r>
          </w:p>
        </w:tc>
      </w:tr>
    </w:tbl>
    <w:p>
      <w:pPr>
        <w:pStyle w:val="yMiscellaneousBody"/>
      </w:pPr>
    </w:p>
    <w:tbl>
      <w:tblPr>
        <w:tblW w:w="4271" w:type="pct"/>
        <w:tblInd w:w="533" w:type="dxa"/>
        <w:tblLook w:val="0000" w:firstRow="0" w:lastRow="0" w:firstColumn="0" w:lastColumn="0" w:noHBand="0" w:noVBand="0"/>
      </w:tblPr>
      <w:tblGrid>
        <w:gridCol w:w="826"/>
        <w:gridCol w:w="4116"/>
        <w:gridCol w:w="1120"/>
      </w:tblGrid>
      <w:tr>
        <w:trPr>
          <w:cantSplit/>
        </w:trPr>
        <w:tc>
          <w:tcPr>
            <w:tcW w:w="681" w:type="pct"/>
          </w:tcPr>
          <w:p>
            <w:pPr>
              <w:pStyle w:val="yTableNAm"/>
            </w:pPr>
            <w:r>
              <w:rPr>
                <w:b/>
                <w:bCs/>
              </w:rPr>
              <w:t>10.</w:t>
            </w:r>
          </w:p>
        </w:tc>
        <w:tc>
          <w:tcPr>
            <w:tcW w:w="3395" w:type="pct"/>
          </w:tcPr>
          <w:p>
            <w:pPr>
              <w:pStyle w:val="yTableNAm"/>
            </w:pPr>
            <w:r>
              <w:rPr>
                <w:b/>
                <w:bCs/>
              </w:rPr>
              <w:t>Non</w:t>
            </w:r>
            <w:r>
              <w:rPr>
                <w:b/>
                <w:bCs/>
              </w:rPr>
              <w:noBreakHyphen/>
              <w:t>metropolitan non</w:t>
            </w:r>
            <w:r>
              <w:rPr>
                <w:b/>
                <w:bCs/>
              </w:rPr>
              <w:noBreakHyphen/>
              <w:t>residential or commercial residential</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pPr>
            <w:r>
              <w:t>In respect of land that is neither in the metropolitan area nor comprised in a residential property, where the land —</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(a)</w:t>
            </w:r>
            <w:r>
              <w:tab/>
              <w:t>is classified as non</w:t>
            </w:r>
            <w:r>
              <w:noBreakHyphen/>
              <w:t xml:space="preserve">residential or commercial residential; and </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(b)</w:t>
            </w:r>
            <w:r>
              <w:tab/>
              <w:t>is not mentioned in item 5 or 6,</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pPr>
            <w:r>
              <w:t>a charge payable for the relevant meter size as set out in the following Table —</w:t>
            </w:r>
          </w:p>
        </w:tc>
        <w:tc>
          <w:tcPr>
            <w:tcW w:w="924" w:type="pct"/>
            <w:vAlign w:val="bottom"/>
          </w:tcPr>
          <w:p>
            <w:pPr>
              <w:pStyle w:val="yTableNAm"/>
            </w:pPr>
          </w:p>
        </w:tc>
      </w:tr>
    </w:tbl>
    <w:p>
      <w:pPr>
        <w:pStyle w:val="yTHeadingNAm"/>
      </w:pPr>
      <w:r>
        <w:t>Table of meter</w:t>
      </w:r>
      <w:r>
        <w:noBreakHyphen/>
        <w:t>based fixed charges</w:t>
      </w:r>
    </w:p>
    <w:tbl>
      <w:tblPr>
        <w:tblW w:w="6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7"/>
        <w:gridCol w:w="3084"/>
      </w:tblGrid>
      <w:tr>
        <w:trPr>
          <w:cantSplit/>
          <w:tblHeader/>
          <w:jc w:val="center"/>
        </w:trPr>
        <w:tc>
          <w:tcPr>
            <w:tcW w:w="3187" w:type="dxa"/>
            <w:tcBorders>
              <w:top w:val="single" w:sz="4" w:space="0" w:color="auto"/>
              <w:left w:val="nil"/>
              <w:bottom w:val="single" w:sz="4" w:space="0" w:color="auto"/>
              <w:right w:val="nil"/>
            </w:tcBorders>
          </w:tcPr>
          <w:p>
            <w:pPr>
              <w:pStyle w:val="yTableNAm"/>
              <w:jc w:val="center"/>
              <w:rPr>
                <w:rFonts w:ascii="Arial" w:hAnsi="Arial"/>
                <w:b/>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pPr>
            <w:r>
              <w:rPr>
                <w:b/>
                <w:bCs/>
              </w:rPr>
              <w:t>Charge</w:t>
            </w:r>
            <w:r>
              <w:rPr>
                <w:b/>
                <w:bCs/>
              </w:rPr>
              <w:br/>
              <w:t>$</w:t>
            </w:r>
          </w:p>
        </w:tc>
      </w:tr>
      <w:tr>
        <w:trPr>
          <w:cantSplit/>
          <w:jc w:val="center"/>
        </w:trPr>
        <w:tc>
          <w:tcPr>
            <w:tcW w:w="3187"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jc w:val="center"/>
              <w:rPr>
                <w:rFonts w:ascii="Arial" w:hAnsi="Arial"/>
                <w:b/>
              </w:rPr>
            </w:pPr>
            <w:r>
              <w:t>205.71</w:t>
            </w:r>
          </w:p>
        </w:tc>
      </w:tr>
      <w:tr>
        <w:trPr>
          <w:cantSplit/>
          <w:jc w:val="center"/>
        </w:trPr>
        <w:tc>
          <w:tcPr>
            <w:tcW w:w="3187" w:type="dxa"/>
            <w:tcBorders>
              <w:top w:val="nil"/>
              <w:left w:val="nil"/>
              <w:bottom w:val="nil"/>
              <w:right w:val="nil"/>
            </w:tcBorders>
          </w:tcPr>
          <w:p>
            <w:pPr>
              <w:pStyle w:val="yTableNAm"/>
              <w:jc w:val="center"/>
              <w:rPr>
                <w:rFonts w:ascii="Arial" w:hAnsi="Arial"/>
                <w:b/>
              </w:rPr>
            </w:pPr>
            <w:r>
              <w:t>25</w:t>
            </w:r>
          </w:p>
        </w:tc>
        <w:tc>
          <w:tcPr>
            <w:tcW w:w="3084" w:type="dxa"/>
            <w:tcBorders>
              <w:top w:val="nil"/>
              <w:left w:val="nil"/>
              <w:bottom w:val="nil"/>
              <w:right w:val="nil"/>
            </w:tcBorders>
            <w:vAlign w:val="bottom"/>
          </w:tcPr>
          <w:p>
            <w:pPr>
              <w:pStyle w:val="yTableNAm"/>
              <w:jc w:val="center"/>
              <w:rPr>
                <w:rFonts w:ascii="Arial" w:hAnsi="Arial"/>
                <w:b/>
              </w:rPr>
            </w:pPr>
            <w:r>
              <w:t>321.42</w:t>
            </w:r>
          </w:p>
        </w:tc>
      </w:tr>
      <w:tr>
        <w:trPr>
          <w:cantSplit/>
          <w:jc w:val="center"/>
        </w:trPr>
        <w:tc>
          <w:tcPr>
            <w:tcW w:w="3187" w:type="dxa"/>
            <w:tcBorders>
              <w:top w:val="nil"/>
              <w:left w:val="nil"/>
              <w:bottom w:val="nil"/>
              <w:right w:val="nil"/>
            </w:tcBorders>
          </w:tcPr>
          <w:p>
            <w:pPr>
              <w:pStyle w:val="yTableNAm"/>
              <w:jc w:val="center"/>
              <w:rPr>
                <w:rFonts w:ascii="Arial" w:hAnsi="Arial"/>
                <w:b/>
              </w:rPr>
            </w:pPr>
            <w:r>
              <w:t>30</w:t>
            </w:r>
          </w:p>
        </w:tc>
        <w:tc>
          <w:tcPr>
            <w:tcW w:w="3084" w:type="dxa"/>
            <w:tcBorders>
              <w:top w:val="nil"/>
              <w:left w:val="nil"/>
              <w:bottom w:val="nil"/>
              <w:right w:val="nil"/>
            </w:tcBorders>
            <w:vAlign w:val="bottom"/>
          </w:tcPr>
          <w:p>
            <w:pPr>
              <w:pStyle w:val="yTableNAm"/>
              <w:jc w:val="center"/>
              <w:rPr>
                <w:rFonts w:ascii="Arial" w:hAnsi="Arial"/>
                <w:b/>
              </w:rPr>
            </w:pPr>
            <w:r>
              <w:t>462.82</w:t>
            </w:r>
          </w:p>
        </w:tc>
      </w:tr>
      <w:tr>
        <w:trPr>
          <w:cantSplit/>
          <w:jc w:val="center"/>
        </w:trPr>
        <w:tc>
          <w:tcPr>
            <w:tcW w:w="3187" w:type="dxa"/>
            <w:tcBorders>
              <w:top w:val="nil"/>
              <w:left w:val="nil"/>
              <w:bottom w:val="nil"/>
              <w:right w:val="nil"/>
            </w:tcBorders>
          </w:tcPr>
          <w:p>
            <w:pPr>
              <w:pStyle w:val="yTableNAm"/>
              <w:jc w:val="center"/>
              <w:rPr>
                <w:rFonts w:ascii="Arial" w:hAnsi="Arial"/>
                <w:b/>
              </w:rPr>
            </w:pPr>
            <w:r>
              <w:t>35, 38, 40</w:t>
            </w:r>
          </w:p>
        </w:tc>
        <w:tc>
          <w:tcPr>
            <w:tcW w:w="3084" w:type="dxa"/>
            <w:tcBorders>
              <w:top w:val="nil"/>
              <w:left w:val="nil"/>
              <w:bottom w:val="nil"/>
              <w:right w:val="nil"/>
            </w:tcBorders>
            <w:vAlign w:val="bottom"/>
          </w:tcPr>
          <w:p>
            <w:pPr>
              <w:pStyle w:val="yTableNAm"/>
              <w:jc w:val="center"/>
              <w:rPr>
                <w:rFonts w:ascii="Arial" w:hAnsi="Arial"/>
                <w:b/>
              </w:rPr>
            </w:pPr>
            <w:r>
              <w:t>822.83</w:t>
            </w:r>
          </w:p>
        </w:tc>
      </w:tr>
      <w:tr>
        <w:trPr>
          <w:cantSplit/>
          <w:jc w:val="center"/>
        </w:trPr>
        <w:tc>
          <w:tcPr>
            <w:tcW w:w="3187" w:type="dxa"/>
            <w:tcBorders>
              <w:top w:val="nil"/>
              <w:left w:val="nil"/>
              <w:bottom w:val="nil"/>
              <w:right w:val="nil"/>
            </w:tcBorders>
          </w:tcPr>
          <w:p>
            <w:pPr>
              <w:pStyle w:val="yTableNAm"/>
              <w:jc w:val="center"/>
              <w:rPr>
                <w:rFonts w:ascii="Arial" w:hAnsi="Arial"/>
                <w:b/>
              </w:rPr>
            </w:pPr>
            <w:r>
              <w:t>50</w:t>
            </w:r>
          </w:p>
        </w:tc>
        <w:tc>
          <w:tcPr>
            <w:tcW w:w="3084" w:type="dxa"/>
            <w:tcBorders>
              <w:top w:val="nil"/>
              <w:left w:val="nil"/>
              <w:bottom w:val="nil"/>
              <w:right w:val="nil"/>
            </w:tcBorders>
            <w:vAlign w:val="bottom"/>
          </w:tcPr>
          <w:p>
            <w:pPr>
              <w:pStyle w:val="yTableNAm"/>
              <w:jc w:val="center"/>
              <w:rPr>
                <w:rFonts w:ascii="Arial" w:hAnsi="Arial"/>
                <w:b/>
              </w:rPr>
            </w:pPr>
            <w:r>
              <w:t>1 285.67</w:t>
            </w:r>
          </w:p>
        </w:tc>
      </w:tr>
      <w:tr>
        <w:trPr>
          <w:cantSplit/>
          <w:jc w:val="center"/>
        </w:trPr>
        <w:tc>
          <w:tcPr>
            <w:tcW w:w="3187" w:type="dxa"/>
            <w:tcBorders>
              <w:top w:val="nil"/>
              <w:left w:val="nil"/>
              <w:bottom w:val="nil"/>
              <w:right w:val="nil"/>
            </w:tcBorders>
          </w:tcPr>
          <w:p>
            <w:pPr>
              <w:pStyle w:val="yTableNAm"/>
              <w:jc w:val="center"/>
              <w:rPr>
                <w:rFonts w:ascii="Arial" w:hAnsi="Arial"/>
                <w:b/>
              </w:rPr>
            </w:pPr>
            <w:r>
              <w:t>70, 75, 80</w:t>
            </w:r>
          </w:p>
        </w:tc>
        <w:tc>
          <w:tcPr>
            <w:tcW w:w="3084" w:type="dxa"/>
            <w:tcBorders>
              <w:top w:val="nil"/>
              <w:left w:val="nil"/>
              <w:bottom w:val="nil"/>
              <w:right w:val="nil"/>
            </w:tcBorders>
            <w:vAlign w:val="bottom"/>
          </w:tcPr>
          <w:p>
            <w:pPr>
              <w:pStyle w:val="yTableNAm"/>
              <w:jc w:val="center"/>
              <w:rPr>
                <w:rFonts w:ascii="Arial" w:hAnsi="Arial"/>
                <w:b/>
              </w:rPr>
            </w:pPr>
            <w:r>
              <w:t>3 291.31</w:t>
            </w:r>
          </w:p>
        </w:tc>
      </w:tr>
      <w:tr>
        <w:trPr>
          <w:cantSplit/>
          <w:jc w:val="center"/>
        </w:trPr>
        <w:tc>
          <w:tcPr>
            <w:tcW w:w="3187" w:type="dxa"/>
            <w:tcBorders>
              <w:top w:val="nil"/>
              <w:left w:val="nil"/>
              <w:bottom w:val="nil"/>
              <w:right w:val="nil"/>
            </w:tcBorders>
          </w:tcPr>
          <w:p>
            <w:pPr>
              <w:pStyle w:val="yTableNAm"/>
              <w:jc w:val="center"/>
              <w:rPr>
                <w:rFonts w:ascii="Arial" w:hAnsi="Arial"/>
                <w:b/>
              </w:rPr>
            </w:pPr>
            <w:r>
              <w:t>100</w:t>
            </w:r>
          </w:p>
        </w:tc>
        <w:tc>
          <w:tcPr>
            <w:tcW w:w="3084" w:type="dxa"/>
            <w:tcBorders>
              <w:top w:val="nil"/>
              <w:left w:val="nil"/>
              <w:bottom w:val="nil"/>
              <w:right w:val="nil"/>
            </w:tcBorders>
            <w:vAlign w:val="bottom"/>
          </w:tcPr>
          <w:p>
            <w:pPr>
              <w:pStyle w:val="yTableNAm"/>
              <w:jc w:val="center"/>
              <w:rPr>
                <w:rFonts w:ascii="Arial" w:hAnsi="Arial"/>
                <w:b/>
              </w:rPr>
            </w:pPr>
            <w:r>
              <w:t>5 142.67</w:t>
            </w:r>
          </w:p>
        </w:tc>
      </w:tr>
      <w:tr>
        <w:trPr>
          <w:cantSplit/>
          <w:jc w:val="center"/>
        </w:trPr>
        <w:tc>
          <w:tcPr>
            <w:tcW w:w="3187" w:type="dxa"/>
            <w:tcBorders>
              <w:top w:val="nil"/>
              <w:left w:val="nil"/>
              <w:bottom w:val="single" w:sz="4" w:space="0" w:color="auto"/>
              <w:right w:val="nil"/>
            </w:tcBorders>
          </w:tcPr>
          <w:p>
            <w:pPr>
              <w:pStyle w:val="yTableNAm"/>
              <w:jc w:val="center"/>
              <w:rPr>
                <w:rFonts w:ascii="Arial" w:hAnsi="Arial"/>
                <w:b/>
              </w:rPr>
            </w:pPr>
            <w:r>
              <w:t>140, 150</w:t>
            </w:r>
          </w:p>
        </w:tc>
        <w:tc>
          <w:tcPr>
            <w:tcW w:w="3084" w:type="dxa"/>
            <w:tcBorders>
              <w:top w:val="nil"/>
              <w:left w:val="nil"/>
              <w:bottom w:val="single" w:sz="4" w:space="0" w:color="auto"/>
              <w:right w:val="nil"/>
            </w:tcBorders>
            <w:vAlign w:val="bottom"/>
          </w:tcPr>
          <w:p>
            <w:pPr>
              <w:pStyle w:val="yTableNAm"/>
              <w:jc w:val="center"/>
              <w:rPr>
                <w:rFonts w:ascii="Arial" w:hAnsi="Arial"/>
                <w:b/>
              </w:rPr>
            </w:pPr>
            <w:r>
              <w:t>11 571.02</w:t>
            </w:r>
          </w:p>
        </w:tc>
      </w:tr>
    </w:tbl>
    <w:p>
      <w:pPr>
        <w:pStyle w:val="yMiscellaneousBody"/>
      </w:pPr>
    </w:p>
    <w:tbl>
      <w:tblPr>
        <w:tblW w:w="6237" w:type="dxa"/>
        <w:tblInd w:w="534" w:type="dxa"/>
        <w:tblLayout w:type="fixed"/>
        <w:tblLook w:val="0000" w:firstRow="0" w:lastRow="0" w:firstColumn="0" w:lastColumn="0" w:noHBand="0" w:noVBand="0"/>
      </w:tblPr>
      <w:tblGrid>
        <w:gridCol w:w="850"/>
        <w:gridCol w:w="4235"/>
        <w:gridCol w:w="1152"/>
      </w:tblGrid>
      <w:tr>
        <w:trPr>
          <w:cantSplit/>
        </w:trPr>
        <w:tc>
          <w:tcPr>
            <w:tcW w:w="850" w:type="dxa"/>
          </w:tcPr>
          <w:p>
            <w:pPr>
              <w:pStyle w:val="yTableNAm"/>
            </w:pPr>
            <w:r>
              <w:rPr>
                <w:b/>
                <w:bCs/>
              </w:rPr>
              <w:lastRenderedPageBreak/>
              <w:t>11.</w:t>
            </w:r>
          </w:p>
        </w:tc>
        <w:tc>
          <w:tcPr>
            <w:tcW w:w="4235" w:type="dxa"/>
          </w:tcPr>
          <w:p>
            <w:pPr>
              <w:pStyle w:val="yTableNAm"/>
            </w:pPr>
            <w:r>
              <w:rPr>
                <w:b/>
                <w:bCs/>
              </w:rPr>
              <w:t>Stock</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right" w:leader="dot" w:pos="3952"/>
              </w:tabs>
              <w:rPr>
                <w:rFonts w:ascii="Arial" w:hAnsi="Arial"/>
                <w:b/>
              </w:rPr>
            </w:pPr>
            <w:r>
              <w:t xml:space="preserve">For the supply of water for the purpose of watering stock on land that is not the subject of a charge under item 10 </w:t>
            </w:r>
            <w:r>
              <w:tab/>
            </w:r>
          </w:p>
        </w:tc>
        <w:tc>
          <w:tcPr>
            <w:tcW w:w="1152" w:type="dxa"/>
            <w:vAlign w:val="bottom"/>
          </w:tcPr>
          <w:p>
            <w:pPr>
              <w:pStyle w:val="yTableNAm"/>
            </w:pPr>
            <w:r>
              <w:t>$205.71</w:t>
            </w:r>
          </w:p>
        </w:tc>
      </w:tr>
      <w:tr>
        <w:trPr>
          <w:cantSplit/>
        </w:trPr>
        <w:tc>
          <w:tcPr>
            <w:tcW w:w="850" w:type="dxa"/>
          </w:tcPr>
          <w:p>
            <w:pPr>
              <w:pStyle w:val="yTableNAm"/>
            </w:pPr>
            <w:r>
              <w:rPr>
                <w:b/>
                <w:bCs/>
              </w:rPr>
              <w:t>12.</w:t>
            </w:r>
          </w:p>
        </w:tc>
        <w:tc>
          <w:tcPr>
            <w:tcW w:w="4235" w:type="dxa"/>
          </w:tcPr>
          <w:p>
            <w:pPr>
              <w:pStyle w:val="yTableNAm"/>
            </w:pPr>
            <w:r>
              <w:rPr>
                <w:b/>
                <w:bCs/>
              </w:rPr>
              <w:t>Additional connections</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pPr>
            <w:r>
              <w:t>Other than land described in items 3 and 9, where water is supplied to land through more than one water supply connection, for each additional connection, not being a connection the subject of a charge under item 15 or a connection for a water supply the subject of item 2 or 19 —</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tabs>
                <w:tab w:val="clear" w:pos="567"/>
                <w:tab w:val="left" w:pos="268"/>
                <w:tab w:val="left" w:pos="715"/>
                <w:tab w:val="right" w:leader="dot" w:pos="3952"/>
              </w:tabs>
              <w:ind w:left="731" w:hanging="731"/>
              <w:rPr>
                <w:rFonts w:ascii="Arial" w:hAnsi="Arial"/>
                <w:b/>
              </w:rPr>
            </w:pPr>
            <w:r>
              <w:tab/>
              <w:t>(a)</w:t>
            </w:r>
            <w:r>
              <w:tab/>
              <w:t xml:space="preserve">for land, other than land to which paragraph (b) applies, a charge of </w:t>
            </w:r>
            <w:r>
              <w:tab/>
            </w:r>
          </w:p>
        </w:tc>
        <w:tc>
          <w:tcPr>
            <w:tcW w:w="1152" w:type="dxa"/>
            <w:vAlign w:val="bottom"/>
          </w:tcPr>
          <w:p>
            <w:pPr>
              <w:pStyle w:val="yTableNAm"/>
            </w:pPr>
            <w:r>
              <w:t>$205.71</w:t>
            </w: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(b)</w:t>
            </w:r>
            <w:r>
              <w:tab/>
              <w:t>for land that is classified as non</w:t>
            </w:r>
            <w:r>
              <w:noBreakHyphen/>
              <w:t>residential or commercial residential, a charge based on meter size of the additional service as set out in the following Table —</w:t>
            </w:r>
          </w:p>
        </w:tc>
        <w:tc>
          <w:tcPr>
            <w:tcW w:w="1152" w:type="dxa"/>
            <w:vAlign w:val="bottom"/>
          </w:tcPr>
          <w:p>
            <w:pPr>
              <w:pStyle w:val="yTableNAm"/>
            </w:pPr>
          </w:p>
        </w:tc>
      </w:tr>
    </w:tbl>
    <w:p>
      <w:pPr>
        <w:pStyle w:val="yTHeadingNAm"/>
      </w:pPr>
      <w:r>
        <w:t>Table of meter</w:t>
      </w:r>
      <w:r>
        <w:noBreakHyphen/>
        <w:t>based fixed charges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5"/>
        <w:gridCol w:w="3084"/>
      </w:tblGrid>
      <w:tr>
        <w:trPr>
          <w:cantSplit/>
          <w:tblHeader/>
          <w:jc w:val="center"/>
        </w:trPr>
        <w:tc>
          <w:tcPr>
            <w:tcW w:w="3215" w:type="dxa"/>
            <w:tcBorders>
              <w:top w:val="single" w:sz="4" w:space="0" w:color="auto"/>
              <w:left w:val="nil"/>
              <w:bottom w:val="single" w:sz="4" w:space="0" w:color="auto"/>
              <w:right w:val="nil"/>
            </w:tcBorders>
          </w:tcPr>
          <w:p>
            <w:pPr>
              <w:pStyle w:val="yTableNAm"/>
              <w:jc w:val="center"/>
              <w:rPr>
                <w:rFonts w:ascii="Arial" w:hAnsi="Arial"/>
                <w:b/>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pPr>
            <w:r>
              <w:rPr>
                <w:b/>
                <w:bCs/>
              </w:rPr>
              <w:t>Charge</w:t>
            </w:r>
            <w:r>
              <w:rPr>
                <w:b/>
                <w:bCs/>
              </w:rPr>
              <w:br/>
              <w:t>$</w:t>
            </w:r>
          </w:p>
        </w:tc>
      </w:tr>
      <w:tr>
        <w:trPr>
          <w:cantSplit/>
          <w:jc w:val="center"/>
        </w:trPr>
        <w:tc>
          <w:tcPr>
            <w:tcW w:w="3215"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jc w:val="center"/>
              <w:rPr>
                <w:rFonts w:ascii="Arial" w:hAnsi="Arial"/>
                <w:b/>
              </w:rPr>
            </w:pPr>
            <w:r>
              <w:t>205.71</w:t>
            </w:r>
          </w:p>
        </w:tc>
      </w:tr>
      <w:tr>
        <w:trPr>
          <w:cantSplit/>
          <w:jc w:val="center"/>
        </w:trPr>
        <w:tc>
          <w:tcPr>
            <w:tcW w:w="3215" w:type="dxa"/>
            <w:tcBorders>
              <w:top w:val="nil"/>
              <w:left w:val="nil"/>
              <w:bottom w:val="nil"/>
              <w:right w:val="nil"/>
            </w:tcBorders>
          </w:tcPr>
          <w:p>
            <w:pPr>
              <w:pStyle w:val="yTableNAm"/>
              <w:jc w:val="center"/>
              <w:rPr>
                <w:rFonts w:ascii="Arial" w:hAnsi="Arial"/>
                <w:b/>
              </w:rPr>
            </w:pPr>
            <w:r>
              <w:t>25</w:t>
            </w:r>
          </w:p>
        </w:tc>
        <w:tc>
          <w:tcPr>
            <w:tcW w:w="3084" w:type="dxa"/>
            <w:tcBorders>
              <w:top w:val="nil"/>
              <w:left w:val="nil"/>
              <w:bottom w:val="nil"/>
              <w:right w:val="nil"/>
            </w:tcBorders>
            <w:vAlign w:val="bottom"/>
          </w:tcPr>
          <w:p>
            <w:pPr>
              <w:pStyle w:val="yTableNAm"/>
              <w:jc w:val="center"/>
              <w:rPr>
                <w:rFonts w:ascii="Arial" w:hAnsi="Arial"/>
                <w:b/>
              </w:rPr>
            </w:pPr>
            <w:r>
              <w:t>321.42</w:t>
            </w:r>
          </w:p>
        </w:tc>
      </w:tr>
      <w:tr>
        <w:trPr>
          <w:cantSplit/>
          <w:jc w:val="center"/>
        </w:trPr>
        <w:tc>
          <w:tcPr>
            <w:tcW w:w="3215" w:type="dxa"/>
            <w:tcBorders>
              <w:top w:val="nil"/>
              <w:left w:val="nil"/>
              <w:bottom w:val="nil"/>
              <w:right w:val="nil"/>
            </w:tcBorders>
          </w:tcPr>
          <w:p>
            <w:pPr>
              <w:pStyle w:val="yTableNAm"/>
              <w:jc w:val="center"/>
              <w:rPr>
                <w:rFonts w:ascii="Arial" w:hAnsi="Arial"/>
                <w:b/>
              </w:rPr>
            </w:pPr>
            <w:r>
              <w:t>30</w:t>
            </w:r>
          </w:p>
        </w:tc>
        <w:tc>
          <w:tcPr>
            <w:tcW w:w="3084" w:type="dxa"/>
            <w:tcBorders>
              <w:top w:val="nil"/>
              <w:left w:val="nil"/>
              <w:bottom w:val="nil"/>
              <w:right w:val="nil"/>
            </w:tcBorders>
            <w:vAlign w:val="bottom"/>
          </w:tcPr>
          <w:p>
            <w:pPr>
              <w:pStyle w:val="yTableNAm"/>
              <w:jc w:val="center"/>
              <w:rPr>
                <w:rFonts w:ascii="Arial" w:hAnsi="Arial"/>
                <w:b/>
              </w:rPr>
            </w:pPr>
            <w:r>
              <w:t>462.82</w:t>
            </w:r>
          </w:p>
        </w:tc>
      </w:tr>
      <w:tr>
        <w:trPr>
          <w:cantSplit/>
          <w:jc w:val="center"/>
        </w:trPr>
        <w:tc>
          <w:tcPr>
            <w:tcW w:w="3215" w:type="dxa"/>
            <w:tcBorders>
              <w:top w:val="nil"/>
              <w:left w:val="nil"/>
              <w:bottom w:val="nil"/>
              <w:right w:val="nil"/>
            </w:tcBorders>
          </w:tcPr>
          <w:p>
            <w:pPr>
              <w:pStyle w:val="yTableNAm"/>
              <w:jc w:val="center"/>
              <w:rPr>
                <w:rFonts w:ascii="Arial" w:hAnsi="Arial"/>
                <w:b/>
              </w:rPr>
            </w:pPr>
            <w:r>
              <w:t>35, 38, 40</w:t>
            </w:r>
          </w:p>
        </w:tc>
        <w:tc>
          <w:tcPr>
            <w:tcW w:w="3084" w:type="dxa"/>
            <w:tcBorders>
              <w:top w:val="nil"/>
              <w:left w:val="nil"/>
              <w:bottom w:val="nil"/>
              <w:right w:val="nil"/>
            </w:tcBorders>
            <w:vAlign w:val="bottom"/>
          </w:tcPr>
          <w:p>
            <w:pPr>
              <w:pStyle w:val="yTableNAm"/>
              <w:jc w:val="center"/>
              <w:rPr>
                <w:rFonts w:ascii="Arial" w:hAnsi="Arial"/>
                <w:b/>
              </w:rPr>
            </w:pPr>
            <w:r>
              <w:t>822.83</w:t>
            </w:r>
          </w:p>
        </w:tc>
      </w:tr>
      <w:tr>
        <w:trPr>
          <w:cantSplit/>
          <w:jc w:val="center"/>
        </w:trPr>
        <w:tc>
          <w:tcPr>
            <w:tcW w:w="3215" w:type="dxa"/>
            <w:tcBorders>
              <w:top w:val="nil"/>
              <w:left w:val="nil"/>
              <w:bottom w:val="nil"/>
              <w:right w:val="nil"/>
            </w:tcBorders>
          </w:tcPr>
          <w:p>
            <w:pPr>
              <w:pStyle w:val="yTableNAm"/>
              <w:jc w:val="center"/>
              <w:rPr>
                <w:rFonts w:ascii="Arial" w:hAnsi="Arial"/>
                <w:b/>
              </w:rPr>
            </w:pPr>
            <w:r>
              <w:t>50</w:t>
            </w:r>
          </w:p>
        </w:tc>
        <w:tc>
          <w:tcPr>
            <w:tcW w:w="3084" w:type="dxa"/>
            <w:tcBorders>
              <w:top w:val="nil"/>
              <w:left w:val="nil"/>
              <w:bottom w:val="nil"/>
              <w:right w:val="nil"/>
            </w:tcBorders>
            <w:vAlign w:val="bottom"/>
          </w:tcPr>
          <w:p>
            <w:pPr>
              <w:pStyle w:val="yTableNAm"/>
              <w:jc w:val="center"/>
              <w:rPr>
                <w:rFonts w:ascii="Arial" w:hAnsi="Arial"/>
                <w:b/>
              </w:rPr>
            </w:pPr>
            <w:r>
              <w:t>1 285.67</w:t>
            </w:r>
          </w:p>
        </w:tc>
      </w:tr>
      <w:tr>
        <w:trPr>
          <w:cantSplit/>
          <w:jc w:val="center"/>
        </w:trPr>
        <w:tc>
          <w:tcPr>
            <w:tcW w:w="3215" w:type="dxa"/>
            <w:tcBorders>
              <w:top w:val="nil"/>
              <w:left w:val="nil"/>
              <w:bottom w:val="nil"/>
              <w:right w:val="nil"/>
            </w:tcBorders>
          </w:tcPr>
          <w:p>
            <w:pPr>
              <w:pStyle w:val="yTableNAm"/>
              <w:jc w:val="center"/>
              <w:rPr>
                <w:rFonts w:ascii="Arial" w:hAnsi="Arial"/>
                <w:b/>
              </w:rPr>
            </w:pPr>
            <w:r>
              <w:t>70, 75, 80</w:t>
            </w:r>
          </w:p>
        </w:tc>
        <w:tc>
          <w:tcPr>
            <w:tcW w:w="3084" w:type="dxa"/>
            <w:tcBorders>
              <w:top w:val="nil"/>
              <w:left w:val="nil"/>
              <w:bottom w:val="nil"/>
              <w:right w:val="nil"/>
            </w:tcBorders>
            <w:vAlign w:val="bottom"/>
          </w:tcPr>
          <w:p>
            <w:pPr>
              <w:pStyle w:val="yTableNAm"/>
              <w:jc w:val="center"/>
              <w:rPr>
                <w:rFonts w:ascii="Arial" w:hAnsi="Arial"/>
                <w:b/>
              </w:rPr>
            </w:pPr>
            <w:r>
              <w:t>3 291.31</w:t>
            </w:r>
          </w:p>
        </w:tc>
      </w:tr>
      <w:tr>
        <w:trPr>
          <w:cantSplit/>
          <w:jc w:val="center"/>
        </w:trPr>
        <w:tc>
          <w:tcPr>
            <w:tcW w:w="3215" w:type="dxa"/>
            <w:tcBorders>
              <w:top w:val="nil"/>
              <w:left w:val="nil"/>
              <w:bottom w:val="nil"/>
              <w:right w:val="nil"/>
            </w:tcBorders>
          </w:tcPr>
          <w:p>
            <w:pPr>
              <w:pStyle w:val="yTableNAm"/>
              <w:jc w:val="center"/>
              <w:rPr>
                <w:rFonts w:ascii="Arial" w:hAnsi="Arial"/>
                <w:b/>
              </w:rPr>
            </w:pPr>
            <w:r>
              <w:t>100</w:t>
            </w:r>
          </w:p>
        </w:tc>
        <w:tc>
          <w:tcPr>
            <w:tcW w:w="3084" w:type="dxa"/>
            <w:tcBorders>
              <w:top w:val="nil"/>
              <w:left w:val="nil"/>
              <w:bottom w:val="nil"/>
              <w:right w:val="nil"/>
            </w:tcBorders>
            <w:vAlign w:val="bottom"/>
          </w:tcPr>
          <w:p>
            <w:pPr>
              <w:pStyle w:val="yTableNAm"/>
              <w:jc w:val="center"/>
              <w:rPr>
                <w:rFonts w:ascii="Arial" w:hAnsi="Arial"/>
                <w:b/>
              </w:rPr>
            </w:pPr>
            <w:r>
              <w:t>5 142.67</w:t>
            </w:r>
          </w:p>
        </w:tc>
      </w:tr>
      <w:tr>
        <w:trPr>
          <w:cantSplit/>
          <w:jc w:val="center"/>
        </w:trPr>
        <w:tc>
          <w:tcPr>
            <w:tcW w:w="3215" w:type="dxa"/>
            <w:tcBorders>
              <w:top w:val="nil"/>
              <w:left w:val="nil"/>
              <w:bottom w:val="nil"/>
              <w:right w:val="nil"/>
            </w:tcBorders>
          </w:tcPr>
          <w:p>
            <w:pPr>
              <w:pStyle w:val="yTableNAm"/>
              <w:jc w:val="center"/>
              <w:rPr>
                <w:rFonts w:ascii="Arial" w:hAnsi="Arial"/>
                <w:b/>
              </w:rPr>
            </w:pPr>
            <w:r>
              <w:t>140, 150</w:t>
            </w:r>
          </w:p>
        </w:tc>
        <w:tc>
          <w:tcPr>
            <w:tcW w:w="3084" w:type="dxa"/>
            <w:tcBorders>
              <w:top w:val="nil"/>
              <w:left w:val="nil"/>
              <w:bottom w:val="nil"/>
              <w:right w:val="nil"/>
            </w:tcBorders>
            <w:vAlign w:val="bottom"/>
          </w:tcPr>
          <w:p>
            <w:pPr>
              <w:pStyle w:val="yTableNAm"/>
              <w:jc w:val="center"/>
              <w:rPr>
                <w:rFonts w:ascii="Arial" w:hAnsi="Arial"/>
                <w:b/>
              </w:rPr>
            </w:pPr>
            <w:r>
              <w:t>11 571.02</w:t>
            </w:r>
          </w:p>
        </w:tc>
      </w:tr>
      <w:tr>
        <w:trPr>
          <w:cantSplit/>
          <w:jc w:val="center"/>
        </w:trPr>
        <w:tc>
          <w:tcPr>
            <w:tcW w:w="3215" w:type="dxa"/>
            <w:tcBorders>
              <w:top w:val="nil"/>
              <w:left w:val="nil"/>
              <w:bottom w:val="nil"/>
              <w:right w:val="nil"/>
            </w:tcBorders>
          </w:tcPr>
          <w:p>
            <w:pPr>
              <w:pStyle w:val="yTableNAm"/>
              <w:jc w:val="center"/>
              <w:rPr>
                <w:rFonts w:ascii="Arial" w:hAnsi="Arial"/>
                <w:b/>
              </w:rPr>
            </w:pPr>
            <w:r>
              <w:t>200</w:t>
            </w:r>
          </w:p>
        </w:tc>
        <w:tc>
          <w:tcPr>
            <w:tcW w:w="3084" w:type="dxa"/>
            <w:tcBorders>
              <w:top w:val="nil"/>
              <w:left w:val="nil"/>
              <w:bottom w:val="nil"/>
              <w:right w:val="nil"/>
            </w:tcBorders>
            <w:vAlign w:val="bottom"/>
          </w:tcPr>
          <w:p>
            <w:pPr>
              <w:pStyle w:val="yTableNAm"/>
              <w:jc w:val="center"/>
              <w:rPr>
                <w:rFonts w:ascii="Arial" w:hAnsi="Arial"/>
                <w:b/>
              </w:rPr>
            </w:pPr>
            <w:r>
              <w:t>20 570.70</w:t>
            </w:r>
          </w:p>
        </w:tc>
      </w:tr>
      <w:tr>
        <w:trPr>
          <w:cantSplit/>
          <w:jc w:val="center"/>
        </w:trPr>
        <w:tc>
          <w:tcPr>
            <w:tcW w:w="3215" w:type="dxa"/>
            <w:tcBorders>
              <w:top w:val="nil"/>
              <w:left w:val="nil"/>
              <w:bottom w:val="nil"/>
              <w:right w:val="nil"/>
            </w:tcBorders>
          </w:tcPr>
          <w:p>
            <w:pPr>
              <w:pStyle w:val="yTableNAm"/>
              <w:jc w:val="center"/>
              <w:rPr>
                <w:rFonts w:ascii="Arial" w:hAnsi="Arial"/>
                <w:b/>
              </w:rPr>
            </w:pPr>
            <w:r>
              <w:lastRenderedPageBreak/>
              <w:t>250</w:t>
            </w:r>
          </w:p>
        </w:tc>
        <w:tc>
          <w:tcPr>
            <w:tcW w:w="3084" w:type="dxa"/>
            <w:tcBorders>
              <w:top w:val="nil"/>
              <w:left w:val="nil"/>
              <w:bottom w:val="nil"/>
              <w:right w:val="nil"/>
            </w:tcBorders>
            <w:vAlign w:val="bottom"/>
          </w:tcPr>
          <w:p>
            <w:pPr>
              <w:pStyle w:val="yTableNAm"/>
              <w:jc w:val="center"/>
              <w:rPr>
                <w:rFonts w:ascii="Arial" w:hAnsi="Arial"/>
                <w:b/>
              </w:rPr>
            </w:pPr>
            <w:r>
              <w:t>32 141.69</w:t>
            </w:r>
          </w:p>
        </w:tc>
      </w:tr>
      <w:tr>
        <w:trPr>
          <w:cantSplit/>
          <w:jc w:val="center"/>
        </w:trPr>
        <w:tc>
          <w:tcPr>
            <w:tcW w:w="3215" w:type="dxa"/>
            <w:tcBorders>
              <w:top w:val="nil"/>
              <w:left w:val="nil"/>
              <w:bottom w:val="nil"/>
              <w:right w:val="nil"/>
            </w:tcBorders>
          </w:tcPr>
          <w:p>
            <w:pPr>
              <w:pStyle w:val="yTableNAm"/>
              <w:jc w:val="center"/>
              <w:rPr>
                <w:rFonts w:ascii="Arial" w:hAnsi="Arial"/>
                <w:b/>
              </w:rPr>
            </w:pPr>
            <w:r>
              <w:t>300</w:t>
            </w:r>
          </w:p>
        </w:tc>
        <w:tc>
          <w:tcPr>
            <w:tcW w:w="3084" w:type="dxa"/>
            <w:tcBorders>
              <w:top w:val="nil"/>
              <w:left w:val="nil"/>
              <w:bottom w:val="nil"/>
              <w:right w:val="nil"/>
            </w:tcBorders>
            <w:vAlign w:val="bottom"/>
          </w:tcPr>
          <w:p>
            <w:pPr>
              <w:pStyle w:val="yTableNAm"/>
              <w:jc w:val="center"/>
              <w:rPr>
                <w:rFonts w:ascii="Arial" w:hAnsi="Arial"/>
                <w:b/>
              </w:rPr>
            </w:pPr>
            <w:r>
              <w:t>46 284.07</w:t>
            </w:r>
          </w:p>
        </w:tc>
      </w:tr>
      <w:tr>
        <w:trPr>
          <w:cantSplit/>
          <w:jc w:val="center"/>
        </w:trPr>
        <w:tc>
          <w:tcPr>
            <w:tcW w:w="3215" w:type="dxa"/>
            <w:tcBorders>
              <w:top w:val="nil"/>
              <w:left w:val="nil"/>
              <w:bottom w:val="single" w:sz="4" w:space="0" w:color="auto"/>
              <w:right w:val="nil"/>
            </w:tcBorders>
          </w:tcPr>
          <w:p>
            <w:pPr>
              <w:pStyle w:val="yTableNAm"/>
              <w:jc w:val="center"/>
              <w:rPr>
                <w:rFonts w:ascii="Arial" w:hAnsi="Arial"/>
                <w:b/>
              </w:rPr>
            </w:pPr>
            <w:r>
              <w:t>350</w:t>
            </w:r>
          </w:p>
        </w:tc>
        <w:tc>
          <w:tcPr>
            <w:tcW w:w="3084" w:type="dxa"/>
            <w:tcBorders>
              <w:top w:val="nil"/>
              <w:left w:val="nil"/>
              <w:bottom w:val="single" w:sz="4" w:space="0" w:color="auto"/>
              <w:right w:val="nil"/>
            </w:tcBorders>
            <w:vAlign w:val="bottom"/>
          </w:tcPr>
          <w:p>
            <w:pPr>
              <w:pStyle w:val="yTableNAm"/>
              <w:jc w:val="center"/>
              <w:rPr>
                <w:rFonts w:ascii="Arial" w:hAnsi="Arial"/>
                <w:b/>
              </w:rPr>
            </w:pPr>
            <w:r>
              <w:t>62.997.77</w:t>
            </w:r>
          </w:p>
        </w:tc>
      </w:tr>
    </w:tbl>
    <w:p>
      <w:pPr>
        <w:pStyle w:val="yMiscellaneousBody"/>
      </w:pPr>
    </w:p>
    <w:tbl>
      <w:tblPr>
        <w:tblW w:w="0" w:type="auto"/>
        <w:tblInd w:w="534" w:type="dxa"/>
        <w:tblLayout w:type="fixed"/>
        <w:tblLook w:val="0000" w:firstRow="0" w:lastRow="0" w:firstColumn="0" w:lastColumn="0" w:noHBand="0" w:noVBand="0"/>
      </w:tblPr>
      <w:tblGrid>
        <w:gridCol w:w="850"/>
        <w:gridCol w:w="4234"/>
        <w:gridCol w:w="1153"/>
      </w:tblGrid>
      <w:tr>
        <w:trPr>
          <w:cantSplit/>
        </w:trPr>
        <w:tc>
          <w:tcPr>
            <w:tcW w:w="850" w:type="dxa"/>
          </w:tcPr>
          <w:p>
            <w:pPr>
              <w:pStyle w:val="yTableNAm"/>
            </w:pPr>
            <w:r>
              <w:rPr>
                <w:b/>
                <w:bCs/>
              </w:rPr>
              <w:t>13.</w:t>
            </w:r>
          </w:p>
        </w:tc>
        <w:tc>
          <w:tcPr>
            <w:tcW w:w="4234" w:type="dxa"/>
          </w:tcPr>
          <w:p>
            <w:pPr>
              <w:pStyle w:val="yTableNAm"/>
            </w:pPr>
            <w:r>
              <w:rPr>
                <w:b/>
                <w:bCs/>
              </w:rPr>
              <w:t>Shipping (non</w:t>
            </w:r>
            <w:r>
              <w:rPr>
                <w:b/>
                <w:bCs/>
              </w:rPr>
              <w:noBreakHyphen/>
              <w:t>metropolitan)</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pPr>
            <w:r>
              <w:t>For each water supply connection provided for the purpose of water being taken on board any ship in a port not in the metropolitan area the charge applicable for the relevant meter size in the Table to item 10.</w:t>
            </w:r>
          </w:p>
        </w:tc>
        <w:tc>
          <w:tcPr>
            <w:tcW w:w="1153" w:type="dxa"/>
            <w:vAlign w:val="bottom"/>
          </w:tcPr>
          <w:p>
            <w:pPr>
              <w:pStyle w:val="yTableNAm"/>
            </w:pPr>
          </w:p>
        </w:tc>
      </w:tr>
      <w:tr>
        <w:trPr>
          <w:cantSplit/>
        </w:trPr>
        <w:tc>
          <w:tcPr>
            <w:tcW w:w="850" w:type="dxa"/>
          </w:tcPr>
          <w:p>
            <w:pPr>
              <w:pStyle w:val="yTableNAm"/>
            </w:pPr>
            <w:r>
              <w:rPr>
                <w:b/>
                <w:bCs/>
              </w:rPr>
              <w:t>14.</w:t>
            </w:r>
          </w:p>
        </w:tc>
        <w:tc>
          <w:tcPr>
            <w:tcW w:w="4234" w:type="dxa"/>
          </w:tcPr>
          <w:p>
            <w:pPr>
              <w:pStyle w:val="yTableNAm"/>
            </w:pPr>
            <w:r>
              <w:rPr>
                <w:b/>
                <w:bCs/>
              </w:rPr>
              <w:t>Local government standpipes</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right" w:leader="dot" w:pos="3952"/>
              </w:tabs>
              <w:rPr>
                <w:rFonts w:ascii="Arial" w:hAnsi="Arial"/>
                <w:b/>
              </w:rPr>
            </w:pPr>
            <w:r>
              <w:t xml:space="preserve">For each local government standpipe </w:t>
            </w:r>
            <w:r>
              <w:tab/>
            </w:r>
          </w:p>
        </w:tc>
        <w:tc>
          <w:tcPr>
            <w:tcW w:w="1153" w:type="dxa"/>
            <w:vAlign w:val="bottom"/>
          </w:tcPr>
          <w:p>
            <w:pPr>
              <w:pStyle w:val="yTableNAm"/>
            </w:pPr>
            <w:r>
              <w:t>$205.71</w:t>
            </w:r>
          </w:p>
        </w:tc>
      </w:tr>
      <w:tr>
        <w:trPr>
          <w:cantSplit/>
        </w:trPr>
        <w:tc>
          <w:tcPr>
            <w:tcW w:w="850" w:type="dxa"/>
          </w:tcPr>
          <w:p>
            <w:pPr>
              <w:pStyle w:val="yTableNAm"/>
            </w:pPr>
            <w:r>
              <w:rPr>
                <w:b/>
                <w:bCs/>
              </w:rPr>
              <w:t>15.</w:t>
            </w:r>
          </w:p>
        </w:tc>
        <w:tc>
          <w:tcPr>
            <w:tcW w:w="4234" w:type="dxa"/>
          </w:tcPr>
          <w:p>
            <w:pPr>
              <w:pStyle w:val="yTableNAm"/>
            </w:pPr>
            <w:r>
              <w:rPr>
                <w:b/>
                <w:bCs/>
              </w:rPr>
              <w:t>Firefighting connections</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right" w:leader="dot" w:pos="3952"/>
              </w:tabs>
              <w:rPr>
                <w:rFonts w:ascii="Arial" w:hAnsi="Arial"/>
                <w:b/>
              </w:rPr>
            </w:pPr>
            <w:r>
              <w:t xml:space="preserve">For each water supply connection provided for the purpose of firefighting </w:t>
            </w:r>
            <w:r>
              <w:tab/>
            </w:r>
          </w:p>
        </w:tc>
        <w:tc>
          <w:tcPr>
            <w:tcW w:w="1153" w:type="dxa"/>
            <w:vAlign w:val="bottom"/>
          </w:tcPr>
          <w:p>
            <w:pPr>
              <w:pStyle w:val="yTableNAm"/>
            </w:pPr>
            <w:r>
              <w:t>$205.71</w:t>
            </w:r>
          </w:p>
        </w:tc>
      </w:tr>
      <w:tr>
        <w:trPr>
          <w:cantSplit/>
        </w:trPr>
        <w:tc>
          <w:tcPr>
            <w:tcW w:w="850" w:type="dxa"/>
          </w:tcPr>
          <w:p>
            <w:pPr>
              <w:pStyle w:val="yTableNAm"/>
            </w:pPr>
            <w:r>
              <w:rPr>
                <w:b/>
                <w:bCs/>
              </w:rPr>
              <w:t>16.</w:t>
            </w:r>
          </w:p>
        </w:tc>
        <w:tc>
          <w:tcPr>
            <w:tcW w:w="4234" w:type="dxa"/>
          </w:tcPr>
          <w:p>
            <w:pPr>
              <w:pStyle w:val="yTableNAm"/>
            </w:pPr>
            <w:r>
              <w:rPr>
                <w:b/>
                <w:bCs/>
              </w:rPr>
              <w:t>Farmland</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right" w:leader="dot" w:pos="3952"/>
              </w:tabs>
              <w:rPr>
                <w:rFonts w:ascii="Arial" w:hAnsi="Arial"/>
                <w:b/>
              </w:rPr>
            </w:pPr>
            <w:r>
              <w:t xml:space="preserve">In respect of land that is classified as farmland </w:t>
            </w:r>
            <w:r>
              <w:tab/>
            </w:r>
          </w:p>
        </w:tc>
        <w:tc>
          <w:tcPr>
            <w:tcW w:w="1153" w:type="dxa"/>
            <w:vAlign w:val="bottom"/>
          </w:tcPr>
          <w:p>
            <w:pPr>
              <w:pStyle w:val="yTableNAm"/>
            </w:pPr>
            <w:r>
              <w:t>$205.71</w:t>
            </w:r>
          </w:p>
        </w:tc>
      </w:tr>
      <w:tr>
        <w:trPr>
          <w:cantSplit/>
        </w:trPr>
        <w:tc>
          <w:tcPr>
            <w:tcW w:w="850" w:type="dxa"/>
          </w:tcPr>
          <w:p>
            <w:pPr>
              <w:pStyle w:val="yTableNAm"/>
            </w:pPr>
            <w:r>
              <w:rPr>
                <w:b/>
                <w:bCs/>
              </w:rPr>
              <w:t>17.</w:t>
            </w:r>
          </w:p>
        </w:tc>
        <w:tc>
          <w:tcPr>
            <w:tcW w:w="4234" w:type="dxa"/>
          </w:tcPr>
          <w:p>
            <w:pPr>
              <w:pStyle w:val="yTableNAm"/>
            </w:pPr>
            <w:r>
              <w:rPr>
                <w:b/>
                <w:bCs/>
              </w:rPr>
              <w:t>Metropolitan non</w:t>
            </w:r>
            <w:r>
              <w:rPr>
                <w:b/>
                <w:bCs/>
              </w:rPr>
              <w:noBreakHyphen/>
              <w:t>residential (except strata</w:t>
            </w:r>
            <w:r>
              <w:rPr>
                <w:b/>
                <w:bCs/>
              </w:rPr>
              <w:noBreakHyphen/>
              <w:t>titled units that share a service)</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pPr>
            <w:r>
              <w:t>In respect of non</w:t>
            </w:r>
            <w:r>
              <w:noBreakHyphen/>
              <w:t>residential land in the metropolitan area, not being land mentioned in item 18, a charge determined by meter size as set out in the following Table —</w:t>
            </w:r>
          </w:p>
        </w:tc>
        <w:tc>
          <w:tcPr>
            <w:tcW w:w="1153" w:type="dxa"/>
            <w:vAlign w:val="bottom"/>
          </w:tcPr>
          <w:p>
            <w:pPr>
              <w:pStyle w:val="yTableNAm"/>
            </w:pPr>
          </w:p>
        </w:tc>
      </w:tr>
    </w:tbl>
    <w:p>
      <w:pPr>
        <w:pStyle w:val="yTHeadingNAm"/>
      </w:pPr>
      <w:r>
        <w:lastRenderedPageBreak/>
        <w:t>Table of meter</w:t>
      </w:r>
      <w:r>
        <w:noBreakHyphen/>
        <w:t>based fixed charges</w:t>
      </w:r>
    </w:p>
    <w:tbl>
      <w:tblPr>
        <w:tblW w:w="0" w:type="auto"/>
        <w:jc w:val="center"/>
        <w:tblLayout w:type="fixed"/>
        <w:tblLook w:val="0000" w:firstRow="0" w:lastRow="0" w:firstColumn="0" w:lastColumn="0" w:noHBand="0" w:noVBand="0"/>
      </w:tblPr>
      <w:tblGrid>
        <w:gridCol w:w="3206"/>
        <w:gridCol w:w="3093"/>
      </w:tblGrid>
      <w:tr>
        <w:trPr>
          <w:cantSplit/>
          <w:tblHeader/>
          <w:jc w:val="center"/>
        </w:trPr>
        <w:tc>
          <w:tcPr>
            <w:tcW w:w="3206" w:type="dxa"/>
            <w:tcBorders>
              <w:top w:val="single" w:sz="4" w:space="0" w:color="auto"/>
              <w:bottom w:val="single" w:sz="4" w:space="0" w:color="auto"/>
            </w:tcBorders>
          </w:tcPr>
          <w:p>
            <w:pPr>
              <w:pStyle w:val="yTableNAm"/>
              <w:jc w:val="center"/>
              <w:rPr>
                <w:rFonts w:ascii="Arial" w:hAnsi="Arial"/>
                <w:b/>
              </w:rPr>
            </w:pPr>
            <w:r>
              <w:rPr>
                <w:b/>
                <w:bCs/>
              </w:rPr>
              <w:t>Meter size</w:t>
            </w:r>
            <w:r>
              <w:rPr>
                <w:b/>
                <w:bCs/>
              </w:rPr>
              <w:br/>
              <w:t>mm</w:t>
            </w:r>
          </w:p>
        </w:tc>
        <w:tc>
          <w:tcPr>
            <w:tcW w:w="3093" w:type="dxa"/>
            <w:tcBorders>
              <w:top w:val="single" w:sz="4" w:space="0" w:color="auto"/>
              <w:bottom w:val="single" w:sz="4" w:space="0" w:color="auto"/>
            </w:tcBorders>
          </w:tcPr>
          <w:p>
            <w:pPr>
              <w:pStyle w:val="yTableNAm"/>
              <w:jc w:val="center"/>
            </w:pPr>
            <w:r>
              <w:rPr>
                <w:b/>
                <w:bCs/>
              </w:rPr>
              <w:t>Charge</w:t>
            </w:r>
            <w:r>
              <w:rPr>
                <w:b/>
                <w:bCs/>
              </w:rPr>
              <w:br/>
              <w:t>$</w:t>
            </w:r>
          </w:p>
        </w:tc>
      </w:tr>
      <w:tr>
        <w:trPr>
          <w:cantSplit/>
          <w:jc w:val="center"/>
        </w:trPr>
        <w:tc>
          <w:tcPr>
            <w:tcW w:w="3206" w:type="dxa"/>
          </w:tcPr>
          <w:p>
            <w:pPr>
              <w:pStyle w:val="yTableNAm"/>
              <w:jc w:val="center"/>
            </w:pPr>
            <w:r>
              <w:t>20</w:t>
            </w:r>
          </w:p>
        </w:tc>
        <w:tc>
          <w:tcPr>
            <w:tcW w:w="3093" w:type="dxa"/>
            <w:vAlign w:val="bottom"/>
          </w:tcPr>
          <w:p>
            <w:pPr>
              <w:pStyle w:val="yTableNAm"/>
              <w:jc w:val="center"/>
              <w:rPr>
                <w:rFonts w:ascii="Arial" w:hAnsi="Arial"/>
                <w:b/>
              </w:rPr>
            </w:pPr>
            <w:r>
              <w:t>205.71</w:t>
            </w:r>
          </w:p>
        </w:tc>
      </w:tr>
      <w:tr>
        <w:trPr>
          <w:cantSplit/>
          <w:jc w:val="center"/>
        </w:trPr>
        <w:tc>
          <w:tcPr>
            <w:tcW w:w="3206" w:type="dxa"/>
          </w:tcPr>
          <w:p>
            <w:pPr>
              <w:pStyle w:val="yTableNAm"/>
              <w:jc w:val="center"/>
              <w:rPr>
                <w:rFonts w:ascii="Arial" w:hAnsi="Arial"/>
                <w:b/>
              </w:rPr>
            </w:pPr>
            <w:r>
              <w:t>25</w:t>
            </w:r>
          </w:p>
        </w:tc>
        <w:tc>
          <w:tcPr>
            <w:tcW w:w="3093" w:type="dxa"/>
            <w:vAlign w:val="bottom"/>
          </w:tcPr>
          <w:p>
            <w:pPr>
              <w:pStyle w:val="yTableNAm"/>
              <w:jc w:val="center"/>
              <w:rPr>
                <w:rFonts w:ascii="Arial" w:hAnsi="Arial"/>
                <w:b/>
              </w:rPr>
            </w:pPr>
            <w:r>
              <w:t>321.42</w:t>
            </w:r>
          </w:p>
        </w:tc>
      </w:tr>
      <w:tr>
        <w:trPr>
          <w:cantSplit/>
          <w:jc w:val="center"/>
        </w:trPr>
        <w:tc>
          <w:tcPr>
            <w:tcW w:w="3206" w:type="dxa"/>
          </w:tcPr>
          <w:p>
            <w:pPr>
              <w:pStyle w:val="yTableNAm"/>
              <w:jc w:val="center"/>
              <w:rPr>
                <w:rFonts w:ascii="Arial" w:hAnsi="Arial"/>
                <w:b/>
              </w:rPr>
            </w:pPr>
            <w:r>
              <w:t>30</w:t>
            </w:r>
          </w:p>
        </w:tc>
        <w:tc>
          <w:tcPr>
            <w:tcW w:w="3093" w:type="dxa"/>
            <w:vAlign w:val="bottom"/>
          </w:tcPr>
          <w:p>
            <w:pPr>
              <w:pStyle w:val="yTableNAm"/>
              <w:jc w:val="center"/>
              <w:rPr>
                <w:rFonts w:ascii="Arial" w:hAnsi="Arial"/>
                <w:b/>
              </w:rPr>
            </w:pPr>
            <w:r>
              <w:t>462.82</w:t>
            </w:r>
          </w:p>
        </w:tc>
      </w:tr>
      <w:tr>
        <w:trPr>
          <w:cantSplit/>
          <w:jc w:val="center"/>
        </w:trPr>
        <w:tc>
          <w:tcPr>
            <w:tcW w:w="3206" w:type="dxa"/>
          </w:tcPr>
          <w:p>
            <w:pPr>
              <w:pStyle w:val="yTableNAm"/>
              <w:jc w:val="center"/>
              <w:rPr>
                <w:rFonts w:ascii="Arial" w:hAnsi="Arial"/>
                <w:b/>
              </w:rPr>
            </w:pPr>
            <w:r>
              <w:t>40</w:t>
            </w:r>
          </w:p>
        </w:tc>
        <w:tc>
          <w:tcPr>
            <w:tcW w:w="3093" w:type="dxa"/>
            <w:vAlign w:val="bottom"/>
          </w:tcPr>
          <w:p>
            <w:pPr>
              <w:pStyle w:val="yTableNAm"/>
              <w:jc w:val="center"/>
              <w:rPr>
                <w:rFonts w:ascii="Arial" w:hAnsi="Arial"/>
                <w:b/>
              </w:rPr>
            </w:pPr>
            <w:r>
              <w:t>822.83</w:t>
            </w:r>
          </w:p>
        </w:tc>
      </w:tr>
      <w:tr>
        <w:trPr>
          <w:cantSplit/>
          <w:jc w:val="center"/>
        </w:trPr>
        <w:tc>
          <w:tcPr>
            <w:tcW w:w="3206" w:type="dxa"/>
          </w:tcPr>
          <w:p>
            <w:pPr>
              <w:pStyle w:val="yTableNAm"/>
              <w:jc w:val="center"/>
              <w:rPr>
                <w:rFonts w:ascii="Arial" w:hAnsi="Arial"/>
                <w:b/>
              </w:rPr>
            </w:pPr>
            <w:r>
              <w:t>50</w:t>
            </w:r>
          </w:p>
        </w:tc>
        <w:tc>
          <w:tcPr>
            <w:tcW w:w="3093" w:type="dxa"/>
            <w:vAlign w:val="bottom"/>
          </w:tcPr>
          <w:p>
            <w:pPr>
              <w:pStyle w:val="yTableNAm"/>
              <w:jc w:val="center"/>
              <w:rPr>
                <w:rFonts w:ascii="Arial" w:hAnsi="Arial"/>
                <w:b/>
              </w:rPr>
            </w:pPr>
            <w:r>
              <w:t>1 285.67</w:t>
            </w:r>
          </w:p>
        </w:tc>
      </w:tr>
      <w:tr>
        <w:trPr>
          <w:cantSplit/>
          <w:jc w:val="center"/>
        </w:trPr>
        <w:tc>
          <w:tcPr>
            <w:tcW w:w="3206" w:type="dxa"/>
          </w:tcPr>
          <w:p>
            <w:pPr>
              <w:pStyle w:val="yTableNAm"/>
              <w:jc w:val="center"/>
              <w:rPr>
                <w:rFonts w:ascii="Arial" w:hAnsi="Arial"/>
                <w:b/>
              </w:rPr>
            </w:pPr>
            <w:r>
              <w:t>80</w:t>
            </w:r>
          </w:p>
        </w:tc>
        <w:tc>
          <w:tcPr>
            <w:tcW w:w="3093" w:type="dxa"/>
            <w:vAlign w:val="bottom"/>
          </w:tcPr>
          <w:p>
            <w:pPr>
              <w:pStyle w:val="yTableNAm"/>
              <w:jc w:val="center"/>
              <w:rPr>
                <w:rFonts w:ascii="Arial" w:hAnsi="Arial"/>
                <w:b/>
              </w:rPr>
            </w:pPr>
            <w:r>
              <w:t>3 291.31</w:t>
            </w:r>
          </w:p>
        </w:tc>
      </w:tr>
      <w:tr>
        <w:trPr>
          <w:cantSplit/>
          <w:jc w:val="center"/>
        </w:trPr>
        <w:tc>
          <w:tcPr>
            <w:tcW w:w="3206" w:type="dxa"/>
          </w:tcPr>
          <w:p>
            <w:pPr>
              <w:pStyle w:val="yTableNAm"/>
              <w:jc w:val="center"/>
              <w:rPr>
                <w:rFonts w:ascii="Arial" w:hAnsi="Arial"/>
                <w:b/>
              </w:rPr>
            </w:pPr>
            <w:r>
              <w:t>100</w:t>
            </w:r>
          </w:p>
        </w:tc>
        <w:tc>
          <w:tcPr>
            <w:tcW w:w="3093" w:type="dxa"/>
            <w:vAlign w:val="bottom"/>
          </w:tcPr>
          <w:p>
            <w:pPr>
              <w:pStyle w:val="yTableNAm"/>
              <w:jc w:val="center"/>
              <w:rPr>
                <w:rFonts w:ascii="Arial" w:hAnsi="Arial"/>
                <w:b/>
              </w:rPr>
            </w:pPr>
            <w:r>
              <w:t>5 142.67</w:t>
            </w:r>
          </w:p>
        </w:tc>
      </w:tr>
      <w:tr>
        <w:trPr>
          <w:cantSplit/>
          <w:jc w:val="center"/>
        </w:trPr>
        <w:tc>
          <w:tcPr>
            <w:tcW w:w="3206" w:type="dxa"/>
          </w:tcPr>
          <w:p>
            <w:pPr>
              <w:pStyle w:val="yTableNAm"/>
              <w:jc w:val="center"/>
              <w:rPr>
                <w:rFonts w:ascii="Arial" w:hAnsi="Arial"/>
                <w:b/>
              </w:rPr>
            </w:pPr>
            <w:r>
              <w:t>150</w:t>
            </w:r>
          </w:p>
        </w:tc>
        <w:tc>
          <w:tcPr>
            <w:tcW w:w="3093" w:type="dxa"/>
            <w:vAlign w:val="bottom"/>
          </w:tcPr>
          <w:p>
            <w:pPr>
              <w:pStyle w:val="yTableNAm"/>
              <w:jc w:val="center"/>
              <w:rPr>
                <w:rFonts w:ascii="Arial" w:hAnsi="Arial"/>
                <w:b/>
              </w:rPr>
            </w:pPr>
            <w:r>
              <w:t>11 571.02</w:t>
            </w:r>
          </w:p>
        </w:tc>
      </w:tr>
      <w:tr>
        <w:trPr>
          <w:cantSplit/>
          <w:jc w:val="center"/>
        </w:trPr>
        <w:tc>
          <w:tcPr>
            <w:tcW w:w="3206" w:type="dxa"/>
          </w:tcPr>
          <w:p>
            <w:pPr>
              <w:pStyle w:val="yTableNAm"/>
              <w:jc w:val="center"/>
              <w:rPr>
                <w:rFonts w:ascii="Arial" w:hAnsi="Arial"/>
                <w:b/>
              </w:rPr>
            </w:pPr>
            <w:r>
              <w:t>200</w:t>
            </w:r>
          </w:p>
        </w:tc>
        <w:tc>
          <w:tcPr>
            <w:tcW w:w="3093" w:type="dxa"/>
            <w:vAlign w:val="bottom"/>
          </w:tcPr>
          <w:p>
            <w:pPr>
              <w:pStyle w:val="yTableNAm"/>
              <w:jc w:val="center"/>
              <w:rPr>
                <w:rFonts w:ascii="Arial" w:hAnsi="Arial"/>
                <w:b/>
              </w:rPr>
            </w:pPr>
            <w:r>
              <w:t>20 570.70</w:t>
            </w:r>
          </w:p>
        </w:tc>
      </w:tr>
      <w:tr>
        <w:trPr>
          <w:cantSplit/>
          <w:jc w:val="center"/>
        </w:trPr>
        <w:tc>
          <w:tcPr>
            <w:tcW w:w="3206" w:type="dxa"/>
          </w:tcPr>
          <w:p>
            <w:pPr>
              <w:pStyle w:val="yTableNAm"/>
              <w:jc w:val="center"/>
              <w:rPr>
                <w:rFonts w:ascii="Arial" w:hAnsi="Arial"/>
                <w:b/>
              </w:rPr>
            </w:pPr>
            <w:r>
              <w:t>250</w:t>
            </w:r>
          </w:p>
        </w:tc>
        <w:tc>
          <w:tcPr>
            <w:tcW w:w="3093" w:type="dxa"/>
            <w:vAlign w:val="bottom"/>
          </w:tcPr>
          <w:p>
            <w:pPr>
              <w:pStyle w:val="yTableNAm"/>
              <w:jc w:val="center"/>
              <w:rPr>
                <w:rFonts w:ascii="Arial" w:hAnsi="Arial"/>
                <w:b/>
              </w:rPr>
            </w:pPr>
            <w:r>
              <w:t>32 141.69</w:t>
            </w:r>
          </w:p>
        </w:tc>
      </w:tr>
      <w:tr>
        <w:trPr>
          <w:cantSplit/>
          <w:jc w:val="center"/>
        </w:trPr>
        <w:tc>
          <w:tcPr>
            <w:tcW w:w="3206" w:type="dxa"/>
          </w:tcPr>
          <w:p>
            <w:pPr>
              <w:pStyle w:val="yTableNAm"/>
              <w:jc w:val="center"/>
              <w:rPr>
                <w:rFonts w:ascii="Arial" w:hAnsi="Arial"/>
                <w:b/>
              </w:rPr>
            </w:pPr>
            <w:r>
              <w:t>300</w:t>
            </w:r>
          </w:p>
        </w:tc>
        <w:tc>
          <w:tcPr>
            <w:tcW w:w="3093" w:type="dxa"/>
            <w:vAlign w:val="bottom"/>
          </w:tcPr>
          <w:p>
            <w:pPr>
              <w:pStyle w:val="yTableNAm"/>
              <w:jc w:val="center"/>
              <w:rPr>
                <w:rFonts w:ascii="Arial" w:hAnsi="Arial"/>
                <w:b/>
              </w:rPr>
            </w:pPr>
            <w:r>
              <w:t>46 284.07</w:t>
            </w:r>
          </w:p>
        </w:tc>
      </w:tr>
      <w:tr>
        <w:trPr>
          <w:cantSplit/>
          <w:jc w:val="center"/>
        </w:trPr>
        <w:tc>
          <w:tcPr>
            <w:tcW w:w="3206" w:type="dxa"/>
            <w:tcBorders>
              <w:bottom w:val="single" w:sz="4" w:space="0" w:color="auto"/>
            </w:tcBorders>
          </w:tcPr>
          <w:p>
            <w:pPr>
              <w:pStyle w:val="yTableNAm"/>
              <w:jc w:val="center"/>
              <w:rPr>
                <w:rFonts w:ascii="Arial" w:hAnsi="Arial"/>
                <w:b/>
              </w:rPr>
            </w:pPr>
            <w:r>
              <w:t>350</w:t>
            </w:r>
          </w:p>
        </w:tc>
        <w:tc>
          <w:tcPr>
            <w:tcW w:w="3093" w:type="dxa"/>
            <w:tcBorders>
              <w:bottom w:val="single" w:sz="4" w:space="0" w:color="auto"/>
            </w:tcBorders>
            <w:vAlign w:val="bottom"/>
          </w:tcPr>
          <w:p>
            <w:pPr>
              <w:pStyle w:val="yTableNAm"/>
              <w:jc w:val="center"/>
              <w:rPr>
                <w:rFonts w:ascii="Arial" w:hAnsi="Arial"/>
                <w:b/>
              </w:rPr>
            </w:pPr>
            <w:r>
              <w:t>62 997.77</w:t>
            </w:r>
          </w:p>
        </w:tc>
      </w:tr>
    </w:tbl>
    <w:p>
      <w:pPr>
        <w:pStyle w:val="yMiscellaneousBody"/>
      </w:pPr>
    </w:p>
    <w:tbl>
      <w:tblPr>
        <w:tblW w:w="0" w:type="auto"/>
        <w:tblInd w:w="534" w:type="dxa"/>
        <w:tblLayout w:type="fixed"/>
        <w:tblLook w:val="0000" w:firstRow="0" w:lastRow="0" w:firstColumn="0" w:lastColumn="0" w:noHBand="0" w:noVBand="0"/>
      </w:tblPr>
      <w:tblGrid>
        <w:gridCol w:w="850"/>
        <w:gridCol w:w="4235"/>
        <w:gridCol w:w="1153"/>
      </w:tblGrid>
      <w:tr>
        <w:trPr>
          <w:cantSplit/>
        </w:trPr>
        <w:tc>
          <w:tcPr>
            <w:tcW w:w="850" w:type="dxa"/>
          </w:tcPr>
          <w:p>
            <w:pPr>
              <w:pStyle w:val="yTableNAm"/>
            </w:pPr>
            <w:r>
              <w:rPr>
                <w:b/>
                <w:bCs/>
              </w:rPr>
              <w:t>18.</w:t>
            </w:r>
          </w:p>
        </w:tc>
        <w:tc>
          <w:tcPr>
            <w:tcW w:w="4235" w:type="dxa"/>
          </w:tcPr>
          <w:p>
            <w:pPr>
              <w:pStyle w:val="yTableNAm"/>
            </w:pPr>
            <w:r>
              <w:rPr>
                <w:b/>
                <w:bCs/>
              </w:rPr>
              <w:t>Vacant land</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right" w:leader="dot" w:pos="3952"/>
              </w:tabs>
              <w:rPr>
                <w:rFonts w:ascii="Arial" w:hAnsi="Arial"/>
                <w:b/>
              </w:rPr>
            </w:pPr>
            <w:r>
              <w:t xml:space="preserve">In respect of land classified as vacant land </w:t>
            </w:r>
            <w:r>
              <w:tab/>
            </w:r>
          </w:p>
        </w:tc>
        <w:tc>
          <w:tcPr>
            <w:tcW w:w="1153" w:type="dxa"/>
            <w:vAlign w:val="bottom"/>
          </w:tcPr>
          <w:p>
            <w:pPr>
              <w:pStyle w:val="yTableNAm"/>
            </w:pPr>
            <w:r>
              <w:t>$205.71</w:t>
            </w:r>
          </w:p>
        </w:tc>
      </w:tr>
      <w:tr>
        <w:trPr>
          <w:cantSplit/>
        </w:trPr>
        <w:tc>
          <w:tcPr>
            <w:tcW w:w="850" w:type="dxa"/>
          </w:tcPr>
          <w:p>
            <w:pPr>
              <w:pStyle w:val="yTableNAm"/>
            </w:pPr>
            <w:r>
              <w:rPr>
                <w:b/>
                <w:bCs/>
              </w:rPr>
              <w:t>19.</w:t>
            </w:r>
          </w:p>
        </w:tc>
        <w:tc>
          <w:tcPr>
            <w:tcW w:w="4235" w:type="dxa"/>
          </w:tcPr>
          <w:p>
            <w:pPr>
              <w:pStyle w:val="yTableNAm"/>
            </w:pPr>
            <w:r>
              <w:rPr>
                <w:b/>
                <w:bCs/>
              </w:rPr>
              <w:t>Garden supply for metropolitan vacant land</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pPr>
            <w:r>
              <w:t>In respect of land in the metropolitan area that is classified as vacant land and is provided with a water supply that is reticulated separately from any other water supply provided in respect of the land and is provided solely for garden purposes —</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(a)</w:t>
            </w:r>
            <w:r>
              <w:tab/>
              <w:t>if the area of land is less than 400 m</w:t>
            </w:r>
            <w:r>
              <w:rPr>
                <w:vertAlign w:val="superscript"/>
              </w:rPr>
              <w:t>2</w:t>
            </w:r>
            <w:r>
              <w:t xml:space="preserve">, in addition to any other charge applicable to the land under this Schedule, a charge of — </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w:t>
            </w:r>
            <w:r>
              <w:tab/>
              <w:t xml:space="preserve">in the suburb of Butler </w:t>
            </w:r>
            <w:r>
              <w:tab/>
            </w:r>
          </w:p>
        </w:tc>
        <w:tc>
          <w:tcPr>
            <w:tcW w:w="1153" w:type="dxa"/>
            <w:vAlign w:val="bottom"/>
          </w:tcPr>
          <w:p>
            <w:pPr>
              <w:pStyle w:val="yTableNAm"/>
            </w:pPr>
            <w:r>
              <w:t>$75.48</w:t>
            </w: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(ii)</w:t>
            </w:r>
            <w:r>
              <w:tab/>
              <w:t xml:space="preserve">in the suburb of Baldivis </w:t>
            </w:r>
            <w:r>
              <w:tab/>
            </w:r>
          </w:p>
        </w:tc>
        <w:tc>
          <w:tcPr>
            <w:tcW w:w="1153" w:type="dxa"/>
            <w:vAlign w:val="bottom"/>
          </w:tcPr>
          <w:p>
            <w:pPr>
              <w:pStyle w:val="yTableNAm"/>
            </w:pPr>
            <w:r>
              <w:t>$121.69</w:t>
            </w: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(b)</w:t>
            </w:r>
            <w:r>
              <w:tab/>
              <w:t>if the area of land is equal to or greater than 400 m</w:t>
            </w:r>
            <w:r>
              <w:rPr>
                <w:vertAlign w:val="superscript"/>
              </w:rPr>
              <w:t>2</w:t>
            </w:r>
            <w:r>
              <w:t xml:space="preserve">, in addition to any other charge applicable to the land under this Schedule, a charge of — </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w:t>
            </w:r>
            <w:r>
              <w:tab/>
              <w:t xml:space="preserve">in the suburb of Butler </w:t>
            </w:r>
            <w:r>
              <w:tab/>
            </w:r>
          </w:p>
        </w:tc>
        <w:tc>
          <w:tcPr>
            <w:tcW w:w="1153" w:type="dxa"/>
            <w:vAlign w:val="bottom"/>
          </w:tcPr>
          <w:p>
            <w:pPr>
              <w:pStyle w:val="yTableNAm"/>
            </w:pPr>
            <w:r>
              <w:t>$150.96</w:t>
            </w: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(ii)</w:t>
            </w:r>
            <w:r>
              <w:tab/>
              <w:t xml:space="preserve">in the suburb of Baldivis </w:t>
            </w:r>
            <w:r>
              <w:tab/>
            </w:r>
          </w:p>
        </w:tc>
        <w:tc>
          <w:tcPr>
            <w:tcW w:w="1153" w:type="dxa"/>
            <w:vAlign w:val="bottom"/>
          </w:tcPr>
          <w:p>
            <w:pPr>
              <w:pStyle w:val="yTableNAm"/>
            </w:pPr>
            <w:r>
              <w:t>$243.37</w:t>
            </w:r>
          </w:p>
        </w:tc>
      </w:tr>
    </w:tbl>
    <w:p>
      <w:pPr>
        <w:pStyle w:val="yFootnotesection"/>
      </w:pPr>
      <w:r>
        <w:tab/>
        <w:t>[Division 1 inserted in Gazette 19 Jun 2013 p. 2353-61.]</w:t>
      </w:r>
    </w:p>
    <w:p>
      <w:pPr>
        <w:pStyle w:val="yHeading3"/>
      </w:pPr>
      <w:bookmarkStart w:id="55" w:name="_Toc84424782"/>
      <w:r>
        <w:rPr>
          <w:rStyle w:val="CharSDivNo"/>
        </w:rPr>
        <w:t>Division 2</w:t>
      </w:r>
      <w:r>
        <w:t> — </w:t>
      </w:r>
      <w:r>
        <w:rPr>
          <w:rStyle w:val="CharSDivText"/>
        </w:rPr>
        <w:t>Quantity charges</w:t>
      </w:r>
      <w:bookmarkEnd w:id="55"/>
    </w:p>
    <w:p>
      <w:pPr>
        <w:pStyle w:val="yFootnoteheading"/>
        <w:spacing w:after="120"/>
      </w:pPr>
      <w:r>
        <w:tab/>
        <w:t>[Heading inserted in Gazette 19 Jun 2013 p. 2361.]</w:t>
      </w: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yTableNAm"/>
            </w:pPr>
            <w:r>
              <w:rPr>
                <w:b/>
                <w:bCs/>
              </w:rPr>
              <w:t>20.</w:t>
            </w:r>
          </w:p>
        </w:tc>
        <w:tc>
          <w:tcPr>
            <w:tcW w:w="4237" w:type="dxa"/>
          </w:tcPr>
          <w:p>
            <w:pPr>
              <w:pStyle w:val="yTableNAm"/>
            </w:pPr>
            <w:r>
              <w:rPr>
                <w:b/>
                <w:bCs/>
              </w:rPr>
              <w:t>Metropolitan residential</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pPr>
            <w:r>
              <w:t>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up to 150 kL </w:t>
            </w:r>
            <w:r>
              <w:tab/>
            </w:r>
          </w:p>
        </w:tc>
        <w:tc>
          <w:tcPr>
            <w:tcW w:w="1292" w:type="dxa"/>
            <w:vAlign w:val="bottom"/>
          </w:tcPr>
          <w:p>
            <w:pPr>
              <w:pStyle w:val="yTableNAm"/>
            </w:pPr>
            <w:r>
              <w:rPr>
                <w:szCs w:val="22"/>
              </w:rPr>
              <w:t>138.1 cents</w:t>
            </w: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over 150 but not over 500 kL </w:t>
            </w:r>
            <w:r>
              <w:tab/>
            </w:r>
          </w:p>
        </w:tc>
        <w:tc>
          <w:tcPr>
            <w:tcW w:w="1292" w:type="dxa"/>
            <w:vAlign w:val="bottom"/>
          </w:tcPr>
          <w:p>
            <w:pPr>
              <w:pStyle w:val="yTableNAm"/>
            </w:pPr>
            <w:r>
              <w:rPr>
                <w:szCs w:val="22"/>
              </w:rPr>
              <w:t>184.1 cents</w:t>
            </w: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over 500 </w:t>
            </w:r>
            <w:r>
              <w:tab/>
            </w:r>
          </w:p>
        </w:tc>
        <w:tc>
          <w:tcPr>
            <w:tcW w:w="1292" w:type="dxa"/>
            <w:vAlign w:val="bottom"/>
          </w:tcPr>
          <w:p>
            <w:pPr>
              <w:pStyle w:val="yTableNAm"/>
            </w:pPr>
            <w:r>
              <w:rPr>
                <w:szCs w:val="22"/>
              </w:rPr>
              <w:t>260.7 cents</w:t>
            </w:r>
          </w:p>
        </w:tc>
      </w:tr>
      <w:tr>
        <w:trPr>
          <w:cantSplit/>
        </w:trPr>
        <w:tc>
          <w:tcPr>
            <w:tcW w:w="850" w:type="dxa"/>
          </w:tcPr>
          <w:p>
            <w:pPr>
              <w:pStyle w:val="yTableNAm"/>
            </w:pPr>
            <w:r>
              <w:rPr>
                <w:b/>
                <w:bCs/>
              </w:rPr>
              <w:t>21.</w:t>
            </w:r>
          </w:p>
        </w:tc>
        <w:tc>
          <w:tcPr>
            <w:tcW w:w="4237" w:type="dxa"/>
          </w:tcPr>
          <w:p>
            <w:pPr>
              <w:pStyle w:val="yTableNAm"/>
            </w:pPr>
            <w:r>
              <w:rPr>
                <w:b/>
                <w:bCs/>
              </w:rPr>
              <w:t>Metropolitan semi</w:t>
            </w:r>
            <w:r>
              <w:rPr>
                <w:b/>
                <w:bCs/>
              </w:rPr>
              <w:noBreakHyphen/>
              <w:t>rural residential</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pPr>
            <w:r>
              <w:t>For each kilolitre of water supplied to a semi</w:t>
            </w:r>
            <w:r>
              <w:noBreakHyphen/>
              <w:t>rural residential property, not being water for which a charge is otherwise specifically provided in this Division —</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up to 150 kL </w:t>
            </w:r>
            <w:r>
              <w:tab/>
            </w:r>
          </w:p>
        </w:tc>
        <w:tc>
          <w:tcPr>
            <w:tcW w:w="1292" w:type="dxa"/>
            <w:vAlign w:val="bottom"/>
          </w:tcPr>
          <w:p>
            <w:pPr>
              <w:pStyle w:val="yTableNAm"/>
            </w:pPr>
            <w:r>
              <w:rPr>
                <w:szCs w:val="22"/>
              </w:rPr>
              <w:t>138.1 cents</w:t>
            </w: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over 150 but not over 500 kL </w:t>
            </w:r>
            <w:r>
              <w:tab/>
            </w:r>
          </w:p>
        </w:tc>
        <w:tc>
          <w:tcPr>
            <w:tcW w:w="1292" w:type="dxa"/>
            <w:vAlign w:val="bottom"/>
          </w:tcPr>
          <w:p>
            <w:pPr>
              <w:pStyle w:val="yTableNAm"/>
            </w:pPr>
            <w:r>
              <w:rPr>
                <w:szCs w:val="22"/>
              </w:rPr>
              <w:t>184.1 cents</w:t>
            </w: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over 500 </w:t>
            </w:r>
            <w:r>
              <w:tab/>
            </w:r>
          </w:p>
        </w:tc>
        <w:tc>
          <w:tcPr>
            <w:tcW w:w="1292" w:type="dxa"/>
            <w:vAlign w:val="bottom"/>
          </w:tcPr>
          <w:p>
            <w:pPr>
              <w:pStyle w:val="yTableNAm"/>
            </w:pPr>
            <w:r>
              <w:rPr>
                <w:szCs w:val="22"/>
              </w:rPr>
              <w:t>260.7 cents</w:t>
            </w:r>
          </w:p>
        </w:tc>
      </w:tr>
      <w:tr>
        <w:trPr>
          <w:cantSplit/>
        </w:trPr>
        <w:tc>
          <w:tcPr>
            <w:tcW w:w="850" w:type="dxa"/>
          </w:tcPr>
          <w:p>
            <w:pPr>
              <w:pStyle w:val="yTableNAm"/>
            </w:pPr>
            <w:r>
              <w:rPr>
                <w:b/>
                <w:bCs/>
              </w:rPr>
              <w:t>22.</w:t>
            </w:r>
          </w:p>
        </w:tc>
        <w:tc>
          <w:tcPr>
            <w:tcW w:w="4237" w:type="dxa"/>
          </w:tcPr>
          <w:p>
            <w:pPr>
              <w:pStyle w:val="yTableNAm"/>
            </w:pPr>
            <w:r>
              <w:rPr>
                <w:b/>
                <w:bCs/>
              </w:rPr>
              <w:t>Non</w:t>
            </w:r>
            <w:r>
              <w:rPr>
                <w:b/>
                <w:bCs/>
              </w:rPr>
              <w:noBreakHyphen/>
              <w:t>metropolitan residential</w:t>
            </w:r>
          </w:p>
        </w:tc>
        <w:tc>
          <w:tcPr>
            <w:tcW w:w="1292" w:type="dxa"/>
            <w:vAlign w:val="bottom"/>
          </w:tcPr>
          <w:p>
            <w:pPr>
              <w:pStyle w:val="yTableNAm"/>
            </w:pPr>
          </w:p>
        </w:tc>
      </w:tr>
      <w:tr>
        <w:trPr>
          <w:cantSplit/>
        </w:trPr>
        <w:tc>
          <w:tcPr>
            <w:tcW w:w="850" w:type="dxa"/>
          </w:tcPr>
          <w:p>
            <w:pPr>
              <w:pStyle w:val="zyTableNAm"/>
              <w:keepNext/>
              <w:keepLines/>
            </w:pPr>
          </w:p>
        </w:tc>
        <w:tc>
          <w:tcPr>
            <w:tcW w:w="4237" w:type="dxa"/>
          </w:tcPr>
          <w:p>
            <w:pPr>
              <w:pStyle w:val="yTableNAm"/>
            </w:pPr>
            <w:r>
              <w:t>For each kilolitre of water, not being water for which a charge is otherwise specifically provided in this Division, supplied to a residential property, or any other land classified as vacant land and held for residential purposes, not in the metropolitan area, according to the residential classification of the town/area set out in Schedule 10 —</w:t>
            </w:r>
          </w:p>
        </w:tc>
        <w:tc>
          <w:tcPr>
            <w:tcW w:w="1292" w:type="dxa"/>
          </w:tcPr>
          <w:p>
            <w:pPr>
              <w:pStyle w:val="yTableNAm"/>
            </w:pPr>
          </w:p>
        </w:tc>
      </w:tr>
    </w:tbl>
    <w:p>
      <w:pPr>
        <w:pStyle w:val="yMiscellaneousBody"/>
      </w:pPr>
    </w:p>
    <w:tbl>
      <w:tblPr>
        <w:tblW w:w="0" w:type="auto"/>
        <w:tblInd w:w="454" w:type="dxa"/>
        <w:tblCellMar>
          <w:left w:w="28" w:type="dxa"/>
          <w:right w:w="28" w:type="dxa"/>
        </w:tblCellMar>
        <w:tblLook w:val="0000" w:firstRow="0" w:lastRow="0" w:firstColumn="0" w:lastColumn="0" w:noHBand="0" w:noVBand="0"/>
      </w:tblPr>
      <w:tblGrid>
        <w:gridCol w:w="850"/>
        <w:gridCol w:w="567"/>
        <w:gridCol w:w="992"/>
        <w:gridCol w:w="992"/>
        <w:gridCol w:w="992"/>
        <w:gridCol w:w="694"/>
        <w:gridCol w:w="298"/>
        <w:gridCol w:w="994"/>
      </w:tblGrid>
      <w:tr>
        <w:trPr>
          <w:cantSplit/>
          <w:tblHeader/>
        </w:trPr>
        <w:tc>
          <w:tcPr>
            <w:tcW w:w="1417" w:type="dxa"/>
            <w:gridSpan w:val="2"/>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pPr>
            <w:r>
              <w:rPr>
                <w:b/>
                <w:bCs/>
              </w:rPr>
              <w:t>Class 1 (c/kL)</w:t>
            </w:r>
          </w:p>
        </w:tc>
        <w:tc>
          <w:tcPr>
            <w:tcW w:w="992" w:type="dxa"/>
            <w:tcBorders>
              <w:top w:val="single" w:sz="4" w:space="0" w:color="auto"/>
              <w:bottom w:val="single" w:sz="4" w:space="0" w:color="auto"/>
            </w:tcBorders>
          </w:tcPr>
          <w:p>
            <w:pPr>
              <w:pStyle w:val="yTableNAm"/>
            </w:pPr>
            <w:r>
              <w:rPr>
                <w:b/>
                <w:bCs/>
              </w:rPr>
              <w:t>Class 2 (c/kL)</w:t>
            </w:r>
          </w:p>
        </w:tc>
        <w:tc>
          <w:tcPr>
            <w:tcW w:w="992" w:type="dxa"/>
            <w:tcBorders>
              <w:top w:val="single" w:sz="4" w:space="0" w:color="auto"/>
              <w:bottom w:val="single" w:sz="4" w:space="0" w:color="auto"/>
            </w:tcBorders>
          </w:tcPr>
          <w:p>
            <w:pPr>
              <w:pStyle w:val="yTableNAm"/>
            </w:pPr>
            <w:r>
              <w:rPr>
                <w:b/>
                <w:bCs/>
              </w:rPr>
              <w:t>Class 3 (c/kL)</w:t>
            </w:r>
          </w:p>
        </w:tc>
        <w:tc>
          <w:tcPr>
            <w:tcW w:w="992" w:type="dxa"/>
            <w:gridSpan w:val="2"/>
            <w:tcBorders>
              <w:top w:val="single" w:sz="4" w:space="0" w:color="auto"/>
              <w:bottom w:val="single" w:sz="4" w:space="0" w:color="auto"/>
            </w:tcBorders>
          </w:tcPr>
          <w:p>
            <w:pPr>
              <w:pStyle w:val="yTableNAm"/>
            </w:pPr>
            <w:r>
              <w:rPr>
                <w:b/>
                <w:bCs/>
              </w:rPr>
              <w:t>Class 4 (c/kL)</w:t>
            </w:r>
          </w:p>
        </w:tc>
        <w:tc>
          <w:tcPr>
            <w:tcW w:w="994" w:type="dxa"/>
            <w:tcBorders>
              <w:top w:val="single" w:sz="4" w:space="0" w:color="auto"/>
              <w:bottom w:val="single" w:sz="4" w:space="0" w:color="auto"/>
            </w:tcBorders>
          </w:tcPr>
          <w:p>
            <w:pPr>
              <w:pStyle w:val="yTableNAm"/>
            </w:pPr>
            <w:r>
              <w:rPr>
                <w:b/>
                <w:bCs/>
              </w:rPr>
              <w:t>Class 5 (c/kL)</w:t>
            </w:r>
          </w:p>
        </w:tc>
      </w:tr>
      <w:tr>
        <w:trPr>
          <w:cantSplit/>
        </w:trPr>
        <w:tc>
          <w:tcPr>
            <w:tcW w:w="1417" w:type="dxa"/>
            <w:gridSpan w:val="2"/>
          </w:tcPr>
          <w:p>
            <w:pPr>
              <w:pStyle w:val="yTableNAm"/>
            </w:pPr>
            <w:r>
              <w:t>Up to 150</w:t>
            </w:r>
          </w:p>
        </w:tc>
        <w:tc>
          <w:tcPr>
            <w:tcW w:w="992" w:type="dxa"/>
            <w:vAlign w:val="bottom"/>
          </w:tcPr>
          <w:p>
            <w:pPr>
              <w:pStyle w:val="yTableNAm"/>
            </w:pPr>
            <w:r>
              <w:rPr>
                <w:szCs w:val="22"/>
              </w:rPr>
              <w:t>105.5</w:t>
            </w:r>
          </w:p>
        </w:tc>
        <w:tc>
          <w:tcPr>
            <w:tcW w:w="992" w:type="dxa"/>
            <w:vAlign w:val="bottom"/>
          </w:tcPr>
          <w:p>
            <w:pPr>
              <w:pStyle w:val="yTableNAm"/>
            </w:pPr>
            <w:r>
              <w:rPr>
                <w:szCs w:val="22"/>
              </w:rPr>
              <w:t>138.1</w:t>
            </w:r>
          </w:p>
        </w:tc>
        <w:tc>
          <w:tcPr>
            <w:tcW w:w="992" w:type="dxa"/>
            <w:vAlign w:val="bottom"/>
          </w:tcPr>
          <w:p>
            <w:pPr>
              <w:pStyle w:val="yTableNAm"/>
            </w:pPr>
            <w:r>
              <w:rPr>
                <w:szCs w:val="22"/>
              </w:rPr>
              <w:t>138.1</w:t>
            </w:r>
          </w:p>
        </w:tc>
        <w:tc>
          <w:tcPr>
            <w:tcW w:w="992" w:type="dxa"/>
            <w:gridSpan w:val="2"/>
            <w:vAlign w:val="bottom"/>
          </w:tcPr>
          <w:p>
            <w:pPr>
              <w:pStyle w:val="yTableNAm"/>
            </w:pPr>
            <w:r>
              <w:rPr>
                <w:szCs w:val="22"/>
              </w:rPr>
              <w:t>138.1</w:t>
            </w:r>
          </w:p>
        </w:tc>
        <w:tc>
          <w:tcPr>
            <w:tcW w:w="994" w:type="dxa"/>
            <w:vAlign w:val="bottom"/>
          </w:tcPr>
          <w:p>
            <w:pPr>
              <w:pStyle w:val="yTableNAm"/>
            </w:pPr>
            <w:r>
              <w:rPr>
                <w:szCs w:val="22"/>
              </w:rPr>
              <w:t>138.1</w:t>
            </w:r>
          </w:p>
        </w:tc>
      </w:tr>
      <w:tr>
        <w:trPr>
          <w:cantSplit/>
        </w:trPr>
        <w:tc>
          <w:tcPr>
            <w:tcW w:w="1417" w:type="dxa"/>
            <w:gridSpan w:val="2"/>
          </w:tcPr>
          <w:p>
            <w:pPr>
              <w:pStyle w:val="yTableNAm"/>
            </w:pPr>
            <w:r>
              <w:t>Over 150 but not over 300</w:t>
            </w:r>
          </w:p>
        </w:tc>
        <w:tc>
          <w:tcPr>
            <w:tcW w:w="992" w:type="dxa"/>
            <w:vAlign w:val="bottom"/>
          </w:tcPr>
          <w:p>
            <w:pPr>
              <w:pStyle w:val="yTableNAm"/>
            </w:pPr>
            <w:r>
              <w:rPr>
                <w:szCs w:val="22"/>
              </w:rPr>
              <w:t>140.4</w:t>
            </w:r>
          </w:p>
        </w:tc>
        <w:tc>
          <w:tcPr>
            <w:tcW w:w="992" w:type="dxa"/>
            <w:vAlign w:val="bottom"/>
          </w:tcPr>
          <w:p>
            <w:pPr>
              <w:pStyle w:val="yTableNAm"/>
            </w:pPr>
            <w:r>
              <w:rPr>
                <w:szCs w:val="22"/>
              </w:rPr>
              <w:t>184.1</w:t>
            </w:r>
          </w:p>
        </w:tc>
        <w:tc>
          <w:tcPr>
            <w:tcW w:w="992" w:type="dxa"/>
            <w:vAlign w:val="bottom"/>
          </w:tcPr>
          <w:p>
            <w:pPr>
              <w:pStyle w:val="yTableNAm"/>
            </w:pPr>
            <w:r>
              <w:rPr>
                <w:szCs w:val="22"/>
              </w:rPr>
              <w:t>184.1</w:t>
            </w:r>
          </w:p>
        </w:tc>
        <w:tc>
          <w:tcPr>
            <w:tcW w:w="992" w:type="dxa"/>
            <w:gridSpan w:val="2"/>
            <w:vAlign w:val="bottom"/>
          </w:tcPr>
          <w:p>
            <w:pPr>
              <w:pStyle w:val="yTableNAm"/>
            </w:pPr>
            <w:r>
              <w:rPr>
                <w:szCs w:val="22"/>
              </w:rPr>
              <w:t>184.1</w:t>
            </w:r>
          </w:p>
        </w:tc>
        <w:tc>
          <w:tcPr>
            <w:tcW w:w="994" w:type="dxa"/>
            <w:vAlign w:val="bottom"/>
          </w:tcPr>
          <w:p>
            <w:pPr>
              <w:pStyle w:val="yTableNAm"/>
            </w:pPr>
            <w:r>
              <w:rPr>
                <w:szCs w:val="22"/>
              </w:rPr>
              <w:t>184.1</w:t>
            </w:r>
          </w:p>
        </w:tc>
      </w:tr>
      <w:tr>
        <w:trPr>
          <w:cantSplit/>
        </w:trPr>
        <w:tc>
          <w:tcPr>
            <w:tcW w:w="1417" w:type="dxa"/>
            <w:gridSpan w:val="2"/>
          </w:tcPr>
          <w:p>
            <w:pPr>
              <w:pStyle w:val="yTableNAm"/>
            </w:pPr>
            <w:r>
              <w:t>Over 300 but not over 550</w:t>
            </w:r>
          </w:p>
        </w:tc>
        <w:tc>
          <w:tcPr>
            <w:tcW w:w="992" w:type="dxa"/>
            <w:vAlign w:val="bottom"/>
          </w:tcPr>
          <w:p>
            <w:pPr>
              <w:pStyle w:val="yTableNAm"/>
            </w:pPr>
            <w:r>
              <w:rPr>
                <w:szCs w:val="22"/>
              </w:rPr>
              <w:t>148.6</w:t>
            </w:r>
          </w:p>
        </w:tc>
        <w:tc>
          <w:tcPr>
            <w:tcW w:w="992" w:type="dxa"/>
            <w:vAlign w:val="bottom"/>
          </w:tcPr>
          <w:p>
            <w:pPr>
              <w:pStyle w:val="yTableNAm"/>
            </w:pPr>
            <w:r>
              <w:rPr>
                <w:szCs w:val="22"/>
              </w:rPr>
              <w:t>204.3</w:t>
            </w:r>
          </w:p>
        </w:tc>
        <w:tc>
          <w:tcPr>
            <w:tcW w:w="992" w:type="dxa"/>
            <w:vAlign w:val="bottom"/>
          </w:tcPr>
          <w:p>
            <w:pPr>
              <w:pStyle w:val="yTableNAm"/>
            </w:pPr>
            <w:r>
              <w:rPr>
                <w:szCs w:val="22"/>
              </w:rPr>
              <w:t>272.2</w:t>
            </w:r>
          </w:p>
        </w:tc>
        <w:tc>
          <w:tcPr>
            <w:tcW w:w="992" w:type="dxa"/>
            <w:gridSpan w:val="2"/>
            <w:vAlign w:val="bottom"/>
          </w:tcPr>
          <w:p>
            <w:pPr>
              <w:pStyle w:val="yTableNAm"/>
            </w:pPr>
            <w:r>
              <w:rPr>
                <w:szCs w:val="22"/>
              </w:rPr>
              <w:t>320.2</w:t>
            </w:r>
          </w:p>
        </w:tc>
        <w:tc>
          <w:tcPr>
            <w:tcW w:w="994" w:type="dxa"/>
            <w:vAlign w:val="bottom"/>
          </w:tcPr>
          <w:p>
            <w:pPr>
              <w:pStyle w:val="yTableNAm"/>
            </w:pPr>
            <w:r>
              <w:rPr>
                <w:szCs w:val="22"/>
              </w:rPr>
              <w:t>376.6</w:t>
            </w:r>
          </w:p>
        </w:tc>
      </w:tr>
      <w:tr>
        <w:trPr>
          <w:cantSplit/>
        </w:trPr>
        <w:tc>
          <w:tcPr>
            <w:tcW w:w="1417" w:type="dxa"/>
            <w:gridSpan w:val="2"/>
            <w:tcBorders>
              <w:bottom w:val="single" w:sz="4" w:space="0" w:color="auto"/>
            </w:tcBorders>
          </w:tcPr>
          <w:p>
            <w:pPr>
              <w:pStyle w:val="yTableNAm"/>
            </w:pPr>
            <w:r>
              <w:t>Over 550</w:t>
            </w:r>
          </w:p>
        </w:tc>
        <w:tc>
          <w:tcPr>
            <w:tcW w:w="992" w:type="dxa"/>
            <w:tcBorders>
              <w:bottom w:val="single" w:sz="4" w:space="0" w:color="auto"/>
            </w:tcBorders>
            <w:vAlign w:val="bottom"/>
          </w:tcPr>
          <w:p>
            <w:pPr>
              <w:pStyle w:val="yTableNAm"/>
            </w:pPr>
            <w:r>
              <w:rPr>
                <w:szCs w:val="22"/>
              </w:rPr>
              <w:t>173.4</w:t>
            </w:r>
          </w:p>
        </w:tc>
        <w:tc>
          <w:tcPr>
            <w:tcW w:w="992" w:type="dxa"/>
            <w:tcBorders>
              <w:bottom w:val="single" w:sz="4" w:space="0" w:color="auto"/>
            </w:tcBorders>
            <w:vAlign w:val="bottom"/>
          </w:tcPr>
          <w:p>
            <w:pPr>
              <w:pStyle w:val="yTableNAm"/>
            </w:pPr>
            <w:r>
              <w:rPr>
                <w:szCs w:val="22"/>
              </w:rPr>
              <w:t>260.7</w:t>
            </w:r>
          </w:p>
        </w:tc>
        <w:tc>
          <w:tcPr>
            <w:tcW w:w="992" w:type="dxa"/>
            <w:tcBorders>
              <w:bottom w:val="single" w:sz="4" w:space="0" w:color="auto"/>
            </w:tcBorders>
            <w:vAlign w:val="bottom"/>
          </w:tcPr>
          <w:p>
            <w:pPr>
              <w:pStyle w:val="yTableNAm"/>
            </w:pPr>
            <w:r>
              <w:rPr>
                <w:szCs w:val="22"/>
              </w:rPr>
              <w:t>347.0</w:t>
            </w:r>
          </w:p>
        </w:tc>
        <w:tc>
          <w:tcPr>
            <w:tcW w:w="992" w:type="dxa"/>
            <w:gridSpan w:val="2"/>
            <w:tcBorders>
              <w:bottom w:val="single" w:sz="4" w:space="0" w:color="auto"/>
            </w:tcBorders>
            <w:vAlign w:val="bottom"/>
          </w:tcPr>
          <w:p>
            <w:pPr>
              <w:pStyle w:val="yTableNAm"/>
            </w:pPr>
            <w:r>
              <w:rPr>
                <w:szCs w:val="22"/>
              </w:rPr>
              <w:t>480.0</w:t>
            </w:r>
          </w:p>
        </w:tc>
        <w:tc>
          <w:tcPr>
            <w:tcW w:w="994" w:type="dxa"/>
            <w:tcBorders>
              <w:bottom w:val="single" w:sz="4" w:space="0" w:color="auto"/>
            </w:tcBorders>
            <w:vAlign w:val="bottom"/>
          </w:tcPr>
          <w:p>
            <w:pPr>
              <w:pStyle w:val="yTableNAm"/>
            </w:pPr>
            <w:r>
              <w:rPr>
                <w:szCs w:val="22"/>
              </w:rPr>
              <w:t>647.4</w:t>
            </w:r>
          </w:p>
        </w:tc>
      </w:tr>
      <w:tr>
        <w:tblPrEx>
          <w:tblCellMar>
            <w:left w:w="108" w:type="dxa"/>
            <w:right w:w="108" w:type="dxa"/>
          </w:tblCellMar>
        </w:tblPrEx>
        <w:trPr>
          <w:cantSplit/>
        </w:trPr>
        <w:tc>
          <w:tcPr>
            <w:tcW w:w="850" w:type="dxa"/>
          </w:tcPr>
          <w:p>
            <w:pPr>
              <w:pStyle w:val="zyTableNAm"/>
              <w:rPr>
                <w:rStyle w:val="CharSClsNo"/>
              </w:rPr>
            </w:pPr>
          </w:p>
        </w:tc>
        <w:tc>
          <w:tcPr>
            <w:tcW w:w="4237" w:type="dxa"/>
            <w:gridSpan w:val="5"/>
          </w:tcPr>
          <w:p>
            <w:pPr>
              <w:pStyle w:val="yTableNAm"/>
            </w:pPr>
            <w:r>
              <w:t>except that if the property is —</w:t>
            </w:r>
          </w:p>
        </w:tc>
        <w:tc>
          <w:tcPr>
            <w:tcW w:w="1292" w:type="dxa"/>
            <w:gridSpan w:val="2"/>
          </w:tcPr>
          <w:p>
            <w:pPr>
              <w:pStyle w:val="yTableNAm"/>
            </w:pPr>
          </w:p>
        </w:tc>
      </w:tr>
      <w:tr>
        <w:tblPrEx>
          <w:tblCellMar>
            <w:left w:w="108" w:type="dxa"/>
            <w:right w:w="108" w:type="dxa"/>
          </w:tblCellMar>
        </w:tblPrEx>
        <w:trPr>
          <w:cantSplit/>
        </w:trPr>
        <w:tc>
          <w:tcPr>
            <w:tcW w:w="850" w:type="dxa"/>
          </w:tcPr>
          <w:p>
            <w:pPr>
              <w:pStyle w:val="zyTableNAm"/>
              <w:rPr>
                <w:rStyle w:val="CharSClsNo"/>
                <w:b/>
                <w:bCs/>
              </w:rPr>
            </w:pPr>
          </w:p>
        </w:tc>
        <w:tc>
          <w:tcPr>
            <w:tcW w:w="4237" w:type="dxa"/>
            <w:gridSpan w:val="5"/>
          </w:tcPr>
          <w:p>
            <w:pPr>
              <w:pStyle w:val="yTableNAm"/>
              <w:tabs>
                <w:tab w:val="clear" w:pos="567"/>
                <w:tab w:val="left" w:pos="268"/>
                <w:tab w:val="left" w:pos="715"/>
              </w:tabs>
              <w:ind w:left="730" w:hanging="730"/>
              <w:rPr>
                <w:rFonts w:ascii="Arial" w:hAnsi="Arial"/>
                <w:b/>
              </w:rPr>
            </w:pPr>
            <w:r>
              <w:rPr>
                <w:snapToGrid w:val="0"/>
              </w:rPr>
              <w:tab/>
              <w:t>(a)</w:t>
            </w:r>
            <w:r>
              <w:rPr>
                <w:snapToGrid w:val="0"/>
              </w:rPr>
              <w:tab/>
              <w:t>in the town of Cue, Laverton, Leonora, Meekatharra, Menzies, Mt Magnet, Mullewa, Sandstone, Wiluna or Yalgoo; or</w:t>
            </w:r>
          </w:p>
        </w:tc>
        <w:tc>
          <w:tcPr>
            <w:tcW w:w="1292" w:type="dxa"/>
            <w:gridSpan w:val="2"/>
          </w:tcPr>
          <w:p>
            <w:pPr>
              <w:pStyle w:val="yTableNAm"/>
            </w:pPr>
          </w:p>
        </w:tc>
      </w:tr>
      <w:tr>
        <w:tblPrEx>
          <w:tblCellMar>
            <w:left w:w="108" w:type="dxa"/>
            <w:right w:w="108" w:type="dxa"/>
          </w:tblCellMar>
        </w:tblPrEx>
        <w:trPr>
          <w:cantSplit/>
        </w:trPr>
        <w:tc>
          <w:tcPr>
            <w:tcW w:w="850" w:type="dxa"/>
          </w:tcPr>
          <w:p>
            <w:pPr>
              <w:pStyle w:val="zyTableNAm"/>
              <w:rPr>
                <w:rStyle w:val="CharSClsNo"/>
              </w:rPr>
            </w:pPr>
          </w:p>
        </w:tc>
        <w:tc>
          <w:tcPr>
            <w:tcW w:w="4237" w:type="dxa"/>
            <w:gridSpan w:val="5"/>
          </w:tcPr>
          <w:p>
            <w:pPr>
              <w:pStyle w:val="yTableNAm"/>
              <w:tabs>
                <w:tab w:val="clear" w:pos="567"/>
                <w:tab w:val="left" w:pos="268"/>
                <w:tab w:val="left" w:pos="715"/>
              </w:tabs>
              <w:ind w:left="730" w:hanging="730"/>
              <w:rPr>
                <w:rFonts w:ascii="Arial" w:hAnsi="Arial"/>
                <w:b/>
              </w:rPr>
            </w:pPr>
            <w:r>
              <w:rPr>
                <w:snapToGrid w:val="0"/>
              </w:rPr>
              <w:tab/>
              <w:t>(b)</w:t>
            </w:r>
            <w:r>
              <w:rPr>
                <w:snapToGrid w:val="0"/>
              </w:rPr>
              <w:tab/>
              <w:t>north of 26ºS Latitude,</w:t>
            </w:r>
          </w:p>
        </w:tc>
        <w:tc>
          <w:tcPr>
            <w:tcW w:w="1292" w:type="dxa"/>
            <w:gridSpan w:val="2"/>
          </w:tcPr>
          <w:p>
            <w:pPr>
              <w:pStyle w:val="yTableNAm"/>
            </w:pPr>
          </w:p>
        </w:tc>
      </w:tr>
      <w:tr>
        <w:tblPrEx>
          <w:tblCellMar>
            <w:left w:w="108" w:type="dxa"/>
            <w:right w:w="108" w:type="dxa"/>
          </w:tblCellMar>
        </w:tblPrEx>
        <w:trPr>
          <w:cantSplit/>
        </w:trPr>
        <w:tc>
          <w:tcPr>
            <w:tcW w:w="850" w:type="dxa"/>
          </w:tcPr>
          <w:p>
            <w:pPr>
              <w:pStyle w:val="zyTableNAm"/>
              <w:rPr>
                <w:rStyle w:val="CharSClsNo"/>
              </w:rPr>
            </w:pPr>
          </w:p>
        </w:tc>
        <w:tc>
          <w:tcPr>
            <w:tcW w:w="4237" w:type="dxa"/>
            <w:gridSpan w:val="5"/>
          </w:tcPr>
          <w:p>
            <w:pPr>
              <w:pStyle w:val="yTableNAm"/>
              <w:rPr>
                <w:snapToGrid w:val="0"/>
              </w:rPr>
            </w:pPr>
            <w:r>
              <w:t>the charge for each kilolitre of water is —</w:t>
            </w:r>
          </w:p>
        </w:tc>
        <w:tc>
          <w:tcPr>
            <w:tcW w:w="1292" w:type="dxa"/>
            <w:gridSpan w:val="2"/>
          </w:tcPr>
          <w:p>
            <w:pPr>
              <w:pStyle w:val="yTableNAm"/>
            </w:pPr>
          </w:p>
        </w:tc>
      </w:tr>
    </w:tbl>
    <w:p>
      <w:pPr>
        <w:pStyle w:val="yMiscellaneousBody"/>
      </w:pPr>
    </w:p>
    <w:tbl>
      <w:tblPr>
        <w:tblW w:w="0" w:type="auto"/>
        <w:tblInd w:w="454" w:type="dxa"/>
        <w:tblCellMar>
          <w:left w:w="28" w:type="dxa"/>
          <w:right w:w="28" w:type="dxa"/>
        </w:tblCellMar>
        <w:tblLook w:val="0000" w:firstRow="0" w:lastRow="0" w:firstColumn="0" w:lastColumn="0" w:noHBand="0" w:noVBand="0"/>
      </w:tblPr>
      <w:tblGrid>
        <w:gridCol w:w="1417"/>
        <w:gridCol w:w="992"/>
        <w:gridCol w:w="992"/>
        <w:gridCol w:w="992"/>
        <w:gridCol w:w="992"/>
        <w:gridCol w:w="1074"/>
      </w:tblGrid>
      <w:tr>
        <w:trPr>
          <w:cantSplit/>
          <w:tblHeader/>
        </w:trPr>
        <w:tc>
          <w:tcPr>
            <w:tcW w:w="1417" w:type="dxa"/>
            <w:tcBorders>
              <w:top w:val="single" w:sz="4" w:space="0" w:color="auto"/>
              <w:bottom w:val="single" w:sz="4" w:space="0" w:color="auto"/>
            </w:tcBorders>
          </w:tcPr>
          <w:p>
            <w:pPr>
              <w:pStyle w:val="yTableNAm"/>
            </w:pPr>
            <w:r>
              <w:rPr>
                <w:b/>
                <w:bCs/>
              </w:rPr>
              <w:lastRenderedPageBreak/>
              <w:br w:type="page"/>
              <w:t>Consumption (kL)</w:t>
            </w:r>
          </w:p>
        </w:tc>
        <w:tc>
          <w:tcPr>
            <w:tcW w:w="992" w:type="dxa"/>
            <w:tcBorders>
              <w:top w:val="single" w:sz="4" w:space="0" w:color="auto"/>
              <w:bottom w:val="single" w:sz="4" w:space="0" w:color="auto"/>
            </w:tcBorders>
          </w:tcPr>
          <w:p>
            <w:pPr>
              <w:pStyle w:val="yTableNAm"/>
            </w:pPr>
            <w:r>
              <w:rPr>
                <w:b/>
                <w:bCs/>
              </w:rPr>
              <w:t>Class 1 (c/kL)</w:t>
            </w:r>
          </w:p>
        </w:tc>
        <w:tc>
          <w:tcPr>
            <w:tcW w:w="992" w:type="dxa"/>
            <w:tcBorders>
              <w:top w:val="single" w:sz="4" w:space="0" w:color="auto"/>
              <w:bottom w:val="single" w:sz="4" w:space="0" w:color="auto"/>
            </w:tcBorders>
          </w:tcPr>
          <w:p>
            <w:pPr>
              <w:pStyle w:val="yTableNAm"/>
            </w:pPr>
            <w:r>
              <w:rPr>
                <w:b/>
                <w:bCs/>
              </w:rPr>
              <w:t>Class 2 (c/kL)</w:t>
            </w:r>
          </w:p>
        </w:tc>
        <w:tc>
          <w:tcPr>
            <w:tcW w:w="992" w:type="dxa"/>
            <w:tcBorders>
              <w:top w:val="single" w:sz="4" w:space="0" w:color="auto"/>
              <w:bottom w:val="single" w:sz="4" w:space="0" w:color="auto"/>
            </w:tcBorders>
          </w:tcPr>
          <w:p>
            <w:pPr>
              <w:pStyle w:val="yTableNAm"/>
            </w:pPr>
            <w:r>
              <w:rPr>
                <w:b/>
                <w:bCs/>
              </w:rPr>
              <w:t>Class 3 (c/kL)</w:t>
            </w:r>
          </w:p>
        </w:tc>
        <w:tc>
          <w:tcPr>
            <w:tcW w:w="992" w:type="dxa"/>
            <w:tcBorders>
              <w:top w:val="single" w:sz="4" w:space="0" w:color="auto"/>
              <w:bottom w:val="single" w:sz="4" w:space="0" w:color="auto"/>
            </w:tcBorders>
          </w:tcPr>
          <w:p>
            <w:pPr>
              <w:pStyle w:val="yTableNAm"/>
            </w:pPr>
            <w:r>
              <w:rPr>
                <w:b/>
                <w:bCs/>
              </w:rPr>
              <w:t>Class 4 (c/kL)</w:t>
            </w:r>
          </w:p>
        </w:tc>
        <w:tc>
          <w:tcPr>
            <w:tcW w:w="1074" w:type="dxa"/>
            <w:tcBorders>
              <w:top w:val="single" w:sz="4" w:space="0" w:color="auto"/>
              <w:bottom w:val="single" w:sz="4" w:space="0" w:color="auto"/>
            </w:tcBorders>
          </w:tcPr>
          <w:p>
            <w:pPr>
              <w:pStyle w:val="yTableNAm"/>
            </w:pPr>
            <w:r>
              <w:rPr>
                <w:b/>
                <w:bCs/>
              </w:rPr>
              <w:t>Class 5 (c/kL)</w:t>
            </w:r>
          </w:p>
        </w:tc>
      </w:tr>
      <w:tr>
        <w:trPr>
          <w:cantSplit/>
        </w:trPr>
        <w:tc>
          <w:tcPr>
            <w:tcW w:w="1417" w:type="dxa"/>
          </w:tcPr>
          <w:p>
            <w:pPr>
              <w:pStyle w:val="yTableNAm"/>
            </w:pPr>
            <w:r>
              <w:t>Up to 350</w:t>
            </w:r>
          </w:p>
        </w:tc>
        <w:tc>
          <w:tcPr>
            <w:tcW w:w="992" w:type="dxa"/>
            <w:vAlign w:val="bottom"/>
          </w:tcPr>
          <w:p>
            <w:pPr>
              <w:pStyle w:val="yTableNAm"/>
            </w:pPr>
            <w:r>
              <w:rPr>
                <w:szCs w:val="22"/>
              </w:rPr>
              <w:t>105.5</w:t>
            </w:r>
          </w:p>
        </w:tc>
        <w:tc>
          <w:tcPr>
            <w:tcW w:w="992" w:type="dxa"/>
            <w:vAlign w:val="bottom"/>
          </w:tcPr>
          <w:p>
            <w:pPr>
              <w:pStyle w:val="yTableNAm"/>
            </w:pPr>
            <w:r>
              <w:rPr>
                <w:szCs w:val="22"/>
              </w:rPr>
              <w:t>138.1</w:t>
            </w:r>
          </w:p>
        </w:tc>
        <w:tc>
          <w:tcPr>
            <w:tcW w:w="992" w:type="dxa"/>
            <w:vAlign w:val="bottom"/>
          </w:tcPr>
          <w:p>
            <w:pPr>
              <w:pStyle w:val="yTableNAm"/>
            </w:pPr>
            <w:r>
              <w:rPr>
                <w:szCs w:val="22"/>
              </w:rPr>
              <w:t>138.1</w:t>
            </w:r>
          </w:p>
        </w:tc>
        <w:tc>
          <w:tcPr>
            <w:tcW w:w="992" w:type="dxa"/>
            <w:vAlign w:val="bottom"/>
          </w:tcPr>
          <w:p>
            <w:pPr>
              <w:pStyle w:val="yTableNAm"/>
            </w:pPr>
            <w:r>
              <w:rPr>
                <w:szCs w:val="22"/>
              </w:rPr>
              <w:t>138.1</w:t>
            </w:r>
          </w:p>
        </w:tc>
        <w:tc>
          <w:tcPr>
            <w:tcW w:w="1074" w:type="dxa"/>
            <w:vAlign w:val="bottom"/>
          </w:tcPr>
          <w:p>
            <w:pPr>
              <w:pStyle w:val="yTableNAm"/>
            </w:pPr>
            <w:r>
              <w:rPr>
                <w:szCs w:val="22"/>
              </w:rPr>
              <w:t>138.1</w:t>
            </w:r>
          </w:p>
        </w:tc>
      </w:tr>
      <w:tr>
        <w:trPr>
          <w:cantSplit/>
        </w:trPr>
        <w:tc>
          <w:tcPr>
            <w:tcW w:w="1417" w:type="dxa"/>
          </w:tcPr>
          <w:p>
            <w:pPr>
              <w:pStyle w:val="yTableNAm"/>
            </w:pPr>
            <w:r>
              <w:t>Over 350 but not over 500</w:t>
            </w:r>
          </w:p>
        </w:tc>
        <w:tc>
          <w:tcPr>
            <w:tcW w:w="992" w:type="dxa"/>
            <w:vAlign w:val="bottom"/>
          </w:tcPr>
          <w:p>
            <w:pPr>
              <w:pStyle w:val="yTableNAm"/>
            </w:pPr>
            <w:r>
              <w:rPr>
                <w:szCs w:val="22"/>
              </w:rPr>
              <w:t>140.4</w:t>
            </w:r>
          </w:p>
        </w:tc>
        <w:tc>
          <w:tcPr>
            <w:tcW w:w="992" w:type="dxa"/>
            <w:vAlign w:val="bottom"/>
          </w:tcPr>
          <w:p>
            <w:pPr>
              <w:pStyle w:val="yTableNAm"/>
            </w:pPr>
            <w:r>
              <w:rPr>
                <w:szCs w:val="22"/>
              </w:rPr>
              <w:t>184.1</w:t>
            </w:r>
          </w:p>
        </w:tc>
        <w:tc>
          <w:tcPr>
            <w:tcW w:w="992" w:type="dxa"/>
            <w:vAlign w:val="bottom"/>
          </w:tcPr>
          <w:p>
            <w:pPr>
              <w:pStyle w:val="yTableNAm"/>
            </w:pPr>
            <w:r>
              <w:rPr>
                <w:szCs w:val="22"/>
              </w:rPr>
              <w:t>184.1</w:t>
            </w:r>
          </w:p>
        </w:tc>
        <w:tc>
          <w:tcPr>
            <w:tcW w:w="992" w:type="dxa"/>
            <w:vAlign w:val="bottom"/>
          </w:tcPr>
          <w:p>
            <w:pPr>
              <w:pStyle w:val="yTableNAm"/>
            </w:pPr>
            <w:r>
              <w:rPr>
                <w:szCs w:val="22"/>
              </w:rPr>
              <w:t>184.1</w:t>
            </w:r>
          </w:p>
        </w:tc>
        <w:tc>
          <w:tcPr>
            <w:tcW w:w="1074" w:type="dxa"/>
            <w:vAlign w:val="bottom"/>
          </w:tcPr>
          <w:p>
            <w:pPr>
              <w:pStyle w:val="yTableNAm"/>
            </w:pPr>
            <w:r>
              <w:rPr>
                <w:szCs w:val="22"/>
              </w:rPr>
              <w:t>184.1</w:t>
            </w:r>
          </w:p>
        </w:tc>
      </w:tr>
      <w:tr>
        <w:trPr>
          <w:cantSplit/>
        </w:trPr>
        <w:tc>
          <w:tcPr>
            <w:tcW w:w="1417" w:type="dxa"/>
          </w:tcPr>
          <w:p>
            <w:pPr>
              <w:pStyle w:val="yTableNAm"/>
            </w:pPr>
            <w:r>
              <w:t>Over 500 but not over 750</w:t>
            </w:r>
          </w:p>
        </w:tc>
        <w:tc>
          <w:tcPr>
            <w:tcW w:w="992" w:type="dxa"/>
            <w:vAlign w:val="bottom"/>
          </w:tcPr>
          <w:p>
            <w:pPr>
              <w:pStyle w:val="yTableNAm"/>
            </w:pPr>
            <w:r>
              <w:rPr>
                <w:szCs w:val="22"/>
              </w:rPr>
              <w:t>148.6</w:t>
            </w:r>
          </w:p>
        </w:tc>
        <w:tc>
          <w:tcPr>
            <w:tcW w:w="992" w:type="dxa"/>
            <w:vAlign w:val="bottom"/>
          </w:tcPr>
          <w:p>
            <w:pPr>
              <w:pStyle w:val="yTableNAm"/>
            </w:pPr>
            <w:r>
              <w:rPr>
                <w:szCs w:val="22"/>
              </w:rPr>
              <w:t>204.3</w:t>
            </w:r>
          </w:p>
        </w:tc>
        <w:tc>
          <w:tcPr>
            <w:tcW w:w="992" w:type="dxa"/>
            <w:vAlign w:val="bottom"/>
          </w:tcPr>
          <w:p>
            <w:pPr>
              <w:pStyle w:val="yTableNAm"/>
            </w:pPr>
            <w:r>
              <w:rPr>
                <w:szCs w:val="22"/>
              </w:rPr>
              <w:t>272.2</w:t>
            </w:r>
          </w:p>
        </w:tc>
        <w:tc>
          <w:tcPr>
            <w:tcW w:w="992" w:type="dxa"/>
            <w:vAlign w:val="bottom"/>
          </w:tcPr>
          <w:p>
            <w:pPr>
              <w:pStyle w:val="yTableNAm"/>
            </w:pPr>
            <w:r>
              <w:rPr>
                <w:szCs w:val="22"/>
              </w:rPr>
              <w:t>320.2</w:t>
            </w:r>
          </w:p>
        </w:tc>
        <w:tc>
          <w:tcPr>
            <w:tcW w:w="1074" w:type="dxa"/>
            <w:vAlign w:val="bottom"/>
          </w:tcPr>
          <w:p>
            <w:pPr>
              <w:pStyle w:val="yTableNAm"/>
            </w:pPr>
            <w:r>
              <w:rPr>
                <w:szCs w:val="22"/>
              </w:rPr>
              <w:t>376.6</w:t>
            </w:r>
          </w:p>
        </w:tc>
      </w:tr>
      <w:tr>
        <w:trPr>
          <w:cantSplit/>
        </w:trPr>
        <w:tc>
          <w:tcPr>
            <w:tcW w:w="1417" w:type="dxa"/>
            <w:tcBorders>
              <w:bottom w:val="single" w:sz="4" w:space="0" w:color="auto"/>
            </w:tcBorders>
          </w:tcPr>
          <w:p>
            <w:pPr>
              <w:pStyle w:val="yTableNAm"/>
            </w:pPr>
            <w:r>
              <w:t>Over 750</w:t>
            </w:r>
          </w:p>
        </w:tc>
        <w:tc>
          <w:tcPr>
            <w:tcW w:w="992" w:type="dxa"/>
            <w:tcBorders>
              <w:bottom w:val="single" w:sz="4" w:space="0" w:color="auto"/>
            </w:tcBorders>
            <w:vAlign w:val="bottom"/>
          </w:tcPr>
          <w:p>
            <w:pPr>
              <w:pStyle w:val="yTableNAm"/>
            </w:pPr>
            <w:r>
              <w:rPr>
                <w:szCs w:val="22"/>
              </w:rPr>
              <w:t>173.4</w:t>
            </w:r>
          </w:p>
        </w:tc>
        <w:tc>
          <w:tcPr>
            <w:tcW w:w="992" w:type="dxa"/>
            <w:tcBorders>
              <w:bottom w:val="single" w:sz="4" w:space="0" w:color="auto"/>
            </w:tcBorders>
            <w:vAlign w:val="bottom"/>
          </w:tcPr>
          <w:p>
            <w:pPr>
              <w:pStyle w:val="yTableNAm"/>
            </w:pPr>
            <w:r>
              <w:rPr>
                <w:szCs w:val="22"/>
              </w:rPr>
              <w:t>260.7</w:t>
            </w:r>
          </w:p>
        </w:tc>
        <w:tc>
          <w:tcPr>
            <w:tcW w:w="992" w:type="dxa"/>
            <w:tcBorders>
              <w:bottom w:val="single" w:sz="4" w:space="0" w:color="auto"/>
            </w:tcBorders>
            <w:vAlign w:val="bottom"/>
          </w:tcPr>
          <w:p>
            <w:pPr>
              <w:pStyle w:val="yTableNAm"/>
            </w:pPr>
            <w:r>
              <w:rPr>
                <w:szCs w:val="22"/>
              </w:rPr>
              <w:t>347.0</w:t>
            </w:r>
          </w:p>
        </w:tc>
        <w:tc>
          <w:tcPr>
            <w:tcW w:w="992" w:type="dxa"/>
            <w:tcBorders>
              <w:bottom w:val="single" w:sz="4" w:space="0" w:color="auto"/>
            </w:tcBorders>
            <w:vAlign w:val="bottom"/>
          </w:tcPr>
          <w:p>
            <w:pPr>
              <w:pStyle w:val="yTableNAm"/>
            </w:pPr>
            <w:r>
              <w:rPr>
                <w:szCs w:val="22"/>
              </w:rPr>
              <w:t>480.0</w:t>
            </w:r>
          </w:p>
        </w:tc>
        <w:tc>
          <w:tcPr>
            <w:tcW w:w="1074" w:type="dxa"/>
            <w:tcBorders>
              <w:bottom w:val="single" w:sz="4" w:space="0" w:color="auto"/>
            </w:tcBorders>
            <w:vAlign w:val="bottom"/>
          </w:tcPr>
          <w:p>
            <w:pPr>
              <w:pStyle w:val="yTableNAm"/>
            </w:pPr>
            <w:r>
              <w:rPr>
                <w:szCs w:val="22"/>
              </w:rPr>
              <w:t>647.4</w:t>
            </w:r>
          </w:p>
        </w:tc>
      </w:tr>
    </w:tbl>
    <w:p>
      <w:pPr>
        <w:pStyle w:val="yMiscellaneousBody"/>
      </w:pP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yTableNAm"/>
            </w:pPr>
            <w:r>
              <w:rPr>
                <w:b/>
                <w:bCs/>
              </w:rPr>
              <w:t>23.</w:t>
            </w:r>
          </w:p>
        </w:tc>
        <w:tc>
          <w:tcPr>
            <w:tcW w:w="4237" w:type="dxa"/>
          </w:tcPr>
          <w:p>
            <w:pPr>
              <w:pStyle w:val="yTableNAm"/>
            </w:pPr>
            <w:r>
              <w:rPr>
                <w:b/>
                <w:bCs/>
              </w:rPr>
              <w:t>Community residential</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clear" w:pos="567"/>
                <w:tab w:val="left" w:pos="247"/>
                <w:tab w:val="left" w:pos="743"/>
              </w:tabs>
              <w:ind w:left="743" w:hanging="743"/>
              <w:rPr>
                <w:rFonts w:ascii="Arial" w:hAnsi="Arial"/>
                <w:b/>
              </w:rPr>
            </w:pPr>
            <w:r>
              <w:tab/>
              <w:t>(1)</w:t>
            </w:r>
            <w:r>
              <w:tab/>
              <w:t>For each kilolitre of water supplied to a discrete residential unit as determined under by</w:t>
            </w:r>
            <w:r>
              <w:noBreakHyphen/>
              <w:t>law 16 that is in the metropolitan area —</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clear" w:pos="567"/>
                <w:tab w:val="left" w:pos="982"/>
                <w:tab w:val="right" w:leader="dot" w:pos="3950"/>
              </w:tabs>
              <w:ind w:left="982" w:hanging="982"/>
              <w:rPr>
                <w:rFonts w:ascii="Arial" w:hAnsi="Arial"/>
                <w:b/>
              </w:rPr>
            </w:pPr>
            <w:r>
              <w:rPr>
                <w:spacing w:val="-1"/>
              </w:rPr>
              <w:tab/>
            </w:r>
            <w:r>
              <w:t>up</w:t>
            </w:r>
            <w:r>
              <w:rPr>
                <w:spacing w:val="-1"/>
              </w:rPr>
              <w:t xml:space="preserve"> to 150 kL </w:t>
            </w:r>
            <w:r>
              <w:rPr>
                <w:spacing w:val="-1"/>
              </w:rPr>
              <w:tab/>
            </w:r>
          </w:p>
        </w:tc>
        <w:tc>
          <w:tcPr>
            <w:tcW w:w="1292" w:type="dxa"/>
            <w:vAlign w:val="bottom"/>
          </w:tcPr>
          <w:p>
            <w:pPr>
              <w:pStyle w:val="yTableNAm"/>
            </w:pPr>
            <w:r>
              <w:rPr>
                <w:szCs w:val="22"/>
              </w:rPr>
              <w:t>69.0 cents</w:t>
            </w:r>
          </w:p>
        </w:tc>
      </w:tr>
      <w:tr>
        <w:trPr>
          <w:cantSplit/>
        </w:trPr>
        <w:tc>
          <w:tcPr>
            <w:tcW w:w="850" w:type="dxa"/>
          </w:tcPr>
          <w:p>
            <w:pPr>
              <w:pStyle w:val="zyTableNAm"/>
            </w:pPr>
          </w:p>
        </w:tc>
        <w:tc>
          <w:tcPr>
            <w:tcW w:w="4237" w:type="dxa"/>
          </w:tcPr>
          <w:p>
            <w:pPr>
              <w:pStyle w:val="yTableNAm"/>
              <w:tabs>
                <w:tab w:val="clear" w:pos="567"/>
                <w:tab w:val="left" w:pos="982"/>
                <w:tab w:val="right" w:leader="dot" w:pos="3950"/>
              </w:tabs>
              <w:ind w:left="982" w:hanging="982"/>
              <w:rPr>
                <w:rFonts w:ascii="Arial" w:hAnsi="Arial"/>
                <w:b/>
              </w:rPr>
            </w:pPr>
            <w:r>
              <w:rPr>
                <w:spacing w:val="-1"/>
              </w:rPr>
              <w:tab/>
            </w:r>
            <w:r>
              <w:t>over</w:t>
            </w:r>
            <w:r>
              <w:rPr>
                <w:spacing w:val="-1"/>
              </w:rPr>
              <w:t xml:space="preserve"> </w:t>
            </w:r>
            <w:r>
              <w:t>150</w:t>
            </w:r>
            <w:r>
              <w:rPr>
                <w:spacing w:val="-1"/>
              </w:rPr>
              <w:t xml:space="preserve"> but not over 500 kL </w:t>
            </w:r>
            <w:r>
              <w:rPr>
                <w:spacing w:val="-1"/>
              </w:rPr>
              <w:tab/>
            </w:r>
          </w:p>
        </w:tc>
        <w:tc>
          <w:tcPr>
            <w:tcW w:w="1292" w:type="dxa"/>
            <w:vAlign w:val="bottom"/>
          </w:tcPr>
          <w:p>
            <w:pPr>
              <w:pStyle w:val="yTableNAm"/>
            </w:pPr>
            <w:r>
              <w:rPr>
                <w:szCs w:val="22"/>
              </w:rPr>
              <w:t>184.1 cents</w:t>
            </w:r>
          </w:p>
        </w:tc>
      </w:tr>
      <w:tr>
        <w:trPr>
          <w:cantSplit/>
        </w:trPr>
        <w:tc>
          <w:tcPr>
            <w:tcW w:w="850" w:type="dxa"/>
          </w:tcPr>
          <w:p>
            <w:pPr>
              <w:pStyle w:val="zyTableNAm"/>
            </w:pPr>
          </w:p>
        </w:tc>
        <w:tc>
          <w:tcPr>
            <w:tcW w:w="4237" w:type="dxa"/>
          </w:tcPr>
          <w:p>
            <w:pPr>
              <w:pStyle w:val="yTableNAm"/>
              <w:tabs>
                <w:tab w:val="clear" w:pos="567"/>
                <w:tab w:val="left" w:pos="982"/>
                <w:tab w:val="right" w:leader="dot" w:pos="3950"/>
              </w:tabs>
              <w:ind w:left="982" w:hanging="982"/>
              <w:rPr>
                <w:rFonts w:ascii="Arial" w:hAnsi="Arial"/>
                <w:b/>
              </w:rPr>
            </w:pPr>
            <w:r>
              <w:rPr>
                <w:spacing w:val="-1"/>
              </w:rPr>
              <w:tab/>
            </w:r>
            <w:r>
              <w:t>over</w:t>
            </w:r>
            <w:r>
              <w:rPr>
                <w:spacing w:val="-1"/>
              </w:rPr>
              <w:t xml:space="preserve"> </w:t>
            </w:r>
            <w:r>
              <w:t>500</w:t>
            </w:r>
            <w:r>
              <w:rPr>
                <w:spacing w:val="-1"/>
              </w:rPr>
              <w:t xml:space="preserve"> kL </w:t>
            </w:r>
            <w:r>
              <w:rPr>
                <w:spacing w:val="-1"/>
              </w:rPr>
              <w:tab/>
            </w:r>
          </w:p>
        </w:tc>
        <w:tc>
          <w:tcPr>
            <w:tcW w:w="1292" w:type="dxa"/>
            <w:vAlign w:val="bottom"/>
          </w:tcPr>
          <w:p>
            <w:pPr>
              <w:pStyle w:val="yTableNAm"/>
            </w:pPr>
            <w:r>
              <w:rPr>
                <w:szCs w:val="22"/>
              </w:rPr>
              <w:t>260.7 cents</w:t>
            </w:r>
          </w:p>
        </w:tc>
      </w:tr>
      <w:tr>
        <w:trPr>
          <w:cantSplit/>
        </w:trPr>
        <w:tc>
          <w:tcPr>
            <w:tcW w:w="850" w:type="dxa"/>
          </w:tcPr>
          <w:p>
            <w:pPr>
              <w:pStyle w:val="zyTableNAm"/>
            </w:pPr>
          </w:p>
        </w:tc>
        <w:tc>
          <w:tcPr>
            <w:tcW w:w="4237" w:type="dxa"/>
          </w:tcPr>
          <w:p>
            <w:pPr>
              <w:pStyle w:val="yTableNAm"/>
              <w:tabs>
                <w:tab w:val="clear" w:pos="567"/>
                <w:tab w:val="left" w:pos="247"/>
                <w:tab w:val="left" w:pos="743"/>
              </w:tabs>
              <w:ind w:left="743" w:hanging="743"/>
              <w:rPr>
                <w:rFonts w:ascii="Arial" w:hAnsi="Arial"/>
                <w:b/>
              </w:rPr>
            </w:pPr>
            <w:r>
              <w:tab/>
              <w:t>(2)</w:t>
            </w:r>
            <w:r>
              <w:tab/>
              <w:t>For each kilolitre of water supplied to a discrete residential unit as determined under by</w:t>
            </w:r>
            <w:r>
              <w:noBreakHyphen/>
              <w:t>law 16 that is not in the metropolitan area, according to the residential classification of the town/area set out in Schedule 10 —</w:t>
            </w:r>
          </w:p>
        </w:tc>
        <w:tc>
          <w:tcPr>
            <w:tcW w:w="1292" w:type="dxa"/>
            <w:vAlign w:val="bottom"/>
          </w:tcPr>
          <w:p>
            <w:pPr>
              <w:pStyle w:val="yTableNAm"/>
            </w:pPr>
          </w:p>
        </w:tc>
      </w:tr>
    </w:tbl>
    <w:p>
      <w:pPr>
        <w:pStyle w:val="yMiscellaneousBody"/>
      </w:pPr>
    </w:p>
    <w:tbl>
      <w:tblPr>
        <w:tblW w:w="0" w:type="auto"/>
        <w:tblInd w:w="454" w:type="dxa"/>
        <w:tblCellMar>
          <w:left w:w="28" w:type="dxa"/>
          <w:right w:w="28" w:type="dxa"/>
        </w:tblCellMar>
        <w:tblLook w:val="0000" w:firstRow="0" w:lastRow="0" w:firstColumn="0" w:lastColumn="0" w:noHBand="0" w:noVBand="0"/>
      </w:tblPr>
      <w:tblGrid>
        <w:gridCol w:w="1417"/>
        <w:gridCol w:w="992"/>
        <w:gridCol w:w="992"/>
        <w:gridCol w:w="992"/>
        <w:gridCol w:w="992"/>
        <w:gridCol w:w="994"/>
      </w:tblGrid>
      <w:tr>
        <w:trPr>
          <w:cantSplit/>
          <w:tblHeader/>
        </w:trPr>
        <w:tc>
          <w:tcPr>
            <w:tcW w:w="1417" w:type="dxa"/>
            <w:tcBorders>
              <w:top w:val="single" w:sz="4" w:space="0" w:color="auto"/>
              <w:bottom w:val="single" w:sz="4" w:space="0" w:color="auto"/>
            </w:tcBorders>
          </w:tcPr>
          <w:p>
            <w:pPr>
              <w:pStyle w:val="yTableNAm"/>
            </w:pPr>
            <w:r>
              <w:rPr>
                <w:b/>
                <w:bCs/>
                <w:szCs w:val="22"/>
              </w:rPr>
              <w:br w:type="page"/>
              <w:t>Consumption (kL)</w:t>
            </w:r>
          </w:p>
        </w:tc>
        <w:tc>
          <w:tcPr>
            <w:tcW w:w="992" w:type="dxa"/>
            <w:tcBorders>
              <w:top w:val="single" w:sz="4" w:space="0" w:color="auto"/>
              <w:bottom w:val="single" w:sz="4" w:space="0" w:color="auto"/>
            </w:tcBorders>
          </w:tcPr>
          <w:p>
            <w:pPr>
              <w:pStyle w:val="yTableNAm"/>
              <w:jc w:val="center"/>
            </w:pPr>
            <w:r>
              <w:rPr>
                <w:b/>
                <w:bCs/>
                <w:szCs w:val="22"/>
              </w:rPr>
              <w:t>Class 1 (c/kL)</w:t>
            </w:r>
          </w:p>
        </w:tc>
        <w:tc>
          <w:tcPr>
            <w:tcW w:w="992" w:type="dxa"/>
            <w:tcBorders>
              <w:top w:val="single" w:sz="4" w:space="0" w:color="auto"/>
              <w:bottom w:val="single" w:sz="4" w:space="0" w:color="auto"/>
            </w:tcBorders>
          </w:tcPr>
          <w:p>
            <w:pPr>
              <w:pStyle w:val="yTableNAm"/>
              <w:jc w:val="center"/>
            </w:pPr>
            <w:r>
              <w:rPr>
                <w:b/>
                <w:bCs/>
                <w:szCs w:val="22"/>
              </w:rPr>
              <w:t>Class 2 (c/kL)</w:t>
            </w:r>
          </w:p>
        </w:tc>
        <w:tc>
          <w:tcPr>
            <w:tcW w:w="992" w:type="dxa"/>
            <w:tcBorders>
              <w:top w:val="single" w:sz="4" w:space="0" w:color="auto"/>
              <w:bottom w:val="single" w:sz="4" w:space="0" w:color="auto"/>
            </w:tcBorders>
          </w:tcPr>
          <w:p>
            <w:pPr>
              <w:pStyle w:val="yTableNAm"/>
              <w:jc w:val="center"/>
            </w:pPr>
            <w:r>
              <w:rPr>
                <w:b/>
                <w:bCs/>
                <w:szCs w:val="22"/>
              </w:rPr>
              <w:t>Class 3 (c/kL)</w:t>
            </w:r>
          </w:p>
        </w:tc>
        <w:tc>
          <w:tcPr>
            <w:tcW w:w="992" w:type="dxa"/>
            <w:tcBorders>
              <w:top w:val="single" w:sz="4" w:space="0" w:color="auto"/>
              <w:bottom w:val="single" w:sz="4" w:space="0" w:color="auto"/>
            </w:tcBorders>
          </w:tcPr>
          <w:p>
            <w:pPr>
              <w:pStyle w:val="yTableNAm"/>
              <w:jc w:val="center"/>
            </w:pPr>
            <w:r>
              <w:rPr>
                <w:b/>
                <w:bCs/>
                <w:szCs w:val="22"/>
              </w:rPr>
              <w:t>Class 4 (c/kL)</w:t>
            </w:r>
          </w:p>
        </w:tc>
        <w:tc>
          <w:tcPr>
            <w:tcW w:w="994" w:type="dxa"/>
            <w:tcBorders>
              <w:top w:val="single" w:sz="4" w:space="0" w:color="auto"/>
              <w:bottom w:val="single" w:sz="4" w:space="0" w:color="auto"/>
            </w:tcBorders>
          </w:tcPr>
          <w:p>
            <w:pPr>
              <w:pStyle w:val="yTableNAm"/>
              <w:jc w:val="center"/>
            </w:pPr>
            <w:r>
              <w:rPr>
                <w:b/>
                <w:bCs/>
                <w:szCs w:val="22"/>
              </w:rPr>
              <w:t>Class 5 (c/kL)</w:t>
            </w:r>
          </w:p>
        </w:tc>
      </w:tr>
      <w:tr>
        <w:trPr>
          <w:cantSplit/>
        </w:trPr>
        <w:tc>
          <w:tcPr>
            <w:tcW w:w="1417" w:type="dxa"/>
          </w:tcPr>
          <w:p>
            <w:pPr>
              <w:pStyle w:val="yTableNAm"/>
            </w:pPr>
            <w:r>
              <w:rPr>
                <w:szCs w:val="22"/>
              </w:rPr>
              <w:t>Up to 150</w:t>
            </w:r>
          </w:p>
        </w:tc>
        <w:tc>
          <w:tcPr>
            <w:tcW w:w="992" w:type="dxa"/>
            <w:vAlign w:val="bottom"/>
          </w:tcPr>
          <w:p>
            <w:pPr>
              <w:pStyle w:val="yTableNAm"/>
              <w:jc w:val="center"/>
              <w:rPr>
                <w:rFonts w:ascii="Arial" w:hAnsi="Arial"/>
                <w:b/>
              </w:rPr>
            </w:pPr>
            <w:r>
              <w:rPr>
                <w:szCs w:val="22"/>
              </w:rPr>
              <w:t>52.7</w:t>
            </w:r>
          </w:p>
        </w:tc>
        <w:tc>
          <w:tcPr>
            <w:tcW w:w="992" w:type="dxa"/>
            <w:vAlign w:val="bottom"/>
          </w:tcPr>
          <w:p>
            <w:pPr>
              <w:pStyle w:val="yTableNAm"/>
              <w:jc w:val="center"/>
              <w:rPr>
                <w:rFonts w:ascii="Arial" w:hAnsi="Arial"/>
                <w:b/>
              </w:rPr>
            </w:pPr>
            <w:r>
              <w:rPr>
                <w:szCs w:val="22"/>
              </w:rPr>
              <w:t>69.0</w:t>
            </w:r>
          </w:p>
        </w:tc>
        <w:tc>
          <w:tcPr>
            <w:tcW w:w="992" w:type="dxa"/>
            <w:vAlign w:val="bottom"/>
          </w:tcPr>
          <w:p>
            <w:pPr>
              <w:pStyle w:val="yTableNAm"/>
              <w:jc w:val="center"/>
              <w:rPr>
                <w:rFonts w:ascii="Arial" w:hAnsi="Arial"/>
                <w:b/>
              </w:rPr>
            </w:pPr>
            <w:r>
              <w:rPr>
                <w:szCs w:val="22"/>
              </w:rPr>
              <w:t>69.0</w:t>
            </w:r>
          </w:p>
        </w:tc>
        <w:tc>
          <w:tcPr>
            <w:tcW w:w="992" w:type="dxa"/>
            <w:vAlign w:val="bottom"/>
          </w:tcPr>
          <w:p>
            <w:pPr>
              <w:pStyle w:val="yTableNAm"/>
              <w:jc w:val="center"/>
              <w:rPr>
                <w:rFonts w:ascii="Arial" w:hAnsi="Arial"/>
                <w:b/>
              </w:rPr>
            </w:pPr>
            <w:r>
              <w:rPr>
                <w:szCs w:val="22"/>
              </w:rPr>
              <w:t>69.0</w:t>
            </w:r>
          </w:p>
        </w:tc>
        <w:tc>
          <w:tcPr>
            <w:tcW w:w="994" w:type="dxa"/>
            <w:vAlign w:val="bottom"/>
          </w:tcPr>
          <w:p>
            <w:pPr>
              <w:pStyle w:val="yTableNAm"/>
              <w:jc w:val="center"/>
              <w:rPr>
                <w:rFonts w:ascii="Arial" w:hAnsi="Arial"/>
                <w:b/>
              </w:rPr>
            </w:pPr>
            <w:r>
              <w:rPr>
                <w:szCs w:val="22"/>
              </w:rPr>
              <w:t>69.0</w:t>
            </w:r>
          </w:p>
        </w:tc>
      </w:tr>
      <w:tr>
        <w:trPr>
          <w:cantSplit/>
        </w:trPr>
        <w:tc>
          <w:tcPr>
            <w:tcW w:w="1417" w:type="dxa"/>
          </w:tcPr>
          <w:p>
            <w:pPr>
              <w:pStyle w:val="yTableNAm"/>
            </w:pPr>
            <w:r>
              <w:rPr>
                <w:szCs w:val="22"/>
              </w:rPr>
              <w:t>Over 150 but not over 300</w:t>
            </w:r>
          </w:p>
        </w:tc>
        <w:tc>
          <w:tcPr>
            <w:tcW w:w="992" w:type="dxa"/>
            <w:vAlign w:val="bottom"/>
          </w:tcPr>
          <w:p>
            <w:pPr>
              <w:pStyle w:val="yTableNAm"/>
              <w:jc w:val="center"/>
              <w:rPr>
                <w:rFonts w:ascii="Arial" w:hAnsi="Arial"/>
                <w:b/>
              </w:rPr>
            </w:pPr>
            <w:r>
              <w:rPr>
                <w:szCs w:val="22"/>
              </w:rPr>
              <w:t>70.2</w:t>
            </w:r>
          </w:p>
        </w:tc>
        <w:tc>
          <w:tcPr>
            <w:tcW w:w="992" w:type="dxa"/>
            <w:vAlign w:val="bottom"/>
          </w:tcPr>
          <w:p>
            <w:pPr>
              <w:pStyle w:val="yTableNAm"/>
              <w:jc w:val="center"/>
              <w:rPr>
                <w:rFonts w:ascii="Arial" w:hAnsi="Arial"/>
                <w:b/>
              </w:rPr>
            </w:pPr>
            <w:r>
              <w:rPr>
                <w:szCs w:val="22"/>
              </w:rPr>
              <w:t>92.0</w:t>
            </w:r>
          </w:p>
        </w:tc>
        <w:tc>
          <w:tcPr>
            <w:tcW w:w="992" w:type="dxa"/>
            <w:vAlign w:val="bottom"/>
          </w:tcPr>
          <w:p>
            <w:pPr>
              <w:pStyle w:val="yTableNAm"/>
              <w:jc w:val="center"/>
              <w:rPr>
                <w:rFonts w:ascii="Arial" w:hAnsi="Arial"/>
                <w:b/>
              </w:rPr>
            </w:pPr>
            <w:r>
              <w:rPr>
                <w:szCs w:val="22"/>
              </w:rPr>
              <w:t>92.0</w:t>
            </w:r>
          </w:p>
        </w:tc>
        <w:tc>
          <w:tcPr>
            <w:tcW w:w="992" w:type="dxa"/>
            <w:vAlign w:val="bottom"/>
          </w:tcPr>
          <w:p>
            <w:pPr>
              <w:pStyle w:val="yTableNAm"/>
              <w:jc w:val="center"/>
              <w:rPr>
                <w:rFonts w:ascii="Arial" w:hAnsi="Arial"/>
                <w:b/>
              </w:rPr>
            </w:pPr>
            <w:r>
              <w:rPr>
                <w:szCs w:val="22"/>
              </w:rPr>
              <w:t>92.0</w:t>
            </w:r>
          </w:p>
        </w:tc>
        <w:tc>
          <w:tcPr>
            <w:tcW w:w="994" w:type="dxa"/>
            <w:vAlign w:val="bottom"/>
          </w:tcPr>
          <w:p>
            <w:pPr>
              <w:pStyle w:val="yTableNAm"/>
              <w:jc w:val="center"/>
              <w:rPr>
                <w:rFonts w:ascii="Arial" w:hAnsi="Arial"/>
                <w:b/>
              </w:rPr>
            </w:pPr>
            <w:r>
              <w:rPr>
                <w:szCs w:val="22"/>
              </w:rPr>
              <w:t>92.0</w:t>
            </w:r>
          </w:p>
        </w:tc>
      </w:tr>
      <w:tr>
        <w:trPr>
          <w:cantSplit/>
        </w:trPr>
        <w:tc>
          <w:tcPr>
            <w:tcW w:w="1417" w:type="dxa"/>
          </w:tcPr>
          <w:p>
            <w:pPr>
              <w:pStyle w:val="yTableNAm"/>
            </w:pPr>
            <w:r>
              <w:rPr>
                <w:szCs w:val="22"/>
              </w:rPr>
              <w:lastRenderedPageBreak/>
              <w:t>Over 300 but not over 400</w:t>
            </w:r>
          </w:p>
        </w:tc>
        <w:tc>
          <w:tcPr>
            <w:tcW w:w="992" w:type="dxa"/>
            <w:vAlign w:val="bottom"/>
          </w:tcPr>
          <w:p>
            <w:pPr>
              <w:pStyle w:val="yTableNAm"/>
              <w:jc w:val="center"/>
              <w:rPr>
                <w:rFonts w:ascii="Arial" w:hAnsi="Arial"/>
                <w:b/>
              </w:rPr>
            </w:pPr>
            <w:r>
              <w:rPr>
                <w:szCs w:val="22"/>
              </w:rPr>
              <w:t>74.3</w:t>
            </w:r>
          </w:p>
        </w:tc>
        <w:tc>
          <w:tcPr>
            <w:tcW w:w="992" w:type="dxa"/>
            <w:vAlign w:val="bottom"/>
          </w:tcPr>
          <w:p>
            <w:pPr>
              <w:pStyle w:val="yTableNAm"/>
              <w:jc w:val="center"/>
              <w:rPr>
                <w:rFonts w:ascii="Arial" w:hAnsi="Arial"/>
                <w:b/>
              </w:rPr>
            </w:pPr>
            <w:r>
              <w:rPr>
                <w:szCs w:val="22"/>
              </w:rPr>
              <w:t>102.1</w:t>
            </w:r>
          </w:p>
        </w:tc>
        <w:tc>
          <w:tcPr>
            <w:tcW w:w="992" w:type="dxa"/>
            <w:vAlign w:val="bottom"/>
          </w:tcPr>
          <w:p>
            <w:pPr>
              <w:pStyle w:val="yTableNAm"/>
              <w:jc w:val="center"/>
              <w:rPr>
                <w:rFonts w:ascii="Arial" w:hAnsi="Arial"/>
                <w:b/>
              </w:rPr>
            </w:pPr>
            <w:r>
              <w:rPr>
                <w:szCs w:val="22"/>
              </w:rPr>
              <w:t>136.1</w:t>
            </w:r>
          </w:p>
        </w:tc>
        <w:tc>
          <w:tcPr>
            <w:tcW w:w="992" w:type="dxa"/>
            <w:vAlign w:val="bottom"/>
          </w:tcPr>
          <w:p>
            <w:pPr>
              <w:pStyle w:val="yTableNAm"/>
              <w:jc w:val="center"/>
              <w:rPr>
                <w:rFonts w:ascii="Arial" w:hAnsi="Arial"/>
                <w:b/>
              </w:rPr>
            </w:pPr>
            <w:r>
              <w:rPr>
                <w:szCs w:val="22"/>
              </w:rPr>
              <w:t>160.1</w:t>
            </w:r>
          </w:p>
        </w:tc>
        <w:tc>
          <w:tcPr>
            <w:tcW w:w="994" w:type="dxa"/>
            <w:vAlign w:val="bottom"/>
          </w:tcPr>
          <w:p>
            <w:pPr>
              <w:pStyle w:val="yTableNAm"/>
              <w:jc w:val="center"/>
              <w:rPr>
                <w:rFonts w:ascii="Arial" w:hAnsi="Arial"/>
                <w:b/>
              </w:rPr>
            </w:pPr>
            <w:r>
              <w:rPr>
                <w:szCs w:val="22"/>
              </w:rPr>
              <w:t>188.3</w:t>
            </w:r>
          </w:p>
        </w:tc>
      </w:tr>
      <w:tr>
        <w:trPr>
          <w:cantSplit/>
        </w:trPr>
        <w:tc>
          <w:tcPr>
            <w:tcW w:w="1417" w:type="dxa"/>
          </w:tcPr>
          <w:p>
            <w:pPr>
              <w:pStyle w:val="yTableNAm"/>
            </w:pPr>
            <w:r>
              <w:rPr>
                <w:szCs w:val="22"/>
              </w:rPr>
              <w:t>Over 400 but not over 550</w:t>
            </w:r>
          </w:p>
        </w:tc>
        <w:tc>
          <w:tcPr>
            <w:tcW w:w="992" w:type="dxa"/>
            <w:vAlign w:val="bottom"/>
          </w:tcPr>
          <w:p>
            <w:pPr>
              <w:pStyle w:val="yTableNAm"/>
              <w:jc w:val="center"/>
              <w:rPr>
                <w:rFonts w:ascii="Arial" w:hAnsi="Arial"/>
                <w:b/>
              </w:rPr>
            </w:pPr>
            <w:r>
              <w:rPr>
                <w:szCs w:val="22"/>
              </w:rPr>
              <w:t>148.6</w:t>
            </w:r>
          </w:p>
        </w:tc>
        <w:tc>
          <w:tcPr>
            <w:tcW w:w="992" w:type="dxa"/>
            <w:vAlign w:val="bottom"/>
          </w:tcPr>
          <w:p>
            <w:pPr>
              <w:pStyle w:val="yTableNAm"/>
              <w:jc w:val="center"/>
              <w:rPr>
                <w:rFonts w:ascii="Arial" w:hAnsi="Arial"/>
                <w:b/>
              </w:rPr>
            </w:pPr>
            <w:r>
              <w:rPr>
                <w:szCs w:val="22"/>
              </w:rPr>
              <w:t>204.3</w:t>
            </w:r>
          </w:p>
        </w:tc>
        <w:tc>
          <w:tcPr>
            <w:tcW w:w="992" w:type="dxa"/>
            <w:vAlign w:val="bottom"/>
          </w:tcPr>
          <w:p>
            <w:pPr>
              <w:pStyle w:val="yTableNAm"/>
              <w:jc w:val="center"/>
              <w:rPr>
                <w:rFonts w:ascii="Arial" w:hAnsi="Arial"/>
                <w:b/>
              </w:rPr>
            </w:pPr>
            <w:r>
              <w:rPr>
                <w:szCs w:val="22"/>
              </w:rPr>
              <w:t>272.2</w:t>
            </w:r>
          </w:p>
        </w:tc>
        <w:tc>
          <w:tcPr>
            <w:tcW w:w="992" w:type="dxa"/>
            <w:vAlign w:val="bottom"/>
          </w:tcPr>
          <w:p>
            <w:pPr>
              <w:pStyle w:val="yTableNAm"/>
              <w:jc w:val="center"/>
              <w:rPr>
                <w:rFonts w:ascii="Arial" w:hAnsi="Arial"/>
                <w:b/>
              </w:rPr>
            </w:pPr>
            <w:r>
              <w:rPr>
                <w:szCs w:val="22"/>
              </w:rPr>
              <w:t>320.2</w:t>
            </w:r>
          </w:p>
        </w:tc>
        <w:tc>
          <w:tcPr>
            <w:tcW w:w="994" w:type="dxa"/>
            <w:vAlign w:val="bottom"/>
          </w:tcPr>
          <w:p>
            <w:pPr>
              <w:pStyle w:val="yTableNAm"/>
              <w:jc w:val="center"/>
              <w:rPr>
                <w:rFonts w:ascii="Arial" w:hAnsi="Arial"/>
                <w:b/>
              </w:rPr>
            </w:pPr>
            <w:r>
              <w:rPr>
                <w:szCs w:val="22"/>
              </w:rPr>
              <w:t>376.6</w:t>
            </w:r>
          </w:p>
        </w:tc>
      </w:tr>
      <w:tr>
        <w:trPr>
          <w:cantSplit/>
        </w:trPr>
        <w:tc>
          <w:tcPr>
            <w:tcW w:w="1417" w:type="dxa"/>
            <w:tcBorders>
              <w:bottom w:val="single" w:sz="4" w:space="0" w:color="auto"/>
            </w:tcBorders>
          </w:tcPr>
          <w:p>
            <w:pPr>
              <w:pStyle w:val="yTableNAm"/>
            </w:pPr>
            <w:r>
              <w:rPr>
                <w:szCs w:val="22"/>
              </w:rPr>
              <w:t>Over 550</w:t>
            </w:r>
          </w:p>
        </w:tc>
        <w:tc>
          <w:tcPr>
            <w:tcW w:w="992" w:type="dxa"/>
            <w:tcBorders>
              <w:bottom w:val="single" w:sz="4" w:space="0" w:color="auto"/>
            </w:tcBorders>
            <w:vAlign w:val="bottom"/>
          </w:tcPr>
          <w:p>
            <w:pPr>
              <w:pStyle w:val="yTableNAm"/>
              <w:jc w:val="center"/>
              <w:rPr>
                <w:rFonts w:ascii="Arial" w:hAnsi="Arial"/>
                <w:b/>
              </w:rPr>
            </w:pPr>
            <w:r>
              <w:rPr>
                <w:szCs w:val="22"/>
              </w:rPr>
              <w:t>173.4</w:t>
            </w:r>
          </w:p>
        </w:tc>
        <w:tc>
          <w:tcPr>
            <w:tcW w:w="992" w:type="dxa"/>
            <w:tcBorders>
              <w:bottom w:val="single" w:sz="4" w:space="0" w:color="auto"/>
            </w:tcBorders>
            <w:vAlign w:val="bottom"/>
          </w:tcPr>
          <w:p>
            <w:pPr>
              <w:pStyle w:val="yTableNAm"/>
              <w:jc w:val="center"/>
              <w:rPr>
                <w:rFonts w:ascii="Arial" w:hAnsi="Arial"/>
                <w:b/>
              </w:rPr>
            </w:pPr>
            <w:r>
              <w:rPr>
                <w:szCs w:val="22"/>
              </w:rPr>
              <w:t>260.7</w:t>
            </w:r>
          </w:p>
        </w:tc>
        <w:tc>
          <w:tcPr>
            <w:tcW w:w="992" w:type="dxa"/>
            <w:tcBorders>
              <w:bottom w:val="single" w:sz="4" w:space="0" w:color="auto"/>
            </w:tcBorders>
            <w:vAlign w:val="bottom"/>
          </w:tcPr>
          <w:p>
            <w:pPr>
              <w:pStyle w:val="yTableNAm"/>
              <w:jc w:val="center"/>
              <w:rPr>
                <w:rFonts w:ascii="Arial" w:hAnsi="Arial"/>
                <w:b/>
              </w:rPr>
            </w:pPr>
            <w:r>
              <w:rPr>
                <w:szCs w:val="22"/>
              </w:rPr>
              <w:t>347.0</w:t>
            </w:r>
          </w:p>
        </w:tc>
        <w:tc>
          <w:tcPr>
            <w:tcW w:w="992" w:type="dxa"/>
            <w:tcBorders>
              <w:bottom w:val="single" w:sz="4" w:space="0" w:color="auto"/>
            </w:tcBorders>
            <w:vAlign w:val="bottom"/>
          </w:tcPr>
          <w:p>
            <w:pPr>
              <w:pStyle w:val="yTableNAm"/>
              <w:jc w:val="center"/>
              <w:rPr>
                <w:rFonts w:ascii="Arial" w:hAnsi="Arial"/>
                <w:b/>
              </w:rPr>
            </w:pPr>
            <w:r>
              <w:rPr>
                <w:szCs w:val="22"/>
              </w:rPr>
              <w:t>480.0</w:t>
            </w:r>
          </w:p>
        </w:tc>
        <w:tc>
          <w:tcPr>
            <w:tcW w:w="994" w:type="dxa"/>
            <w:tcBorders>
              <w:bottom w:val="single" w:sz="4" w:space="0" w:color="auto"/>
            </w:tcBorders>
            <w:vAlign w:val="bottom"/>
          </w:tcPr>
          <w:p>
            <w:pPr>
              <w:pStyle w:val="yTableNAm"/>
              <w:jc w:val="center"/>
              <w:rPr>
                <w:rFonts w:ascii="Arial" w:hAnsi="Arial"/>
                <w:b/>
              </w:rPr>
            </w:pPr>
            <w:r>
              <w:rPr>
                <w:szCs w:val="22"/>
              </w:rPr>
              <w:t>647.4</w:t>
            </w:r>
          </w:p>
        </w:tc>
      </w:tr>
    </w:tbl>
    <w:p>
      <w:pPr>
        <w:pStyle w:val="yMiscellaneousBody"/>
      </w:pP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zyTableNAm"/>
              <w:rPr>
                <w:rStyle w:val="CharSClsNo"/>
              </w:rPr>
            </w:pPr>
          </w:p>
        </w:tc>
        <w:tc>
          <w:tcPr>
            <w:tcW w:w="4237" w:type="dxa"/>
          </w:tcPr>
          <w:p>
            <w:pPr>
              <w:pStyle w:val="yTableNAm"/>
            </w:pPr>
            <w:r>
              <w:t>except that if the property is —</w:t>
            </w:r>
          </w:p>
        </w:tc>
        <w:tc>
          <w:tcPr>
            <w:tcW w:w="1292" w:type="dxa"/>
          </w:tcPr>
          <w:p>
            <w:pPr>
              <w:pStyle w:val="yTableNAm"/>
            </w:pPr>
          </w:p>
        </w:tc>
      </w:tr>
      <w:tr>
        <w:trPr>
          <w:cantSplit/>
        </w:trPr>
        <w:tc>
          <w:tcPr>
            <w:tcW w:w="850" w:type="dxa"/>
          </w:tcPr>
          <w:p>
            <w:pPr>
              <w:pStyle w:val="zyTableNAm"/>
              <w:rPr>
                <w:rStyle w:val="CharSClsNo"/>
                <w:b/>
                <w:bCs/>
              </w:rPr>
            </w:pPr>
          </w:p>
        </w:tc>
        <w:tc>
          <w:tcPr>
            <w:tcW w:w="4237" w:type="dxa"/>
          </w:tcPr>
          <w:p>
            <w:pPr>
              <w:pStyle w:val="yTableNAm"/>
              <w:tabs>
                <w:tab w:val="clear" w:pos="567"/>
                <w:tab w:val="left" w:pos="268"/>
                <w:tab w:val="left" w:pos="715"/>
              </w:tabs>
              <w:ind w:left="730" w:hanging="730"/>
              <w:rPr>
                <w:rFonts w:ascii="Arial" w:hAnsi="Arial"/>
                <w:b/>
              </w:rPr>
            </w:pPr>
            <w:r>
              <w:rPr>
                <w:snapToGrid w:val="0"/>
              </w:rPr>
              <w:tab/>
              <w:t>(a)</w:t>
            </w:r>
            <w:r>
              <w:rPr>
                <w:snapToGrid w:val="0"/>
              </w:rPr>
              <w:tab/>
              <w:t>in the town of Cue, Laverton, Leonora, Meekatharra, Menzies, Mt Magnet, Mullewa, Sandstone, Wiluna or Yalgoo; or</w:t>
            </w:r>
          </w:p>
        </w:tc>
        <w:tc>
          <w:tcPr>
            <w:tcW w:w="1292" w:type="dxa"/>
          </w:tcPr>
          <w:p>
            <w:pPr>
              <w:pStyle w:val="yTableNAm"/>
            </w:pPr>
          </w:p>
        </w:tc>
      </w:tr>
      <w:tr>
        <w:trPr>
          <w:cantSplit/>
        </w:trPr>
        <w:tc>
          <w:tcPr>
            <w:tcW w:w="850" w:type="dxa"/>
          </w:tcPr>
          <w:p>
            <w:pPr>
              <w:pStyle w:val="zyTableNAm"/>
              <w:rPr>
                <w:rStyle w:val="CharSClsNo"/>
              </w:rPr>
            </w:pPr>
          </w:p>
        </w:tc>
        <w:tc>
          <w:tcPr>
            <w:tcW w:w="4237" w:type="dxa"/>
          </w:tcPr>
          <w:p>
            <w:pPr>
              <w:pStyle w:val="yTableNAm"/>
              <w:tabs>
                <w:tab w:val="clear" w:pos="567"/>
                <w:tab w:val="left" w:pos="268"/>
                <w:tab w:val="left" w:pos="715"/>
              </w:tabs>
              <w:ind w:left="730" w:hanging="730"/>
              <w:rPr>
                <w:rFonts w:ascii="Arial" w:hAnsi="Arial"/>
                <w:b/>
              </w:rPr>
            </w:pPr>
            <w:r>
              <w:rPr>
                <w:snapToGrid w:val="0"/>
              </w:rPr>
              <w:tab/>
              <w:t>(b)</w:t>
            </w:r>
            <w:r>
              <w:rPr>
                <w:snapToGrid w:val="0"/>
              </w:rPr>
              <w:tab/>
              <w:t>north of 26ºS Latitude,</w:t>
            </w:r>
          </w:p>
        </w:tc>
        <w:tc>
          <w:tcPr>
            <w:tcW w:w="1292" w:type="dxa"/>
          </w:tcPr>
          <w:p>
            <w:pPr>
              <w:pStyle w:val="yTableNAm"/>
            </w:pPr>
          </w:p>
        </w:tc>
      </w:tr>
      <w:tr>
        <w:trPr>
          <w:cantSplit/>
        </w:trPr>
        <w:tc>
          <w:tcPr>
            <w:tcW w:w="850" w:type="dxa"/>
          </w:tcPr>
          <w:p>
            <w:pPr>
              <w:pStyle w:val="zyTableNAm"/>
              <w:rPr>
                <w:rStyle w:val="CharSClsNo"/>
              </w:rPr>
            </w:pPr>
          </w:p>
        </w:tc>
        <w:tc>
          <w:tcPr>
            <w:tcW w:w="4237" w:type="dxa"/>
          </w:tcPr>
          <w:p>
            <w:pPr>
              <w:pStyle w:val="yTableNAm"/>
              <w:rPr>
                <w:snapToGrid w:val="0"/>
              </w:rPr>
            </w:pPr>
            <w:r>
              <w:t>the charge for each kilolitre of water is —</w:t>
            </w:r>
          </w:p>
        </w:tc>
        <w:tc>
          <w:tcPr>
            <w:tcW w:w="1292" w:type="dxa"/>
          </w:tcPr>
          <w:p>
            <w:pPr>
              <w:pStyle w:val="yTableNAm"/>
            </w:pPr>
          </w:p>
        </w:tc>
      </w:tr>
    </w:tbl>
    <w:p>
      <w:pPr>
        <w:ind w:left="426"/>
        <w:rPr>
          <w:sz w:val="16"/>
          <w:szCs w:val="16"/>
        </w:rPr>
      </w:pPr>
    </w:p>
    <w:tbl>
      <w:tblPr>
        <w:tblW w:w="0" w:type="auto"/>
        <w:tblInd w:w="454" w:type="dxa"/>
        <w:tblCellMar>
          <w:left w:w="28" w:type="dxa"/>
          <w:right w:w="28" w:type="dxa"/>
        </w:tblCellMar>
        <w:tblLook w:val="0000" w:firstRow="0" w:lastRow="0" w:firstColumn="0" w:lastColumn="0" w:noHBand="0" w:noVBand="0"/>
      </w:tblPr>
      <w:tblGrid>
        <w:gridCol w:w="1417"/>
        <w:gridCol w:w="992"/>
        <w:gridCol w:w="992"/>
        <w:gridCol w:w="992"/>
        <w:gridCol w:w="992"/>
        <w:gridCol w:w="994"/>
      </w:tblGrid>
      <w:tr>
        <w:trPr>
          <w:cantSplit/>
          <w:tblHeader/>
        </w:trPr>
        <w:tc>
          <w:tcPr>
            <w:tcW w:w="1417" w:type="dxa"/>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jc w:val="center"/>
            </w:pPr>
            <w:r>
              <w:rPr>
                <w:b/>
                <w:bCs/>
              </w:rPr>
              <w:t>Class 1 (c/kL)</w:t>
            </w:r>
          </w:p>
        </w:tc>
        <w:tc>
          <w:tcPr>
            <w:tcW w:w="992" w:type="dxa"/>
            <w:tcBorders>
              <w:top w:val="single" w:sz="4" w:space="0" w:color="auto"/>
              <w:bottom w:val="single" w:sz="4" w:space="0" w:color="auto"/>
            </w:tcBorders>
          </w:tcPr>
          <w:p>
            <w:pPr>
              <w:pStyle w:val="yTableNAm"/>
              <w:jc w:val="center"/>
            </w:pPr>
            <w:r>
              <w:rPr>
                <w:b/>
                <w:bCs/>
              </w:rPr>
              <w:t>Class 2 (c/kL)</w:t>
            </w:r>
          </w:p>
        </w:tc>
        <w:tc>
          <w:tcPr>
            <w:tcW w:w="992" w:type="dxa"/>
            <w:tcBorders>
              <w:top w:val="single" w:sz="4" w:space="0" w:color="auto"/>
              <w:bottom w:val="single" w:sz="4" w:space="0" w:color="auto"/>
            </w:tcBorders>
          </w:tcPr>
          <w:p>
            <w:pPr>
              <w:pStyle w:val="yTableNAm"/>
              <w:jc w:val="center"/>
            </w:pPr>
            <w:r>
              <w:rPr>
                <w:b/>
                <w:bCs/>
              </w:rPr>
              <w:t>Class 3 (c/kL)</w:t>
            </w:r>
          </w:p>
        </w:tc>
        <w:tc>
          <w:tcPr>
            <w:tcW w:w="992" w:type="dxa"/>
            <w:tcBorders>
              <w:top w:val="single" w:sz="4" w:space="0" w:color="auto"/>
              <w:bottom w:val="single" w:sz="4" w:space="0" w:color="auto"/>
            </w:tcBorders>
          </w:tcPr>
          <w:p>
            <w:pPr>
              <w:pStyle w:val="yTableNAm"/>
              <w:jc w:val="center"/>
            </w:pPr>
            <w:r>
              <w:rPr>
                <w:b/>
                <w:bCs/>
              </w:rPr>
              <w:t>Class 4 (c/kL)</w:t>
            </w:r>
          </w:p>
        </w:tc>
        <w:tc>
          <w:tcPr>
            <w:tcW w:w="994" w:type="dxa"/>
            <w:tcBorders>
              <w:top w:val="single" w:sz="4" w:space="0" w:color="auto"/>
              <w:bottom w:val="single" w:sz="4" w:space="0" w:color="auto"/>
            </w:tcBorders>
          </w:tcPr>
          <w:p>
            <w:pPr>
              <w:pStyle w:val="yTableNAm"/>
              <w:jc w:val="center"/>
            </w:pPr>
            <w:r>
              <w:rPr>
                <w:b/>
                <w:bCs/>
              </w:rPr>
              <w:t>Class 5 (c/kL)</w:t>
            </w:r>
          </w:p>
        </w:tc>
      </w:tr>
      <w:tr>
        <w:trPr>
          <w:cantSplit/>
        </w:trPr>
        <w:tc>
          <w:tcPr>
            <w:tcW w:w="1417" w:type="dxa"/>
          </w:tcPr>
          <w:p>
            <w:pPr>
              <w:pStyle w:val="yTableNAm"/>
            </w:pPr>
            <w:r>
              <w:t>Up to 350</w:t>
            </w:r>
          </w:p>
        </w:tc>
        <w:tc>
          <w:tcPr>
            <w:tcW w:w="992" w:type="dxa"/>
            <w:vAlign w:val="bottom"/>
          </w:tcPr>
          <w:p>
            <w:pPr>
              <w:pStyle w:val="yTableNAm"/>
              <w:jc w:val="center"/>
              <w:rPr>
                <w:rFonts w:ascii="Arial" w:hAnsi="Arial"/>
                <w:b/>
              </w:rPr>
            </w:pPr>
            <w:r>
              <w:rPr>
                <w:szCs w:val="22"/>
              </w:rPr>
              <w:t>52.7</w:t>
            </w:r>
          </w:p>
        </w:tc>
        <w:tc>
          <w:tcPr>
            <w:tcW w:w="992" w:type="dxa"/>
            <w:vAlign w:val="bottom"/>
          </w:tcPr>
          <w:p>
            <w:pPr>
              <w:pStyle w:val="yTableNAm"/>
              <w:jc w:val="center"/>
              <w:rPr>
                <w:rFonts w:ascii="Arial" w:hAnsi="Arial"/>
                <w:b/>
              </w:rPr>
            </w:pPr>
            <w:r>
              <w:rPr>
                <w:szCs w:val="22"/>
              </w:rPr>
              <w:t>69.0</w:t>
            </w:r>
          </w:p>
        </w:tc>
        <w:tc>
          <w:tcPr>
            <w:tcW w:w="992" w:type="dxa"/>
            <w:vAlign w:val="bottom"/>
          </w:tcPr>
          <w:p>
            <w:pPr>
              <w:pStyle w:val="yTableNAm"/>
              <w:jc w:val="center"/>
              <w:rPr>
                <w:rFonts w:ascii="Arial" w:hAnsi="Arial"/>
                <w:b/>
              </w:rPr>
            </w:pPr>
            <w:r>
              <w:rPr>
                <w:szCs w:val="22"/>
              </w:rPr>
              <w:t>69.0</w:t>
            </w:r>
          </w:p>
        </w:tc>
        <w:tc>
          <w:tcPr>
            <w:tcW w:w="992" w:type="dxa"/>
            <w:vAlign w:val="bottom"/>
          </w:tcPr>
          <w:p>
            <w:pPr>
              <w:pStyle w:val="yTableNAm"/>
              <w:jc w:val="center"/>
              <w:rPr>
                <w:rFonts w:ascii="Arial" w:hAnsi="Arial"/>
                <w:b/>
              </w:rPr>
            </w:pPr>
            <w:r>
              <w:rPr>
                <w:szCs w:val="22"/>
              </w:rPr>
              <w:t>69.0</w:t>
            </w:r>
          </w:p>
        </w:tc>
        <w:tc>
          <w:tcPr>
            <w:tcW w:w="994" w:type="dxa"/>
            <w:vAlign w:val="bottom"/>
          </w:tcPr>
          <w:p>
            <w:pPr>
              <w:pStyle w:val="yTableNAm"/>
              <w:jc w:val="center"/>
              <w:rPr>
                <w:rFonts w:ascii="Arial" w:hAnsi="Arial"/>
                <w:b/>
              </w:rPr>
            </w:pPr>
            <w:r>
              <w:rPr>
                <w:szCs w:val="22"/>
              </w:rPr>
              <w:t>69.0</w:t>
            </w:r>
          </w:p>
        </w:tc>
      </w:tr>
      <w:tr>
        <w:trPr>
          <w:cantSplit/>
        </w:trPr>
        <w:tc>
          <w:tcPr>
            <w:tcW w:w="1417" w:type="dxa"/>
          </w:tcPr>
          <w:p>
            <w:pPr>
              <w:pStyle w:val="yTableNAm"/>
            </w:pPr>
            <w:r>
              <w:t>Over 350 but not over 500</w:t>
            </w:r>
          </w:p>
        </w:tc>
        <w:tc>
          <w:tcPr>
            <w:tcW w:w="992" w:type="dxa"/>
            <w:vAlign w:val="bottom"/>
          </w:tcPr>
          <w:p>
            <w:pPr>
              <w:pStyle w:val="yTableNAm"/>
              <w:jc w:val="center"/>
              <w:rPr>
                <w:rFonts w:ascii="Arial" w:hAnsi="Arial"/>
                <w:b/>
              </w:rPr>
            </w:pPr>
            <w:r>
              <w:rPr>
                <w:szCs w:val="22"/>
              </w:rPr>
              <w:t>70.2</w:t>
            </w:r>
          </w:p>
        </w:tc>
        <w:tc>
          <w:tcPr>
            <w:tcW w:w="992" w:type="dxa"/>
            <w:vAlign w:val="bottom"/>
          </w:tcPr>
          <w:p>
            <w:pPr>
              <w:pStyle w:val="yTableNAm"/>
              <w:jc w:val="center"/>
              <w:rPr>
                <w:rFonts w:ascii="Arial" w:hAnsi="Arial"/>
                <w:b/>
              </w:rPr>
            </w:pPr>
            <w:r>
              <w:rPr>
                <w:szCs w:val="22"/>
              </w:rPr>
              <w:t>92.0</w:t>
            </w:r>
          </w:p>
        </w:tc>
        <w:tc>
          <w:tcPr>
            <w:tcW w:w="992" w:type="dxa"/>
            <w:vAlign w:val="bottom"/>
          </w:tcPr>
          <w:p>
            <w:pPr>
              <w:pStyle w:val="yTableNAm"/>
              <w:jc w:val="center"/>
              <w:rPr>
                <w:rFonts w:ascii="Arial" w:hAnsi="Arial"/>
                <w:b/>
              </w:rPr>
            </w:pPr>
            <w:r>
              <w:rPr>
                <w:szCs w:val="22"/>
              </w:rPr>
              <w:t>92.0</w:t>
            </w:r>
          </w:p>
        </w:tc>
        <w:tc>
          <w:tcPr>
            <w:tcW w:w="992" w:type="dxa"/>
            <w:vAlign w:val="bottom"/>
          </w:tcPr>
          <w:p>
            <w:pPr>
              <w:pStyle w:val="yTableNAm"/>
              <w:jc w:val="center"/>
              <w:rPr>
                <w:rFonts w:ascii="Arial" w:hAnsi="Arial"/>
                <w:b/>
              </w:rPr>
            </w:pPr>
            <w:r>
              <w:rPr>
                <w:szCs w:val="22"/>
              </w:rPr>
              <w:t>92.0</w:t>
            </w:r>
          </w:p>
        </w:tc>
        <w:tc>
          <w:tcPr>
            <w:tcW w:w="994" w:type="dxa"/>
            <w:vAlign w:val="bottom"/>
          </w:tcPr>
          <w:p>
            <w:pPr>
              <w:pStyle w:val="yTableNAm"/>
              <w:jc w:val="center"/>
              <w:rPr>
                <w:rFonts w:ascii="Arial" w:hAnsi="Arial"/>
                <w:b/>
              </w:rPr>
            </w:pPr>
            <w:r>
              <w:rPr>
                <w:szCs w:val="22"/>
              </w:rPr>
              <w:t>92.0</w:t>
            </w:r>
          </w:p>
        </w:tc>
      </w:tr>
      <w:tr>
        <w:trPr>
          <w:cantSplit/>
        </w:trPr>
        <w:tc>
          <w:tcPr>
            <w:tcW w:w="1417" w:type="dxa"/>
          </w:tcPr>
          <w:p>
            <w:pPr>
              <w:pStyle w:val="yTableNAm"/>
            </w:pPr>
            <w:r>
              <w:t>Over 500 but not over 600</w:t>
            </w:r>
          </w:p>
        </w:tc>
        <w:tc>
          <w:tcPr>
            <w:tcW w:w="992" w:type="dxa"/>
            <w:vAlign w:val="bottom"/>
          </w:tcPr>
          <w:p>
            <w:pPr>
              <w:pStyle w:val="yTableNAm"/>
              <w:jc w:val="center"/>
              <w:rPr>
                <w:rFonts w:ascii="Arial" w:hAnsi="Arial"/>
                <w:b/>
              </w:rPr>
            </w:pPr>
            <w:r>
              <w:rPr>
                <w:szCs w:val="22"/>
              </w:rPr>
              <w:t>74.3</w:t>
            </w:r>
          </w:p>
        </w:tc>
        <w:tc>
          <w:tcPr>
            <w:tcW w:w="992" w:type="dxa"/>
            <w:vAlign w:val="bottom"/>
          </w:tcPr>
          <w:p>
            <w:pPr>
              <w:pStyle w:val="yTableNAm"/>
              <w:jc w:val="center"/>
              <w:rPr>
                <w:rFonts w:ascii="Arial" w:hAnsi="Arial"/>
                <w:b/>
              </w:rPr>
            </w:pPr>
            <w:r>
              <w:rPr>
                <w:szCs w:val="22"/>
              </w:rPr>
              <w:t>102.1</w:t>
            </w:r>
          </w:p>
        </w:tc>
        <w:tc>
          <w:tcPr>
            <w:tcW w:w="992" w:type="dxa"/>
            <w:vAlign w:val="bottom"/>
          </w:tcPr>
          <w:p>
            <w:pPr>
              <w:pStyle w:val="yTableNAm"/>
              <w:jc w:val="center"/>
              <w:rPr>
                <w:rFonts w:ascii="Arial" w:hAnsi="Arial"/>
                <w:b/>
              </w:rPr>
            </w:pPr>
            <w:r>
              <w:rPr>
                <w:szCs w:val="22"/>
              </w:rPr>
              <w:t>136.1</w:t>
            </w:r>
          </w:p>
        </w:tc>
        <w:tc>
          <w:tcPr>
            <w:tcW w:w="992" w:type="dxa"/>
            <w:vAlign w:val="bottom"/>
          </w:tcPr>
          <w:p>
            <w:pPr>
              <w:pStyle w:val="yTableNAm"/>
              <w:jc w:val="center"/>
              <w:rPr>
                <w:rFonts w:ascii="Arial" w:hAnsi="Arial"/>
                <w:b/>
              </w:rPr>
            </w:pPr>
            <w:r>
              <w:rPr>
                <w:szCs w:val="22"/>
              </w:rPr>
              <w:t>160.1</w:t>
            </w:r>
          </w:p>
        </w:tc>
        <w:tc>
          <w:tcPr>
            <w:tcW w:w="994" w:type="dxa"/>
            <w:vAlign w:val="bottom"/>
          </w:tcPr>
          <w:p>
            <w:pPr>
              <w:pStyle w:val="yTableNAm"/>
              <w:jc w:val="center"/>
              <w:rPr>
                <w:rFonts w:ascii="Arial" w:hAnsi="Arial"/>
                <w:b/>
              </w:rPr>
            </w:pPr>
            <w:r>
              <w:rPr>
                <w:szCs w:val="22"/>
              </w:rPr>
              <w:t>188.3</w:t>
            </w:r>
          </w:p>
        </w:tc>
      </w:tr>
      <w:tr>
        <w:trPr>
          <w:cantSplit/>
        </w:trPr>
        <w:tc>
          <w:tcPr>
            <w:tcW w:w="1417" w:type="dxa"/>
          </w:tcPr>
          <w:p>
            <w:pPr>
              <w:pStyle w:val="yTableNAm"/>
            </w:pPr>
            <w:r>
              <w:t>Over 600 but not over 750</w:t>
            </w:r>
          </w:p>
        </w:tc>
        <w:tc>
          <w:tcPr>
            <w:tcW w:w="992" w:type="dxa"/>
            <w:vAlign w:val="bottom"/>
          </w:tcPr>
          <w:p>
            <w:pPr>
              <w:pStyle w:val="yTableNAm"/>
              <w:jc w:val="center"/>
              <w:rPr>
                <w:rFonts w:ascii="Arial" w:hAnsi="Arial"/>
                <w:b/>
              </w:rPr>
            </w:pPr>
            <w:r>
              <w:rPr>
                <w:szCs w:val="22"/>
              </w:rPr>
              <w:t>148.6</w:t>
            </w:r>
          </w:p>
        </w:tc>
        <w:tc>
          <w:tcPr>
            <w:tcW w:w="992" w:type="dxa"/>
            <w:vAlign w:val="bottom"/>
          </w:tcPr>
          <w:p>
            <w:pPr>
              <w:pStyle w:val="yTableNAm"/>
              <w:jc w:val="center"/>
              <w:rPr>
                <w:rFonts w:ascii="Arial" w:hAnsi="Arial"/>
                <w:b/>
              </w:rPr>
            </w:pPr>
            <w:r>
              <w:rPr>
                <w:szCs w:val="22"/>
              </w:rPr>
              <w:t>204.3</w:t>
            </w:r>
          </w:p>
        </w:tc>
        <w:tc>
          <w:tcPr>
            <w:tcW w:w="992" w:type="dxa"/>
            <w:vAlign w:val="bottom"/>
          </w:tcPr>
          <w:p>
            <w:pPr>
              <w:pStyle w:val="yTableNAm"/>
              <w:jc w:val="center"/>
              <w:rPr>
                <w:rFonts w:ascii="Arial" w:hAnsi="Arial"/>
                <w:b/>
              </w:rPr>
            </w:pPr>
            <w:r>
              <w:rPr>
                <w:szCs w:val="22"/>
              </w:rPr>
              <w:t>272.2</w:t>
            </w:r>
          </w:p>
        </w:tc>
        <w:tc>
          <w:tcPr>
            <w:tcW w:w="992" w:type="dxa"/>
            <w:vAlign w:val="bottom"/>
          </w:tcPr>
          <w:p>
            <w:pPr>
              <w:pStyle w:val="yTableNAm"/>
              <w:jc w:val="center"/>
              <w:rPr>
                <w:rFonts w:ascii="Arial" w:hAnsi="Arial"/>
                <w:b/>
              </w:rPr>
            </w:pPr>
            <w:r>
              <w:rPr>
                <w:szCs w:val="22"/>
              </w:rPr>
              <w:t>320.2</w:t>
            </w:r>
          </w:p>
        </w:tc>
        <w:tc>
          <w:tcPr>
            <w:tcW w:w="994" w:type="dxa"/>
            <w:vAlign w:val="bottom"/>
          </w:tcPr>
          <w:p>
            <w:pPr>
              <w:pStyle w:val="yTableNAm"/>
              <w:jc w:val="center"/>
              <w:rPr>
                <w:rFonts w:ascii="Arial" w:hAnsi="Arial"/>
                <w:b/>
              </w:rPr>
            </w:pPr>
            <w:r>
              <w:rPr>
                <w:szCs w:val="22"/>
              </w:rPr>
              <w:t>376.6</w:t>
            </w:r>
          </w:p>
        </w:tc>
      </w:tr>
      <w:tr>
        <w:trPr>
          <w:cantSplit/>
        </w:trPr>
        <w:tc>
          <w:tcPr>
            <w:tcW w:w="1417" w:type="dxa"/>
            <w:tcBorders>
              <w:bottom w:val="single" w:sz="4" w:space="0" w:color="auto"/>
            </w:tcBorders>
          </w:tcPr>
          <w:p>
            <w:pPr>
              <w:pStyle w:val="yTableNAm"/>
            </w:pPr>
            <w:r>
              <w:t>Over 750</w:t>
            </w:r>
          </w:p>
        </w:tc>
        <w:tc>
          <w:tcPr>
            <w:tcW w:w="992" w:type="dxa"/>
            <w:tcBorders>
              <w:bottom w:val="single" w:sz="4" w:space="0" w:color="auto"/>
            </w:tcBorders>
            <w:vAlign w:val="bottom"/>
          </w:tcPr>
          <w:p>
            <w:pPr>
              <w:pStyle w:val="yTableNAm"/>
              <w:jc w:val="center"/>
              <w:rPr>
                <w:rFonts w:ascii="Arial" w:hAnsi="Arial"/>
                <w:b/>
              </w:rPr>
            </w:pPr>
            <w:r>
              <w:rPr>
                <w:szCs w:val="22"/>
              </w:rPr>
              <w:t>173.4</w:t>
            </w:r>
          </w:p>
        </w:tc>
        <w:tc>
          <w:tcPr>
            <w:tcW w:w="992" w:type="dxa"/>
            <w:tcBorders>
              <w:bottom w:val="single" w:sz="4" w:space="0" w:color="auto"/>
            </w:tcBorders>
            <w:vAlign w:val="bottom"/>
          </w:tcPr>
          <w:p>
            <w:pPr>
              <w:pStyle w:val="yTableNAm"/>
              <w:jc w:val="center"/>
              <w:rPr>
                <w:rFonts w:ascii="Arial" w:hAnsi="Arial"/>
                <w:b/>
              </w:rPr>
            </w:pPr>
            <w:r>
              <w:rPr>
                <w:szCs w:val="22"/>
              </w:rPr>
              <w:t>260.7</w:t>
            </w:r>
          </w:p>
        </w:tc>
        <w:tc>
          <w:tcPr>
            <w:tcW w:w="992" w:type="dxa"/>
            <w:tcBorders>
              <w:bottom w:val="single" w:sz="4" w:space="0" w:color="auto"/>
            </w:tcBorders>
            <w:vAlign w:val="bottom"/>
          </w:tcPr>
          <w:p>
            <w:pPr>
              <w:pStyle w:val="yTableNAm"/>
              <w:jc w:val="center"/>
              <w:rPr>
                <w:rFonts w:ascii="Arial" w:hAnsi="Arial"/>
                <w:b/>
              </w:rPr>
            </w:pPr>
            <w:r>
              <w:rPr>
                <w:szCs w:val="22"/>
              </w:rPr>
              <w:t>347.0</w:t>
            </w:r>
          </w:p>
        </w:tc>
        <w:tc>
          <w:tcPr>
            <w:tcW w:w="992" w:type="dxa"/>
            <w:tcBorders>
              <w:bottom w:val="single" w:sz="4" w:space="0" w:color="auto"/>
            </w:tcBorders>
            <w:vAlign w:val="bottom"/>
          </w:tcPr>
          <w:p>
            <w:pPr>
              <w:pStyle w:val="yTableNAm"/>
              <w:jc w:val="center"/>
              <w:rPr>
                <w:rFonts w:ascii="Arial" w:hAnsi="Arial"/>
                <w:b/>
              </w:rPr>
            </w:pPr>
            <w:r>
              <w:rPr>
                <w:szCs w:val="22"/>
              </w:rPr>
              <w:t>480.0</w:t>
            </w:r>
          </w:p>
        </w:tc>
        <w:tc>
          <w:tcPr>
            <w:tcW w:w="994" w:type="dxa"/>
            <w:tcBorders>
              <w:bottom w:val="single" w:sz="4" w:space="0" w:color="auto"/>
            </w:tcBorders>
            <w:vAlign w:val="bottom"/>
          </w:tcPr>
          <w:p>
            <w:pPr>
              <w:pStyle w:val="yTableNAm"/>
              <w:jc w:val="center"/>
              <w:rPr>
                <w:rFonts w:ascii="Arial" w:hAnsi="Arial"/>
                <w:b/>
              </w:rPr>
            </w:pPr>
            <w:r>
              <w:rPr>
                <w:szCs w:val="22"/>
              </w:rPr>
              <w:t>647.4</w:t>
            </w:r>
          </w:p>
        </w:tc>
      </w:tr>
    </w:tbl>
    <w:p>
      <w:pPr>
        <w:pStyle w:val="yMiscellaneousBody"/>
      </w:pPr>
    </w:p>
    <w:tbl>
      <w:tblPr>
        <w:tblW w:w="0" w:type="auto"/>
        <w:tblInd w:w="534" w:type="dxa"/>
        <w:tblLook w:val="0000" w:firstRow="0" w:lastRow="0" w:firstColumn="0" w:lastColumn="0" w:noHBand="0" w:noVBand="0"/>
      </w:tblPr>
      <w:tblGrid>
        <w:gridCol w:w="774"/>
        <w:gridCol w:w="4302"/>
        <w:gridCol w:w="1303"/>
      </w:tblGrid>
      <w:tr>
        <w:trPr>
          <w:cantSplit/>
        </w:trPr>
        <w:tc>
          <w:tcPr>
            <w:tcW w:w="774" w:type="dxa"/>
          </w:tcPr>
          <w:p>
            <w:pPr>
              <w:pStyle w:val="yTableNAm"/>
            </w:pPr>
            <w:r>
              <w:rPr>
                <w:b/>
              </w:rPr>
              <w:t>24.</w:t>
            </w:r>
          </w:p>
        </w:tc>
        <w:tc>
          <w:tcPr>
            <w:tcW w:w="4302" w:type="dxa"/>
          </w:tcPr>
          <w:p>
            <w:pPr>
              <w:pStyle w:val="yTableNAm"/>
            </w:pPr>
            <w:r>
              <w:rPr>
                <w:b/>
                <w:bCs/>
              </w:rPr>
              <w:t>Metropolitan non</w:t>
            </w:r>
            <w:r>
              <w:rPr>
                <w:b/>
                <w:bCs/>
              </w:rPr>
              <w:noBreakHyphen/>
              <w:t>residential</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pPr>
            <w:r>
              <w:t xml:space="preserve">For each kilolitre of water supplied to land that is in the metropolitan area and that is neither comprised in a residential property, nor any other land classified as vacant land and held for residential purposes, not being water for which a charge is otherwise specifically provided in this Division —  </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268"/>
                <w:tab w:val="left" w:pos="715"/>
                <w:tab w:val="right" w:leader="dot" w:pos="3952"/>
              </w:tabs>
              <w:ind w:left="731" w:hanging="731"/>
              <w:rPr>
                <w:rFonts w:ascii="Arial" w:hAnsi="Arial"/>
                <w:b/>
              </w:rPr>
            </w:pPr>
            <w:r>
              <w:tab/>
              <w:t>(a)</w:t>
            </w:r>
            <w:r>
              <w:tab/>
              <w:t>in the case of land not mentioned in paragraph (b) </w:t>
            </w:r>
            <w:r>
              <w:tab/>
            </w:r>
          </w:p>
        </w:tc>
        <w:tc>
          <w:tcPr>
            <w:tcW w:w="1303" w:type="dxa"/>
            <w:vAlign w:val="bottom"/>
          </w:tcPr>
          <w:p>
            <w:pPr>
              <w:pStyle w:val="yTableNAm"/>
            </w:pPr>
            <w:r>
              <w:t>204.3 cents</w:t>
            </w:r>
          </w:p>
        </w:tc>
      </w:tr>
      <w:tr>
        <w:trPr>
          <w:cantSplit/>
        </w:trPr>
        <w:tc>
          <w:tcPr>
            <w:tcW w:w="774" w:type="dxa"/>
          </w:tcPr>
          <w:p>
            <w:pPr>
              <w:pStyle w:val="zyTableNAm"/>
            </w:pPr>
          </w:p>
        </w:tc>
        <w:tc>
          <w:tcPr>
            <w:tcW w:w="4302" w:type="dxa"/>
          </w:tcPr>
          <w:p>
            <w:pPr>
              <w:pStyle w:val="yTableNAm"/>
              <w:tabs>
                <w:tab w:val="clear" w:pos="567"/>
                <w:tab w:val="left" w:pos="268"/>
                <w:tab w:val="left" w:pos="715"/>
                <w:tab w:val="right" w:leader="dot" w:pos="3952"/>
              </w:tabs>
              <w:ind w:left="731" w:hanging="731"/>
              <w:rPr>
                <w:rFonts w:ascii="Arial" w:hAnsi="Arial"/>
                <w:b/>
              </w:rPr>
            </w:pPr>
            <w:r>
              <w:tab/>
              <w:t>(b)</w:t>
            </w:r>
            <w:r>
              <w:tab/>
              <w:t>in the case of land classified as commercial residential —</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982"/>
                <w:tab w:val="right" w:leader="dot" w:pos="3950"/>
              </w:tabs>
              <w:ind w:left="982" w:hanging="982"/>
              <w:rPr>
                <w:rFonts w:ascii="Arial" w:hAnsi="Arial"/>
                <w:b/>
              </w:rPr>
            </w:pPr>
            <w:r>
              <w:tab/>
              <w:t xml:space="preserve">up to </w:t>
            </w:r>
            <w:r>
              <w:rPr>
                <w:spacing w:val="-1"/>
              </w:rPr>
              <w:t>150</w:t>
            </w:r>
            <w:r>
              <w:t xml:space="preserve"> kL </w:t>
            </w:r>
            <w:r>
              <w:tab/>
            </w:r>
          </w:p>
        </w:tc>
        <w:tc>
          <w:tcPr>
            <w:tcW w:w="1303" w:type="dxa"/>
            <w:vAlign w:val="bottom"/>
          </w:tcPr>
          <w:p>
            <w:pPr>
              <w:pStyle w:val="yTableNAm"/>
            </w:pPr>
            <w:r>
              <w:t>138.1 cents</w:t>
            </w:r>
          </w:p>
        </w:tc>
      </w:tr>
      <w:tr>
        <w:trPr>
          <w:cantSplit/>
        </w:trPr>
        <w:tc>
          <w:tcPr>
            <w:tcW w:w="774" w:type="dxa"/>
          </w:tcPr>
          <w:p>
            <w:pPr>
              <w:pStyle w:val="zyTableNAm"/>
            </w:pPr>
          </w:p>
        </w:tc>
        <w:tc>
          <w:tcPr>
            <w:tcW w:w="4302" w:type="dxa"/>
          </w:tcPr>
          <w:p>
            <w:pPr>
              <w:pStyle w:val="yTableNAm"/>
              <w:tabs>
                <w:tab w:val="clear" w:pos="567"/>
                <w:tab w:val="left" w:pos="982"/>
                <w:tab w:val="right" w:leader="dot" w:pos="3950"/>
              </w:tabs>
              <w:ind w:left="982" w:hanging="982"/>
              <w:rPr>
                <w:rFonts w:ascii="Arial" w:hAnsi="Arial"/>
                <w:b/>
              </w:rPr>
            </w:pPr>
            <w:r>
              <w:tab/>
              <w:t xml:space="preserve">over 150 kL </w:t>
            </w:r>
            <w:r>
              <w:tab/>
            </w:r>
          </w:p>
        </w:tc>
        <w:tc>
          <w:tcPr>
            <w:tcW w:w="1303" w:type="dxa"/>
            <w:vAlign w:val="bottom"/>
          </w:tcPr>
          <w:p>
            <w:pPr>
              <w:pStyle w:val="yTableNAm"/>
            </w:pPr>
            <w:r>
              <w:t>204.3 cents</w:t>
            </w:r>
          </w:p>
        </w:tc>
      </w:tr>
      <w:tr>
        <w:trPr>
          <w:cantSplit/>
        </w:trPr>
        <w:tc>
          <w:tcPr>
            <w:tcW w:w="774" w:type="dxa"/>
          </w:tcPr>
          <w:p>
            <w:pPr>
              <w:pStyle w:val="yTableNAm"/>
            </w:pPr>
            <w:r>
              <w:rPr>
                <w:b/>
              </w:rPr>
              <w:t>25.</w:t>
            </w:r>
          </w:p>
        </w:tc>
        <w:tc>
          <w:tcPr>
            <w:tcW w:w="4302" w:type="dxa"/>
          </w:tcPr>
          <w:p>
            <w:pPr>
              <w:pStyle w:val="yTableNAm"/>
            </w:pPr>
            <w:r>
              <w:rPr>
                <w:b/>
              </w:rPr>
              <w:t>Connected metropolitan exempt</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tabs>
                <w:tab w:val="right" w:leader="dot" w:pos="3952"/>
              </w:tabs>
              <w:rPr>
                <w:rFonts w:ascii="Arial" w:hAnsi="Arial"/>
                <w:b/>
              </w:rPr>
            </w:pPr>
            <w:r>
              <w:t>For each kilolitre of water, not being water for which a charge is otherwise provided in item 29 or 31, supplied to land described in by</w:t>
            </w:r>
            <w:r>
              <w:noBreakHyphen/>
              <w:t xml:space="preserve">law 4 that is in the metropolitan area and that is not classified as residential </w:t>
            </w:r>
            <w:r>
              <w:tab/>
            </w:r>
          </w:p>
        </w:tc>
        <w:tc>
          <w:tcPr>
            <w:tcW w:w="1303" w:type="dxa"/>
            <w:vAlign w:val="bottom"/>
          </w:tcPr>
          <w:p>
            <w:pPr>
              <w:pStyle w:val="yTableNAm"/>
            </w:pPr>
            <w:r>
              <w:t>204.3 cents</w:t>
            </w:r>
          </w:p>
        </w:tc>
      </w:tr>
      <w:tr>
        <w:trPr>
          <w:cantSplit/>
        </w:trPr>
        <w:tc>
          <w:tcPr>
            <w:tcW w:w="774" w:type="dxa"/>
          </w:tcPr>
          <w:p>
            <w:pPr>
              <w:pStyle w:val="yTableNAm"/>
            </w:pPr>
            <w:r>
              <w:rPr>
                <w:b/>
              </w:rPr>
              <w:t>26.</w:t>
            </w:r>
          </w:p>
        </w:tc>
        <w:tc>
          <w:tcPr>
            <w:tcW w:w="4302" w:type="dxa"/>
          </w:tcPr>
          <w:p>
            <w:pPr>
              <w:pStyle w:val="yTableNAm"/>
            </w:pPr>
            <w:r>
              <w:rPr>
                <w:b/>
              </w:rPr>
              <w:t>Connected non</w:t>
            </w:r>
            <w:r>
              <w:rPr>
                <w:b/>
              </w:rPr>
              <w:noBreakHyphen/>
              <w:t>metropolitan residential exempt</w:t>
            </w:r>
          </w:p>
        </w:tc>
        <w:tc>
          <w:tcPr>
            <w:tcW w:w="1303" w:type="dxa"/>
            <w:vAlign w:val="bottom"/>
          </w:tcPr>
          <w:p>
            <w:pPr>
              <w:pStyle w:val="yTableNAm"/>
            </w:pPr>
          </w:p>
        </w:tc>
      </w:tr>
      <w:tr>
        <w:trPr>
          <w:cantSplit/>
        </w:trPr>
        <w:tc>
          <w:tcPr>
            <w:tcW w:w="774" w:type="dxa"/>
          </w:tcPr>
          <w:p>
            <w:pPr>
              <w:pStyle w:val="zyTableNAm"/>
              <w:keepNext/>
              <w:keepLines/>
              <w:widowControl w:val="0"/>
            </w:pPr>
          </w:p>
        </w:tc>
        <w:tc>
          <w:tcPr>
            <w:tcW w:w="4302" w:type="dxa"/>
          </w:tcPr>
          <w:p>
            <w:pPr>
              <w:pStyle w:val="yTableNAm"/>
              <w:tabs>
                <w:tab w:val="right" w:leader="dot" w:pos="3952"/>
              </w:tabs>
              <w:rPr>
                <w:rFonts w:ascii="Arial" w:hAnsi="Arial"/>
                <w:b/>
              </w:rPr>
            </w:pPr>
            <w:r>
              <w:t>For each kilolitre of water, not being water for which a charge is otherwise specifically provided in this Division, supplied to land described in by</w:t>
            </w:r>
            <w:r>
              <w:noBreakHyphen/>
              <w:t xml:space="preserve">law 4 that is comprised in a residential property and is not in the metropolitan area </w:t>
            </w:r>
            <w:r>
              <w:tab/>
            </w:r>
          </w:p>
        </w:tc>
        <w:tc>
          <w:tcPr>
            <w:tcW w:w="1303" w:type="dxa"/>
            <w:vAlign w:val="bottom"/>
          </w:tcPr>
          <w:p>
            <w:pPr>
              <w:pStyle w:val="yTableNAm"/>
            </w:pPr>
            <w:r>
              <w:t>196.5 cents</w:t>
            </w:r>
          </w:p>
        </w:tc>
      </w:tr>
      <w:tr>
        <w:trPr>
          <w:cantSplit/>
        </w:trPr>
        <w:tc>
          <w:tcPr>
            <w:tcW w:w="774" w:type="dxa"/>
          </w:tcPr>
          <w:p>
            <w:pPr>
              <w:pStyle w:val="yTableNAm"/>
            </w:pPr>
            <w:r>
              <w:rPr>
                <w:b/>
              </w:rPr>
              <w:t>27.</w:t>
            </w:r>
          </w:p>
        </w:tc>
        <w:tc>
          <w:tcPr>
            <w:tcW w:w="4302" w:type="dxa"/>
          </w:tcPr>
          <w:p>
            <w:pPr>
              <w:pStyle w:val="yTableNAm"/>
            </w:pPr>
            <w:r>
              <w:rPr>
                <w:b/>
                <w:bCs/>
              </w:rPr>
              <w:t>Non</w:t>
            </w:r>
            <w:r>
              <w:rPr>
                <w:b/>
                <w:bCs/>
              </w:rPr>
              <w:noBreakHyphen/>
              <w:t>metropolitan non</w:t>
            </w:r>
            <w:r>
              <w:rPr>
                <w:b/>
                <w:bCs/>
              </w:rPr>
              <w:noBreakHyphen/>
              <w:t>residential</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pPr>
            <w:r>
              <w:t>For each kilolitre of water, not being water for which a charge is otherwise specifically provided in this Division, supplied to land that is not in the metropolitan area and that is neither comprised in a residential property, nor any other land classified as vacant land and held for residential purposes, where the land is classified as — </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268"/>
                <w:tab w:val="left" w:pos="715"/>
                <w:tab w:val="right" w:leader="dot" w:pos="3952"/>
              </w:tabs>
              <w:ind w:left="731" w:hanging="731"/>
              <w:rPr>
                <w:rFonts w:ascii="Arial" w:hAnsi="Arial"/>
                <w:b/>
              </w:rPr>
            </w:pPr>
            <w:r>
              <w:rPr>
                <w:snapToGrid w:val="0"/>
              </w:rPr>
              <w:tab/>
              <w:t>(a)</w:t>
            </w:r>
            <w:r>
              <w:rPr>
                <w:snapToGrid w:val="0"/>
              </w:rPr>
              <w:tab/>
              <w:t xml:space="preserve">local government </w:t>
            </w:r>
            <w:r>
              <w:rPr>
                <w:snapToGrid w:val="0"/>
              </w:rPr>
              <w:tab/>
            </w:r>
          </w:p>
        </w:tc>
        <w:tc>
          <w:tcPr>
            <w:tcW w:w="1303" w:type="dxa"/>
            <w:vAlign w:val="bottom"/>
          </w:tcPr>
          <w:p>
            <w:pPr>
              <w:pStyle w:val="yTableNAm"/>
            </w:pPr>
            <w:r>
              <w:t>196.5 cents</w:t>
            </w:r>
          </w:p>
        </w:tc>
      </w:tr>
      <w:tr>
        <w:trPr>
          <w:cantSplit/>
        </w:trPr>
        <w:tc>
          <w:tcPr>
            <w:tcW w:w="774" w:type="dxa"/>
          </w:tcPr>
          <w:p>
            <w:pPr>
              <w:pStyle w:val="zyTableNAm"/>
            </w:pPr>
          </w:p>
        </w:tc>
        <w:tc>
          <w:tcPr>
            <w:tcW w:w="4302" w:type="dxa"/>
          </w:tcPr>
          <w:p>
            <w:pPr>
              <w:pStyle w:val="yTableNAm"/>
              <w:tabs>
                <w:tab w:val="clear" w:pos="567"/>
                <w:tab w:val="left" w:pos="268"/>
                <w:tab w:val="left" w:pos="715"/>
                <w:tab w:val="right" w:leader="dot" w:pos="3952"/>
              </w:tabs>
              <w:ind w:left="731" w:hanging="731"/>
              <w:rPr>
                <w:rFonts w:ascii="Arial" w:hAnsi="Arial"/>
                <w:b/>
              </w:rPr>
            </w:pPr>
            <w:r>
              <w:rPr>
                <w:snapToGrid w:val="0"/>
              </w:rPr>
              <w:tab/>
              <w:t>(b)</w:t>
            </w:r>
            <w:r>
              <w:rPr>
                <w:snapToGrid w:val="0"/>
              </w:rPr>
              <w:tab/>
              <w:t>non</w:t>
            </w:r>
            <w:r>
              <w:rPr>
                <w:snapToGrid w:val="0"/>
              </w:rPr>
              <w:noBreakHyphen/>
              <w:t>residential or vacant land (according to the non</w:t>
            </w:r>
            <w:r>
              <w:rPr>
                <w:snapToGrid w:val="0"/>
              </w:rPr>
              <w:noBreakHyphen/>
              <w:t>residential classification of the town/area in which that property is situated, as set out in Schedule 10) —</w:t>
            </w:r>
          </w:p>
        </w:tc>
        <w:tc>
          <w:tcPr>
            <w:tcW w:w="1303" w:type="dxa"/>
            <w:vAlign w:val="bottom"/>
          </w:tcPr>
          <w:p>
            <w:pPr>
              <w:pStyle w:val="yTableNAm"/>
            </w:pPr>
          </w:p>
        </w:tc>
      </w:tr>
    </w:tbl>
    <w:p>
      <w:pPr>
        <w:ind w:left="426"/>
        <w:rPr>
          <w:sz w:val="16"/>
          <w:szCs w:val="16"/>
        </w:rPr>
      </w:pPr>
    </w:p>
    <w:tbl>
      <w:tblPr>
        <w:tblW w:w="0" w:type="auto"/>
        <w:tblInd w:w="454" w:type="dxa"/>
        <w:tblCellMar>
          <w:left w:w="28" w:type="dxa"/>
          <w:right w:w="28" w:type="dxa"/>
        </w:tblCellMar>
        <w:tblLook w:val="0000" w:firstRow="0" w:lastRow="0" w:firstColumn="0" w:lastColumn="0" w:noHBand="0" w:noVBand="0"/>
      </w:tblPr>
      <w:tblGrid>
        <w:gridCol w:w="750"/>
        <w:gridCol w:w="1104"/>
        <w:gridCol w:w="3233"/>
        <w:gridCol w:w="1292"/>
      </w:tblGrid>
      <w:tr>
        <w:trPr>
          <w:cantSplit/>
          <w:trHeight w:val="217"/>
          <w:tblHeader/>
        </w:trPr>
        <w:tc>
          <w:tcPr>
            <w:tcW w:w="1854" w:type="dxa"/>
            <w:gridSpan w:val="2"/>
            <w:tcBorders>
              <w:top w:val="single" w:sz="4" w:space="0" w:color="auto"/>
              <w:bottom w:val="single" w:sz="4" w:space="0" w:color="auto"/>
            </w:tcBorders>
          </w:tcPr>
          <w:p>
            <w:pPr>
              <w:pStyle w:val="yTableNAm"/>
            </w:pPr>
            <w:r>
              <w:rPr>
                <w:b/>
                <w:bCs/>
              </w:rPr>
              <w:t>Class</w:t>
            </w:r>
          </w:p>
        </w:tc>
        <w:tc>
          <w:tcPr>
            <w:tcW w:w="4525" w:type="dxa"/>
            <w:gridSpan w:val="2"/>
            <w:tcBorders>
              <w:top w:val="single" w:sz="4" w:space="0" w:color="auto"/>
              <w:bottom w:val="single" w:sz="4" w:space="0" w:color="auto"/>
            </w:tcBorders>
          </w:tcPr>
          <w:p>
            <w:pPr>
              <w:pStyle w:val="yTableNAm"/>
              <w:jc w:val="center"/>
            </w:pPr>
            <w:r>
              <w:rPr>
                <w:b/>
                <w:bCs/>
              </w:rPr>
              <w:t>Charge (c/kL)</w:t>
            </w:r>
          </w:p>
        </w:tc>
      </w:tr>
      <w:tr>
        <w:tc>
          <w:tcPr>
            <w:tcW w:w="1854" w:type="dxa"/>
            <w:gridSpan w:val="2"/>
            <w:tcBorders>
              <w:top w:val="single" w:sz="4" w:space="0" w:color="auto"/>
            </w:tcBorders>
          </w:tcPr>
          <w:p>
            <w:pPr>
              <w:pStyle w:val="yTableNAm"/>
            </w:pPr>
            <w:r>
              <w:rPr>
                <w:bCs/>
              </w:rPr>
              <w:t xml:space="preserve">Class 1 </w:t>
            </w:r>
          </w:p>
        </w:tc>
        <w:tc>
          <w:tcPr>
            <w:tcW w:w="4525" w:type="dxa"/>
            <w:gridSpan w:val="2"/>
            <w:tcBorders>
              <w:top w:val="single" w:sz="4" w:space="0" w:color="auto"/>
            </w:tcBorders>
            <w:vAlign w:val="bottom"/>
          </w:tcPr>
          <w:p>
            <w:pPr>
              <w:pStyle w:val="yTableNAm"/>
              <w:jc w:val="center"/>
              <w:rPr>
                <w:rFonts w:ascii="Arial" w:hAnsi="Arial"/>
                <w:b/>
              </w:rPr>
            </w:pPr>
            <w:r>
              <w:t>196.5</w:t>
            </w:r>
          </w:p>
        </w:tc>
      </w:tr>
      <w:tr>
        <w:tc>
          <w:tcPr>
            <w:tcW w:w="1854" w:type="dxa"/>
            <w:gridSpan w:val="2"/>
          </w:tcPr>
          <w:p>
            <w:pPr>
              <w:pStyle w:val="yTableNAm"/>
            </w:pPr>
            <w:r>
              <w:rPr>
                <w:bCs/>
              </w:rPr>
              <w:t xml:space="preserve">Class 2 </w:t>
            </w:r>
          </w:p>
        </w:tc>
        <w:tc>
          <w:tcPr>
            <w:tcW w:w="4525" w:type="dxa"/>
            <w:gridSpan w:val="2"/>
            <w:vAlign w:val="bottom"/>
          </w:tcPr>
          <w:p>
            <w:pPr>
              <w:pStyle w:val="yTableNAm"/>
              <w:jc w:val="center"/>
              <w:rPr>
                <w:rFonts w:ascii="Arial" w:hAnsi="Arial"/>
                <w:b/>
              </w:rPr>
            </w:pPr>
            <w:r>
              <w:t>214.0</w:t>
            </w:r>
          </w:p>
        </w:tc>
      </w:tr>
      <w:tr>
        <w:tc>
          <w:tcPr>
            <w:tcW w:w="1854" w:type="dxa"/>
            <w:gridSpan w:val="2"/>
          </w:tcPr>
          <w:p>
            <w:pPr>
              <w:pStyle w:val="yTableNAm"/>
            </w:pPr>
            <w:r>
              <w:rPr>
                <w:bCs/>
              </w:rPr>
              <w:t xml:space="preserve">Class 3 </w:t>
            </w:r>
          </w:p>
        </w:tc>
        <w:tc>
          <w:tcPr>
            <w:tcW w:w="4525" w:type="dxa"/>
            <w:gridSpan w:val="2"/>
            <w:vAlign w:val="bottom"/>
          </w:tcPr>
          <w:p>
            <w:pPr>
              <w:pStyle w:val="yTableNAm"/>
              <w:jc w:val="center"/>
              <w:rPr>
                <w:rFonts w:ascii="Arial" w:hAnsi="Arial"/>
                <w:b/>
              </w:rPr>
            </w:pPr>
            <w:r>
              <w:t>232.8</w:t>
            </w:r>
          </w:p>
        </w:tc>
      </w:tr>
      <w:tr>
        <w:tc>
          <w:tcPr>
            <w:tcW w:w="1854" w:type="dxa"/>
            <w:gridSpan w:val="2"/>
          </w:tcPr>
          <w:p>
            <w:pPr>
              <w:pStyle w:val="yTableNAm"/>
            </w:pPr>
            <w:r>
              <w:rPr>
                <w:bCs/>
              </w:rPr>
              <w:t xml:space="preserve">Class 4 </w:t>
            </w:r>
          </w:p>
        </w:tc>
        <w:tc>
          <w:tcPr>
            <w:tcW w:w="4525" w:type="dxa"/>
            <w:gridSpan w:val="2"/>
            <w:vAlign w:val="bottom"/>
          </w:tcPr>
          <w:p>
            <w:pPr>
              <w:pStyle w:val="yTableNAm"/>
              <w:jc w:val="center"/>
              <w:rPr>
                <w:rFonts w:ascii="Arial" w:hAnsi="Arial"/>
                <w:b/>
              </w:rPr>
            </w:pPr>
            <w:r>
              <w:t>253.6</w:t>
            </w:r>
          </w:p>
        </w:tc>
      </w:tr>
      <w:tr>
        <w:tc>
          <w:tcPr>
            <w:tcW w:w="1854" w:type="dxa"/>
            <w:gridSpan w:val="2"/>
          </w:tcPr>
          <w:p>
            <w:pPr>
              <w:pStyle w:val="yTableNAm"/>
            </w:pPr>
            <w:r>
              <w:rPr>
                <w:bCs/>
              </w:rPr>
              <w:t xml:space="preserve">Class 5 </w:t>
            </w:r>
          </w:p>
        </w:tc>
        <w:tc>
          <w:tcPr>
            <w:tcW w:w="4525" w:type="dxa"/>
            <w:gridSpan w:val="2"/>
            <w:vAlign w:val="bottom"/>
          </w:tcPr>
          <w:p>
            <w:pPr>
              <w:pStyle w:val="yTableNAm"/>
              <w:jc w:val="center"/>
              <w:rPr>
                <w:rFonts w:ascii="Arial" w:hAnsi="Arial"/>
                <w:b/>
              </w:rPr>
            </w:pPr>
            <w:r>
              <w:t>276.1</w:t>
            </w:r>
          </w:p>
        </w:tc>
      </w:tr>
      <w:tr>
        <w:tc>
          <w:tcPr>
            <w:tcW w:w="1854" w:type="dxa"/>
            <w:gridSpan w:val="2"/>
          </w:tcPr>
          <w:p>
            <w:pPr>
              <w:pStyle w:val="yTableNAm"/>
            </w:pPr>
            <w:r>
              <w:rPr>
                <w:bCs/>
              </w:rPr>
              <w:t xml:space="preserve">Class 6 </w:t>
            </w:r>
          </w:p>
        </w:tc>
        <w:tc>
          <w:tcPr>
            <w:tcW w:w="4525" w:type="dxa"/>
            <w:gridSpan w:val="2"/>
            <w:vAlign w:val="bottom"/>
          </w:tcPr>
          <w:p>
            <w:pPr>
              <w:pStyle w:val="yTableNAm"/>
              <w:jc w:val="center"/>
              <w:rPr>
                <w:rFonts w:ascii="Arial" w:hAnsi="Arial"/>
                <w:b/>
              </w:rPr>
            </w:pPr>
            <w:r>
              <w:t>300.7</w:t>
            </w:r>
          </w:p>
        </w:tc>
      </w:tr>
      <w:tr>
        <w:tc>
          <w:tcPr>
            <w:tcW w:w="1854" w:type="dxa"/>
            <w:gridSpan w:val="2"/>
          </w:tcPr>
          <w:p>
            <w:pPr>
              <w:pStyle w:val="yTableNAm"/>
            </w:pPr>
            <w:r>
              <w:rPr>
                <w:bCs/>
              </w:rPr>
              <w:t xml:space="preserve">Class 7 </w:t>
            </w:r>
          </w:p>
        </w:tc>
        <w:tc>
          <w:tcPr>
            <w:tcW w:w="4525" w:type="dxa"/>
            <w:gridSpan w:val="2"/>
            <w:vAlign w:val="bottom"/>
          </w:tcPr>
          <w:p>
            <w:pPr>
              <w:pStyle w:val="yTableNAm"/>
              <w:jc w:val="center"/>
              <w:rPr>
                <w:rFonts w:ascii="Arial" w:hAnsi="Arial"/>
                <w:b/>
              </w:rPr>
            </w:pPr>
            <w:r>
              <w:t>327.5</w:t>
            </w:r>
          </w:p>
        </w:tc>
      </w:tr>
      <w:tr>
        <w:tc>
          <w:tcPr>
            <w:tcW w:w="1854" w:type="dxa"/>
            <w:gridSpan w:val="2"/>
          </w:tcPr>
          <w:p>
            <w:pPr>
              <w:pStyle w:val="yTableNAm"/>
            </w:pPr>
            <w:r>
              <w:rPr>
                <w:bCs/>
              </w:rPr>
              <w:t xml:space="preserve">Class 8 </w:t>
            </w:r>
          </w:p>
        </w:tc>
        <w:tc>
          <w:tcPr>
            <w:tcW w:w="4525" w:type="dxa"/>
            <w:gridSpan w:val="2"/>
            <w:vAlign w:val="bottom"/>
          </w:tcPr>
          <w:p>
            <w:pPr>
              <w:pStyle w:val="yTableNAm"/>
              <w:jc w:val="center"/>
              <w:rPr>
                <w:rFonts w:ascii="Arial" w:hAnsi="Arial"/>
                <w:b/>
              </w:rPr>
            </w:pPr>
            <w:r>
              <w:t>356.6</w:t>
            </w:r>
          </w:p>
        </w:tc>
      </w:tr>
      <w:tr>
        <w:tc>
          <w:tcPr>
            <w:tcW w:w="1854" w:type="dxa"/>
            <w:gridSpan w:val="2"/>
          </w:tcPr>
          <w:p>
            <w:pPr>
              <w:pStyle w:val="yTableNAm"/>
            </w:pPr>
            <w:r>
              <w:rPr>
                <w:bCs/>
              </w:rPr>
              <w:t xml:space="preserve">Class 9 </w:t>
            </w:r>
          </w:p>
        </w:tc>
        <w:tc>
          <w:tcPr>
            <w:tcW w:w="4525" w:type="dxa"/>
            <w:gridSpan w:val="2"/>
            <w:vAlign w:val="bottom"/>
          </w:tcPr>
          <w:p>
            <w:pPr>
              <w:pStyle w:val="yTableNAm"/>
              <w:jc w:val="center"/>
              <w:rPr>
                <w:rFonts w:ascii="Arial" w:hAnsi="Arial"/>
                <w:b/>
              </w:rPr>
            </w:pPr>
            <w:r>
              <w:t>388.3</w:t>
            </w:r>
          </w:p>
        </w:tc>
      </w:tr>
      <w:tr>
        <w:tc>
          <w:tcPr>
            <w:tcW w:w="1854" w:type="dxa"/>
            <w:gridSpan w:val="2"/>
          </w:tcPr>
          <w:p>
            <w:pPr>
              <w:pStyle w:val="yTableNAm"/>
            </w:pPr>
            <w:r>
              <w:rPr>
                <w:bCs/>
              </w:rPr>
              <w:t xml:space="preserve">Class 10 </w:t>
            </w:r>
          </w:p>
        </w:tc>
        <w:tc>
          <w:tcPr>
            <w:tcW w:w="4525" w:type="dxa"/>
            <w:gridSpan w:val="2"/>
            <w:vAlign w:val="bottom"/>
          </w:tcPr>
          <w:p>
            <w:pPr>
              <w:pStyle w:val="yTableNAm"/>
              <w:jc w:val="center"/>
              <w:rPr>
                <w:rFonts w:ascii="Arial" w:hAnsi="Arial"/>
                <w:b/>
              </w:rPr>
            </w:pPr>
            <w:r>
              <w:t>422.9</w:t>
            </w:r>
          </w:p>
        </w:tc>
      </w:tr>
      <w:tr>
        <w:tc>
          <w:tcPr>
            <w:tcW w:w="1854" w:type="dxa"/>
            <w:gridSpan w:val="2"/>
          </w:tcPr>
          <w:p>
            <w:pPr>
              <w:pStyle w:val="yTableNAm"/>
            </w:pPr>
            <w:r>
              <w:rPr>
                <w:bCs/>
              </w:rPr>
              <w:t xml:space="preserve">Class 11 </w:t>
            </w:r>
          </w:p>
        </w:tc>
        <w:tc>
          <w:tcPr>
            <w:tcW w:w="4525" w:type="dxa"/>
            <w:gridSpan w:val="2"/>
            <w:vAlign w:val="bottom"/>
          </w:tcPr>
          <w:p>
            <w:pPr>
              <w:pStyle w:val="yTableNAm"/>
              <w:jc w:val="center"/>
              <w:rPr>
                <w:rFonts w:ascii="Arial" w:hAnsi="Arial"/>
                <w:b/>
              </w:rPr>
            </w:pPr>
            <w:r>
              <w:t>460.4</w:t>
            </w:r>
          </w:p>
        </w:tc>
      </w:tr>
      <w:tr>
        <w:tc>
          <w:tcPr>
            <w:tcW w:w="1854" w:type="dxa"/>
            <w:gridSpan w:val="2"/>
          </w:tcPr>
          <w:p>
            <w:pPr>
              <w:pStyle w:val="yTableNAm"/>
            </w:pPr>
            <w:r>
              <w:rPr>
                <w:bCs/>
              </w:rPr>
              <w:t xml:space="preserve">Class 12 </w:t>
            </w:r>
          </w:p>
        </w:tc>
        <w:tc>
          <w:tcPr>
            <w:tcW w:w="4525" w:type="dxa"/>
            <w:gridSpan w:val="2"/>
            <w:vAlign w:val="bottom"/>
          </w:tcPr>
          <w:p>
            <w:pPr>
              <w:pStyle w:val="yTableNAm"/>
              <w:jc w:val="center"/>
              <w:rPr>
                <w:rFonts w:ascii="Arial" w:hAnsi="Arial"/>
                <w:b/>
              </w:rPr>
            </w:pPr>
            <w:r>
              <w:t>501.4</w:t>
            </w:r>
          </w:p>
        </w:tc>
      </w:tr>
      <w:tr>
        <w:tc>
          <w:tcPr>
            <w:tcW w:w="1854" w:type="dxa"/>
            <w:gridSpan w:val="2"/>
          </w:tcPr>
          <w:p>
            <w:pPr>
              <w:pStyle w:val="yTableNAm"/>
            </w:pPr>
            <w:r>
              <w:rPr>
                <w:bCs/>
              </w:rPr>
              <w:t xml:space="preserve">Class 13 </w:t>
            </w:r>
          </w:p>
        </w:tc>
        <w:tc>
          <w:tcPr>
            <w:tcW w:w="4525" w:type="dxa"/>
            <w:gridSpan w:val="2"/>
            <w:vAlign w:val="bottom"/>
          </w:tcPr>
          <w:p>
            <w:pPr>
              <w:pStyle w:val="yTableNAm"/>
              <w:jc w:val="center"/>
              <w:rPr>
                <w:rFonts w:ascii="Arial" w:hAnsi="Arial"/>
                <w:b/>
              </w:rPr>
            </w:pPr>
            <w:r>
              <w:t>546.0</w:t>
            </w:r>
          </w:p>
        </w:tc>
      </w:tr>
      <w:tr>
        <w:tc>
          <w:tcPr>
            <w:tcW w:w="1854" w:type="dxa"/>
            <w:gridSpan w:val="2"/>
          </w:tcPr>
          <w:p>
            <w:pPr>
              <w:pStyle w:val="yTableNAm"/>
            </w:pPr>
            <w:r>
              <w:rPr>
                <w:bCs/>
              </w:rPr>
              <w:t xml:space="preserve">Class 14 </w:t>
            </w:r>
          </w:p>
        </w:tc>
        <w:tc>
          <w:tcPr>
            <w:tcW w:w="4525" w:type="dxa"/>
            <w:gridSpan w:val="2"/>
            <w:vAlign w:val="bottom"/>
          </w:tcPr>
          <w:p>
            <w:pPr>
              <w:pStyle w:val="yTableNAm"/>
              <w:jc w:val="center"/>
              <w:rPr>
                <w:rFonts w:ascii="Arial" w:hAnsi="Arial"/>
                <w:b/>
              </w:rPr>
            </w:pPr>
            <w:r>
              <w:t>594.6</w:t>
            </w:r>
          </w:p>
        </w:tc>
      </w:tr>
      <w:tr>
        <w:tc>
          <w:tcPr>
            <w:tcW w:w="1854" w:type="dxa"/>
            <w:gridSpan w:val="2"/>
            <w:tcBorders>
              <w:bottom w:val="single" w:sz="4" w:space="0" w:color="auto"/>
            </w:tcBorders>
          </w:tcPr>
          <w:p>
            <w:pPr>
              <w:pStyle w:val="yTableNAm"/>
            </w:pPr>
            <w:r>
              <w:rPr>
                <w:bCs/>
              </w:rPr>
              <w:t xml:space="preserve">Class 15 </w:t>
            </w:r>
          </w:p>
        </w:tc>
        <w:tc>
          <w:tcPr>
            <w:tcW w:w="4525" w:type="dxa"/>
            <w:gridSpan w:val="2"/>
            <w:tcBorders>
              <w:bottom w:val="single" w:sz="4" w:space="0" w:color="auto"/>
            </w:tcBorders>
            <w:vAlign w:val="bottom"/>
          </w:tcPr>
          <w:p>
            <w:pPr>
              <w:pStyle w:val="yTableNAm"/>
              <w:jc w:val="center"/>
              <w:rPr>
                <w:rFonts w:ascii="Arial" w:hAnsi="Arial"/>
                <w:b/>
              </w:rPr>
            </w:pPr>
            <w:r>
              <w:t>647.4</w:t>
            </w:r>
          </w:p>
        </w:tc>
      </w:tr>
      <w:tr>
        <w:tblPrEx>
          <w:tblCellMar>
            <w:left w:w="108" w:type="dxa"/>
            <w:right w:w="108" w:type="dxa"/>
          </w:tblCellMar>
        </w:tblPrEx>
        <w:trPr>
          <w:cantSplit/>
        </w:trPr>
        <w:tc>
          <w:tcPr>
            <w:tcW w:w="750" w:type="dxa"/>
          </w:tcPr>
          <w:p>
            <w:pPr>
              <w:pStyle w:val="zyTableNAm"/>
            </w:pPr>
          </w:p>
        </w:tc>
        <w:tc>
          <w:tcPr>
            <w:tcW w:w="4337" w:type="dxa"/>
            <w:gridSpan w:val="2"/>
          </w:tcPr>
          <w:p>
            <w:pPr>
              <w:pStyle w:val="yTableNAm"/>
              <w:tabs>
                <w:tab w:val="clear" w:pos="567"/>
                <w:tab w:val="left" w:pos="268"/>
                <w:tab w:val="left" w:pos="715"/>
                <w:tab w:val="right" w:leader="dot" w:pos="3952"/>
              </w:tabs>
              <w:ind w:left="731" w:hanging="731"/>
              <w:rPr>
                <w:snapToGrid w:val="0"/>
              </w:rPr>
            </w:pPr>
            <w:r>
              <w:rPr>
                <w:snapToGrid w:val="0"/>
              </w:rPr>
              <w:tab/>
              <w:t>(c)</w:t>
            </w:r>
            <w:r>
              <w:rPr>
                <w:snapToGrid w:val="0"/>
              </w:rPr>
              <w:tab/>
              <w:t>farmland</w:t>
            </w:r>
            <w:r>
              <w:rPr>
                <w:snapToGrid w:val="0"/>
              </w:rPr>
              <w:tab/>
            </w:r>
          </w:p>
        </w:tc>
        <w:tc>
          <w:tcPr>
            <w:tcW w:w="1292" w:type="dxa"/>
            <w:vAlign w:val="bottom"/>
          </w:tcPr>
          <w:p>
            <w:pPr>
              <w:pStyle w:val="yTableNAm"/>
              <w:jc w:val="center"/>
              <w:rPr>
                <w:rFonts w:ascii="Arial" w:hAnsi="Arial"/>
                <w:b/>
              </w:rPr>
            </w:pPr>
            <w:r>
              <w:t>176.0 cents</w:t>
            </w:r>
          </w:p>
        </w:tc>
      </w:tr>
      <w:tr>
        <w:tblPrEx>
          <w:tblCellMar>
            <w:left w:w="108" w:type="dxa"/>
            <w:right w:w="108" w:type="dxa"/>
          </w:tblCellMar>
        </w:tblPrEx>
        <w:trPr>
          <w:cantSplit/>
        </w:trPr>
        <w:tc>
          <w:tcPr>
            <w:tcW w:w="750" w:type="dxa"/>
          </w:tcPr>
          <w:p>
            <w:pPr>
              <w:pStyle w:val="zyTableNAm"/>
            </w:pPr>
          </w:p>
        </w:tc>
        <w:tc>
          <w:tcPr>
            <w:tcW w:w="4337" w:type="dxa"/>
            <w:gridSpan w:val="2"/>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(d)</w:t>
            </w:r>
            <w:r>
              <w:rPr>
                <w:snapToGrid w:val="0"/>
              </w:rPr>
              <w:tab/>
              <w:t>mining</w:t>
            </w:r>
            <w:r>
              <w:rPr>
                <w:snapToGrid w:val="0"/>
              </w:rPr>
              <w:tab/>
            </w:r>
          </w:p>
        </w:tc>
        <w:tc>
          <w:tcPr>
            <w:tcW w:w="1292" w:type="dxa"/>
            <w:vAlign w:val="bottom"/>
          </w:tcPr>
          <w:p>
            <w:pPr>
              <w:pStyle w:val="yTableNAm"/>
              <w:jc w:val="center"/>
              <w:rPr>
                <w:rFonts w:ascii="Arial" w:hAnsi="Arial"/>
                <w:b/>
              </w:rPr>
            </w:pPr>
            <w:r>
              <w:t>376.2 cents</w:t>
            </w:r>
          </w:p>
        </w:tc>
      </w:tr>
      <w:tr>
        <w:tblPrEx>
          <w:tblCellMar>
            <w:left w:w="108" w:type="dxa"/>
            <w:right w:w="108" w:type="dxa"/>
          </w:tblCellMar>
        </w:tblPrEx>
        <w:trPr>
          <w:cantSplit/>
        </w:trPr>
        <w:tc>
          <w:tcPr>
            <w:tcW w:w="750" w:type="dxa"/>
          </w:tcPr>
          <w:p>
            <w:pPr>
              <w:pStyle w:val="zyTableNAm"/>
            </w:pPr>
          </w:p>
        </w:tc>
        <w:tc>
          <w:tcPr>
            <w:tcW w:w="4337" w:type="dxa"/>
            <w:gridSpan w:val="2"/>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(e)</w:t>
            </w:r>
            <w:r>
              <w:rPr>
                <w:snapToGrid w:val="0"/>
              </w:rPr>
              <w:tab/>
              <w:t xml:space="preserve">institutional public </w:t>
            </w:r>
            <w:r>
              <w:rPr>
                <w:snapToGrid w:val="0"/>
              </w:rPr>
              <w:tab/>
            </w:r>
          </w:p>
        </w:tc>
        <w:tc>
          <w:tcPr>
            <w:tcW w:w="1292" w:type="dxa"/>
            <w:vAlign w:val="bottom"/>
          </w:tcPr>
          <w:p>
            <w:pPr>
              <w:pStyle w:val="yTableNAm"/>
              <w:jc w:val="center"/>
              <w:rPr>
                <w:rFonts w:ascii="Arial" w:hAnsi="Arial"/>
                <w:b/>
              </w:rPr>
            </w:pPr>
            <w:r>
              <w:t>196.5 cents</w:t>
            </w:r>
          </w:p>
        </w:tc>
      </w:tr>
      <w:tr>
        <w:tblPrEx>
          <w:tblCellMar>
            <w:left w:w="108" w:type="dxa"/>
            <w:right w:w="108" w:type="dxa"/>
          </w:tblCellMar>
        </w:tblPrEx>
        <w:trPr>
          <w:cantSplit/>
        </w:trPr>
        <w:tc>
          <w:tcPr>
            <w:tcW w:w="750" w:type="dxa"/>
          </w:tcPr>
          <w:p>
            <w:pPr>
              <w:pStyle w:val="zyTableNAm"/>
            </w:pPr>
          </w:p>
        </w:tc>
        <w:tc>
          <w:tcPr>
            <w:tcW w:w="4337" w:type="dxa"/>
            <w:gridSpan w:val="2"/>
          </w:tcPr>
          <w:p>
            <w:pPr>
              <w:pStyle w:val="yTableNAm"/>
              <w:tabs>
                <w:tab w:val="clear" w:pos="567"/>
                <w:tab w:val="left" w:pos="268"/>
                <w:tab w:val="left" w:pos="715"/>
                <w:tab w:val="right" w:leader="dot" w:pos="3952"/>
              </w:tabs>
              <w:ind w:left="731" w:hanging="731"/>
              <w:rPr>
                <w:rFonts w:ascii="Arial" w:hAnsi="Arial"/>
                <w:b/>
              </w:rPr>
            </w:pPr>
            <w:r>
              <w:rPr>
                <w:snapToGrid w:val="0"/>
              </w:rPr>
              <w:tab/>
              <w:t>(f)</w:t>
            </w:r>
            <w:r>
              <w:rPr>
                <w:snapToGrid w:val="0"/>
              </w:rPr>
              <w:tab/>
              <w:t xml:space="preserve">charitable purposes </w:t>
            </w:r>
            <w:r>
              <w:rPr>
                <w:snapToGrid w:val="0"/>
              </w:rPr>
              <w:tab/>
            </w:r>
          </w:p>
        </w:tc>
        <w:tc>
          <w:tcPr>
            <w:tcW w:w="1292" w:type="dxa"/>
            <w:vAlign w:val="bottom"/>
          </w:tcPr>
          <w:p>
            <w:pPr>
              <w:pStyle w:val="yTableNAm"/>
              <w:jc w:val="center"/>
              <w:rPr>
                <w:rFonts w:ascii="Arial" w:hAnsi="Arial"/>
                <w:b/>
              </w:rPr>
            </w:pPr>
            <w:r>
              <w:t>196.5 cents</w:t>
            </w:r>
          </w:p>
        </w:tc>
      </w:tr>
      <w:tr>
        <w:tblPrEx>
          <w:tblCellMar>
            <w:left w:w="108" w:type="dxa"/>
            <w:right w:w="108" w:type="dxa"/>
          </w:tblCellMar>
        </w:tblPrEx>
        <w:trPr>
          <w:cantSplit/>
        </w:trPr>
        <w:tc>
          <w:tcPr>
            <w:tcW w:w="750" w:type="dxa"/>
          </w:tcPr>
          <w:p>
            <w:pPr>
              <w:pStyle w:val="zyTableNAm"/>
            </w:pPr>
          </w:p>
        </w:tc>
        <w:tc>
          <w:tcPr>
            <w:tcW w:w="4337" w:type="dxa"/>
            <w:gridSpan w:val="2"/>
          </w:tcPr>
          <w:p>
            <w:pPr>
              <w:pStyle w:val="yTableNAm"/>
              <w:tabs>
                <w:tab w:val="clear" w:pos="567"/>
                <w:tab w:val="left" w:pos="268"/>
                <w:tab w:val="left" w:pos="715"/>
                <w:tab w:val="right" w:leader="dot" w:pos="3952"/>
              </w:tabs>
              <w:ind w:left="731" w:hanging="731"/>
              <w:rPr>
                <w:snapToGrid w:val="0"/>
              </w:rPr>
            </w:pPr>
            <w:r>
              <w:rPr>
                <w:snapToGrid w:val="0"/>
              </w:rPr>
              <w:tab/>
              <w:t>(g)</w:t>
            </w:r>
            <w:r>
              <w:rPr>
                <w:snapToGrid w:val="0"/>
              </w:rPr>
              <w:tab/>
              <w:t>commercial residential (according to the non</w:t>
            </w:r>
            <w:r>
              <w:rPr>
                <w:snapToGrid w:val="0"/>
              </w:rPr>
              <w:noBreakHyphen/>
              <w:t>residential classification of the town/area in which that property is situated, as set out in Schedule 10) —</w:t>
            </w:r>
          </w:p>
        </w:tc>
        <w:tc>
          <w:tcPr>
            <w:tcW w:w="1292" w:type="dxa"/>
            <w:vAlign w:val="bottom"/>
          </w:tcPr>
          <w:p>
            <w:pPr>
              <w:pStyle w:val="yTableNAm"/>
              <w:jc w:val="center"/>
            </w:pPr>
          </w:p>
        </w:tc>
      </w:tr>
    </w:tbl>
    <w:p>
      <w:pPr>
        <w:pStyle w:val="yMiscellaneousBody"/>
      </w:pPr>
    </w:p>
    <w:tbl>
      <w:tblPr>
        <w:tblW w:w="6379" w:type="dxa"/>
        <w:tblInd w:w="454" w:type="dxa"/>
        <w:tblLayout w:type="fixed"/>
        <w:tblCellMar>
          <w:left w:w="28" w:type="dxa"/>
          <w:right w:w="28" w:type="dxa"/>
        </w:tblCellMar>
        <w:tblLook w:val="0000" w:firstRow="0" w:lastRow="0" w:firstColumn="0" w:lastColumn="0" w:noHBand="0" w:noVBand="0"/>
      </w:tblPr>
      <w:tblGrid>
        <w:gridCol w:w="1855"/>
        <w:gridCol w:w="3013"/>
        <w:gridCol w:w="1511"/>
      </w:tblGrid>
      <w:tr>
        <w:trPr>
          <w:cantSplit/>
          <w:tblHeader/>
        </w:trPr>
        <w:tc>
          <w:tcPr>
            <w:tcW w:w="1855" w:type="dxa"/>
            <w:vMerge w:val="restart"/>
            <w:tcBorders>
              <w:top w:val="single" w:sz="4" w:space="0" w:color="auto"/>
            </w:tcBorders>
          </w:tcPr>
          <w:p>
            <w:pPr>
              <w:pStyle w:val="yTableNAm"/>
            </w:pPr>
            <w:r>
              <w:rPr>
                <w:b/>
                <w:bCs/>
              </w:rPr>
              <w:t>Class</w:t>
            </w:r>
          </w:p>
        </w:tc>
        <w:tc>
          <w:tcPr>
            <w:tcW w:w="4524" w:type="dxa"/>
            <w:gridSpan w:val="2"/>
            <w:tcBorders>
              <w:top w:val="single" w:sz="4" w:space="0" w:color="auto"/>
            </w:tcBorders>
          </w:tcPr>
          <w:p>
            <w:pPr>
              <w:pStyle w:val="yTableNAm"/>
              <w:jc w:val="center"/>
            </w:pPr>
            <w:r>
              <w:rPr>
                <w:b/>
                <w:bCs/>
              </w:rPr>
              <w:t>Consumption (kL)</w:t>
            </w:r>
          </w:p>
        </w:tc>
      </w:tr>
      <w:tr>
        <w:trPr>
          <w:cantSplit/>
          <w:tblHeader/>
        </w:trPr>
        <w:tc>
          <w:tcPr>
            <w:tcW w:w="1855" w:type="dxa"/>
            <w:vMerge/>
            <w:tcBorders>
              <w:bottom w:val="single" w:sz="4" w:space="0" w:color="auto"/>
            </w:tcBorders>
          </w:tcPr>
          <w:p>
            <w:pPr>
              <w:pStyle w:val="zyTableNAm"/>
              <w:keepNext/>
              <w:keepLines/>
              <w:rPr>
                <w:b/>
                <w:bCs/>
              </w:rPr>
            </w:pPr>
          </w:p>
        </w:tc>
        <w:tc>
          <w:tcPr>
            <w:tcW w:w="3013" w:type="dxa"/>
            <w:tcBorders>
              <w:bottom w:val="single" w:sz="4" w:space="0" w:color="auto"/>
            </w:tcBorders>
          </w:tcPr>
          <w:p>
            <w:pPr>
              <w:pStyle w:val="yTableNAm"/>
              <w:jc w:val="center"/>
              <w:rPr>
                <w:rFonts w:ascii="Arial" w:hAnsi="Arial"/>
                <w:b/>
              </w:rPr>
            </w:pPr>
            <w:r>
              <w:rPr>
                <w:b/>
                <w:bCs/>
              </w:rPr>
              <w:t>Up to 150</w:t>
            </w:r>
          </w:p>
        </w:tc>
        <w:tc>
          <w:tcPr>
            <w:tcW w:w="1511" w:type="dxa"/>
            <w:tcBorders>
              <w:bottom w:val="single" w:sz="4" w:space="0" w:color="auto"/>
            </w:tcBorders>
          </w:tcPr>
          <w:p>
            <w:pPr>
              <w:pStyle w:val="yTableNAm"/>
              <w:jc w:val="center"/>
              <w:rPr>
                <w:rFonts w:ascii="Arial" w:hAnsi="Arial"/>
                <w:b/>
              </w:rPr>
            </w:pPr>
            <w:r>
              <w:rPr>
                <w:b/>
                <w:bCs/>
              </w:rPr>
              <w:t>Over 150</w:t>
            </w:r>
          </w:p>
        </w:tc>
      </w:tr>
      <w:tr>
        <w:tc>
          <w:tcPr>
            <w:tcW w:w="1855" w:type="dxa"/>
            <w:tcBorders>
              <w:top w:val="single" w:sz="4" w:space="0" w:color="auto"/>
            </w:tcBorders>
          </w:tcPr>
          <w:p>
            <w:pPr>
              <w:pStyle w:val="yTableNAm"/>
            </w:pPr>
            <w:r>
              <w:rPr>
                <w:bCs/>
              </w:rPr>
              <w:t>Class 1 (c/kL)</w:t>
            </w:r>
          </w:p>
        </w:tc>
        <w:tc>
          <w:tcPr>
            <w:tcW w:w="3013" w:type="dxa"/>
            <w:tcBorders>
              <w:top w:val="single" w:sz="4" w:space="0" w:color="auto"/>
            </w:tcBorders>
            <w:vAlign w:val="bottom"/>
          </w:tcPr>
          <w:p>
            <w:pPr>
              <w:pStyle w:val="yTableNAm"/>
              <w:jc w:val="center"/>
              <w:rPr>
                <w:rFonts w:ascii="Arial" w:hAnsi="Arial"/>
                <w:b/>
              </w:rPr>
            </w:pPr>
            <w:r>
              <w:t>138.1</w:t>
            </w:r>
          </w:p>
        </w:tc>
        <w:tc>
          <w:tcPr>
            <w:tcW w:w="1511" w:type="dxa"/>
            <w:tcBorders>
              <w:top w:val="single" w:sz="4" w:space="0" w:color="auto"/>
            </w:tcBorders>
            <w:vAlign w:val="bottom"/>
          </w:tcPr>
          <w:p>
            <w:pPr>
              <w:pStyle w:val="yTableNAm"/>
              <w:jc w:val="center"/>
              <w:rPr>
                <w:rFonts w:ascii="Arial" w:hAnsi="Arial"/>
                <w:b/>
              </w:rPr>
            </w:pPr>
            <w:r>
              <w:t>196.5</w:t>
            </w:r>
          </w:p>
        </w:tc>
      </w:tr>
      <w:tr>
        <w:tc>
          <w:tcPr>
            <w:tcW w:w="1855" w:type="dxa"/>
          </w:tcPr>
          <w:p>
            <w:pPr>
              <w:pStyle w:val="yTableNAm"/>
            </w:pPr>
            <w:r>
              <w:rPr>
                <w:bCs/>
              </w:rPr>
              <w:t>Class 2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214.0</w:t>
            </w:r>
          </w:p>
        </w:tc>
      </w:tr>
      <w:tr>
        <w:tc>
          <w:tcPr>
            <w:tcW w:w="1855" w:type="dxa"/>
          </w:tcPr>
          <w:p>
            <w:pPr>
              <w:pStyle w:val="yTableNAm"/>
            </w:pPr>
            <w:r>
              <w:rPr>
                <w:bCs/>
              </w:rPr>
              <w:t>Class 3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232.8</w:t>
            </w:r>
          </w:p>
        </w:tc>
      </w:tr>
      <w:tr>
        <w:tc>
          <w:tcPr>
            <w:tcW w:w="1855" w:type="dxa"/>
          </w:tcPr>
          <w:p>
            <w:pPr>
              <w:pStyle w:val="yTableNAm"/>
            </w:pPr>
            <w:r>
              <w:rPr>
                <w:bCs/>
              </w:rPr>
              <w:t>Class 4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253.6</w:t>
            </w:r>
          </w:p>
        </w:tc>
      </w:tr>
      <w:tr>
        <w:tc>
          <w:tcPr>
            <w:tcW w:w="1855" w:type="dxa"/>
          </w:tcPr>
          <w:p>
            <w:pPr>
              <w:pStyle w:val="yTableNAm"/>
            </w:pPr>
            <w:r>
              <w:rPr>
                <w:bCs/>
              </w:rPr>
              <w:t>Class 5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276.1</w:t>
            </w:r>
          </w:p>
        </w:tc>
      </w:tr>
      <w:tr>
        <w:tc>
          <w:tcPr>
            <w:tcW w:w="1855" w:type="dxa"/>
          </w:tcPr>
          <w:p>
            <w:pPr>
              <w:pStyle w:val="yTableNAm"/>
            </w:pPr>
            <w:r>
              <w:rPr>
                <w:bCs/>
              </w:rPr>
              <w:t>Class 6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300.7</w:t>
            </w:r>
          </w:p>
        </w:tc>
      </w:tr>
      <w:tr>
        <w:tc>
          <w:tcPr>
            <w:tcW w:w="1855" w:type="dxa"/>
          </w:tcPr>
          <w:p>
            <w:pPr>
              <w:pStyle w:val="yTableNAm"/>
            </w:pPr>
            <w:r>
              <w:rPr>
                <w:bCs/>
              </w:rPr>
              <w:t>Class 7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327.5</w:t>
            </w:r>
          </w:p>
        </w:tc>
      </w:tr>
      <w:tr>
        <w:tc>
          <w:tcPr>
            <w:tcW w:w="1855" w:type="dxa"/>
          </w:tcPr>
          <w:p>
            <w:pPr>
              <w:pStyle w:val="yTableNAm"/>
            </w:pPr>
            <w:r>
              <w:rPr>
                <w:bCs/>
              </w:rPr>
              <w:t>Class 8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356.6</w:t>
            </w:r>
          </w:p>
        </w:tc>
      </w:tr>
      <w:tr>
        <w:tc>
          <w:tcPr>
            <w:tcW w:w="1855" w:type="dxa"/>
          </w:tcPr>
          <w:p>
            <w:pPr>
              <w:pStyle w:val="yTableNAm"/>
            </w:pPr>
            <w:r>
              <w:rPr>
                <w:bCs/>
              </w:rPr>
              <w:t>Class 9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388.3</w:t>
            </w:r>
          </w:p>
        </w:tc>
      </w:tr>
      <w:tr>
        <w:tc>
          <w:tcPr>
            <w:tcW w:w="1855" w:type="dxa"/>
          </w:tcPr>
          <w:p>
            <w:pPr>
              <w:pStyle w:val="yTableNAm"/>
            </w:pPr>
            <w:r>
              <w:rPr>
                <w:bCs/>
              </w:rPr>
              <w:t>Class 10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422.9</w:t>
            </w:r>
          </w:p>
        </w:tc>
      </w:tr>
      <w:tr>
        <w:tc>
          <w:tcPr>
            <w:tcW w:w="1855" w:type="dxa"/>
          </w:tcPr>
          <w:p>
            <w:pPr>
              <w:pStyle w:val="yTableNAm"/>
            </w:pPr>
            <w:r>
              <w:rPr>
                <w:bCs/>
              </w:rPr>
              <w:t>Class 11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460.4</w:t>
            </w:r>
          </w:p>
        </w:tc>
      </w:tr>
      <w:tr>
        <w:tc>
          <w:tcPr>
            <w:tcW w:w="1855" w:type="dxa"/>
          </w:tcPr>
          <w:p>
            <w:pPr>
              <w:pStyle w:val="yTableNAm"/>
            </w:pPr>
            <w:r>
              <w:rPr>
                <w:bCs/>
              </w:rPr>
              <w:t>Class 12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501.4</w:t>
            </w:r>
          </w:p>
        </w:tc>
      </w:tr>
      <w:tr>
        <w:tc>
          <w:tcPr>
            <w:tcW w:w="1855" w:type="dxa"/>
          </w:tcPr>
          <w:p>
            <w:pPr>
              <w:pStyle w:val="yTableNAm"/>
            </w:pPr>
            <w:r>
              <w:rPr>
                <w:bCs/>
              </w:rPr>
              <w:t>Class 13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546.0</w:t>
            </w:r>
          </w:p>
        </w:tc>
      </w:tr>
      <w:tr>
        <w:tc>
          <w:tcPr>
            <w:tcW w:w="1855" w:type="dxa"/>
          </w:tcPr>
          <w:p>
            <w:pPr>
              <w:pStyle w:val="yTableNAm"/>
            </w:pPr>
            <w:r>
              <w:rPr>
                <w:bCs/>
              </w:rPr>
              <w:t>Class 14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594.6</w:t>
            </w:r>
          </w:p>
        </w:tc>
      </w:tr>
      <w:tr>
        <w:tc>
          <w:tcPr>
            <w:tcW w:w="1855" w:type="dxa"/>
            <w:tcBorders>
              <w:bottom w:val="single" w:sz="4" w:space="0" w:color="auto"/>
            </w:tcBorders>
          </w:tcPr>
          <w:p>
            <w:pPr>
              <w:pStyle w:val="yTableNAm"/>
            </w:pPr>
            <w:r>
              <w:rPr>
                <w:bCs/>
              </w:rPr>
              <w:t>Class 15 (c/kL)</w:t>
            </w:r>
          </w:p>
        </w:tc>
        <w:tc>
          <w:tcPr>
            <w:tcW w:w="3013" w:type="dxa"/>
            <w:tcBorders>
              <w:bottom w:val="single" w:sz="4" w:space="0" w:color="auto"/>
            </w:tcBorders>
            <w:vAlign w:val="bottom"/>
          </w:tcPr>
          <w:p>
            <w:pPr>
              <w:pStyle w:val="yTableNAm"/>
              <w:jc w:val="center"/>
              <w:rPr>
                <w:rFonts w:ascii="Arial" w:hAnsi="Arial"/>
                <w:b/>
              </w:rPr>
            </w:pPr>
            <w:r>
              <w:t>138.1</w:t>
            </w:r>
          </w:p>
        </w:tc>
        <w:tc>
          <w:tcPr>
            <w:tcW w:w="1511" w:type="dxa"/>
            <w:tcBorders>
              <w:bottom w:val="single" w:sz="4" w:space="0" w:color="auto"/>
            </w:tcBorders>
            <w:vAlign w:val="bottom"/>
          </w:tcPr>
          <w:p>
            <w:pPr>
              <w:pStyle w:val="yTableNAm"/>
              <w:jc w:val="center"/>
              <w:rPr>
                <w:rFonts w:ascii="Arial" w:hAnsi="Arial"/>
                <w:b/>
              </w:rPr>
            </w:pPr>
            <w:r>
              <w:t>647.4</w:t>
            </w:r>
          </w:p>
        </w:tc>
      </w:tr>
    </w:tbl>
    <w:p>
      <w:pPr>
        <w:pStyle w:val="yMiscellaneousBody"/>
      </w:pPr>
    </w:p>
    <w:tbl>
      <w:tblPr>
        <w:tblW w:w="6379" w:type="dxa"/>
        <w:tblInd w:w="534" w:type="dxa"/>
        <w:tblLayout w:type="fixed"/>
        <w:tblLook w:val="0000" w:firstRow="0" w:lastRow="0" w:firstColumn="0" w:lastColumn="0" w:noHBand="0" w:noVBand="0"/>
      </w:tblPr>
      <w:tblGrid>
        <w:gridCol w:w="735"/>
        <w:gridCol w:w="4325"/>
        <w:gridCol w:w="1319"/>
      </w:tblGrid>
      <w:tr>
        <w:trPr>
          <w:cantSplit/>
        </w:trPr>
        <w:tc>
          <w:tcPr>
            <w:tcW w:w="735" w:type="dxa"/>
          </w:tcPr>
          <w:p>
            <w:pPr>
              <w:pStyle w:val="yTableNAm"/>
              <w:keepNext/>
              <w:keepLines/>
            </w:pPr>
            <w:r>
              <w:rPr>
                <w:b/>
              </w:rPr>
              <w:t>28.</w:t>
            </w:r>
          </w:p>
        </w:tc>
        <w:tc>
          <w:tcPr>
            <w:tcW w:w="4325" w:type="dxa"/>
          </w:tcPr>
          <w:p>
            <w:pPr>
              <w:pStyle w:val="yTableNAm"/>
              <w:keepNext/>
              <w:keepLines/>
            </w:pPr>
            <w:r>
              <w:rPr>
                <w:b/>
              </w:rPr>
              <w:t>Coral Bay desalinated</w:t>
            </w:r>
          </w:p>
        </w:tc>
        <w:tc>
          <w:tcPr>
            <w:tcW w:w="1319" w:type="dxa"/>
            <w:vAlign w:val="bottom"/>
          </w:tcPr>
          <w:p>
            <w:pPr>
              <w:pStyle w:val="yTableNAm"/>
            </w:pPr>
          </w:p>
        </w:tc>
      </w:tr>
      <w:tr>
        <w:trPr>
          <w:cantSplit/>
        </w:trPr>
        <w:tc>
          <w:tcPr>
            <w:tcW w:w="735" w:type="dxa"/>
          </w:tcPr>
          <w:p>
            <w:pPr>
              <w:pStyle w:val="zyTableNAm"/>
              <w:keepNext/>
              <w:keepLines/>
            </w:pPr>
          </w:p>
        </w:tc>
        <w:tc>
          <w:tcPr>
            <w:tcW w:w="4325" w:type="dxa"/>
          </w:tcPr>
          <w:p>
            <w:pPr>
              <w:pStyle w:val="yTableNAm"/>
              <w:keepNext/>
              <w:keepLines/>
              <w:tabs>
                <w:tab w:val="right" w:leader="dot" w:pos="3952"/>
              </w:tabs>
              <w:rPr>
                <w:rFonts w:ascii="Arial" w:hAnsi="Arial"/>
                <w:b/>
              </w:rPr>
            </w:pPr>
            <w:r>
              <w:rPr>
                <w:spacing w:val="-1"/>
              </w:rPr>
              <w:t xml:space="preserve">For each </w:t>
            </w:r>
            <w:r>
              <w:t>kilolitre</w:t>
            </w:r>
            <w:r>
              <w:rPr>
                <w:spacing w:val="-1"/>
              </w:rPr>
              <w:t xml:space="preserve"> of water supplied to land in the Coral Bay Water Area not classified as residential </w:t>
            </w:r>
            <w:r>
              <w:t>land</w:t>
            </w:r>
            <w:r>
              <w:rPr>
                <w:spacing w:val="-1"/>
              </w:rPr>
              <w:t>, being water that has been treated to reduce the level of, or remove, salts</w:t>
            </w:r>
          </w:p>
        </w:tc>
        <w:tc>
          <w:tcPr>
            <w:tcW w:w="1319" w:type="dxa"/>
            <w:vAlign w:val="bottom"/>
          </w:tcPr>
          <w:p>
            <w:pPr>
              <w:pStyle w:val="yTableNAm"/>
            </w:pPr>
            <w:r>
              <w:t>675.1 cents</w:t>
            </w:r>
          </w:p>
        </w:tc>
      </w:tr>
      <w:tr>
        <w:trPr>
          <w:cantSplit/>
        </w:trPr>
        <w:tc>
          <w:tcPr>
            <w:tcW w:w="735" w:type="dxa"/>
          </w:tcPr>
          <w:p>
            <w:pPr>
              <w:pStyle w:val="yTableNAm"/>
            </w:pPr>
            <w:r>
              <w:rPr>
                <w:b/>
              </w:rPr>
              <w:t>29.</w:t>
            </w:r>
          </w:p>
        </w:tc>
        <w:tc>
          <w:tcPr>
            <w:tcW w:w="4325" w:type="dxa"/>
          </w:tcPr>
          <w:p>
            <w:pPr>
              <w:pStyle w:val="yTableNAm"/>
            </w:pPr>
            <w:r>
              <w:rPr>
                <w:b/>
              </w:rPr>
              <w:t>Denham desalinated</w:t>
            </w:r>
          </w:p>
        </w:tc>
        <w:tc>
          <w:tcPr>
            <w:tcW w:w="1319" w:type="dxa"/>
            <w:vAlign w:val="bottom"/>
          </w:tcPr>
          <w:p>
            <w:pPr>
              <w:pStyle w:val="yTableNAm"/>
            </w:pPr>
          </w:p>
        </w:tc>
      </w:tr>
      <w:tr>
        <w:trPr>
          <w:cantSplit/>
        </w:trPr>
        <w:tc>
          <w:tcPr>
            <w:tcW w:w="735" w:type="dxa"/>
          </w:tcPr>
          <w:p>
            <w:pPr>
              <w:pStyle w:val="zyTableNAm"/>
            </w:pPr>
          </w:p>
        </w:tc>
        <w:tc>
          <w:tcPr>
            <w:tcW w:w="4325" w:type="dxa"/>
          </w:tcPr>
          <w:p>
            <w:pPr>
              <w:pStyle w:val="yTableNAm"/>
            </w:pPr>
            <w:r>
              <w:t>For each kilolitre of water supplied to land in the Denham Country Water Area, being water that has been treated to reduce the level of, or remove, salts —</w:t>
            </w:r>
          </w:p>
        </w:tc>
        <w:tc>
          <w:tcPr>
            <w:tcW w:w="1319" w:type="dxa"/>
            <w:vAlign w:val="bottom"/>
          </w:tcPr>
          <w:p>
            <w:pPr>
              <w:pStyle w:val="yTableNAm"/>
            </w:pPr>
          </w:p>
        </w:tc>
      </w:tr>
      <w:tr>
        <w:trPr>
          <w:cantSplit/>
        </w:trPr>
        <w:tc>
          <w:tcPr>
            <w:tcW w:w="735" w:type="dxa"/>
          </w:tcPr>
          <w:p>
            <w:pPr>
              <w:pStyle w:val="zyTableNAm"/>
            </w:pPr>
          </w:p>
        </w:tc>
        <w:tc>
          <w:tcPr>
            <w:tcW w:w="4325" w:type="dxa"/>
          </w:tcPr>
          <w:p>
            <w:pPr>
              <w:pStyle w:val="yTableNAm"/>
              <w:tabs>
                <w:tab w:val="clear" w:pos="567"/>
                <w:tab w:val="left" w:pos="268"/>
                <w:tab w:val="left" w:pos="715"/>
                <w:tab w:val="right" w:leader="dot" w:pos="3952"/>
              </w:tabs>
              <w:ind w:left="731" w:hanging="731"/>
              <w:rPr>
                <w:rFonts w:ascii="Arial" w:hAnsi="Arial"/>
                <w:b/>
              </w:rPr>
            </w:pPr>
            <w:r>
              <w:rPr>
                <w:snapToGrid w:val="0"/>
              </w:rPr>
              <w:tab/>
              <w:t>(a)</w:t>
            </w:r>
            <w:r>
              <w:rPr>
                <w:snapToGrid w:val="0"/>
              </w:rPr>
              <w:tab/>
              <w:t>in the case of land classified as residential —</w:t>
            </w:r>
          </w:p>
        </w:tc>
        <w:tc>
          <w:tcPr>
            <w:tcW w:w="1319" w:type="dxa"/>
            <w:vAlign w:val="bottom"/>
          </w:tcPr>
          <w:p>
            <w:pPr>
              <w:pStyle w:val="yTableNAm"/>
            </w:pPr>
          </w:p>
        </w:tc>
      </w:tr>
      <w:tr>
        <w:trPr>
          <w:cantSplit/>
        </w:trPr>
        <w:tc>
          <w:tcPr>
            <w:tcW w:w="735" w:type="dxa"/>
          </w:tcPr>
          <w:p>
            <w:pPr>
              <w:pStyle w:val="zyTableNAm"/>
            </w:pPr>
          </w:p>
        </w:tc>
        <w:tc>
          <w:tcPr>
            <w:tcW w:w="4325" w:type="dxa"/>
          </w:tcPr>
          <w:p>
            <w:pPr>
              <w:pStyle w:val="yTableNAm"/>
              <w:tabs>
                <w:tab w:val="clear" w:pos="567"/>
                <w:tab w:val="left" w:pos="982"/>
                <w:tab w:val="right" w:leader="dot" w:pos="3950"/>
              </w:tabs>
              <w:ind w:left="982" w:hanging="982"/>
              <w:rPr>
                <w:rFonts w:ascii="Arial" w:hAnsi="Arial"/>
                <w:b/>
              </w:rPr>
            </w:pPr>
            <w:r>
              <w:tab/>
              <w:t xml:space="preserve">up to quota for each 2 month period </w:t>
            </w:r>
            <w:r>
              <w:tab/>
            </w:r>
          </w:p>
        </w:tc>
        <w:tc>
          <w:tcPr>
            <w:tcW w:w="1319" w:type="dxa"/>
            <w:vAlign w:val="bottom"/>
          </w:tcPr>
          <w:p>
            <w:pPr>
              <w:pStyle w:val="yTableNAm"/>
            </w:pPr>
            <w:r>
              <w:t>62.2 cents</w:t>
            </w:r>
          </w:p>
        </w:tc>
      </w:tr>
      <w:tr>
        <w:trPr>
          <w:cantSplit/>
        </w:trPr>
        <w:tc>
          <w:tcPr>
            <w:tcW w:w="735" w:type="dxa"/>
          </w:tcPr>
          <w:p>
            <w:pPr>
              <w:pStyle w:val="zyTableNAm"/>
            </w:pPr>
          </w:p>
        </w:tc>
        <w:tc>
          <w:tcPr>
            <w:tcW w:w="4325" w:type="dxa"/>
          </w:tcPr>
          <w:p>
            <w:pPr>
              <w:pStyle w:val="yTableNAm"/>
              <w:tabs>
                <w:tab w:val="clear" w:pos="567"/>
                <w:tab w:val="left" w:pos="982"/>
                <w:tab w:val="right" w:leader="dot" w:pos="3950"/>
              </w:tabs>
              <w:ind w:left="982" w:hanging="982"/>
              <w:rPr>
                <w:rFonts w:ascii="Arial" w:hAnsi="Arial"/>
                <w:b/>
              </w:rPr>
            </w:pPr>
            <w:r>
              <w:tab/>
              <w:t>over quota by up to shoulder amount</w:t>
            </w:r>
            <w:r>
              <w:tab/>
            </w:r>
          </w:p>
        </w:tc>
        <w:tc>
          <w:tcPr>
            <w:tcW w:w="1319" w:type="dxa"/>
            <w:vAlign w:val="bottom"/>
          </w:tcPr>
          <w:p>
            <w:pPr>
              <w:pStyle w:val="yTableNAm"/>
            </w:pPr>
            <w:r>
              <w:t>456.7 cents</w:t>
            </w:r>
          </w:p>
        </w:tc>
      </w:tr>
      <w:tr>
        <w:trPr>
          <w:cantSplit/>
        </w:trPr>
        <w:tc>
          <w:tcPr>
            <w:tcW w:w="735" w:type="dxa"/>
          </w:tcPr>
          <w:p>
            <w:pPr>
              <w:pStyle w:val="zyTableNAm"/>
            </w:pPr>
          </w:p>
        </w:tc>
        <w:tc>
          <w:tcPr>
            <w:tcW w:w="4325" w:type="dxa"/>
          </w:tcPr>
          <w:p>
            <w:pPr>
              <w:pStyle w:val="yTableNAm"/>
              <w:tabs>
                <w:tab w:val="clear" w:pos="567"/>
                <w:tab w:val="left" w:pos="982"/>
                <w:tab w:val="right" w:leader="dot" w:pos="3950"/>
              </w:tabs>
              <w:ind w:left="982" w:hanging="982"/>
              <w:rPr>
                <w:rFonts w:ascii="Arial" w:hAnsi="Arial"/>
                <w:b/>
              </w:rPr>
            </w:pPr>
            <w:r>
              <w:tab/>
              <w:t xml:space="preserve">over quota by more than shoulder amount </w:t>
            </w:r>
            <w:r>
              <w:tab/>
            </w:r>
          </w:p>
        </w:tc>
        <w:tc>
          <w:tcPr>
            <w:tcW w:w="1319" w:type="dxa"/>
            <w:vAlign w:val="bottom"/>
          </w:tcPr>
          <w:p>
            <w:pPr>
              <w:pStyle w:val="yTableNAm"/>
            </w:pPr>
            <w:r>
              <w:t>1 422.8 cents</w:t>
            </w:r>
          </w:p>
        </w:tc>
      </w:tr>
      <w:tr>
        <w:trPr>
          <w:cantSplit/>
        </w:trPr>
        <w:tc>
          <w:tcPr>
            <w:tcW w:w="735" w:type="dxa"/>
          </w:tcPr>
          <w:p>
            <w:pPr>
              <w:pStyle w:val="zyTableNAm"/>
            </w:pPr>
          </w:p>
        </w:tc>
        <w:tc>
          <w:tcPr>
            <w:tcW w:w="4325" w:type="dxa"/>
          </w:tcPr>
          <w:p>
            <w:pPr>
              <w:pStyle w:val="yTableNAm"/>
              <w:tabs>
                <w:tab w:val="clear" w:pos="567"/>
                <w:tab w:val="left" w:pos="268"/>
                <w:tab w:val="left" w:pos="715"/>
                <w:tab w:val="right" w:leader="dot" w:pos="3952"/>
              </w:tabs>
              <w:ind w:left="731" w:hanging="731"/>
              <w:rPr>
                <w:rFonts w:ascii="Arial" w:hAnsi="Arial"/>
                <w:b/>
              </w:rPr>
            </w:pPr>
            <w:r>
              <w:rPr>
                <w:snapToGrid w:val="0"/>
              </w:rPr>
              <w:tab/>
            </w:r>
            <w:r>
              <w:rPr>
                <w:snapToGrid w:val="0"/>
              </w:rPr>
              <w:tab/>
              <w:t>where the quota for each 2 month period is 18 kL plus 4 kL for each person in excess of 4 persons who is resident on the land and the shoulder amount is 3 kL plus 1 kL for each person in excess of 4 persons who is resident on the land;</w:t>
            </w:r>
          </w:p>
        </w:tc>
        <w:tc>
          <w:tcPr>
            <w:tcW w:w="1319" w:type="dxa"/>
            <w:vAlign w:val="bottom"/>
          </w:tcPr>
          <w:p>
            <w:pPr>
              <w:pStyle w:val="yTableNAm"/>
            </w:pPr>
          </w:p>
        </w:tc>
      </w:tr>
      <w:tr>
        <w:trPr>
          <w:cantSplit/>
        </w:trPr>
        <w:tc>
          <w:tcPr>
            <w:tcW w:w="735" w:type="dxa"/>
          </w:tcPr>
          <w:p>
            <w:pPr>
              <w:pStyle w:val="zyTableNAm"/>
            </w:pPr>
          </w:p>
        </w:tc>
        <w:tc>
          <w:tcPr>
            <w:tcW w:w="4325" w:type="dxa"/>
          </w:tcPr>
          <w:p>
            <w:pPr>
              <w:pStyle w:val="yTableNAm"/>
              <w:tabs>
                <w:tab w:val="clear" w:pos="567"/>
                <w:tab w:val="left" w:pos="268"/>
                <w:tab w:val="left" w:pos="715"/>
                <w:tab w:val="right" w:leader="dot" w:pos="3952"/>
              </w:tabs>
              <w:ind w:left="731" w:hanging="731"/>
              <w:rPr>
                <w:rFonts w:ascii="Arial" w:hAnsi="Arial"/>
                <w:b/>
              </w:rPr>
            </w:pPr>
            <w:r>
              <w:rPr>
                <w:snapToGrid w:val="0"/>
              </w:rPr>
              <w:tab/>
              <w:t>(b)</w:t>
            </w:r>
            <w:r>
              <w:rPr>
                <w:snapToGrid w:val="0"/>
              </w:rPr>
              <w:tab/>
              <w:t>in the case of land not classified as residential —</w:t>
            </w:r>
          </w:p>
        </w:tc>
        <w:tc>
          <w:tcPr>
            <w:tcW w:w="1319" w:type="dxa"/>
            <w:vAlign w:val="bottom"/>
          </w:tcPr>
          <w:p>
            <w:pPr>
              <w:pStyle w:val="yTableNAm"/>
            </w:pPr>
          </w:p>
        </w:tc>
      </w:tr>
      <w:tr>
        <w:trPr>
          <w:cantSplit/>
        </w:trPr>
        <w:tc>
          <w:tcPr>
            <w:tcW w:w="735" w:type="dxa"/>
          </w:tcPr>
          <w:p>
            <w:pPr>
              <w:pStyle w:val="zyTableNAm"/>
            </w:pPr>
          </w:p>
        </w:tc>
        <w:tc>
          <w:tcPr>
            <w:tcW w:w="4325" w:type="dxa"/>
          </w:tcPr>
          <w:p>
            <w:pPr>
              <w:pStyle w:val="yTableNAm"/>
              <w:tabs>
                <w:tab w:val="clear" w:pos="567"/>
                <w:tab w:val="left" w:pos="982"/>
                <w:tab w:val="right" w:leader="dot" w:pos="3950"/>
              </w:tabs>
              <w:ind w:left="982" w:hanging="982"/>
              <w:rPr>
                <w:rFonts w:ascii="Arial" w:hAnsi="Arial"/>
                <w:b/>
              </w:rPr>
            </w:pPr>
            <w:r>
              <w:tab/>
              <w:t xml:space="preserve">up to quota </w:t>
            </w:r>
            <w:r>
              <w:tab/>
            </w:r>
          </w:p>
        </w:tc>
        <w:tc>
          <w:tcPr>
            <w:tcW w:w="1319" w:type="dxa"/>
            <w:vAlign w:val="bottom"/>
          </w:tcPr>
          <w:p>
            <w:pPr>
              <w:pStyle w:val="yTableNAm"/>
            </w:pPr>
            <w:r>
              <w:t>62.2 cents</w:t>
            </w:r>
          </w:p>
        </w:tc>
      </w:tr>
      <w:tr>
        <w:trPr>
          <w:cantSplit/>
        </w:trPr>
        <w:tc>
          <w:tcPr>
            <w:tcW w:w="735" w:type="dxa"/>
          </w:tcPr>
          <w:p>
            <w:pPr>
              <w:pStyle w:val="zyTableNAm"/>
            </w:pPr>
          </w:p>
        </w:tc>
        <w:tc>
          <w:tcPr>
            <w:tcW w:w="4325" w:type="dxa"/>
          </w:tcPr>
          <w:p>
            <w:pPr>
              <w:pStyle w:val="yTableNAm"/>
              <w:tabs>
                <w:tab w:val="clear" w:pos="567"/>
                <w:tab w:val="left" w:pos="982"/>
                <w:tab w:val="right" w:leader="dot" w:pos="3950"/>
              </w:tabs>
              <w:ind w:left="982" w:hanging="982"/>
              <w:rPr>
                <w:rFonts w:ascii="Arial" w:hAnsi="Arial"/>
                <w:b/>
              </w:rPr>
            </w:pPr>
            <w:r>
              <w:tab/>
              <w:t xml:space="preserve">over quota </w:t>
            </w:r>
            <w:r>
              <w:tab/>
            </w:r>
          </w:p>
        </w:tc>
        <w:tc>
          <w:tcPr>
            <w:tcW w:w="1319" w:type="dxa"/>
            <w:vAlign w:val="bottom"/>
          </w:tcPr>
          <w:p>
            <w:pPr>
              <w:pStyle w:val="yTableNAm"/>
            </w:pPr>
            <w:r>
              <w:t>1 422.8 cents</w:t>
            </w:r>
          </w:p>
        </w:tc>
      </w:tr>
      <w:tr>
        <w:trPr>
          <w:cantSplit/>
        </w:trPr>
        <w:tc>
          <w:tcPr>
            <w:tcW w:w="735" w:type="dxa"/>
          </w:tcPr>
          <w:p>
            <w:pPr>
              <w:pStyle w:val="zyTableNAm"/>
            </w:pPr>
          </w:p>
        </w:tc>
        <w:tc>
          <w:tcPr>
            <w:tcW w:w="4325" w:type="dxa"/>
          </w:tcPr>
          <w:p>
            <w:pPr>
              <w:pStyle w:val="yTableNAm"/>
              <w:tabs>
                <w:tab w:val="clear" w:pos="567"/>
                <w:tab w:val="left" w:pos="268"/>
                <w:tab w:val="left" w:pos="715"/>
                <w:tab w:val="right" w:leader="dot" w:pos="3952"/>
              </w:tabs>
              <w:ind w:left="731" w:hanging="731"/>
              <w:rPr>
                <w:rFonts w:ascii="Arial" w:hAnsi="Arial"/>
                <w:b/>
              </w:rPr>
            </w:pPr>
            <w:r>
              <w:rPr>
                <w:snapToGrid w:val="0"/>
              </w:rPr>
              <w:tab/>
            </w:r>
            <w:r>
              <w:rPr>
                <w:snapToGrid w:val="0"/>
              </w:rPr>
              <w:tab/>
              <w:t>where the quota for the year is 108 kL or such greater amount as the Corporation may from time to time determine for the land concerned.</w:t>
            </w:r>
          </w:p>
        </w:tc>
        <w:tc>
          <w:tcPr>
            <w:tcW w:w="1319" w:type="dxa"/>
            <w:vAlign w:val="bottom"/>
          </w:tcPr>
          <w:p>
            <w:pPr>
              <w:pStyle w:val="yTableNAm"/>
            </w:pPr>
          </w:p>
        </w:tc>
      </w:tr>
      <w:tr>
        <w:trPr>
          <w:cantSplit/>
        </w:trPr>
        <w:tc>
          <w:tcPr>
            <w:tcW w:w="735" w:type="dxa"/>
          </w:tcPr>
          <w:p>
            <w:pPr>
              <w:pStyle w:val="yTableNAm"/>
            </w:pPr>
            <w:r>
              <w:rPr>
                <w:b/>
              </w:rPr>
              <w:t>30.</w:t>
            </w:r>
          </w:p>
        </w:tc>
        <w:tc>
          <w:tcPr>
            <w:tcW w:w="4325" w:type="dxa"/>
          </w:tcPr>
          <w:p>
            <w:pPr>
              <w:pStyle w:val="yTableNAm"/>
            </w:pPr>
            <w:r>
              <w:rPr>
                <w:b/>
              </w:rPr>
              <w:t>Local government standpipes</w:t>
            </w:r>
          </w:p>
        </w:tc>
        <w:tc>
          <w:tcPr>
            <w:tcW w:w="1319" w:type="dxa"/>
            <w:vAlign w:val="bottom"/>
          </w:tcPr>
          <w:p>
            <w:pPr>
              <w:pStyle w:val="yTableNAm"/>
            </w:pPr>
          </w:p>
        </w:tc>
      </w:tr>
      <w:tr>
        <w:trPr>
          <w:cantSplit/>
        </w:trPr>
        <w:tc>
          <w:tcPr>
            <w:tcW w:w="735" w:type="dxa"/>
          </w:tcPr>
          <w:p>
            <w:pPr>
              <w:pStyle w:val="zyTableNAm"/>
              <w:keepNext/>
              <w:keepLines/>
            </w:pPr>
          </w:p>
        </w:tc>
        <w:tc>
          <w:tcPr>
            <w:tcW w:w="4325" w:type="dxa"/>
          </w:tcPr>
          <w:p>
            <w:pPr>
              <w:pStyle w:val="yTableNAm"/>
              <w:tabs>
                <w:tab w:val="right" w:leader="dot" w:pos="3952"/>
              </w:tabs>
              <w:rPr>
                <w:rFonts w:ascii="Arial" w:hAnsi="Arial"/>
                <w:b/>
              </w:rPr>
            </w:pPr>
            <w:r>
              <w:rPr>
                <w:spacing w:val="-1"/>
              </w:rPr>
              <w:t xml:space="preserve">For </w:t>
            </w:r>
            <w:r>
              <w:rPr>
                <w:snapToGrid w:val="0"/>
              </w:rPr>
              <w:t>each</w:t>
            </w:r>
            <w:r>
              <w:rPr>
                <w:spacing w:val="-1"/>
              </w:rPr>
              <w:t xml:space="preserve"> kilolitre of </w:t>
            </w:r>
            <w:r>
              <w:t>water</w:t>
            </w:r>
            <w:r>
              <w:rPr>
                <w:spacing w:val="-1"/>
              </w:rPr>
              <w:t xml:space="preserve"> supplied through a local government standpipe </w:t>
            </w:r>
            <w:r>
              <w:rPr>
                <w:spacing w:val="-1"/>
              </w:rPr>
              <w:tab/>
            </w:r>
          </w:p>
        </w:tc>
        <w:tc>
          <w:tcPr>
            <w:tcW w:w="1319" w:type="dxa"/>
            <w:vAlign w:val="bottom"/>
          </w:tcPr>
          <w:p>
            <w:pPr>
              <w:pStyle w:val="yTableNAm"/>
            </w:pPr>
            <w:r>
              <w:t>176.0 cents</w:t>
            </w:r>
          </w:p>
        </w:tc>
      </w:tr>
      <w:tr>
        <w:trPr>
          <w:cantSplit/>
        </w:trPr>
        <w:tc>
          <w:tcPr>
            <w:tcW w:w="735" w:type="dxa"/>
          </w:tcPr>
          <w:p>
            <w:pPr>
              <w:pStyle w:val="yTableNAm"/>
            </w:pPr>
            <w:r>
              <w:rPr>
                <w:b/>
              </w:rPr>
              <w:t>31.</w:t>
            </w:r>
          </w:p>
        </w:tc>
        <w:tc>
          <w:tcPr>
            <w:tcW w:w="4325" w:type="dxa"/>
          </w:tcPr>
          <w:p>
            <w:pPr>
              <w:pStyle w:val="yTableNAm"/>
            </w:pPr>
            <w:r>
              <w:rPr>
                <w:b/>
              </w:rPr>
              <w:t>Shipping</w:t>
            </w:r>
          </w:p>
        </w:tc>
        <w:tc>
          <w:tcPr>
            <w:tcW w:w="1319" w:type="dxa"/>
            <w:vAlign w:val="bottom"/>
          </w:tcPr>
          <w:p>
            <w:pPr>
              <w:pStyle w:val="yTableNAm"/>
            </w:pPr>
          </w:p>
        </w:tc>
      </w:tr>
      <w:tr>
        <w:trPr>
          <w:cantSplit/>
        </w:trPr>
        <w:tc>
          <w:tcPr>
            <w:tcW w:w="735" w:type="dxa"/>
          </w:tcPr>
          <w:p>
            <w:pPr>
              <w:pStyle w:val="zyTableNAm"/>
              <w:rPr>
                <w:rStyle w:val="CharSClsNo"/>
              </w:rPr>
            </w:pPr>
          </w:p>
        </w:tc>
        <w:tc>
          <w:tcPr>
            <w:tcW w:w="4325" w:type="dxa"/>
          </w:tcPr>
          <w:p>
            <w:pPr>
              <w:pStyle w:val="yTableNAm"/>
            </w:pPr>
            <w:r>
              <w:t xml:space="preserve">For </w:t>
            </w:r>
            <w:r>
              <w:rPr>
                <w:snapToGrid w:val="0"/>
              </w:rPr>
              <w:t>each</w:t>
            </w:r>
            <w:r>
              <w:t xml:space="preserve"> kilolitre of water supplied for the purpose of being taken on board any ship in port —</w:t>
            </w:r>
          </w:p>
        </w:tc>
        <w:tc>
          <w:tcPr>
            <w:tcW w:w="1319" w:type="dxa"/>
            <w:vAlign w:val="bottom"/>
          </w:tcPr>
          <w:p>
            <w:pPr>
              <w:pStyle w:val="yTableNAm"/>
            </w:pPr>
          </w:p>
        </w:tc>
      </w:tr>
      <w:tr>
        <w:trPr>
          <w:cantSplit/>
        </w:trPr>
        <w:tc>
          <w:tcPr>
            <w:tcW w:w="735" w:type="dxa"/>
          </w:tcPr>
          <w:p>
            <w:pPr>
              <w:pStyle w:val="zyTableNAm"/>
              <w:rPr>
                <w:rStyle w:val="CharSClsNo"/>
              </w:rPr>
            </w:pPr>
          </w:p>
        </w:tc>
        <w:tc>
          <w:tcPr>
            <w:tcW w:w="4325"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(a)</w:t>
            </w:r>
            <w:r>
              <w:rPr>
                <w:snapToGrid w:val="0"/>
              </w:rPr>
              <w:tab/>
              <w:t xml:space="preserve">in the metropolitan area </w:t>
            </w:r>
            <w:r>
              <w:rPr>
                <w:snapToGrid w:val="0"/>
              </w:rPr>
              <w:tab/>
            </w:r>
          </w:p>
        </w:tc>
        <w:tc>
          <w:tcPr>
            <w:tcW w:w="1319" w:type="dxa"/>
            <w:vAlign w:val="bottom"/>
          </w:tcPr>
          <w:p>
            <w:pPr>
              <w:pStyle w:val="yTableNAm"/>
            </w:pPr>
            <w:r>
              <w:t>204.3 cents</w:t>
            </w:r>
          </w:p>
        </w:tc>
      </w:tr>
      <w:tr>
        <w:trPr>
          <w:cantSplit/>
        </w:trPr>
        <w:tc>
          <w:tcPr>
            <w:tcW w:w="735" w:type="dxa"/>
          </w:tcPr>
          <w:p>
            <w:pPr>
              <w:pStyle w:val="zyTableNAm"/>
              <w:rPr>
                <w:rStyle w:val="CharSClsNo"/>
              </w:rPr>
            </w:pPr>
          </w:p>
        </w:tc>
        <w:tc>
          <w:tcPr>
            <w:tcW w:w="4325"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(b)</w:t>
            </w:r>
            <w:r>
              <w:rPr>
                <w:snapToGrid w:val="0"/>
              </w:rPr>
              <w:tab/>
              <w:t>not in the metropolitan area (according to the non</w:t>
            </w:r>
            <w:r>
              <w:rPr>
                <w:snapToGrid w:val="0"/>
              </w:rPr>
              <w:noBreakHyphen/>
              <w:t>residential classification of the town/area in which that property is situated, as set out in Schedule 10) —</w:t>
            </w:r>
          </w:p>
        </w:tc>
        <w:tc>
          <w:tcPr>
            <w:tcW w:w="1319" w:type="dxa"/>
            <w:vAlign w:val="bottom"/>
          </w:tcPr>
          <w:p>
            <w:pPr>
              <w:pStyle w:val="yTableNAm"/>
            </w:pPr>
          </w:p>
        </w:tc>
      </w:tr>
    </w:tbl>
    <w:p>
      <w:pPr>
        <w:ind w:firstLine="426"/>
        <w:rPr>
          <w:sz w:val="16"/>
          <w:szCs w:val="16"/>
        </w:rPr>
      </w:pPr>
    </w:p>
    <w:tbl>
      <w:tblPr>
        <w:tblW w:w="6379" w:type="dxa"/>
        <w:tblInd w:w="454" w:type="dxa"/>
        <w:tblLayout w:type="fixed"/>
        <w:tblCellMar>
          <w:left w:w="28" w:type="dxa"/>
          <w:right w:w="28" w:type="dxa"/>
        </w:tblCellMar>
        <w:tblLook w:val="0000" w:firstRow="0" w:lastRow="0" w:firstColumn="0" w:lastColumn="0" w:noHBand="0" w:noVBand="0"/>
      </w:tblPr>
      <w:tblGrid>
        <w:gridCol w:w="1855"/>
        <w:gridCol w:w="4524"/>
      </w:tblGrid>
      <w:tr>
        <w:trPr>
          <w:cantSplit/>
          <w:trHeight w:val="217"/>
          <w:tblHeader/>
        </w:trPr>
        <w:tc>
          <w:tcPr>
            <w:tcW w:w="1855" w:type="dxa"/>
            <w:tcBorders>
              <w:top w:val="single" w:sz="4" w:space="0" w:color="auto"/>
              <w:bottom w:val="single" w:sz="4" w:space="0" w:color="auto"/>
            </w:tcBorders>
          </w:tcPr>
          <w:p>
            <w:pPr>
              <w:pStyle w:val="yTableNAm"/>
            </w:pPr>
            <w:r>
              <w:rPr>
                <w:b/>
                <w:bCs/>
              </w:rPr>
              <w:t>Class</w:t>
            </w:r>
          </w:p>
        </w:tc>
        <w:tc>
          <w:tcPr>
            <w:tcW w:w="4524" w:type="dxa"/>
            <w:tcBorders>
              <w:top w:val="single" w:sz="4" w:space="0" w:color="auto"/>
              <w:bottom w:val="single" w:sz="4" w:space="0" w:color="auto"/>
            </w:tcBorders>
          </w:tcPr>
          <w:p>
            <w:pPr>
              <w:pStyle w:val="yTableNAm"/>
              <w:jc w:val="center"/>
            </w:pPr>
            <w:r>
              <w:rPr>
                <w:b/>
                <w:bCs/>
              </w:rPr>
              <w:t>Charge (c/kL)</w:t>
            </w:r>
          </w:p>
        </w:tc>
      </w:tr>
      <w:tr>
        <w:tc>
          <w:tcPr>
            <w:tcW w:w="1855" w:type="dxa"/>
            <w:tcBorders>
              <w:top w:val="single" w:sz="4" w:space="0" w:color="auto"/>
            </w:tcBorders>
          </w:tcPr>
          <w:p>
            <w:pPr>
              <w:pStyle w:val="yTableNAm"/>
            </w:pPr>
            <w:r>
              <w:rPr>
                <w:bCs/>
              </w:rPr>
              <w:t xml:space="preserve">Class 1 </w:t>
            </w:r>
          </w:p>
        </w:tc>
        <w:tc>
          <w:tcPr>
            <w:tcW w:w="4524" w:type="dxa"/>
            <w:tcBorders>
              <w:top w:val="single" w:sz="4" w:space="0" w:color="auto"/>
            </w:tcBorders>
            <w:vAlign w:val="bottom"/>
          </w:tcPr>
          <w:p>
            <w:pPr>
              <w:pStyle w:val="yTableNAm"/>
              <w:jc w:val="center"/>
              <w:rPr>
                <w:rFonts w:ascii="Arial" w:hAnsi="Arial"/>
                <w:b/>
              </w:rPr>
            </w:pPr>
            <w:r>
              <w:t>196.5</w:t>
            </w:r>
          </w:p>
        </w:tc>
      </w:tr>
      <w:tr>
        <w:tc>
          <w:tcPr>
            <w:tcW w:w="1855" w:type="dxa"/>
          </w:tcPr>
          <w:p>
            <w:pPr>
              <w:pStyle w:val="yTableNAm"/>
            </w:pPr>
            <w:r>
              <w:rPr>
                <w:bCs/>
              </w:rPr>
              <w:t xml:space="preserve">Class 2 </w:t>
            </w:r>
          </w:p>
        </w:tc>
        <w:tc>
          <w:tcPr>
            <w:tcW w:w="4524" w:type="dxa"/>
            <w:vAlign w:val="bottom"/>
          </w:tcPr>
          <w:p>
            <w:pPr>
              <w:pStyle w:val="yTableNAm"/>
              <w:jc w:val="center"/>
              <w:rPr>
                <w:rFonts w:ascii="Arial" w:hAnsi="Arial"/>
                <w:b/>
              </w:rPr>
            </w:pPr>
            <w:r>
              <w:t>214.0</w:t>
            </w:r>
          </w:p>
        </w:tc>
      </w:tr>
      <w:tr>
        <w:tc>
          <w:tcPr>
            <w:tcW w:w="1855" w:type="dxa"/>
          </w:tcPr>
          <w:p>
            <w:pPr>
              <w:pStyle w:val="yTableNAm"/>
            </w:pPr>
            <w:r>
              <w:rPr>
                <w:bCs/>
              </w:rPr>
              <w:t xml:space="preserve">Class 3 </w:t>
            </w:r>
          </w:p>
        </w:tc>
        <w:tc>
          <w:tcPr>
            <w:tcW w:w="4524" w:type="dxa"/>
            <w:vAlign w:val="bottom"/>
          </w:tcPr>
          <w:p>
            <w:pPr>
              <w:pStyle w:val="yTableNAm"/>
              <w:jc w:val="center"/>
              <w:rPr>
                <w:rFonts w:ascii="Arial" w:hAnsi="Arial"/>
                <w:b/>
              </w:rPr>
            </w:pPr>
            <w:r>
              <w:t>232.8</w:t>
            </w:r>
          </w:p>
        </w:tc>
      </w:tr>
      <w:tr>
        <w:tc>
          <w:tcPr>
            <w:tcW w:w="1855" w:type="dxa"/>
          </w:tcPr>
          <w:p>
            <w:pPr>
              <w:pStyle w:val="yTableNAm"/>
            </w:pPr>
            <w:r>
              <w:rPr>
                <w:bCs/>
              </w:rPr>
              <w:t xml:space="preserve">Class 4 </w:t>
            </w:r>
          </w:p>
        </w:tc>
        <w:tc>
          <w:tcPr>
            <w:tcW w:w="4524" w:type="dxa"/>
            <w:vAlign w:val="bottom"/>
          </w:tcPr>
          <w:p>
            <w:pPr>
              <w:pStyle w:val="yTableNAm"/>
              <w:jc w:val="center"/>
              <w:rPr>
                <w:rFonts w:ascii="Arial" w:hAnsi="Arial"/>
                <w:b/>
              </w:rPr>
            </w:pPr>
            <w:r>
              <w:t>253.6</w:t>
            </w:r>
          </w:p>
        </w:tc>
      </w:tr>
      <w:tr>
        <w:tc>
          <w:tcPr>
            <w:tcW w:w="1855" w:type="dxa"/>
          </w:tcPr>
          <w:p>
            <w:pPr>
              <w:pStyle w:val="yTableNAm"/>
            </w:pPr>
            <w:r>
              <w:rPr>
                <w:bCs/>
              </w:rPr>
              <w:t xml:space="preserve">Class 5 </w:t>
            </w:r>
          </w:p>
        </w:tc>
        <w:tc>
          <w:tcPr>
            <w:tcW w:w="4524" w:type="dxa"/>
            <w:vAlign w:val="bottom"/>
          </w:tcPr>
          <w:p>
            <w:pPr>
              <w:pStyle w:val="yTableNAm"/>
              <w:jc w:val="center"/>
              <w:rPr>
                <w:rFonts w:ascii="Arial" w:hAnsi="Arial"/>
                <w:b/>
              </w:rPr>
            </w:pPr>
            <w:r>
              <w:t>276.1</w:t>
            </w:r>
          </w:p>
        </w:tc>
      </w:tr>
      <w:tr>
        <w:tc>
          <w:tcPr>
            <w:tcW w:w="1855" w:type="dxa"/>
          </w:tcPr>
          <w:p>
            <w:pPr>
              <w:pStyle w:val="yTableNAm"/>
            </w:pPr>
            <w:r>
              <w:rPr>
                <w:bCs/>
              </w:rPr>
              <w:t xml:space="preserve">Class 6 </w:t>
            </w:r>
          </w:p>
        </w:tc>
        <w:tc>
          <w:tcPr>
            <w:tcW w:w="4524" w:type="dxa"/>
            <w:vAlign w:val="bottom"/>
          </w:tcPr>
          <w:p>
            <w:pPr>
              <w:pStyle w:val="yTableNAm"/>
              <w:jc w:val="center"/>
              <w:rPr>
                <w:rFonts w:ascii="Arial" w:hAnsi="Arial"/>
                <w:b/>
              </w:rPr>
            </w:pPr>
            <w:r>
              <w:t>300.7</w:t>
            </w:r>
          </w:p>
        </w:tc>
      </w:tr>
      <w:tr>
        <w:tc>
          <w:tcPr>
            <w:tcW w:w="1855" w:type="dxa"/>
          </w:tcPr>
          <w:p>
            <w:pPr>
              <w:pStyle w:val="yTableNAm"/>
            </w:pPr>
            <w:r>
              <w:rPr>
                <w:bCs/>
              </w:rPr>
              <w:t xml:space="preserve">Class 7 </w:t>
            </w:r>
          </w:p>
        </w:tc>
        <w:tc>
          <w:tcPr>
            <w:tcW w:w="4524" w:type="dxa"/>
            <w:vAlign w:val="bottom"/>
          </w:tcPr>
          <w:p>
            <w:pPr>
              <w:pStyle w:val="yTableNAm"/>
              <w:jc w:val="center"/>
              <w:rPr>
                <w:rFonts w:ascii="Arial" w:hAnsi="Arial"/>
                <w:b/>
              </w:rPr>
            </w:pPr>
            <w:r>
              <w:t>327.5</w:t>
            </w:r>
          </w:p>
        </w:tc>
      </w:tr>
      <w:tr>
        <w:tc>
          <w:tcPr>
            <w:tcW w:w="1855" w:type="dxa"/>
          </w:tcPr>
          <w:p>
            <w:pPr>
              <w:pStyle w:val="yTableNAm"/>
            </w:pPr>
            <w:r>
              <w:rPr>
                <w:bCs/>
              </w:rPr>
              <w:t xml:space="preserve">Class 8 </w:t>
            </w:r>
          </w:p>
        </w:tc>
        <w:tc>
          <w:tcPr>
            <w:tcW w:w="4524" w:type="dxa"/>
            <w:vAlign w:val="bottom"/>
          </w:tcPr>
          <w:p>
            <w:pPr>
              <w:pStyle w:val="yTableNAm"/>
              <w:jc w:val="center"/>
              <w:rPr>
                <w:rFonts w:ascii="Arial" w:hAnsi="Arial"/>
                <w:b/>
              </w:rPr>
            </w:pPr>
            <w:r>
              <w:t>356.6</w:t>
            </w:r>
          </w:p>
        </w:tc>
      </w:tr>
      <w:tr>
        <w:tc>
          <w:tcPr>
            <w:tcW w:w="1855" w:type="dxa"/>
          </w:tcPr>
          <w:p>
            <w:pPr>
              <w:pStyle w:val="yTableNAm"/>
            </w:pPr>
            <w:r>
              <w:rPr>
                <w:bCs/>
              </w:rPr>
              <w:t xml:space="preserve">Class 9 </w:t>
            </w:r>
          </w:p>
        </w:tc>
        <w:tc>
          <w:tcPr>
            <w:tcW w:w="4524" w:type="dxa"/>
            <w:vAlign w:val="bottom"/>
          </w:tcPr>
          <w:p>
            <w:pPr>
              <w:pStyle w:val="yTableNAm"/>
              <w:jc w:val="center"/>
              <w:rPr>
                <w:rFonts w:ascii="Arial" w:hAnsi="Arial"/>
                <w:b/>
              </w:rPr>
            </w:pPr>
            <w:r>
              <w:t>388.3</w:t>
            </w:r>
          </w:p>
        </w:tc>
      </w:tr>
      <w:tr>
        <w:tc>
          <w:tcPr>
            <w:tcW w:w="1855" w:type="dxa"/>
          </w:tcPr>
          <w:p>
            <w:pPr>
              <w:pStyle w:val="yTableNAm"/>
            </w:pPr>
            <w:r>
              <w:rPr>
                <w:bCs/>
              </w:rPr>
              <w:t xml:space="preserve">Class 10 </w:t>
            </w:r>
          </w:p>
        </w:tc>
        <w:tc>
          <w:tcPr>
            <w:tcW w:w="4524" w:type="dxa"/>
            <w:vAlign w:val="bottom"/>
          </w:tcPr>
          <w:p>
            <w:pPr>
              <w:pStyle w:val="yTableNAm"/>
              <w:jc w:val="center"/>
              <w:rPr>
                <w:rFonts w:ascii="Arial" w:hAnsi="Arial"/>
                <w:b/>
              </w:rPr>
            </w:pPr>
            <w:r>
              <w:t>422.9</w:t>
            </w:r>
          </w:p>
        </w:tc>
      </w:tr>
      <w:tr>
        <w:tc>
          <w:tcPr>
            <w:tcW w:w="1855" w:type="dxa"/>
          </w:tcPr>
          <w:p>
            <w:pPr>
              <w:pStyle w:val="yTableNAm"/>
            </w:pPr>
            <w:r>
              <w:rPr>
                <w:bCs/>
              </w:rPr>
              <w:t xml:space="preserve">Class 11 </w:t>
            </w:r>
          </w:p>
        </w:tc>
        <w:tc>
          <w:tcPr>
            <w:tcW w:w="4524" w:type="dxa"/>
            <w:vAlign w:val="bottom"/>
          </w:tcPr>
          <w:p>
            <w:pPr>
              <w:pStyle w:val="yTableNAm"/>
              <w:jc w:val="center"/>
              <w:rPr>
                <w:rFonts w:ascii="Arial" w:hAnsi="Arial"/>
                <w:b/>
              </w:rPr>
            </w:pPr>
            <w:r>
              <w:t>460.4</w:t>
            </w:r>
          </w:p>
        </w:tc>
      </w:tr>
      <w:tr>
        <w:tc>
          <w:tcPr>
            <w:tcW w:w="1855" w:type="dxa"/>
          </w:tcPr>
          <w:p>
            <w:pPr>
              <w:pStyle w:val="yTableNAm"/>
            </w:pPr>
            <w:r>
              <w:rPr>
                <w:bCs/>
              </w:rPr>
              <w:lastRenderedPageBreak/>
              <w:t xml:space="preserve">Class 12 </w:t>
            </w:r>
          </w:p>
        </w:tc>
        <w:tc>
          <w:tcPr>
            <w:tcW w:w="4524" w:type="dxa"/>
            <w:vAlign w:val="bottom"/>
          </w:tcPr>
          <w:p>
            <w:pPr>
              <w:pStyle w:val="yTableNAm"/>
              <w:jc w:val="center"/>
              <w:rPr>
                <w:rFonts w:ascii="Arial" w:hAnsi="Arial"/>
                <w:b/>
              </w:rPr>
            </w:pPr>
            <w:r>
              <w:t>501.4</w:t>
            </w:r>
          </w:p>
        </w:tc>
      </w:tr>
      <w:tr>
        <w:tc>
          <w:tcPr>
            <w:tcW w:w="1855" w:type="dxa"/>
          </w:tcPr>
          <w:p>
            <w:pPr>
              <w:pStyle w:val="yTableNAm"/>
            </w:pPr>
            <w:r>
              <w:rPr>
                <w:bCs/>
              </w:rPr>
              <w:t xml:space="preserve">Class 13 </w:t>
            </w:r>
          </w:p>
        </w:tc>
        <w:tc>
          <w:tcPr>
            <w:tcW w:w="4524" w:type="dxa"/>
            <w:vAlign w:val="bottom"/>
          </w:tcPr>
          <w:p>
            <w:pPr>
              <w:pStyle w:val="yTableNAm"/>
              <w:jc w:val="center"/>
              <w:rPr>
                <w:rFonts w:ascii="Arial" w:hAnsi="Arial"/>
                <w:b/>
              </w:rPr>
            </w:pPr>
            <w:r>
              <w:t>546.0</w:t>
            </w:r>
          </w:p>
        </w:tc>
      </w:tr>
      <w:tr>
        <w:tc>
          <w:tcPr>
            <w:tcW w:w="1855" w:type="dxa"/>
          </w:tcPr>
          <w:p>
            <w:pPr>
              <w:pStyle w:val="yTableNAm"/>
            </w:pPr>
            <w:r>
              <w:rPr>
                <w:bCs/>
              </w:rPr>
              <w:t xml:space="preserve">Class 14 </w:t>
            </w:r>
          </w:p>
        </w:tc>
        <w:tc>
          <w:tcPr>
            <w:tcW w:w="4524" w:type="dxa"/>
            <w:vAlign w:val="bottom"/>
          </w:tcPr>
          <w:p>
            <w:pPr>
              <w:pStyle w:val="yTableNAm"/>
              <w:jc w:val="center"/>
              <w:rPr>
                <w:rFonts w:ascii="Arial" w:hAnsi="Arial"/>
                <w:b/>
              </w:rPr>
            </w:pPr>
            <w:r>
              <w:t>594.6</w:t>
            </w:r>
          </w:p>
        </w:tc>
      </w:tr>
      <w:tr>
        <w:tc>
          <w:tcPr>
            <w:tcW w:w="1855" w:type="dxa"/>
            <w:tcBorders>
              <w:bottom w:val="single" w:sz="4" w:space="0" w:color="auto"/>
            </w:tcBorders>
          </w:tcPr>
          <w:p>
            <w:pPr>
              <w:pStyle w:val="yTableNAm"/>
            </w:pPr>
            <w:r>
              <w:rPr>
                <w:bCs/>
              </w:rPr>
              <w:t xml:space="preserve">Class 15 </w:t>
            </w:r>
          </w:p>
        </w:tc>
        <w:tc>
          <w:tcPr>
            <w:tcW w:w="4524" w:type="dxa"/>
            <w:tcBorders>
              <w:bottom w:val="single" w:sz="4" w:space="0" w:color="auto"/>
            </w:tcBorders>
            <w:vAlign w:val="bottom"/>
          </w:tcPr>
          <w:p>
            <w:pPr>
              <w:pStyle w:val="yTableNAm"/>
              <w:jc w:val="center"/>
              <w:rPr>
                <w:rFonts w:ascii="Arial" w:hAnsi="Arial"/>
                <w:b/>
              </w:rPr>
            </w:pPr>
            <w:r>
              <w:t>647.4</w:t>
            </w:r>
          </w:p>
        </w:tc>
      </w:tr>
    </w:tbl>
    <w:p>
      <w:pPr>
        <w:pStyle w:val="yMiscellaneousBody"/>
      </w:pPr>
    </w:p>
    <w:tbl>
      <w:tblPr>
        <w:tblW w:w="6363" w:type="dxa"/>
        <w:tblInd w:w="534" w:type="dxa"/>
        <w:tblLayout w:type="fixed"/>
        <w:tblLook w:val="0000" w:firstRow="0" w:lastRow="0" w:firstColumn="0" w:lastColumn="0" w:noHBand="0" w:noVBand="0"/>
      </w:tblPr>
      <w:tblGrid>
        <w:gridCol w:w="708"/>
        <w:gridCol w:w="4326"/>
        <w:gridCol w:w="1329"/>
      </w:tblGrid>
      <w:tr>
        <w:trPr>
          <w:cantSplit/>
        </w:trPr>
        <w:tc>
          <w:tcPr>
            <w:tcW w:w="708" w:type="dxa"/>
          </w:tcPr>
          <w:p>
            <w:pPr>
              <w:pStyle w:val="yTableNAm"/>
            </w:pPr>
            <w:r>
              <w:rPr>
                <w:b/>
              </w:rPr>
              <w:t>32.</w:t>
            </w:r>
          </w:p>
        </w:tc>
        <w:tc>
          <w:tcPr>
            <w:tcW w:w="4326" w:type="dxa"/>
          </w:tcPr>
          <w:p>
            <w:pPr>
              <w:pStyle w:val="yTableNAm"/>
            </w:pPr>
            <w:r>
              <w:rPr>
                <w:b/>
              </w:rPr>
              <w:t>Stock</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right" w:leader="dot" w:pos="3952"/>
              </w:tabs>
              <w:rPr>
                <w:rFonts w:ascii="Arial" w:hAnsi="Arial"/>
                <w:b/>
              </w:rPr>
            </w:pPr>
            <w:r>
              <w:rPr>
                <w:spacing w:val="-1"/>
              </w:rPr>
              <w:t xml:space="preserve">For each kilolitre of water supplied for the purpose of watering stock on land that is not the subject of a charge under item 10 </w:t>
            </w:r>
            <w:r>
              <w:rPr>
                <w:spacing w:val="-1"/>
              </w:rPr>
              <w:tab/>
            </w:r>
          </w:p>
        </w:tc>
        <w:tc>
          <w:tcPr>
            <w:tcW w:w="1329" w:type="dxa"/>
            <w:vAlign w:val="bottom"/>
          </w:tcPr>
          <w:p>
            <w:pPr>
              <w:pStyle w:val="yTableNAm"/>
            </w:pPr>
            <w:r>
              <w:rPr>
                <w:spacing w:val="-1"/>
              </w:rPr>
              <w:t xml:space="preserve">176.0 </w:t>
            </w:r>
            <w:r>
              <w:t>cents</w:t>
            </w:r>
          </w:p>
        </w:tc>
      </w:tr>
      <w:tr>
        <w:trPr>
          <w:cantSplit/>
        </w:trPr>
        <w:tc>
          <w:tcPr>
            <w:tcW w:w="708" w:type="dxa"/>
          </w:tcPr>
          <w:p>
            <w:pPr>
              <w:pStyle w:val="yTableNAm"/>
            </w:pPr>
            <w:r>
              <w:rPr>
                <w:b/>
              </w:rPr>
              <w:t>33.</w:t>
            </w:r>
          </w:p>
        </w:tc>
        <w:tc>
          <w:tcPr>
            <w:tcW w:w="4326" w:type="dxa"/>
          </w:tcPr>
          <w:p>
            <w:pPr>
              <w:pStyle w:val="yTableNAm"/>
            </w:pPr>
            <w:r>
              <w:rPr>
                <w:b/>
              </w:rPr>
              <w:t>Building</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pPr>
            <w:r>
              <w:t>For each kilolitre of water supplied to land that is neither a residential property, nor any other property held for residential purposes, through a water supply connection that is provided for building purposes —</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(a)</w:t>
            </w:r>
            <w:r>
              <w:rPr>
                <w:snapToGrid w:val="0"/>
              </w:rPr>
              <w:tab/>
              <w:t>in the metropolitan area, the charge that would apply under item 24 if the water supplied through that connection were the only water supplied to the land;</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(b)</w:t>
            </w:r>
            <w:r>
              <w:rPr>
                <w:snapToGrid w:val="0"/>
              </w:rPr>
              <w:tab/>
              <w:t>not in the metropolitan area, the charge that would apply under item 27(b) if the water supplied through that connection were the only water supplied to the land.</w:t>
            </w:r>
          </w:p>
        </w:tc>
        <w:tc>
          <w:tcPr>
            <w:tcW w:w="1329" w:type="dxa"/>
            <w:vAlign w:val="bottom"/>
          </w:tcPr>
          <w:p>
            <w:pPr>
              <w:pStyle w:val="yTableNAm"/>
            </w:pPr>
          </w:p>
        </w:tc>
      </w:tr>
      <w:tr>
        <w:trPr>
          <w:cantSplit/>
        </w:trPr>
        <w:tc>
          <w:tcPr>
            <w:tcW w:w="708" w:type="dxa"/>
          </w:tcPr>
          <w:p>
            <w:pPr>
              <w:pStyle w:val="yTableNAm"/>
            </w:pPr>
            <w:r>
              <w:rPr>
                <w:b/>
              </w:rPr>
              <w:t>34.</w:t>
            </w:r>
          </w:p>
        </w:tc>
        <w:tc>
          <w:tcPr>
            <w:tcW w:w="4326" w:type="dxa"/>
          </w:tcPr>
          <w:p>
            <w:pPr>
              <w:pStyle w:val="yTableNAm"/>
            </w:pPr>
            <w:r>
              <w:rPr>
                <w:b/>
              </w:rPr>
              <w:t>Metropolitan hydrant standpipes</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right" w:leader="dot" w:pos="3952"/>
              </w:tabs>
              <w:rPr>
                <w:rFonts w:ascii="Arial" w:hAnsi="Arial"/>
                <w:b/>
              </w:rPr>
            </w:pPr>
            <w:r>
              <w:rPr>
                <w:spacing w:val="-1"/>
              </w:rPr>
              <w:t xml:space="preserve">For each kilolitre of water supplied through a hydrant standpipe in the metropolitan area </w:t>
            </w:r>
            <w:r>
              <w:rPr>
                <w:spacing w:val="-1"/>
              </w:rPr>
              <w:tab/>
            </w:r>
          </w:p>
        </w:tc>
        <w:tc>
          <w:tcPr>
            <w:tcW w:w="1329" w:type="dxa"/>
            <w:vAlign w:val="bottom"/>
          </w:tcPr>
          <w:p>
            <w:pPr>
              <w:pStyle w:val="yTableNAm"/>
            </w:pPr>
            <w:r>
              <w:rPr>
                <w:spacing w:val="-1"/>
              </w:rPr>
              <w:t>204.3 cents</w:t>
            </w:r>
          </w:p>
        </w:tc>
      </w:tr>
    </w:tbl>
    <w:p>
      <w:pPr>
        <w:pStyle w:val="yFootnotesection"/>
      </w:pPr>
      <w:r>
        <w:tab/>
        <w:t>[Division 2 inserted in Gazette 19 Jun 2013 p. 2361-70.]</w:t>
      </w:r>
    </w:p>
    <w:p>
      <w:pPr>
        <w:pStyle w:val="yHeading3"/>
      </w:pPr>
      <w:bookmarkStart w:id="56" w:name="_Toc84424783"/>
      <w:r>
        <w:rPr>
          <w:rStyle w:val="CharSDivNo"/>
        </w:rPr>
        <w:lastRenderedPageBreak/>
        <w:t>Division 3</w:t>
      </w:r>
      <w:r>
        <w:rPr>
          <w:b w:val="0"/>
        </w:rPr>
        <w:t> — </w:t>
      </w:r>
      <w:r>
        <w:rPr>
          <w:rStyle w:val="CharSDivText"/>
        </w:rPr>
        <w:t>Formula for the purposes of by</w:t>
      </w:r>
      <w:r>
        <w:rPr>
          <w:rStyle w:val="CharSDivText"/>
        </w:rPr>
        <w:noBreakHyphen/>
        <w:t>law 17(3)</w:t>
      </w:r>
      <w:bookmarkEnd w:id="56"/>
    </w:p>
    <w:p>
      <w:pPr>
        <w:pStyle w:val="yFootnoteheading"/>
        <w:keepNext/>
        <w:spacing w:after="60"/>
      </w:pPr>
      <w:r>
        <w:tab/>
        <w:t>[Heading inserted in Gazette 20 Jun 2012 p. 2720.]</w:t>
      </w:r>
    </w:p>
    <w:p>
      <w:pPr>
        <w:pStyle w:val="yHeading5"/>
      </w:pPr>
      <w:bookmarkStart w:id="57" w:name="_Toc84424784"/>
      <w:r>
        <w:t>35.</w:t>
      </w:r>
      <w:r>
        <w:rPr>
          <w:b w:val="0"/>
        </w:rPr>
        <w:tab/>
      </w:r>
      <w:r>
        <w:t>Formula for the purposes of by</w:t>
      </w:r>
      <w:r>
        <w:noBreakHyphen/>
        <w:t>law 17(3)</w:t>
      </w:r>
      <w:bookmarkEnd w:id="57"/>
    </w:p>
    <w:p>
      <w:pPr>
        <w:pStyle w:val="ySubsection"/>
      </w:pPr>
      <w:r>
        <w:tab/>
      </w:r>
      <w:r>
        <w:tab/>
        <w:t>The formula for the purposes of by</w:t>
      </w:r>
      <w:r>
        <w:noBreakHyphen/>
        <w:t xml:space="preserve">law 17(3) is as follows — </w:t>
      </w:r>
    </w:p>
    <w:p>
      <w:pPr>
        <w:pStyle w:val="Equation"/>
        <w:spacing w:before="120"/>
        <w:jc w:val="center"/>
      </w:pPr>
      <w:r>
        <w:rPr>
          <w:position w:val="-10"/>
        </w:rPr>
        <w:drawing>
          <wp:inline distT="0" distB="0" distL="0" distR="0">
            <wp:extent cx="409575" cy="198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09575" cy="198120"/>
                    </a:xfrm>
                    <a:prstGeom prst="rect">
                      <a:avLst/>
                    </a:prstGeom>
                    <a:noFill/>
                    <a:ln>
                      <a:noFill/>
                    </a:ln>
                  </pic:spPr>
                </pic:pic>
              </a:graphicData>
            </a:graphic>
          </wp:inline>
        </w:drawing>
      </w:r>
    </w:p>
    <w:p>
      <w:pPr>
        <w:pStyle w:val="ySubsection"/>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120"/>
        <w:jc w:val="center"/>
      </w:pPr>
      <w:r>
        <w:rPr>
          <w:position w:val="-10"/>
        </w:rPr>
        <w:drawing>
          <wp:inline distT="0" distB="0" distL="0" distR="0">
            <wp:extent cx="409575" cy="19812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9575" cy="198120"/>
                    </a:xfrm>
                    <a:prstGeom prst="rect">
                      <a:avLst/>
                    </a:prstGeom>
                    <a:noFill/>
                    <a:ln>
                      <a:noFill/>
                    </a:ln>
                  </pic:spPr>
                </pic:pic>
              </a:graphicData>
            </a:graphic>
          </wp:inline>
        </w:drawing>
      </w:r>
    </w:p>
    <w:p>
      <w:pPr>
        <w:pStyle w:val="yIndenta"/>
      </w:pPr>
      <w:r>
        <w:tab/>
      </w:r>
      <w:r>
        <w:tab/>
        <w:t xml:space="preserve">or if </w:t>
      </w:r>
      <w:r>
        <w:rPr>
          <w:b/>
        </w:rPr>
        <w:t>C</w:t>
      </w:r>
      <w:r>
        <w:t xml:space="preserve"> &gt; 350, then — </w:t>
      </w:r>
    </w:p>
    <w:p>
      <w:pPr>
        <w:pStyle w:val="yIndenta"/>
      </w:pPr>
      <w:r>
        <w:tab/>
      </w:r>
      <w:r>
        <w:tab/>
        <w:t xml:space="preserve">C </w:t>
      </w:r>
      <w:r>
        <w:sym w:font="Symbol" w:char="F02D"/>
      </w:r>
      <w:r>
        <w:t xml:space="preserve"> 350 + (350 </w:t>
      </w:r>
      <w:r>
        <w:sym w:font="Symbol" w:char="F0B4"/>
      </w:r>
      <w:r>
        <w:t xml:space="preserve"> D)</w:t>
      </w:r>
    </w:p>
    <w:p>
      <w:pPr>
        <w:pStyle w:val="yIndenta"/>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section"/>
      </w:pPr>
      <w:r>
        <w:tab/>
        <w:t>[Division 3 inserted in Gazette 20 Jun 2012 p. 2720.]</w:t>
      </w:r>
    </w:p>
    <w:p>
      <w:pPr>
        <w:pStyle w:val="yHeading3"/>
      </w:pPr>
      <w:bookmarkStart w:id="58" w:name="_Toc84424785"/>
      <w:r>
        <w:rPr>
          <w:rStyle w:val="CharSDivNo"/>
        </w:rPr>
        <w:lastRenderedPageBreak/>
        <w:t>Division 4</w:t>
      </w:r>
      <w:r>
        <w:rPr>
          <w:b w:val="0"/>
        </w:rPr>
        <w:t> — </w:t>
      </w:r>
      <w:r>
        <w:rPr>
          <w:rStyle w:val="CharSDivText"/>
        </w:rPr>
        <w:t>Capital infrastructure charges determined under by</w:t>
      </w:r>
      <w:r>
        <w:rPr>
          <w:rStyle w:val="CharSDivText"/>
        </w:rPr>
        <w:noBreakHyphen/>
        <w:t>law 19A</w:t>
      </w:r>
      <w:bookmarkEnd w:id="58"/>
    </w:p>
    <w:p>
      <w:pPr>
        <w:pStyle w:val="yFootnoteheading"/>
        <w:keepNext/>
        <w:spacing w:after="60"/>
      </w:pPr>
      <w:r>
        <w:tab/>
        <w:t>[Heading inserted in Gazette 20 Jun 2012 p. 2720.]</w:t>
      </w:r>
    </w:p>
    <w:p>
      <w:pPr>
        <w:pStyle w:val="yHeading5"/>
      </w:pPr>
      <w:bookmarkStart w:id="59" w:name="_Toc84424786"/>
      <w:r>
        <w:t>36.</w:t>
      </w:r>
      <w:r>
        <w:rPr>
          <w:b w:val="0"/>
        </w:rPr>
        <w:tab/>
      </w:r>
      <w:r>
        <w:t>Capital infrastructure charges determined under by</w:t>
      </w:r>
      <w:r>
        <w:noBreakHyphen/>
        <w:t>law 19A</w:t>
      </w:r>
      <w:bookmarkEnd w:id="59"/>
    </w:p>
    <w:p>
      <w:pPr>
        <w:pStyle w:val="ySubsection"/>
        <w:keepNext/>
      </w:pPr>
      <w:r>
        <w:tab/>
      </w:r>
      <w:r>
        <w:tab/>
        <w:t>The capital infrastructure charges determined under by</w:t>
      </w:r>
      <w:r>
        <w:noBreakHyphen/>
        <w:t xml:space="preserve">law 19A are as follows — </w:t>
      </w:r>
    </w:p>
    <w:p>
      <w:pPr>
        <w:pStyle w:val="yMiscellaneousBody"/>
        <w:keepNext/>
      </w:pPr>
    </w:p>
    <w:tbl>
      <w:tblPr>
        <w:tblW w:w="6626" w:type="dxa"/>
        <w:tblInd w:w="198" w:type="dxa"/>
        <w:tblLayout w:type="fixed"/>
        <w:tblCellMar>
          <w:left w:w="56" w:type="dxa"/>
          <w:right w:w="56" w:type="dxa"/>
        </w:tblCellMar>
        <w:tblLook w:val="0000" w:firstRow="0" w:lastRow="0" w:firstColumn="0" w:lastColumn="0" w:noHBand="0" w:noVBand="0"/>
      </w:tblPr>
      <w:tblGrid>
        <w:gridCol w:w="1559"/>
        <w:gridCol w:w="1701"/>
        <w:gridCol w:w="1701"/>
        <w:gridCol w:w="1665"/>
      </w:tblGrid>
      <w:tr>
        <w:trPr>
          <w:tblHeader/>
        </w:trPr>
        <w:tc>
          <w:tcPr>
            <w:tcW w:w="1559" w:type="dxa"/>
            <w:tcBorders>
              <w:top w:val="single" w:sz="4" w:space="0" w:color="auto"/>
            </w:tcBorders>
          </w:tcPr>
          <w:p>
            <w:pPr>
              <w:pStyle w:val="yTableNAm"/>
              <w:keepNext/>
              <w:jc w:val="center"/>
            </w:pPr>
            <w:r>
              <w:rPr>
                <w:b/>
                <w:bCs/>
              </w:rPr>
              <w:br w:type="page"/>
              <w:t>Column 1</w:t>
            </w:r>
          </w:p>
        </w:tc>
        <w:tc>
          <w:tcPr>
            <w:tcW w:w="1701" w:type="dxa"/>
            <w:tcBorders>
              <w:top w:val="single" w:sz="4" w:space="0" w:color="auto"/>
            </w:tcBorders>
          </w:tcPr>
          <w:p>
            <w:pPr>
              <w:pStyle w:val="yTableNAm"/>
              <w:keepNext/>
              <w:jc w:val="center"/>
            </w:pPr>
            <w:r>
              <w:rPr>
                <w:b/>
                <w:bCs/>
              </w:rPr>
              <w:t>Column 2</w:t>
            </w:r>
          </w:p>
        </w:tc>
        <w:tc>
          <w:tcPr>
            <w:tcW w:w="1701" w:type="dxa"/>
            <w:tcBorders>
              <w:top w:val="single" w:sz="4" w:space="0" w:color="auto"/>
            </w:tcBorders>
          </w:tcPr>
          <w:p>
            <w:pPr>
              <w:pStyle w:val="yTableNAm"/>
              <w:keepNext/>
              <w:jc w:val="center"/>
            </w:pPr>
            <w:r>
              <w:rPr>
                <w:b/>
                <w:bCs/>
              </w:rPr>
              <w:t>Column 3</w:t>
            </w:r>
          </w:p>
        </w:tc>
        <w:tc>
          <w:tcPr>
            <w:tcW w:w="1665" w:type="dxa"/>
            <w:tcBorders>
              <w:top w:val="single" w:sz="4" w:space="0" w:color="auto"/>
            </w:tcBorders>
          </w:tcPr>
          <w:p>
            <w:pPr>
              <w:pStyle w:val="yTableNAm"/>
              <w:keepNext/>
              <w:jc w:val="center"/>
            </w:pPr>
            <w:r>
              <w:rPr>
                <w:b/>
                <w:bCs/>
              </w:rPr>
              <w:t>Column 4</w:t>
            </w:r>
          </w:p>
        </w:tc>
      </w:tr>
      <w:tr>
        <w:trPr>
          <w:tblHeader/>
        </w:trPr>
        <w:tc>
          <w:tcPr>
            <w:tcW w:w="1559" w:type="dxa"/>
            <w:tcBorders>
              <w:bottom w:val="single" w:sz="4" w:space="0" w:color="auto"/>
            </w:tcBorders>
          </w:tcPr>
          <w:p>
            <w:pPr>
              <w:pStyle w:val="yTableNAm"/>
              <w:keepNext/>
              <w:jc w:val="center"/>
            </w:pPr>
            <w:r>
              <w:rPr>
                <w:b/>
                <w:bCs/>
                <w:i/>
              </w:rPr>
              <w:t>Area</w:t>
            </w:r>
          </w:p>
        </w:tc>
        <w:tc>
          <w:tcPr>
            <w:tcW w:w="1701" w:type="dxa"/>
            <w:tcBorders>
              <w:bottom w:val="single" w:sz="4" w:space="0" w:color="auto"/>
            </w:tcBorders>
          </w:tcPr>
          <w:p>
            <w:pPr>
              <w:pStyle w:val="yTableNAm"/>
              <w:keepNext/>
              <w:jc w:val="center"/>
            </w:pPr>
            <w:r>
              <w:rPr>
                <w:b/>
                <w:bCs/>
                <w:i/>
              </w:rPr>
              <w:t>Single Charge</w:t>
            </w:r>
          </w:p>
        </w:tc>
        <w:tc>
          <w:tcPr>
            <w:tcW w:w="1701" w:type="dxa"/>
            <w:tcBorders>
              <w:bottom w:val="single" w:sz="4" w:space="0" w:color="auto"/>
            </w:tcBorders>
          </w:tcPr>
          <w:p>
            <w:pPr>
              <w:pStyle w:val="yTableNAm"/>
              <w:keepNext/>
              <w:jc w:val="center"/>
            </w:pPr>
            <w:r>
              <w:rPr>
                <w:b/>
                <w:bCs/>
                <w:i/>
              </w:rPr>
              <w:t>Annual Charge</w:t>
            </w:r>
          </w:p>
        </w:tc>
        <w:tc>
          <w:tcPr>
            <w:tcW w:w="1665" w:type="dxa"/>
            <w:tcBorders>
              <w:bottom w:val="single" w:sz="4" w:space="0" w:color="auto"/>
            </w:tcBorders>
          </w:tcPr>
          <w:p>
            <w:pPr>
              <w:pStyle w:val="yTableNAm"/>
              <w:keepNext/>
              <w:jc w:val="center"/>
            </w:pPr>
            <w:r>
              <w:rPr>
                <w:b/>
                <w:bCs/>
                <w:i/>
              </w:rPr>
              <w:t>No. of years</w:t>
            </w:r>
          </w:p>
        </w:tc>
      </w:tr>
      <w:tr>
        <w:tc>
          <w:tcPr>
            <w:tcW w:w="1559" w:type="dxa"/>
            <w:tcBorders>
              <w:bottom w:val="single" w:sz="4" w:space="0" w:color="auto"/>
            </w:tcBorders>
          </w:tcPr>
          <w:p>
            <w:pPr>
              <w:pStyle w:val="yTableNAm"/>
              <w:jc w:val="center"/>
            </w:pPr>
            <w:r>
              <w:t>Nilgen</w:t>
            </w:r>
          </w:p>
        </w:tc>
        <w:tc>
          <w:tcPr>
            <w:tcW w:w="1701" w:type="dxa"/>
            <w:tcBorders>
              <w:bottom w:val="single" w:sz="4" w:space="0" w:color="auto"/>
            </w:tcBorders>
          </w:tcPr>
          <w:p>
            <w:pPr>
              <w:pStyle w:val="yTableNAm"/>
              <w:jc w:val="center"/>
            </w:pPr>
            <w:r>
              <w:t>$3 120.00</w:t>
            </w:r>
          </w:p>
        </w:tc>
        <w:tc>
          <w:tcPr>
            <w:tcW w:w="1701" w:type="dxa"/>
            <w:tcBorders>
              <w:bottom w:val="single" w:sz="4" w:space="0" w:color="auto"/>
            </w:tcBorders>
          </w:tcPr>
          <w:p>
            <w:pPr>
              <w:pStyle w:val="yTableNAm"/>
              <w:jc w:val="center"/>
            </w:pPr>
            <w:r>
              <w:t>$463.80</w:t>
            </w:r>
          </w:p>
        </w:tc>
        <w:tc>
          <w:tcPr>
            <w:tcW w:w="1665" w:type="dxa"/>
            <w:tcBorders>
              <w:bottom w:val="single" w:sz="4" w:space="0" w:color="auto"/>
            </w:tcBorders>
          </w:tcPr>
          <w:p>
            <w:pPr>
              <w:pStyle w:val="yTableNAm"/>
              <w:jc w:val="center"/>
            </w:pPr>
            <w:r>
              <w:t>10</w:t>
            </w:r>
          </w:p>
        </w:tc>
      </w:tr>
    </w:tbl>
    <w:p>
      <w:pPr>
        <w:pStyle w:val="yFootnotesection"/>
      </w:pPr>
      <w:r>
        <w:tab/>
        <w:t>[Division 4 inserted in Gazette 20 Jun 2012 p. 2720.]</w:t>
      </w:r>
    </w:p>
    <w:p>
      <w:pPr>
        <w:pStyle w:val="yScheduleHeading"/>
      </w:pPr>
      <w:bookmarkStart w:id="60" w:name="_Toc84424787"/>
      <w:r>
        <w:rPr>
          <w:rStyle w:val="CharSchNo"/>
        </w:rPr>
        <w:lastRenderedPageBreak/>
        <w:t>Schedule 2</w:t>
      </w:r>
      <w:r>
        <w:t> — </w:t>
      </w:r>
      <w:r>
        <w:rPr>
          <w:rStyle w:val="CharSchText"/>
        </w:rPr>
        <w:t xml:space="preserve">Charges for water supply under the </w:t>
      </w:r>
      <w:r>
        <w:rPr>
          <w:rStyle w:val="CharSchText"/>
          <w:i/>
        </w:rPr>
        <w:t>Rights in Water and Irrigation Act 1914</w:t>
      </w:r>
      <w:r>
        <w:rPr>
          <w:rStyle w:val="CharSchText"/>
        </w:rPr>
        <w:t xml:space="preserve"> for 2013/2014</w:t>
      </w:r>
      <w:bookmarkEnd w:id="60"/>
    </w:p>
    <w:p>
      <w:pPr>
        <w:pStyle w:val="yShoulderClause"/>
      </w:pPr>
      <w:r>
        <w:t>[bl. 20]</w:t>
      </w:r>
    </w:p>
    <w:p>
      <w:pPr>
        <w:pStyle w:val="yFootnoteheading"/>
        <w:spacing w:after="60"/>
      </w:pPr>
      <w:r>
        <w:tab/>
        <w:t>[Heading inserted in Gazette 20 Jun 2012 p. 2721; amended in Gazette 19 Jun 2013 p. 2370.]</w:t>
      </w:r>
    </w:p>
    <w:p>
      <w:pPr>
        <w:pStyle w:val="yHeading3"/>
      </w:pPr>
      <w:bookmarkStart w:id="61" w:name="_Toc84424788"/>
      <w:r>
        <w:rPr>
          <w:rStyle w:val="CharSDivNo"/>
        </w:rPr>
        <w:t>Division 1</w:t>
      </w:r>
      <w:r>
        <w:t> — </w:t>
      </w:r>
      <w:r>
        <w:rPr>
          <w:rStyle w:val="CharSDivText"/>
        </w:rPr>
        <w:t>Fixed charges</w:t>
      </w:r>
      <w:bookmarkEnd w:id="61"/>
    </w:p>
    <w:p>
      <w:pPr>
        <w:pStyle w:val="yFootnoteheading"/>
        <w:spacing w:after="60"/>
      </w:pPr>
      <w:r>
        <w:tab/>
        <w:t>[Heading inserted in Gazette 20 Jun 2012 p. 2721.]</w:t>
      </w:r>
    </w:p>
    <w:tbl>
      <w:tblPr>
        <w:tblW w:w="0" w:type="auto"/>
        <w:tblInd w:w="534" w:type="dxa"/>
        <w:tblLook w:val="0000" w:firstRow="0" w:lastRow="0" w:firstColumn="0" w:lastColumn="0" w:noHBand="0" w:noVBand="0"/>
      </w:tblPr>
      <w:tblGrid>
        <w:gridCol w:w="850"/>
        <w:gridCol w:w="4235"/>
        <w:gridCol w:w="1457"/>
      </w:tblGrid>
      <w:tr>
        <w:trPr>
          <w:cantSplit/>
        </w:trPr>
        <w:tc>
          <w:tcPr>
            <w:tcW w:w="850" w:type="dxa"/>
          </w:tcPr>
          <w:p>
            <w:pPr>
              <w:pStyle w:val="yTableNAm"/>
              <w:rPr>
                <w:b/>
                <w:bCs/>
              </w:rPr>
            </w:pPr>
            <w:r>
              <w:rPr>
                <w:b/>
                <w:bCs/>
              </w:rPr>
              <w:t>1.</w:t>
            </w:r>
          </w:p>
        </w:tc>
        <w:tc>
          <w:tcPr>
            <w:tcW w:w="5692" w:type="dxa"/>
            <w:gridSpan w:val="2"/>
          </w:tcPr>
          <w:p>
            <w:pPr>
              <w:pStyle w:val="yTableNAm"/>
              <w:tabs>
                <w:tab w:val="right" w:leader="dot" w:pos="4253"/>
              </w:tabs>
              <w:rPr>
                <w:b/>
                <w:bCs/>
              </w:rPr>
            </w:pPr>
            <w:r>
              <w:rPr>
                <w:b/>
                <w:bCs/>
              </w:rPr>
              <w:t xml:space="preserve">Supply under the </w:t>
            </w:r>
            <w:r>
              <w:rPr>
                <w:b/>
                <w:bCs/>
                <w:i/>
              </w:rPr>
              <w:t>Ord Irrigation District By</w:t>
            </w:r>
            <w:r>
              <w:rPr>
                <w:b/>
                <w:bCs/>
                <w:i/>
              </w:rPr>
              <w:noBreakHyphen/>
              <w:t xml:space="preserve">laws 1963 </w:t>
            </w:r>
            <w:r>
              <w:rPr>
                <w:b/>
                <w:bCs/>
              </w:rPr>
              <w:t>by</w:t>
            </w:r>
            <w:r>
              <w:rPr>
                <w:b/>
                <w:bCs/>
              </w:rPr>
              <w:noBreakHyphen/>
              <w:t>law 31A</w:t>
            </w:r>
            <w:r>
              <w:rPr>
                <w:b/>
                <w:bCs/>
                <w:iCs/>
              </w:rPr>
              <w:t xml:space="preserve"> other</w:t>
            </w:r>
            <w:r>
              <w:rPr>
                <w:b/>
                <w:bCs/>
              </w:rPr>
              <w:t xml:space="preserve"> than under Division 2</w:t>
            </w:r>
          </w:p>
        </w:tc>
      </w:tr>
      <w:tr>
        <w:trPr>
          <w:cantSplit/>
        </w:trPr>
        <w:tc>
          <w:tcPr>
            <w:tcW w:w="850" w:type="dxa"/>
          </w:tcPr>
          <w:p>
            <w:pPr>
              <w:pStyle w:val="yTableNAm"/>
            </w:pPr>
          </w:p>
        </w:tc>
        <w:tc>
          <w:tcPr>
            <w:tcW w:w="4235" w:type="dxa"/>
          </w:tcPr>
          <w:p>
            <w:pPr>
              <w:pStyle w:val="yTableNAm"/>
              <w:tabs>
                <w:tab w:val="right" w:leader="dot" w:pos="4253"/>
              </w:tabs>
            </w:pPr>
            <w:r>
              <w:t xml:space="preserve">In respect of land to which water is supplied under the </w:t>
            </w:r>
            <w:r>
              <w:rPr>
                <w:i/>
              </w:rPr>
              <w:t>Ord Irrigation District By</w:t>
            </w:r>
            <w:r>
              <w:rPr>
                <w:i/>
              </w:rPr>
              <w:noBreakHyphen/>
              <w:t>laws 1963</w:t>
            </w:r>
            <w:r>
              <w:t xml:space="preserve"> by</w:t>
            </w:r>
            <w:r>
              <w:noBreakHyphen/>
              <w:t>law 31A, for purposes other than those mentioned in Division 2, an amount per supply point of —</w:t>
            </w:r>
          </w:p>
        </w:tc>
        <w:tc>
          <w:tcPr>
            <w:tcW w:w="1457" w:type="dxa"/>
            <w:vAlign w:val="bottom"/>
          </w:tcPr>
          <w:p>
            <w:pPr>
              <w:pStyle w:val="yTableNAm"/>
              <w:tabs>
                <w:tab w:val="clear" w:pos="567"/>
                <w:tab w:val="left" w:pos="335"/>
                <w:tab w:val="right" w:leader="dot" w:pos="4253"/>
              </w:tabs>
            </w:pPr>
          </w:p>
        </w:tc>
      </w:tr>
      <w:tr>
        <w:trPr>
          <w:cantSplit/>
        </w:trPr>
        <w:tc>
          <w:tcPr>
            <w:tcW w:w="850" w:type="dxa"/>
          </w:tcPr>
          <w:p>
            <w:pPr>
              <w:pStyle w:val="yTableNAm"/>
            </w:pPr>
          </w:p>
        </w:tc>
        <w:tc>
          <w:tcPr>
            <w:tcW w:w="4235" w:type="dxa"/>
          </w:tcPr>
          <w:p>
            <w:pPr>
              <w:pStyle w:val="yTableNAm"/>
              <w:tabs>
                <w:tab w:val="clear" w:pos="567"/>
                <w:tab w:val="left" w:pos="351"/>
                <w:tab w:val="left" w:pos="918"/>
                <w:tab w:val="right" w:leader="dot" w:pos="4253"/>
              </w:tabs>
              <w:ind w:left="918" w:hanging="918"/>
            </w:pPr>
            <w:r>
              <w:tab/>
              <w:t>(a)</w:t>
            </w:r>
            <w:r>
              <w:tab/>
              <w:t xml:space="preserve">where the supply is assured </w:t>
            </w:r>
            <w:r>
              <w:tab/>
            </w:r>
          </w:p>
        </w:tc>
        <w:tc>
          <w:tcPr>
            <w:tcW w:w="1457" w:type="dxa"/>
            <w:vAlign w:val="bottom"/>
          </w:tcPr>
          <w:p>
            <w:pPr>
              <w:pStyle w:val="yTableNAm"/>
              <w:tabs>
                <w:tab w:val="clear" w:pos="567"/>
                <w:tab w:val="left" w:pos="335"/>
                <w:tab w:val="right" w:leader="dot" w:pos="4253"/>
              </w:tabs>
            </w:pPr>
            <w:r>
              <w:rPr>
                <w:szCs w:val="22"/>
              </w:rPr>
              <w:t>$247.50</w:t>
            </w:r>
          </w:p>
        </w:tc>
      </w:tr>
      <w:tr>
        <w:trPr>
          <w:cantSplit/>
        </w:trPr>
        <w:tc>
          <w:tcPr>
            <w:tcW w:w="850" w:type="dxa"/>
          </w:tcPr>
          <w:p>
            <w:pPr>
              <w:pStyle w:val="yTableNAm"/>
            </w:pPr>
          </w:p>
        </w:tc>
        <w:tc>
          <w:tcPr>
            <w:tcW w:w="4235" w:type="dxa"/>
          </w:tcPr>
          <w:p>
            <w:pPr>
              <w:pStyle w:val="yTableNAm"/>
              <w:tabs>
                <w:tab w:val="clear" w:pos="567"/>
                <w:tab w:val="left" w:pos="351"/>
                <w:tab w:val="left" w:pos="918"/>
                <w:tab w:val="right" w:leader="dot" w:pos="4253"/>
              </w:tabs>
              <w:ind w:left="918" w:hanging="918"/>
            </w:pPr>
            <w:r>
              <w:tab/>
              <w:t>(b)</w:t>
            </w:r>
            <w:r>
              <w:tab/>
              <w:t xml:space="preserve">where the supply is not assured </w:t>
            </w:r>
            <w:r>
              <w:tab/>
            </w:r>
          </w:p>
        </w:tc>
        <w:tc>
          <w:tcPr>
            <w:tcW w:w="1457" w:type="dxa"/>
            <w:vAlign w:val="bottom"/>
          </w:tcPr>
          <w:p>
            <w:pPr>
              <w:pStyle w:val="yTableNAm"/>
              <w:tabs>
                <w:tab w:val="clear" w:pos="567"/>
                <w:tab w:val="left" w:pos="335"/>
                <w:tab w:val="right" w:leader="dot" w:pos="4253"/>
              </w:tabs>
            </w:pPr>
            <w:r>
              <w:rPr>
                <w:szCs w:val="22"/>
              </w:rPr>
              <w:t>$181.00</w:t>
            </w:r>
          </w:p>
        </w:tc>
      </w:tr>
    </w:tbl>
    <w:p>
      <w:pPr>
        <w:pStyle w:val="yFootnotesection"/>
      </w:pPr>
      <w:r>
        <w:tab/>
        <w:t>[Division 1 inserted in Gazette 20 Jun 2012 p. 2721; amended in Gazette 19 Jun 2013 p. 2370.]</w:t>
      </w:r>
    </w:p>
    <w:p>
      <w:pPr>
        <w:pStyle w:val="yHeading3"/>
      </w:pPr>
      <w:bookmarkStart w:id="62" w:name="_Toc84424789"/>
      <w:r>
        <w:rPr>
          <w:rStyle w:val="CharSDivNo"/>
        </w:rPr>
        <w:t>Division 2</w:t>
      </w:r>
      <w:r>
        <w:t> — </w:t>
      </w:r>
      <w:r>
        <w:rPr>
          <w:rStyle w:val="CharSDivText"/>
        </w:rPr>
        <w:t>Variable charges and charges by way of a rate</w:t>
      </w:r>
      <w:bookmarkEnd w:id="62"/>
    </w:p>
    <w:p>
      <w:pPr>
        <w:pStyle w:val="yFootnoteheading"/>
        <w:spacing w:after="60"/>
      </w:pPr>
      <w:r>
        <w:tab/>
        <w:t>[Heading inserted in Gazette 20 Jun 2012 p. 2721.]</w:t>
      </w:r>
    </w:p>
    <w:tbl>
      <w:tblPr>
        <w:tblW w:w="6520" w:type="dxa"/>
        <w:tblInd w:w="534" w:type="dxa"/>
        <w:tblLook w:val="0000" w:firstRow="0" w:lastRow="0" w:firstColumn="0" w:lastColumn="0" w:noHBand="0" w:noVBand="0"/>
      </w:tblPr>
      <w:tblGrid>
        <w:gridCol w:w="850"/>
        <w:gridCol w:w="4243"/>
        <w:gridCol w:w="1427"/>
      </w:tblGrid>
      <w:tr>
        <w:trPr>
          <w:cantSplit/>
        </w:trPr>
        <w:tc>
          <w:tcPr>
            <w:tcW w:w="850" w:type="dxa"/>
          </w:tcPr>
          <w:p>
            <w:pPr>
              <w:pStyle w:val="yTableNAm"/>
              <w:rPr>
                <w:b/>
              </w:rPr>
            </w:pPr>
            <w:r>
              <w:rPr>
                <w:b/>
              </w:rPr>
              <w:t>2.</w:t>
            </w:r>
          </w:p>
        </w:tc>
        <w:tc>
          <w:tcPr>
            <w:tcW w:w="5670" w:type="dxa"/>
            <w:gridSpan w:val="2"/>
          </w:tcPr>
          <w:p>
            <w:pPr>
              <w:pStyle w:val="yTableNAm"/>
              <w:keepNext/>
              <w:keepLines/>
              <w:rPr>
                <w:b/>
                <w:bCs/>
              </w:rPr>
            </w:pPr>
            <w:r>
              <w:rPr>
                <w:b/>
                <w:bCs/>
              </w:rPr>
              <w:t xml:space="preserve">Supply under the </w:t>
            </w:r>
            <w:r>
              <w:rPr>
                <w:b/>
                <w:bCs/>
                <w:i/>
              </w:rPr>
              <w:t>Ord Irrigation District By</w:t>
            </w:r>
            <w:r>
              <w:rPr>
                <w:b/>
                <w:bCs/>
                <w:i/>
              </w:rPr>
              <w:noBreakHyphen/>
              <w:t>laws 1963</w:t>
            </w:r>
            <w:r>
              <w:rPr>
                <w:b/>
                <w:bCs/>
                <w:iCs/>
              </w:rPr>
              <w:t xml:space="preserve"> </w:t>
            </w:r>
            <w:r>
              <w:rPr>
                <w:b/>
                <w:bCs/>
              </w:rPr>
              <w:t>by</w:t>
            </w:r>
            <w:r>
              <w:rPr>
                <w:b/>
                <w:bCs/>
              </w:rPr>
              <w:noBreakHyphen/>
              <w:t>law 31A</w:t>
            </w:r>
          </w:p>
        </w:tc>
      </w:tr>
      <w:tr>
        <w:trPr>
          <w:cantSplit/>
        </w:trPr>
        <w:tc>
          <w:tcPr>
            <w:tcW w:w="850" w:type="dxa"/>
          </w:tcPr>
          <w:p>
            <w:pPr>
              <w:pStyle w:val="yTableNAm"/>
              <w:keepNext/>
              <w:keepLines/>
            </w:pPr>
          </w:p>
        </w:tc>
        <w:tc>
          <w:tcPr>
            <w:tcW w:w="4243" w:type="dxa"/>
          </w:tcPr>
          <w:p>
            <w:pPr>
              <w:pStyle w:val="yTableNAm"/>
              <w:keepNext/>
              <w:keepLines/>
            </w:pPr>
            <w:r>
              <w:t xml:space="preserve">In respect of land to which water is supplied under the </w:t>
            </w:r>
            <w:r>
              <w:rPr>
                <w:i/>
              </w:rPr>
              <w:t>Ord Irrigation District By</w:t>
            </w:r>
            <w:r>
              <w:rPr>
                <w:i/>
              </w:rPr>
              <w:noBreakHyphen/>
              <w:t>laws 1963</w:t>
            </w:r>
            <w:r>
              <w:t xml:space="preserve"> by</w:t>
            </w:r>
            <w:r>
              <w:noBreakHyphen/>
              <w:t>law 31A for the purposes of stock</w:t>
            </w:r>
            <w:r>
              <w:noBreakHyphen/>
              <w:t>water or dust prevention in feed lots —</w:t>
            </w:r>
          </w:p>
        </w:tc>
        <w:tc>
          <w:tcPr>
            <w:tcW w:w="1427" w:type="dxa"/>
            <w:vAlign w:val="bottom"/>
          </w:tcPr>
          <w:p>
            <w:pPr>
              <w:pStyle w:val="yTableNAm"/>
              <w:keepNext/>
              <w:keepLines/>
              <w:tabs>
                <w:tab w:val="clear" w:pos="567"/>
                <w:tab w:val="left" w:pos="327"/>
              </w:tabs>
            </w:pPr>
          </w:p>
        </w:tc>
      </w:tr>
      <w:tr>
        <w:trPr>
          <w:cantSplit/>
        </w:trPr>
        <w:tc>
          <w:tcPr>
            <w:tcW w:w="850" w:type="dxa"/>
          </w:tcPr>
          <w:p>
            <w:pPr>
              <w:pStyle w:val="yTableNAm"/>
            </w:pPr>
          </w:p>
        </w:tc>
        <w:tc>
          <w:tcPr>
            <w:tcW w:w="4243" w:type="dxa"/>
          </w:tcPr>
          <w:p>
            <w:pPr>
              <w:pStyle w:val="yTableNAm"/>
              <w:tabs>
                <w:tab w:val="clear" w:pos="567"/>
                <w:tab w:val="left" w:pos="351"/>
                <w:tab w:val="left" w:pos="918"/>
                <w:tab w:val="right" w:leader="dot" w:pos="4253"/>
              </w:tabs>
              <w:ind w:left="918" w:hanging="918"/>
            </w:pPr>
            <w:r>
              <w:tab/>
              <w:t>(a)</w:t>
            </w:r>
            <w:r>
              <w:tab/>
              <w:t xml:space="preserve">where the maximum area used as a feed lot during the year is not more than 4 hectares </w:t>
            </w:r>
            <w:r>
              <w:tab/>
            </w:r>
          </w:p>
        </w:tc>
        <w:tc>
          <w:tcPr>
            <w:tcW w:w="1427" w:type="dxa"/>
            <w:vAlign w:val="bottom"/>
          </w:tcPr>
          <w:p>
            <w:pPr>
              <w:pStyle w:val="yTableNAm"/>
              <w:tabs>
                <w:tab w:val="clear" w:pos="567"/>
                <w:tab w:val="left" w:pos="327"/>
              </w:tabs>
            </w:pPr>
            <w:r>
              <w:rPr>
                <w:szCs w:val="22"/>
              </w:rPr>
              <w:t>$664.00</w:t>
            </w:r>
          </w:p>
        </w:tc>
      </w:tr>
      <w:tr>
        <w:trPr>
          <w:cantSplit/>
        </w:trPr>
        <w:tc>
          <w:tcPr>
            <w:tcW w:w="850" w:type="dxa"/>
          </w:tcPr>
          <w:p>
            <w:pPr>
              <w:pStyle w:val="yTableNAm"/>
              <w:keepNext/>
              <w:keepLines/>
            </w:pPr>
          </w:p>
        </w:tc>
        <w:tc>
          <w:tcPr>
            <w:tcW w:w="4243" w:type="dxa"/>
          </w:tcPr>
          <w:p>
            <w:pPr>
              <w:pStyle w:val="yTableNAm"/>
              <w:tabs>
                <w:tab w:val="clear" w:pos="567"/>
                <w:tab w:val="left" w:pos="351"/>
                <w:tab w:val="left" w:pos="918"/>
                <w:tab w:val="right" w:leader="dot" w:pos="4253"/>
              </w:tabs>
              <w:ind w:left="918" w:hanging="918"/>
            </w:pPr>
            <w:r>
              <w:tab/>
              <w:t>(b)</w:t>
            </w:r>
            <w:r>
              <w:tab/>
              <w:t xml:space="preserve">where the maximum area used as a feed lot during the year is more than 4 hectares, the amount specified in paragraph (a) and, for each hectare (or part thereof) in excess of 4 hectares that is so used, a further amount of </w:t>
            </w:r>
            <w:r>
              <w:tab/>
            </w:r>
          </w:p>
        </w:tc>
        <w:tc>
          <w:tcPr>
            <w:tcW w:w="1427" w:type="dxa"/>
            <w:vAlign w:val="bottom"/>
          </w:tcPr>
          <w:p>
            <w:pPr>
              <w:pStyle w:val="yTableNAm"/>
              <w:keepNext/>
              <w:keepLines/>
              <w:tabs>
                <w:tab w:val="clear" w:pos="567"/>
                <w:tab w:val="left" w:pos="327"/>
              </w:tabs>
            </w:pPr>
            <w:r>
              <w:rPr>
                <w:szCs w:val="22"/>
              </w:rPr>
              <w:t>$131.50</w:t>
            </w:r>
          </w:p>
        </w:tc>
      </w:tr>
    </w:tbl>
    <w:p>
      <w:pPr>
        <w:pStyle w:val="yFootnotesection"/>
      </w:pPr>
      <w:r>
        <w:tab/>
        <w:t>[Division 2 inserted in Gazette 20 Jun 2012 p. 2721</w:t>
      </w:r>
      <w:r>
        <w:noBreakHyphen/>
        <w:t>2; amended in Gazette 19 Jun 2013 p. 2370.]</w:t>
      </w:r>
    </w:p>
    <w:p>
      <w:pPr>
        <w:pStyle w:val="yScheduleHeading"/>
      </w:pPr>
      <w:bookmarkStart w:id="63" w:name="_Toc84424790"/>
      <w:r>
        <w:rPr>
          <w:rStyle w:val="CharSchNo"/>
        </w:rPr>
        <w:lastRenderedPageBreak/>
        <w:t>Schedule 3</w:t>
      </w:r>
      <w:r>
        <w:t> — </w:t>
      </w:r>
      <w:r>
        <w:rPr>
          <w:rStyle w:val="CharSchText"/>
        </w:rPr>
        <w:t>Charges for sewerage for 2013/2014</w:t>
      </w:r>
      <w:bookmarkEnd w:id="63"/>
    </w:p>
    <w:p>
      <w:pPr>
        <w:pStyle w:val="yShoulderClause"/>
      </w:pPr>
      <w:r>
        <w:t>[bl. 21, 25A, 25B, 25C, 26, 26A and 26B]</w:t>
      </w:r>
    </w:p>
    <w:p>
      <w:pPr>
        <w:pStyle w:val="yFootnoteheading"/>
        <w:spacing w:after="60"/>
      </w:pPr>
      <w:r>
        <w:tab/>
        <w:t>[Heading inserted in Gazette 19 Jun 2013 p. 2371.]</w:t>
      </w:r>
    </w:p>
    <w:p>
      <w:pPr>
        <w:pStyle w:val="yHeading3"/>
      </w:pPr>
      <w:bookmarkStart w:id="64" w:name="_Toc84424791"/>
      <w:r>
        <w:rPr>
          <w:rStyle w:val="CharSDivNo"/>
        </w:rPr>
        <w:t>Division 1</w:t>
      </w:r>
      <w:r>
        <w:rPr>
          <w:b w:val="0"/>
        </w:rPr>
        <w:t> — </w:t>
      </w:r>
      <w:r>
        <w:rPr>
          <w:rStyle w:val="CharSDivText"/>
        </w:rPr>
        <w:t>Fixed charges</w:t>
      </w:r>
      <w:bookmarkEnd w:id="64"/>
    </w:p>
    <w:p>
      <w:pPr>
        <w:pStyle w:val="yFootnoteheading"/>
        <w:spacing w:after="120"/>
      </w:pPr>
      <w:r>
        <w:tab/>
        <w:t>[Heading inserted in Gazette 19 Jun 2013 p. 2371.]</w:t>
      </w: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pPr>
            <w:r>
              <w:rPr>
                <w:b/>
              </w:rPr>
              <w:t>1.</w:t>
            </w:r>
          </w:p>
        </w:tc>
        <w:tc>
          <w:tcPr>
            <w:tcW w:w="5670" w:type="dxa"/>
            <w:gridSpan w:val="2"/>
          </w:tcPr>
          <w:p>
            <w:pPr>
              <w:pStyle w:val="yTableNAm"/>
            </w:pPr>
            <w:r>
              <w:rPr>
                <w:b/>
              </w:rPr>
              <w:t>Connected metropolitan exempt</w:t>
            </w:r>
          </w:p>
        </w:tc>
      </w:tr>
      <w:tr>
        <w:trPr>
          <w:cantSplit/>
        </w:trPr>
        <w:tc>
          <w:tcPr>
            <w:tcW w:w="850" w:type="dxa"/>
          </w:tcPr>
          <w:p>
            <w:pPr>
              <w:pStyle w:val="zyTableNAm"/>
            </w:pPr>
          </w:p>
        </w:tc>
        <w:tc>
          <w:tcPr>
            <w:tcW w:w="4236" w:type="dxa"/>
          </w:tcPr>
          <w:p>
            <w:pPr>
              <w:pStyle w:val="yTableNAm"/>
            </w:pPr>
            <w:r>
              <w:t>In respect of land in the metropolitan area that is classified as —</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(a)</w:t>
            </w:r>
            <w:r>
              <w:tab/>
              <w:t>aged home; or </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rPr>
                <w:spacing w:val="-1"/>
              </w:rPr>
              <w:tab/>
              <w:t>(b)</w:t>
            </w:r>
            <w:r>
              <w:rPr>
                <w:spacing w:val="-1"/>
              </w:rPr>
              <w:tab/>
              <w:t>charitable or community purposes,</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pPr>
            <w:r>
              <w:rPr>
                <w:spacing w:val="-1"/>
              </w:rPr>
              <w:t xml:space="preserve">a charge determined by meter size minus the discount as set out in the following Table — </w:t>
            </w:r>
          </w:p>
        </w:tc>
        <w:tc>
          <w:tcPr>
            <w:tcW w:w="1434" w:type="dxa"/>
            <w:vAlign w:val="bottom"/>
          </w:tcPr>
          <w:p>
            <w:pPr>
              <w:pStyle w:val="yTableNAm"/>
            </w:pPr>
          </w:p>
        </w:tc>
      </w:tr>
    </w:tbl>
    <w:p>
      <w:pPr>
        <w:pStyle w:val="yTHeadingNAm"/>
      </w:pPr>
      <w:r>
        <w:t>Table — charges (</w:t>
      </w:r>
      <w:r>
        <w:rPr>
          <w:iCs/>
        </w:rPr>
        <w:t>per fixture</w:t>
      </w:r>
      <w:r>
        <w:t>)</w:t>
      </w:r>
    </w:p>
    <w:tbl>
      <w:tblPr>
        <w:tblW w:w="6520" w:type="dxa"/>
        <w:tblInd w:w="454" w:type="dxa"/>
        <w:tblLayout w:type="fixed"/>
        <w:tblCellMar>
          <w:left w:w="28" w:type="dxa"/>
          <w:right w:w="28" w:type="dxa"/>
        </w:tblCellMar>
        <w:tblLook w:val="0000" w:firstRow="0" w:lastRow="0" w:firstColumn="0" w:lastColumn="0" w:noHBand="0" w:noVBand="0"/>
      </w:tblPr>
      <w:tblGrid>
        <w:gridCol w:w="2173"/>
        <w:gridCol w:w="2173"/>
        <w:gridCol w:w="1087"/>
        <w:gridCol w:w="1087"/>
      </w:tblGrid>
      <w:tr>
        <w:trPr>
          <w:cantSplit/>
          <w:trHeight w:val="310"/>
          <w:tblHeader/>
        </w:trPr>
        <w:tc>
          <w:tcPr>
            <w:tcW w:w="2173" w:type="dxa"/>
            <w:vMerge w:val="restart"/>
            <w:tcBorders>
              <w:top w:val="single" w:sz="4" w:space="0" w:color="auto"/>
            </w:tcBorders>
          </w:tcPr>
          <w:p>
            <w:pPr>
              <w:pStyle w:val="yTableNAm"/>
              <w:jc w:val="center"/>
              <w:rPr>
                <w:rFonts w:ascii="Arial" w:hAnsi="Arial"/>
                <w:b/>
              </w:rPr>
            </w:pPr>
            <w:r>
              <w:rPr>
                <w:b/>
                <w:bCs/>
              </w:rPr>
              <w:t>No. of fixtures</w:t>
            </w:r>
          </w:p>
        </w:tc>
        <w:tc>
          <w:tcPr>
            <w:tcW w:w="2173" w:type="dxa"/>
            <w:vMerge w:val="restart"/>
            <w:tcBorders>
              <w:top w:val="single" w:sz="4" w:space="0" w:color="auto"/>
            </w:tcBorders>
          </w:tcPr>
          <w:p>
            <w:pPr>
              <w:pStyle w:val="yTableNAm"/>
              <w:jc w:val="center"/>
            </w:pPr>
            <w:r>
              <w:rPr>
                <w:b/>
                <w:bCs/>
              </w:rPr>
              <w:t>Charges</w:t>
            </w:r>
            <w:r>
              <w:rPr>
                <w:b/>
                <w:bCs/>
              </w:rPr>
              <w:br/>
              <w:t>$</w:t>
            </w:r>
          </w:p>
        </w:tc>
        <w:tc>
          <w:tcPr>
            <w:tcW w:w="2174" w:type="dxa"/>
            <w:gridSpan w:val="2"/>
            <w:tcBorders>
              <w:top w:val="single" w:sz="4" w:space="0" w:color="auto"/>
              <w:bottom w:val="single" w:sz="4" w:space="0" w:color="auto"/>
            </w:tcBorders>
          </w:tcPr>
          <w:p>
            <w:pPr>
              <w:pStyle w:val="yTableNAm"/>
              <w:jc w:val="center"/>
            </w:pPr>
            <w:r>
              <w:rPr>
                <w:b/>
                <w:bCs/>
              </w:rPr>
              <w:t>Discount</w:t>
            </w:r>
            <w:r>
              <w:rPr>
                <w:b/>
                <w:bCs/>
              </w:rPr>
              <w:br/>
              <w:t>%</w:t>
            </w:r>
          </w:p>
        </w:tc>
      </w:tr>
      <w:tr>
        <w:trPr>
          <w:cantSplit/>
          <w:trHeight w:val="310"/>
          <w:tblHeader/>
        </w:trPr>
        <w:tc>
          <w:tcPr>
            <w:tcW w:w="2173" w:type="dxa"/>
            <w:vMerge/>
            <w:tcBorders>
              <w:bottom w:val="single" w:sz="4" w:space="0" w:color="auto"/>
            </w:tcBorders>
            <w:vAlign w:val="center"/>
          </w:tcPr>
          <w:p>
            <w:pPr>
              <w:pStyle w:val="zyTableNAm"/>
              <w:keepNext/>
              <w:keepLines/>
              <w:jc w:val="center"/>
              <w:rPr>
                <w:b/>
                <w:bCs/>
              </w:rPr>
            </w:pPr>
          </w:p>
        </w:tc>
        <w:tc>
          <w:tcPr>
            <w:tcW w:w="2173" w:type="dxa"/>
            <w:vMerge/>
            <w:tcBorders>
              <w:bottom w:val="single" w:sz="4" w:space="0" w:color="auto"/>
            </w:tcBorders>
          </w:tcPr>
          <w:p>
            <w:pPr>
              <w:pStyle w:val="zyTableNAm"/>
              <w:keepNext/>
              <w:keepLines/>
              <w:jc w:val="center"/>
              <w:rPr>
                <w:b/>
                <w:bCs/>
              </w:rPr>
            </w:pPr>
          </w:p>
        </w:tc>
        <w:tc>
          <w:tcPr>
            <w:tcW w:w="1087" w:type="dxa"/>
            <w:tcBorders>
              <w:top w:val="single" w:sz="4" w:space="0" w:color="auto"/>
              <w:bottom w:val="single" w:sz="4" w:space="0" w:color="auto"/>
            </w:tcBorders>
          </w:tcPr>
          <w:p>
            <w:pPr>
              <w:pStyle w:val="yTableNAm"/>
              <w:jc w:val="center"/>
              <w:rPr>
                <w:rFonts w:ascii="Arial" w:hAnsi="Arial"/>
                <w:b/>
              </w:rPr>
            </w:pPr>
            <w:r>
              <w:rPr>
                <w:b/>
                <w:bCs/>
              </w:rPr>
              <w:t>Item 1(a)</w:t>
            </w:r>
          </w:p>
        </w:tc>
        <w:tc>
          <w:tcPr>
            <w:tcW w:w="1087" w:type="dxa"/>
            <w:tcBorders>
              <w:top w:val="single" w:sz="4" w:space="0" w:color="auto"/>
              <w:bottom w:val="single" w:sz="4" w:space="0" w:color="auto"/>
            </w:tcBorders>
          </w:tcPr>
          <w:p>
            <w:pPr>
              <w:pStyle w:val="yTableNAm"/>
              <w:jc w:val="center"/>
              <w:rPr>
                <w:rFonts w:ascii="Arial" w:hAnsi="Arial"/>
                <w:b/>
              </w:rPr>
            </w:pPr>
            <w:r>
              <w:rPr>
                <w:b/>
                <w:bCs/>
              </w:rPr>
              <w:t>Item 1(b)</w:t>
            </w:r>
          </w:p>
        </w:tc>
      </w:tr>
      <w:tr>
        <w:trPr>
          <w:cantSplit/>
        </w:trPr>
        <w:tc>
          <w:tcPr>
            <w:tcW w:w="2173" w:type="dxa"/>
          </w:tcPr>
          <w:p>
            <w:pPr>
              <w:pStyle w:val="yTableNAm"/>
              <w:jc w:val="center"/>
            </w:pPr>
            <w:r>
              <w:t>1</w:t>
            </w:r>
          </w:p>
        </w:tc>
        <w:tc>
          <w:tcPr>
            <w:tcW w:w="2173" w:type="dxa"/>
          </w:tcPr>
          <w:p>
            <w:pPr>
              <w:pStyle w:val="yTableNAm"/>
              <w:jc w:val="center"/>
              <w:rPr>
                <w:rFonts w:ascii="Arial" w:hAnsi="Arial"/>
                <w:b/>
              </w:rPr>
            </w:pPr>
            <w:r>
              <w:t>772.10</w:t>
            </w:r>
          </w:p>
        </w:tc>
        <w:tc>
          <w:tcPr>
            <w:tcW w:w="1087" w:type="dxa"/>
          </w:tcPr>
          <w:p>
            <w:pPr>
              <w:pStyle w:val="yTableNAm"/>
              <w:jc w:val="center"/>
              <w:rPr>
                <w:rFonts w:ascii="Arial" w:hAnsi="Arial"/>
                <w:b/>
              </w:rPr>
            </w:pPr>
            <w:r>
              <w:t>73.133</w:t>
            </w:r>
          </w:p>
        </w:tc>
        <w:tc>
          <w:tcPr>
            <w:tcW w:w="1087" w:type="dxa"/>
          </w:tcPr>
          <w:p>
            <w:pPr>
              <w:pStyle w:val="yTableNAm"/>
              <w:jc w:val="center"/>
              <w:rPr>
                <w:rFonts w:ascii="Arial" w:hAnsi="Arial"/>
                <w:b/>
              </w:rPr>
            </w:pPr>
            <w:r>
              <w:t>73.133</w:t>
            </w:r>
          </w:p>
        </w:tc>
      </w:tr>
      <w:tr>
        <w:trPr>
          <w:cantSplit/>
        </w:trPr>
        <w:tc>
          <w:tcPr>
            <w:tcW w:w="2173" w:type="dxa"/>
          </w:tcPr>
          <w:p>
            <w:pPr>
              <w:pStyle w:val="yTableNAm"/>
              <w:jc w:val="center"/>
              <w:rPr>
                <w:rFonts w:ascii="Arial" w:hAnsi="Arial"/>
                <w:b/>
              </w:rPr>
            </w:pPr>
            <w:r>
              <w:t>2</w:t>
            </w:r>
          </w:p>
        </w:tc>
        <w:tc>
          <w:tcPr>
            <w:tcW w:w="2173" w:type="dxa"/>
          </w:tcPr>
          <w:p>
            <w:pPr>
              <w:pStyle w:val="yTableNAm"/>
              <w:jc w:val="center"/>
              <w:rPr>
                <w:rFonts w:ascii="Arial" w:hAnsi="Arial"/>
                <w:b/>
              </w:rPr>
            </w:pPr>
            <w:r>
              <w:t>330.51</w:t>
            </w:r>
          </w:p>
        </w:tc>
        <w:tc>
          <w:tcPr>
            <w:tcW w:w="1087" w:type="dxa"/>
          </w:tcPr>
          <w:p>
            <w:pPr>
              <w:pStyle w:val="yTableNAm"/>
              <w:jc w:val="center"/>
              <w:rPr>
                <w:rFonts w:ascii="Arial" w:hAnsi="Arial"/>
                <w:b/>
              </w:rPr>
            </w:pPr>
            <w:r>
              <w:t>72.385</w:t>
            </w:r>
          </w:p>
        </w:tc>
        <w:tc>
          <w:tcPr>
            <w:tcW w:w="1087" w:type="dxa"/>
          </w:tcPr>
          <w:p>
            <w:pPr>
              <w:pStyle w:val="yTableNAm"/>
              <w:jc w:val="center"/>
              <w:rPr>
                <w:rFonts w:ascii="Arial" w:hAnsi="Arial"/>
                <w:b/>
              </w:rPr>
            </w:pPr>
            <w:r>
              <w:t>37.246</w:t>
            </w:r>
          </w:p>
        </w:tc>
      </w:tr>
      <w:tr>
        <w:trPr>
          <w:cantSplit/>
        </w:trPr>
        <w:tc>
          <w:tcPr>
            <w:tcW w:w="2173" w:type="dxa"/>
          </w:tcPr>
          <w:p>
            <w:pPr>
              <w:pStyle w:val="yTableNAm"/>
              <w:jc w:val="center"/>
              <w:rPr>
                <w:rFonts w:ascii="Arial" w:hAnsi="Arial"/>
                <w:b/>
              </w:rPr>
            </w:pPr>
            <w:r>
              <w:t>3</w:t>
            </w:r>
          </w:p>
        </w:tc>
        <w:tc>
          <w:tcPr>
            <w:tcW w:w="2173" w:type="dxa"/>
          </w:tcPr>
          <w:p>
            <w:pPr>
              <w:pStyle w:val="yTableNAm"/>
              <w:jc w:val="center"/>
              <w:rPr>
                <w:rFonts w:ascii="Arial" w:hAnsi="Arial"/>
                <w:b/>
              </w:rPr>
            </w:pPr>
            <w:r>
              <w:t>441.38</w:t>
            </w:r>
          </w:p>
        </w:tc>
        <w:tc>
          <w:tcPr>
            <w:tcW w:w="1087" w:type="dxa"/>
          </w:tcPr>
          <w:p>
            <w:pPr>
              <w:pStyle w:val="yTableNAm"/>
              <w:jc w:val="center"/>
              <w:rPr>
                <w:rFonts w:ascii="Arial" w:hAnsi="Arial"/>
                <w:b/>
              </w:rPr>
            </w:pPr>
            <w:r>
              <w:t>79.321</w:t>
            </w:r>
          </w:p>
        </w:tc>
        <w:tc>
          <w:tcPr>
            <w:tcW w:w="1087" w:type="dxa"/>
          </w:tcPr>
          <w:p>
            <w:pPr>
              <w:pStyle w:val="yTableNAm"/>
              <w:jc w:val="center"/>
              <w:rPr>
                <w:rFonts w:ascii="Arial" w:hAnsi="Arial"/>
                <w:b/>
              </w:rPr>
            </w:pPr>
            <w:r>
              <w:t>53.001</w:t>
            </w:r>
          </w:p>
        </w:tc>
      </w:tr>
      <w:tr>
        <w:trPr>
          <w:cantSplit/>
        </w:trPr>
        <w:tc>
          <w:tcPr>
            <w:tcW w:w="2173" w:type="dxa"/>
            <w:tcBorders>
              <w:bottom w:val="single" w:sz="4" w:space="0" w:color="auto"/>
            </w:tcBorders>
          </w:tcPr>
          <w:p>
            <w:pPr>
              <w:pStyle w:val="yTableNAm"/>
              <w:jc w:val="center"/>
              <w:rPr>
                <w:rFonts w:ascii="Arial" w:hAnsi="Arial"/>
                <w:b/>
              </w:rPr>
            </w:pPr>
            <w:r>
              <w:t>4+</w:t>
            </w:r>
          </w:p>
        </w:tc>
        <w:tc>
          <w:tcPr>
            <w:tcW w:w="2173" w:type="dxa"/>
            <w:tcBorders>
              <w:bottom w:val="single" w:sz="4" w:space="0" w:color="auto"/>
            </w:tcBorders>
          </w:tcPr>
          <w:p>
            <w:pPr>
              <w:pStyle w:val="yTableNAm"/>
              <w:jc w:val="center"/>
              <w:rPr>
                <w:rFonts w:ascii="Arial" w:hAnsi="Arial"/>
                <w:b/>
              </w:rPr>
            </w:pPr>
            <w:r>
              <w:t>479.97</w:t>
            </w:r>
          </w:p>
        </w:tc>
        <w:tc>
          <w:tcPr>
            <w:tcW w:w="1087" w:type="dxa"/>
            <w:tcBorders>
              <w:bottom w:val="single" w:sz="4" w:space="0" w:color="auto"/>
            </w:tcBorders>
          </w:tcPr>
          <w:p>
            <w:pPr>
              <w:pStyle w:val="yTableNAm"/>
              <w:jc w:val="center"/>
              <w:rPr>
                <w:rFonts w:ascii="Arial" w:hAnsi="Arial"/>
                <w:b/>
              </w:rPr>
            </w:pPr>
            <w:r>
              <w:t>80.984</w:t>
            </w:r>
          </w:p>
        </w:tc>
        <w:tc>
          <w:tcPr>
            <w:tcW w:w="1087" w:type="dxa"/>
            <w:tcBorders>
              <w:bottom w:val="single" w:sz="4" w:space="0" w:color="auto"/>
            </w:tcBorders>
          </w:tcPr>
          <w:p>
            <w:pPr>
              <w:pStyle w:val="yTableNAm"/>
              <w:jc w:val="center"/>
              <w:rPr>
                <w:rFonts w:ascii="Arial" w:hAnsi="Arial"/>
                <w:b/>
              </w:rPr>
            </w:pPr>
            <w:r>
              <w:t>56.780</w:t>
            </w:r>
          </w:p>
        </w:tc>
      </w:tr>
    </w:tbl>
    <w:p>
      <w:pPr>
        <w:pStyle w:val="yMiscellaneousBody"/>
      </w:pP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pPr>
            <w:r>
              <w:rPr>
                <w:b/>
              </w:rPr>
              <w:t>2.</w:t>
            </w:r>
          </w:p>
        </w:tc>
        <w:tc>
          <w:tcPr>
            <w:tcW w:w="4236" w:type="dxa"/>
          </w:tcPr>
          <w:p>
            <w:pPr>
              <w:pStyle w:val="yTableNAm"/>
            </w:pPr>
            <w:r>
              <w:rPr>
                <w:b/>
              </w:rPr>
              <w:t>Connected country exempt</w:t>
            </w:r>
          </w:p>
        </w:tc>
        <w:tc>
          <w:tcPr>
            <w:tcW w:w="1434" w:type="dxa"/>
            <w:vAlign w:val="bottom"/>
          </w:tcPr>
          <w:p>
            <w:pPr>
              <w:pStyle w:val="yTableNAm"/>
            </w:pPr>
          </w:p>
        </w:tc>
      </w:tr>
      <w:tr>
        <w:trPr>
          <w:cantSplit/>
        </w:trPr>
        <w:tc>
          <w:tcPr>
            <w:tcW w:w="850" w:type="dxa"/>
          </w:tcPr>
          <w:p>
            <w:pPr>
              <w:pStyle w:val="zyTableNAm"/>
              <w:keepNext/>
              <w:keepLines/>
            </w:pPr>
          </w:p>
        </w:tc>
        <w:tc>
          <w:tcPr>
            <w:tcW w:w="4236" w:type="dxa"/>
          </w:tcPr>
          <w:p>
            <w:pPr>
              <w:pStyle w:val="yTableNAm"/>
            </w:pPr>
            <w:r>
              <w:t>In respect of land in a country sewerage area that is classified as —</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(a)</w:t>
            </w:r>
            <w:r>
              <w:tab/>
              <w:t>community residential</w:t>
            </w:r>
            <w:r>
              <w:rPr>
                <w:snapToGrid w:val="0"/>
                <w:spacing w:val="-4"/>
              </w:rPr>
              <w:t>; or</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rPr>
                <w:spacing w:val="-1"/>
              </w:rPr>
              <w:tab/>
              <w:t>(b)</w:t>
            </w:r>
            <w:r>
              <w:rPr>
                <w:spacing w:val="-1"/>
              </w:rPr>
              <w:tab/>
              <w:t xml:space="preserve">aged home, </w:t>
            </w:r>
            <w:r>
              <w:t>charitable purposes</w:t>
            </w:r>
            <w:r>
              <w:rPr>
                <w:spacing w:val="-1"/>
              </w:rPr>
              <w:t>, community purposes, institutional public or local government,</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pPr>
            <w:r>
              <w:rPr>
                <w:szCs w:val="22"/>
              </w:rPr>
              <w:t>a charge determined by meter size minus the discount as set out in the following Table —</w:t>
            </w:r>
          </w:p>
        </w:tc>
        <w:tc>
          <w:tcPr>
            <w:tcW w:w="1434" w:type="dxa"/>
            <w:vAlign w:val="bottom"/>
          </w:tcPr>
          <w:p>
            <w:pPr>
              <w:pStyle w:val="yTableNAm"/>
            </w:pPr>
          </w:p>
        </w:tc>
      </w:tr>
    </w:tbl>
    <w:p>
      <w:pPr>
        <w:pStyle w:val="yTHeadingNAm"/>
      </w:pPr>
      <w:r>
        <w:t>Table — charges (per fixture)</w:t>
      </w:r>
    </w:p>
    <w:tbl>
      <w:tblPr>
        <w:tblW w:w="6520" w:type="dxa"/>
        <w:tblInd w:w="454" w:type="dxa"/>
        <w:tblLayout w:type="fixed"/>
        <w:tblCellMar>
          <w:left w:w="28" w:type="dxa"/>
          <w:right w:w="28" w:type="dxa"/>
        </w:tblCellMar>
        <w:tblLook w:val="0000" w:firstRow="0" w:lastRow="0" w:firstColumn="0" w:lastColumn="0" w:noHBand="0" w:noVBand="0"/>
      </w:tblPr>
      <w:tblGrid>
        <w:gridCol w:w="2173"/>
        <w:gridCol w:w="2173"/>
        <w:gridCol w:w="1087"/>
        <w:gridCol w:w="1087"/>
      </w:tblGrid>
      <w:tr>
        <w:trPr>
          <w:cantSplit/>
          <w:trHeight w:val="310"/>
          <w:tblHeader/>
        </w:trPr>
        <w:tc>
          <w:tcPr>
            <w:tcW w:w="2173" w:type="dxa"/>
            <w:vMerge w:val="restart"/>
            <w:tcBorders>
              <w:top w:val="single" w:sz="4" w:space="0" w:color="auto"/>
            </w:tcBorders>
          </w:tcPr>
          <w:p>
            <w:pPr>
              <w:pStyle w:val="yTableNAm"/>
              <w:jc w:val="center"/>
              <w:rPr>
                <w:rFonts w:ascii="Arial" w:hAnsi="Arial"/>
                <w:b/>
              </w:rPr>
            </w:pPr>
            <w:r>
              <w:rPr>
                <w:b/>
                <w:bCs/>
              </w:rPr>
              <w:t>No. of fixtures</w:t>
            </w:r>
          </w:p>
        </w:tc>
        <w:tc>
          <w:tcPr>
            <w:tcW w:w="2173" w:type="dxa"/>
            <w:vMerge w:val="restart"/>
            <w:tcBorders>
              <w:top w:val="single" w:sz="4" w:space="0" w:color="auto"/>
            </w:tcBorders>
          </w:tcPr>
          <w:p>
            <w:pPr>
              <w:pStyle w:val="yTableNAm"/>
              <w:jc w:val="center"/>
            </w:pPr>
            <w:r>
              <w:rPr>
                <w:b/>
                <w:bCs/>
              </w:rPr>
              <w:t>Charges</w:t>
            </w:r>
            <w:r>
              <w:rPr>
                <w:b/>
                <w:bCs/>
              </w:rPr>
              <w:br/>
              <w:t>$</w:t>
            </w:r>
          </w:p>
        </w:tc>
        <w:tc>
          <w:tcPr>
            <w:tcW w:w="2174" w:type="dxa"/>
            <w:gridSpan w:val="2"/>
            <w:tcBorders>
              <w:top w:val="single" w:sz="4" w:space="0" w:color="auto"/>
              <w:bottom w:val="single" w:sz="4" w:space="0" w:color="auto"/>
            </w:tcBorders>
          </w:tcPr>
          <w:p>
            <w:pPr>
              <w:pStyle w:val="yTableNAm"/>
              <w:jc w:val="center"/>
            </w:pPr>
            <w:r>
              <w:rPr>
                <w:b/>
                <w:bCs/>
              </w:rPr>
              <w:t>Discount</w:t>
            </w:r>
            <w:r>
              <w:rPr>
                <w:b/>
                <w:bCs/>
              </w:rPr>
              <w:br/>
              <w:t>%</w:t>
            </w:r>
          </w:p>
        </w:tc>
      </w:tr>
      <w:tr>
        <w:trPr>
          <w:cantSplit/>
          <w:trHeight w:val="310"/>
          <w:tblHeader/>
        </w:trPr>
        <w:tc>
          <w:tcPr>
            <w:tcW w:w="2173" w:type="dxa"/>
            <w:vMerge/>
            <w:tcBorders>
              <w:bottom w:val="single" w:sz="4" w:space="0" w:color="auto"/>
            </w:tcBorders>
            <w:vAlign w:val="center"/>
          </w:tcPr>
          <w:p>
            <w:pPr>
              <w:pStyle w:val="zyTableNAm"/>
              <w:keepNext/>
              <w:jc w:val="center"/>
              <w:rPr>
                <w:b/>
                <w:bCs/>
              </w:rPr>
            </w:pPr>
          </w:p>
        </w:tc>
        <w:tc>
          <w:tcPr>
            <w:tcW w:w="2173" w:type="dxa"/>
            <w:vMerge/>
            <w:tcBorders>
              <w:bottom w:val="single" w:sz="4" w:space="0" w:color="auto"/>
            </w:tcBorders>
          </w:tcPr>
          <w:p>
            <w:pPr>
              <w:pStyle w:val="zyTableNAm"/>
              <w:keepNext/>
              <w:jc w:val="center"/>
              <w:rPr>
                <w:b/>
                <w:bCs/>
              </w:rPr>
            </w:pPr>
          </w:p>
        </w:tc>
        <w:tc>
          <w:tcPr>
            <w:tcW w:w="1087" w:type="dxa"/>
            <w:tcBorders>
              <w:top w:val="single" w:sz="4" w:space="0" w:color="auto"/>
              <w:bottom w:val="single" w:sz="4" w:space="0" w:color="auto"/>
            </w:tcBorders>
          </w:tcPr>
          <w:p>
            <w:pPr>
              <w:pStyle w:val="yTableNAm"/>
              <w:jc w:val="center"/>
              <w:rPr>
                <w:rFonts w:ascii="Arial" w:hAnsi="Arial"/>
                <w:b/>
              </w:rPr>
            </w:pPr>
            <w:r>
              <w:rPr>
                <w:b/>
                <w:bCs/>
              </w:rPr>
              <w:t>Item 2(a)</w:t>
            </w:r>
          </w:p>
        </w:tc>
        <w:tc>
          <w:tcPr>
            <w:tcW w:w="1087" w:type="dxa"/>
            <w:tcBorders>
              <w:top w:val="single" w:sz="4" w:space="0" w:color="auto"/>
              <w:bottom w:val="single" w:sz="4" w:space="0" w:color="auto"/>
            </w:tcBorders>
          </w:tcPr>
          <w:p>
            <w:pPr>
              <w:pStyle w:val="yTableNAm"/>
              <w:jc w:val="center"/>
              <w:rPr>
                <w:rFonts w:ascii="Arial" w:hAnsi="Arial"/>
                <w:b/>
              </w:rPr>
            </w:pPr>
            <w:r>
              <w:rPr>
                <w:b/>
                <w:bCs/>
              </w:rPr>
              <w:t>Item 2(b)</w:t>
            </w:r>
          </w:p>
        </w:tc>
      </w:tr>
      <w:tr>
        <w:trPr>
          <w:cantSplit/>
        </w:trPr>
        <w:tc>
          <w:tcPr>
            <w:tcW w:w="2173" w:type="dxa"/>
          </w:tcPr>
          <w:p>
            <w:pPr>
              <w:pStyle w:val="yTableNAm"/>
              <w:jc w:val="center"/>
            </w:pPr>
            <w:r>
              <w:t>1</w:t>
            </w:r>
          </w:p>
        </w:tc>
        <w:tc>
          <w:tcPr>
            <w:tcW w:w="2173" w:type="dxa"/>
          </w:tcPr>
          <w:p>
            <w:pPr>
              <w:pStyle w:val="yTableNAm"/>
              <w:jc w:val="center"/>
              <w:rPr>
                <w:rFonts w:ascii="Arial" w:hAnsi="Arial"/>
                <w:b/>
              </w:rPr>
            </w:pPr>
            <w:r>
              <w:t>772.10</w:t>
            </w:r>
          </w:p>
        </w:tc>
        <w:tc>
          <w:tcPr>
            <w:tcW w:w="1087" w:type="dxa"/>
          </w:tcPr>
          <w:p>
            <w:pPr>
              <w:pStyle w:val="yTableNAm"/>
              <w:jc w:val="center"/>
              <w:rPr>
                <w:rFonts w:ascii="Arial" w:hAnsi="Arial"/>
                <w:b/>
              </w:rPr>
            </w:pPr>
            <w:r>
              <w:t>88.179</w:t>
            </w:r>
          </w:p>
        </w:tc>
        <w:tc>
          <w:tcPr>
            <w:tcW w:w="1087" w:type="dxa"/>
          </w:tcPr>
          <w:p>
            <w:pPr>
              <w:pStyle w:val="yTableNAm"/>
              <w:jc w:val="center"/>
              <w:rPr>
                <w:rFonts w:ascii="Arial" w:hAnsi="Arial"/>
                <w:b/>
              </w:rPr>
            </w:pPr>
            <w:r>
              <w:t>73.133</w:t>
            </w:r>
          </w:p>
        </w:tc>
      </w:tr>
      <w:tr>
        <w:trPr>
          <w:cantSplit/>
        </w:trPr>
        <w:tc>
          <w:tcPr>
            <w:tcW w:w="2173" w:type="dxa"/>
          </w:tcPr>
          <w:p>
            <w:pPr>
              <w:pStyle w:val="yTableNAm"/>
              <w:jc w:val="center"/>
              <w:rPr>
                <w:rFonts w:ascii="Arial" w:hAnsi="Arial"/>
                <w:b/>
              </w:rPr>
            </w:pPr>
            <w:r>
              <w:t>2</w:t>
            </w:r>
          </w:p>
        </w:tc>
        <w:tc>
          <w:tcPr>
            <w:tcW w:w="2173" w:type="dxa"/>
          </w:tcPr>
          <w:p>
            <w:pPr>
              <w:pStyle w:val="yTableNAm"/>
              <w:jc w:val="center"/>
              <w:rPr>
                <w:rFonts w:ascii="Arial" w:hAnsi="Arial"/>
                <w:b/>
              </w:rPr>
            </w:pPr>
            <w:r>
              <w:t>330.51</w:t>
            </w:r>
          </w:p>
        </w:tc>
        <w:tc>
          <w:tcPr>
            <w:tcW w:w="1087" w:type="dxa"/>
          </w:tcPr>
          <w:p>
            <w:pPr>
              <w:pStyle w:val="yTableNAm"/>
              <w:jc w:val="center"/>
              <w:rPr>
                <w:rFonts w:ascii="Arial" w:hAnsi="Arial"/>
                <w:b/>
              </w:rPr>
            </w:pPr>
            <w:r>
              <w:t>72.385</w:t>
            </w:r>
          </w:p>
        </w:tc>
        <w:tc>
          <w:tcPr>
            <w:tcW w:w="1087" w:type="dxa"/>
          </w:tcPr>
          <w:p>
            <w:pPr>
              <w:pStyle w:val="yTableNAm"/>
              <w:jc w:val="center"/>
              <w:rPr>
                <w:rFonts w:ascii="Arial" w:hAnsi="Arial"/>
                <w:b/>
              </w:rPr>
            </w:pPr>
            <w:r>
              <w:t>72.385</w:t>
            </w:r>
          </w:p>
        </w:tc>
      </w:tr>
      <w:tr>
        <w:trPr>
          <w:cantSplit/>
        </w:trPr>
        <w:tc>
          <w:tcPr>
            <w:tcW w:w="2173" w:type="dxa"/>
          </w:tcPr>
          <w:p>
            <w:pPr>
              <w:pStyle w:val="yTableNAm"/>
              <w:jc w:val="center"/>
              <w:rPr>
                <w:rFonts w:ascii="Arial" w:hAnsi="Arial"/>
                <w:b/>
              </w:rPr>
            </w:pPr>
            <w:r>
              <w:t>3</w:t>
            </w:r>
          </w:p>
        </w:tc>
        <w:tc>
          <w:tcPr>
            <w:tcW w:w="2173" w:type="dxa"/>
          </w:tcPr>
          <w:p>
            <w:pPr>
              <w:pStyle w:val="yTableNAm"/>
              <w:jc w:val="center"/>
              <w:rPr>
                <w:rFonts w:ascii="Arial" w:hAnsi="Arial"/>
                <w:b/>
              </w:rPr>
            </w:pPr>
            <w:r>
              <w:t>441.38</w:t>
            </w:r>
          </w:p>
        </w:tc>
        <w:tc>
          <w:tcPr>
            <w:tcW w:w="1087" w:type="dxa"/>
          </w:tcPr>
          <w:p>
            <w:pPr>
              <w:pStyle w:val="yTableNAm"/>
              <w:jc w:val="center"/>
              <w:rPr>
                <w:rFonts w:ascii="Arial" w:hAnsi="Arial"/>
                <w:b/>
              </w:rPr>
            </w:pPr>
            <w:r>
              <w:t>79.321</w:t>
            </w:r>
          </w:p>
        </w:tc>
        <w:tc>
          <w:tcPr>
            <w:tcW w:w="1087" w:type="dxa"/>
          </w:tcPr>
          <w:p>
            <w:pPr>
              <w:pStyle w:val="yTableNAm"/>
              <w:jc w:val="center"/>
              <w:rPr>
                <w:rFonts w:ascii="Arial" w:hAnsi="Arial"/>
                <w:b/>
              </w:rPr>
            </w:pPr>
            <w:r>
              <w:t>79.321</w:t>
            </w:r>
          </w:p>
        </w:tc>
      </w:tr>
      <w:tr>
        <w:trPr>
          <w:cantSplit/>
        </w:trPr>
        <w:tc>
          <w:tcPr>
            <w:tcW w:w="2173" w:type="dxa"/>
            <w:tcBorders>
              <w:bottom w:val="single" w:sz="4" w:space="0" w:color="auto"/>
            </w:tcBorders>
          </w:tcPr>
          <w:p>
            <w:pPr>
              <w:pStyle w:val="yTableNAm"/>
              <w:jc w:val="center"/>
              <w:rPr>
                <w:rFonts w:ascii="Arial" w:hAnsi="Arial"/>
                <w:b/>
              </w:rPr>
            </w:pPr>
            <w:r>
              <w:t>4+</w:t>
            </w:r>
          </w:p>
        </w:tc>
        <w:tc>
          <w:tcPr>
            <w:tcW w:w="2173" w:type="dxa"/>
            <w:tcBorders>
              <w:bottom w:val="single" w:sz="4" w:space="0" w:color="auto"/>
            </w:tcBorders>
          </w:tcPr>
          <w:p>
            <w:pPr>
              <w:pStyle w:val="yTableNAm"/>
              <w:jc w:val="center"/>
              <w:rPr>
                <w:rFonts w:ascii="Arial" w:hAnsi="Arial"/>
                <w:b/>
              </w:rPr>
            </w:pPr>
            <w:r>
              <w:t>479.97</w:t>
            </w:r>
          </w:p>
        </w:tc>
        <w:tc>
          <w:tcPr>
            <w:tcW w:w="1087" w:type="dxa"/>
            <w:tcBorders>
              <w:bottom w:val="single" w:sz="4" w:space="0" w:color="auto"/>
            </w:tcBorders>
          </w:tcPr>
          <w:p>
            <w:pPr>
              <w:pStyle w:val="yTableNAm"/>
              <w:jc w:val="center"/>
              <w:rPr>
                <w:rFonts w:ascii="Arial" w:hAnsi="Arial"/>
                <w:b/>
              </w:rPr>
            </w:pPr>
            <w:r>
              <w:t>80.984</w:t>
            </w:r>
          </w:p>
        </w:tc>
        <w:tc>
          <w:tcPr>
            <w:tcW w:w="1087" w:type="dxa"/>
            <w:tcBorders>
              <w:bottom w:val="single" w:sz="4" w:space="0" w:color="auto"/>
            </w:tcBorders>
          </w:tcPr>
          <w:p>
            <w:pPr>
              <w:pStyle w:val="yTableNAm"/>
              <w:jc w:val="center"/>
              <w:rPr>
                <w:rFonts w:ascii="Arial" w:hAnsi="Arial"/>
                <w:b/>
              </w:rPr>
            </w:pPr>
            <w:r>
              <w:t>80.984</w:t>
            </w:r>
          </w:p>
        </w:tc>
      </w:tr>
    </w:tbl>
    <w:p>
      <w:pPr>
        <w:pStyle w:val="yMiscellaneousBody"/>
      </w:pP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pPr>
            <w:r>
              <w:rPr>
                <w:b/>
              </w:rPr>
              <w:t>3.</w:t>
            </w:r>
          </w:p>
        </w:tc>
        <w:tc>
          <w:tcPr>
            <w:tcW w:w="4236" w:type="dxa"/>
          </w:tcPr>
          <w:p>
            <w:pPr>
              <w:pStyle w:val="yTableNAm"/>
            </w:pPr>
            <w:r>
              <w:rPr>
                <w:b/>
              </w:rPr>
              <w:t>Strata</w:t>
            </w:r>
            <w:r>
              <w:rPr>
                <w:b/>
              </w:rPr>
              <w:noBreakHyphen/>
              <w:t>titled caravan bay</w:t>
            </w:r>
          </w:p>
        </w:tc>
        <w:tc>
          <w:tcPr>
            <w:tcW w:w="1434" w:type="dxa"/>
            <w:vAlign w:val="bottom"/>
          </w:tcPr>
          <w:p>
            <w:pPr>
              <w:pStyle w:val="yTableNAm"/>
            </w:pPr>
          </w:p>
        </w:tc>
      </w:tr>
      <w:tr>
        <w:trPr>
          <w:cantSplit/>
        </w:trPr>
        <w:tc>
          <w:tcPr>
            <w:tcW w:w="850" w:type="dxa"/>
          </w:tcPr>
          <w:p>
            <w:pPr>
              <w:pStyle w:val="zyTableNAm"/>
              <w:keepNext/>
              <w:keepLines/>
            </w:pPr>
          </w:p>
        </w:tc>
        <w:tc>
          <w:tcPr>
            <w:tcW w:w="4236" w:type="dxa"/>
          </w:tcPr>
          <w:p>
            <w:pPr>
              <w:pStyle w:val="yTableNAm"/>
              <w:tabs>
                <w:tab w:val="clear" w:pos="567"/>
                <w:tab w:val="right" w:leader="dot" w:pos="4003"/>
              </w:tabs>
              <w:rPr>
                <w:rFonts w:ascii="Arial" w:hAnsi="Arial"/>
                <w:b/>
              </w:rPr>
            </w:pPr>
            <w:r>
              <w:rPr>
                <w:spacing w:val="-1"/>
              </w:rPr>
              <w:t xml:space="preserve">In </w:t>
            </w:r>
            <w:r>
              <w:t>respect</w:t>
            </w:r>
            <w:r>
              <w:rPr>
                <w:spacing w:val="-1"/>
              </w:rPr>
              <w:t xml:space="preserve"> of each residential property being a single caravan bay that is a lot within the meaning of the </w:t>
            </w:r>
            <w:r>
              <w:rPr>
                <w:i/>
                <w:spacing w:val="-1"/>
              </w:rPr>
              <w:t>Strata Titles Act 1985</w:t>
            </w:r>
            <w:r>
              <w:rPr>
                <w:spacing w:val="-1"/>
              </w:rPr>
              <w:t xml:space="preserve"> </w:t>
            </w:r>
            <w:r>
              <w:rPr>
                <w:spacing w:val="-1"/>
              </w:rPr>
              <w:tab/>
            </w:r>
          </w:p>
        </w:tc>
        <w:tc>
          <w:tcPr>
            <w:tcW w:w="1434" w:type="dxa"/>
            <w:vAlign w:val="bottom"/>
          </w:tcPr>
          <w:p>
            <w:pPr>
              <w:pStyle w:val="yTableNAm"/>
            </w:pPr>
            <w:r>
              <w:rPr>
                <w:spacing w:val="-1"/>
              </w:rPr>
              <w:t>$254.93</w:t>
            </w:r>
          </w:p>
        </w:tc>
      </w:tr>
      <w:tr>
        <w:trPr>
          <w:cantSplit/>
        </w:trPr>
        <w:tc>
          <w:tcPr>
            <w:tcW w:w="850" w:type="dxa"/>
          </w:tcPr>
          <w:p>
            <w:pPr>
              <w:pStyle w:val="yTableNAm"/>
            </w:pPr>
            <w:r>
              <w:rPr>
                <w:b/>
                <w:bCs/>
              </w:rPr>
              <w:t>4.</w:t>
            </w:r>
          </w:p>
        </w:tc>
        <w:tc>
          <w:tcPr>
            <w:tcW w:w="4236" w:type="dxa"/>
          </w:tcPr>
          <w:p>
            <w:pPr>
              <w:pStyle w:val="yTableNAm"/>
            </w:pPr>
            <w:r>
              <w:rPr>
                <w:b/>
                <w:bCs/>
              </w:rPr>
              <w:t>Strata</w:t>
            </w:r>
            <w:r>
              <w:rPr>
                <w:b/>
                <w:bCs/>
              </w:rPr>
              <w:noBreakHyphen/>
              <w:t>titled storage unit and strata</w:t>
            </w:r>
            <w:r>
              <w:rPr>
                <w:b/>
                <w:bCs/>
              </w:rPr>
              <w:noBreakHyphen/>
              <w:t>titled parking bay</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right" w:leader="dot" w:pos="4003"/>
              </w:tabs>
              <w:rPr>
                <w:rFonts w:ascii="Arial" w:hAnsi="Arial"/>
                <w:b/>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r>
              <w:rPr>
                <w:spacing w:val="-1"/>
              </w:rPr>
              <w:tab/>
            </w:r>
          </w:p>
        </w:tc>
        <w:tc>
          <w:tcPr>
            <w:tcW w:w="1434" w:type="dxa"/>
            <w:vAlign w:val="bottom"/>
          </w:tcPr>
          <w:p>
            <w:pPr>
              <w:pStyle w:val="yTableNAm"/>
            </w:pPr>
            <w:r>
              <w:rPr>
                <w:spacing w:val="-1"/>
              </w:rPr>
              <w:t>$76.53</w:t>
            </w:r>
          </w:p>
        </w:tc>
      </w:tr>
      <w:tr>
        <w:trPr>
          <w:cantSplit/>
        </w:trPr>
        <w:tc>
          <w:tcPr>
            <w:tcW w:w="850" w:type="dxa"/>
          </w:tcPr>
          <w:p>
            <w:pPr>
              <w:pStyle w:val="yTableNAm"/>
            </w:pPr>
            <w:r>
              <w:rPr>
                <w:b/>
              </w:rPr>
              <w:t>5</w:t>
            </w:r>
            <w:r>
              <w:rPr>
                <w:b/>
                <w:bCs/>
              </w:rPr>
              <w:t>.</w:t>
            </w:r>
          </w:p>
        </w:tc>
        <w:tc>
          <w:tcPr>
            <w:tcW w:w="5670" w:type="dxa"/>
            <w:gridSpan w:val="2"/>
          </w:tcPr>
          <w:p>
            <w:pPr>
              <w:pStyle w:val="yTableNAm"/>
            </w:pPr>
            <w:r>
              <w:rPr>
                <w:b/>
                <w:bCs/>
              </w:rPr>
              <w:t>Non</w:t>
            </w:r>
            <w:r>
              <w:rPr>
                <w:b/>
                <w:bCs/>
              </w:rPr>
              <w:noBreakHyphen/>
              <w:t>residential strata</w:t>
            </w:r>
            <w:r>
              <w:rPr>
                <w:b/>
                <w:bCs/>
              </w:rPr>
              <w:noBreakHyphen/>
              <w:t>titled unit (except a storage unit or parking bay)</w:t>
            </w:r>
          </w:p>
        </w:tc>
      </w:tr>
      <w:tr>
        <w:trPr>
          <w:cantSplit/>
        </w:trPr>
        <w:tc>
          <w:tcPr>
            <w:tcW w:w="850" w:type="dxa"/>
          </w:tcPr>
          <w:p>
            <w:pPr>
              <w:pStyle w:val="zyTableNAm"/>
            </w:pPr>
          </w:p>
        </w:tc>
        <w:tc>
          <w:tcPr>
            <w:tcW w:w="4236" w:type="dxa"/>
          </w:tcPr>
          <w:p>
            <w:pPr>
              <w:pStyle w:val="yTableNAm"/>
            </w:pPr>
            <w:r>
              <w:t>In respect of land that —</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(a)</w:t>
            </w:r>
            <w:r>
              <w:tab/>
              <w:t>is classified non</w:t>
            </w:r>
            <w:r>
              <w:noBreakHyphen/>
              <w:t>residential; and</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(b)</w:t>
            </w:r>
            <w:r>
              <w:tab/>
              <w:t xml:space="preserve">comprises a unit that is a lot within the meaning of the </w:t>
            </w:r>
            <w:r>
              <w:rPr>
                <w:i/>
              </w:rPr>
              <w:t>Strata Titles Act 1985</w:t>
            </w:r>
            <w:r>
              <w:t>; and</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(c)</w:t>
            </w:r>
            <w:r>
              <w:tab/>
              <w:t>shares a major fixture with another unit described in paragraph (b) and has no other major fixtures that discharge into the sewer; and</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(d)</w:t>
            </w:r>
            <w:r>
              <w:tab/>
              <w:t>is not land mentioned in item 4,</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right" w:leader="dot" w:pos="4003"/>
              </w:tabs>
              <w:rPr>
                <w:rFonts w:ascii="Arial" w:hAnsi="Arial"/>
                <w:b/>
              </w:rPr>
            </w:pPr>
            <w:r>
              <w:rPr>
                <w:spacing w:val="-1"/>
              </w:rPr>
              <w:t>and where</w:t>
            </w:r>
            <w:r>
              <w:t xml:space="preserve"> </w:t>
            </w:r>
            <w:r>
              <w:rPr>
                <w:spacing w:val="-1"/>
              </w:rPr>
              <w:t xml:space="preserve">the total number of major fixtures shared by all the units on the relevant strata plan is less than the number of those units </w:t>
            </w:r>
            <w:r>
              <w:rPr>
                <w:spacing w:val="-1"/>
              </w:rPr>
              <w:tab/>
            </w:r>
          </w:p>
        </w:tc>
        <w:tc>
          <w:tcPr>
            <w:tcW w:w="1434" w:type="dxa"/>
            <w:vAlign w:val="bottom"/>
          </w:tcPr>
          <w:p>
            <w:pPr>
              <w:pStyle w:val="yTableNAm"/>
            </w:pPr>
            <w:r>
              <w:rPr>
                <w:spacing w:val="-1"/>
              </w:rPr>
              <w:t>$479.97</w:t>
            </w:r>
          </w:p>
        </w:tc>
      </w:tr>
      <w:tr>
        <w:trPr>
          <w:cantSplit/>
        </w:trPr>
        <w:tc>
          <w:tcPr>
            <w:tcW w:w="850" w:type="dxa"/>
          </w:tcPr>
          <w:p>
            <w:pPr>
              <w:pStyle w:val="yTableNAm"/>
            </w:pPr>
            <w:r>
              <w:rPr>
                <w:b/>
              </w:rPr>
              <w:t>6.</w:t>
            </w:r>
          </w:p>
        </w:tc>
        <w:tc>
          <w:tcPr>
            <w:tcW w:w="5670" w:type="dxa"/>
            <w:gridSpan w:val="2"/>
          </w:tcPr>
          <w:p>
            <w:pPr>
              <w:pStyle w:val="yTableNAm"/>
            </w:pPr>
            <w:r>
              <w:rPr>
                <w:b/>
              </w:rPr>
              <w:t>Land from which industrial waste is discharged into a sewer of the Corporation</w:t>
            </w:r>
          </w:p>
        </w:tc>
      </w:tr>
      <w:tr>
        <w:trPr>
          <w:cantSplit/>
        </w:trPr>
        <w:tc>
          <w:tcPr>
            <w:tcW w:w="850" w:type="dxa"/>
          </w:tcPr>
          <w:p>
            <w:pPr>
              <w:pStyle w:val="zyTableNAm"/>
            </w:pPr>
          </w:p>
        </w:tc>
        <w:tc>
          <w:tcPr>
            <w:tcW w:w="4236" w:type="dxa"/>
          </w:tcPr>
          <w:p>
            <w:pPr>
              <w:pStyle w:val="yTableNAm"/>
              <w:tabs>
                <w:tab w:val="clear" w:pos="567"/>
                <w:tab w:val="right" w:leader="dot" w:pos="4003"/>
              </w:tabs>
              <w:rPr>
                <w:rFonts w:ascii="Arial" w:hAnsi="Arial"/>
                <w:b/>
              </w:rPr>
            </w:pPr>
            <w:r>
              <w:t xml:space="preserve">Discharge </w:t>
            </w:r>
            <w:r>
              <w:rPr>
                <w:spacing w:val="-1"/>
              </w:rPr>
              <w:t>pursuant</w:t>
            </w:r>
            <w:r>
              <w:t xml:space="preserve"> to permit that has effect for the period of 12 months commencing on the day of issue or renewal of the permit </w:t>
            </w:r>
            <w:r>
              <w:tab/>
            </w:r>
          </w:p>
        </w:tc>
        <w:tc>
          <w:tcPr>
            <w:tcW w:w="1434" w:type="dxa"/>
            <w:vAlign w:val="bottom"/>
          </w:tcPr>
          <w:p>
            <w:pPr>
              <w:pStyle w:val="yTableNAm"/>
            </w:pPr>
            <w:r>
              <w:t>$217.35</w:t>
            </w:r>
          </w:p>
        </w:tc>
      </w:tr>
      <w:tr>
        <w:trPr>
          <w:cantSplit/>
        </w:trPr>
        <w:tc>
          <w:tcPr>
            <w:tcW w:w="850" w:type="dxa"/>
          </w:tcPr>
          <w:p>
            <w:pPr>
              <w:pStyle w:val="yTableNAm"/>
            </w:pPr>
            <w:r>
              <w:rPr>
                <w:b/>
              </w:rPr>
              <w:t>7.</w:t>
            </w:r>
          </w:p>
        </w:tc>
        <w:tc>
          <w:tcPr>
            <w:tcW w:w="5670" w:type="dxa"/>
            <w:gridSpan w:val="2"/>
          </w:tcPr>
          <w:p>
            <w:pPr>
              <w:pStyle w:val="yTableNAm"/>
            </w:pPr>
            <w:r>
              <w:rPr>
                <w:b/>
              </w:rPr>
              <w:t>Land from which industrial waste is discharged into a sewer of the Corporation through grease arrestor</w:t>
            </w:r>
          </w:p>
        </w:tc>
      </w:tr>
      <w:tr>
        <w:trPr>
          <w:cantSplit/>
        </w:trPr>
        <w:tc>
          <w:tcPr>
            <w:tcW w:w="850" w:type="dxa"/>
          </w:tcPr>
          <w:p>
            <w:pPr>
              <w:pStyle w:val="zyTableNAm"/>
              <w:keepNext/>
              <w:keepLines/>
              <w:rPr>
                <w:rStyle w:val="CharSClsNo"/>
              </w:rPr>
            </w:pPr>
          </w:p>
        </w:tc>
        <w:tc>
          <w:tcPr>
            <w:tcW w:w="4236" w:type="dxa"/>
          </w:tcPr>
          <w:p>
            <w:pPr>
              <w:pStyle w:val="yTableNAm"/>
            </w:pPr>
            <w:r>
              <w:t>Discharge through one or more grease arrestors pursuant to a permit that has effect for the period of 12 months commencing on the day of issue or renewal of the permit, in addition to any other charge applicable to the land under this Schedule —</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 w:val="right" w:leader="dot" w:pos="4003"/>
              </w:tabs>
              <w:ind w:left="743" w:hanging="743"/>
              <w:rPr>
                <w:rFonts w:ascii="Arial" w:hAnsi="Arial"/>
                <w:b/>
              </w:rPr>
            </w:pPr>
            <w:r>
              <w:tab/>
              <w:t>(a)</w:t>
            </w:r>
            <w:r>
              <w:tab/>
              <w:t xml:space="preserve">in respect of each grease arrestor, not being a grease arrestor that is shared with other land the subject of a permit, a charge of </w:t>
            </w:r>
            <w:r>
              <w:tab/>
            </w:r>
          </w:p>
        </w:tc>
        <w:tc>
          <w:tcPr>
            <w:tcW w:w="1434" w:type="dxa"/>
            <w:vAlign w:val="bottom"/>
          </w:tcPr>
          <w:p>
            <w:pPr>
              <w:pStyle w:val="yTableNAm"/>
            </w:pPr>
            <w:r>
              <w:rPr>
                <w:spacing w:val="-1"/>
              </w:rPr>
              <w:t>$95.50</w:t>
            </w: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 w:val="right" w:leader="dot" w:pos="4003"/>
              </w:tabs>
              <w:ind w:left="743" w:hanging="743"/>
              <w:rPr>
                <w:rFonts w:ascii="Arial" w:hAnsi="Arial"/>
                <w:b/>
              </w:rPr>
            </w:pPr>
            <w:r>
              <w:tab/>
              <w:t>(b)</w:t>
            </w:r>
            <w:r>
              <w:tab/>
              <w:t xml:space="preserve">in respect of each grease arrestor that is shared with other land the subject of a permit, a charge of </w:t>
            </w:r>
            <w:r>
              <w:tab/>
            </w:r>
          </w:p>
        </w:tc>
        <w:tc>
          <w:tcPr>
            <w:tcW w:w="1434" w:type="dxa"/>
            <w:vAlign w:val="bottom"/>
          </w:tcPr>
          <w:p>
            <w:pPr>
              <w:pStyle w:val="yTableNAm"/>
            </w:pPr>
            <w:r>
              <w:t>$52.15</w:t>
            </w:r>
          </w:p>
        </w:tc>
      </w:tr>
    </w:tbl>
    <w:p>
      <w:pPr>
        <w:pStyle w:val="yFootnotesection"/>
      </w:pPr>
      <w:r>
        <w:tab/>
        <w:t>[Division 1 inserted in Gazette 19 Jun 2013 p. 2371-3.]</w:t>
      </w:r>
    </w:p>
    <w:p>
      <w:pPr>
        <w:pStyle w:val="yHeading3"/>
      </w:pPr>
      <w:bookmarkStart w:id="65" w:name="_Toc84424792"/>
      <w:r>
        <w:rPr>
          <w:rStyle w:val="CharSDivNo"/>
        </w:rPr>
        <w:lastRenderedPageBreak/>
        <w:t>Division 2</w:t>
      </w:r>
      <w:r>
        <w:t> — </w:t>
      </w:r>
      <w:r>
        <w:rPr>
          <w:rStyle w:val="CharSDivText"/>
        </w:rPr>
        <w:t>Variable charges and charges by way of a rate</w:t>
      </w:r>
      <w:bookmarkEnd w:id="65"/>
    </w:p>
    <w:p>
      <w:pPr>
        <w:pStyle w:val="yFootnoteheading"/>
        <w:spacing w:after="120"/>
      </w:pPr>
      <w:r>
        <w:tab/>
        <w:t>[Heading inserted in Gazette 19 Jun 2013 p. 2374.]</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TableNAm"/>
            </w:pPr>
            <w:r>
              <w:rPr>
                <w:b/>
              </w:rPr>
              <w:t>8.</w:t>
            </w:r>
          </w:p>
        </w:tc>
        <w:tc>
          <w:tcPr>
            <w:tcW w:w="5670" w:type="dxa"/>
            <w:gridSpan w:val="2"/>
          </w:tcPr>
          <w:p>
            <w:pPr>
              <w:pStyle w:val="yTableNAm"/>
            </w:pPr>
            <w:r>
              <w:rPr>
                <w:b/>
              </w:rPr>
              <w:t>Metropolitan residential</w:t>
            </w:r>
          </w:p>
        </w:tc>
      </w:tr>
      <w:tr>
        <w:trPr>
          <w:cantSplit/>
        </w:trPr>
        <w:tc>
          <w:tcPr>
            <w:tcW w:w="850" w:type="dxa"/>
          </w:tcPr>
          <w:p>
            <w:pPr>
              <w:pStyle w:val="zyTableNAm"/>
              <w:keepNext/>
              <w:keepLines/>
              <w:rPr>
                <w:rStyle w:val="CharSClsNo"/>
              </w:rPr>
            </w:pPr>
          </w:p>
        </w:tc>
        <w:tc>
          <w:tcPr>
            <w:tcW w:w="4236" w:type="dxa"/>
          </w:tcPr>
          <w:p>
            <w:pPr>
              <w:pStyle w:val="yTableNAm"/>
            </w:pPr>
            <w:r>
              <w:t>In respect of each residential property in the metropolitan area not being —</w:t>
            </w:r>
          </w:p>
        </w:tc>
        <w:tc>
          <w:tcPr>
            <w:tcW w:w="1434" w:type="dxa"/>
            <w:vAlign w:val="bottom"/>
          </w:tcPr>
          <w:p>
            <w:pPr>
              <w:pStyle w:val="yTableNAm"/>
            </w:pPr>
          </w:p>
        </w:tc>
      </w:tr>
      <w:tr>
        <w:trPr>
          <w:cantSplit/>
        </w:trPr>
        <w:tc>
          <w:tcPr>
            <w:tcW w:w="850" w:type="dxa"/>
          </w:tcPr>
          <w:p>
            <w:pPr>
              <w:pStyle w:val="zyTableNAm"/>
              <w:keepNext/>
              <w:keepLines/>
              <w:rPr>
                <w:rStyle w:val="CharSClsNo"/>
              </w:rPr>
            </w:pPr>
          </w:p>
        </w:tc>
        <w:tc>
          <w:tcPr>
            <w:tcW w:w="4236" w:type="dxa"/>
          </w:tcPr>
          <w:p>
            <w:pPr>
              <w:pStyle w:val="yTableNAm"/>
              <w:tabs>
                <w:tab w:val="clear" w:pos="567"/>
                <w:tab w:val="left" w:pos="281"/>
                <w:tab w:val="left" w:pos="743"/>
              </w:tabs>
              <w:ind w:left="744" w:hanging="744"/>
              <w:rPr>
                <w:rFonts w:ascii="Arial" w:hAnsi="Arial"/>
                <w:b/>
              </w:rPr>
            </w:pPr>
            <w:r>
              <w:tab/>
              <w:t>(a)</w:t>
            </w:r>
            <w:r>
              <w:tab/>
              <w:t>subject to a charge under item 1 or 3; or</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(b)</w:t>
            </w:r>
            <w:r>
              <w:tab/>
              <w:t>a caravan park or a nursing home,</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pPr>
            <w:r>
              <w:t>an amount for each dollar of the GRV —</w:t>
            </w:r>
          </w:p>
        </w:tc>
        <w:tc>
          <w:tcPr>
            <w:tcW w:w="1434" w:type="dxa"/>
            <w:vAlign w:val="bottom"/>
          </w:tcPr>
          <w:p>
            <w:pPr>
              <w:pStyle w:val="yTableNAm"/>
            </w:pPr>
          </w:p>
        </w:tc>
      </w:tr>
      <w:tr>
        <w:trPr>
          <w:cantSplit/>
        </w:trPr>
        <w:tc>
          <w:tcPr>
            <w:tcW w:w="850" w:type="dxa"/>
          </w:tcPr>
          <w:p>
            <w:pPr>
              <w:pStyle w:val="zyTableNAm"/>
              <w:rPr>
                <w:rStyle w:val="CharSClsNo"/>
                <w:highlight w:val="yellow"/>
              </w:rPr>
            </w:pPr>
          </w:p>
        </w:tc>
        <w:tc>
          <w:tcPr>
            <w:tcW w:w="4236" w:type="dxa"/>
          </w:tcPr>
          <w:p>
            <w:pPr>
              <w:pStyle w:val="yTableNAm"/>
              <w:tabs>
                <w:tab w:val="right" w:leader="dot" w:pos="4003"/>
              </w:tabs>
              <w:ind w:left="578" w:hanging="578"/>
              <w:rPr>
                <w:rFonts w:ascii="Arial" w:hAnsi="Arial"/>
                <w:b/>
              </w:rPr>
            </w:pPr>
            <w:r>
              <w:tab/>
              <w:t>up</w:t>
            </w:r>
            <w:r>
              <w:rPr>
                <w:spacing w:val="-1"/>
              </w:rPr>
              <w:t xml:space="preserve"> to $16 700 </w:t>
            </w:r>
            <w:r>
              <w:rPr>
                <w:spacing w:val="-1"/>
              </w:rPr>
              <w:tab/>
            </w:r>
          </w:p>
        </w:tc>
        <w:tc>
          <w:tcPr>
            <w:tcW w:w="1434" w:type="dxa"/>
            <w:vAlign w:val="bottom"/>
          </w:tcPr>
          <w:p>
            <w:pPr>
              <w:pStyle w:val="yTableNAm"/>
            </w:pPr>
            <w:r>
              <w:t>4.470 cents</w:t>
            </w:r>
            <w:r>
              <w:rPr>
                <w:spacing w:val="-1"/>
              </w:rPr>
              <w:t>/</w:t>
            </w:r>
            <w:r>
              <w:rPr>
                <w:spacing w:val="-1"/>
              </w:rPr>
              <w:br/>
              <w:t>$ of GRV</w:t>
            </w:r>
          </w:p>
        </w:tc>
      </w:tr>
      <w:tr>
        <w:trPr>
          <w:cantSplit/>
        </w:trPr>
        <w:tc>
          <w:tcPr>
            <w:tcW w:w="850" w:type="dxa"/>
          </w:tcPr>
          <w:p>
            <w:pPr>
              <w:pStyle w:val="zyTableNAm"/>
              <w:rPr>
                <w:rStyle w:val="CharSClsNo"/>
              </w:rPr>
            </w:pPr>
          </w:p>
        </w:tc>
        <w:tc>
          <w:tcPr>
            <w:tcW w:w="4236" w:type="dxa"/>
          </w:tcPr>
          <w:p>
            <w:pPr>
              <w:pStyle w:val="yTableNAm"/>
              <w:tabs>
                <w:tab w:val="right" w:leader="dot" w:pos="4003"/>
              </w:tabs>
              <w:ind w:left="578" w:hanging="578"/>
              <w:rPr>
                <w:rFonts w:ascii="Arial" w:hAnsi="Arial"/>
                <w:b/>
              </w:rPr>
            </w:pPr>
            <w:r>
              <w:tab/>
              <w:t>over</w:t>
            </w:r>
            <w:r>
              <w:rPr>
                <w:spacing w:val="-1"/>
              </w:rPr>
              <w:t xml:space="preserve"> $</w:t>
            </w:r>
            <w:r>
              <w:t>16</w:t>
            </w:r>
            <w:r>
              <w:rPr>
                <w:spacing w:val="-1"/>
              </w:rPr>
              <w:t> </w:t>
            </w:r>
            <w:r>
              <w:t>700</w:t>
            </w:r>
            <w:r>
              <w:rPr>
                <w:spacing w:val="-1"/>
              </w:rPr>
              <w:t xml:space="preserve"> </w:t>
            </w:r>
            <w:r>
              <w:rPr>
                <w:spacing w:val="-1"/>
              </w:rPr>
              <w:tab/>
            </w:r>
          </w:p>
        </w:tc>
        <w:tc>
          <w:tcPr>
            <w:tcW w:w="1434" w:type="dxa"/>
            <w:vAlign w:val="bottom"/>
          </w:tcPr>
          <w:p>
            <w:pPr>
              <w:pStyle w:val="yTableNAm"/>
            </w:pPr>
            <w:r>
              <w:rPr>
                <w:spacing w:val="-1"/>
              </w:rPr>
              <w:t>0.830 cents/</w:t>
            </w:r>
            <w:r>
              <w:rPr>
                <w:spacing w:val="-1"/>
              </w:rPr>
              <w:br/>
              <w:t>$ of GRV</w:t>
            </w:r>
          </w:p>
        </w:tc>
      </w:tr>
      <w:tr>
        <w:trPr>
          <w:cantSplit/>
        </w:trPr>
        <w:tc>
          <w:tcPr>
            <w:tcW w:w="850" w:type="dxa"/>
          </w:tcPr>
          <w:p>
            <w:pPr>
              <w:pStyle w:val="zyTableNAm"/>
              <w:rPr>
                <w:rStyle w:val="CharSClsNo"/>
              </w:rPr>
            </w:pPr>
          </w:p>
        </w:tc>
        <w:tc>
          <w:tcPr>
            <w:tcW w:w="4236" w:type="dxa"/>
          </w:tcPr>
          <w:p>
            <w:pPr>
              <w:pStyle w:val="yTableNAm"/>
              <w:tabs>
                <w:tab w:val="clear" w:pos="567"/>
                <w:tab w:val="right" w:leader="dot" w:pos="4003"/>
              </w:tabs>
              <w:rPr>
                <w:rFonts w:ascii="Arial" w:hAnsi="Arial"/>
                <w:b/>
              </w:rPr>
            </w:pPr>
            <w:r>
              <w:rPr>
                <w:spacing w:val="-1"/>
              </w:rPr>
              <w:t xml:space="preserve">Subject to a </w:t>
            </w:r>
            <w:r>
              <w:t>minimum</w:t>
            </w:r>
            <w:r>
              <w:rPr>
                <w:spacing w:val="-1"/>
              </w:rPr>
              <w:t xml:space="preserve"> of </w:t>
            </w:r>
            <w:r>
              <w:rPr>
                <w:spacing w:val="-1"/>
              </w:rPr>
              <w:tab/>
            </w:r>
          </w:p>
        </w:tc>
        <w:tc>
          <w:tcPr>
            <w:tcW w:w="1434" w:type="dxa"/>
            <w:vAlign w:val="bottom"/>
          </w:tcPr>
          <w:p>
            <w:pPr>
              <w:pStyle w:val="yTableNAm"/>
            </w:pPr>
            <w:r>
              <w:rPr>
                <w:spacing w:val="-1"/>
              </w:rPr>
              <w:t>$331.99</w:t>
            </w:r>
          </w:p>
        </w:tc>
      </w:tr>
      <w:tr>
        <w:trPr>
          <w:cantSplit/>
        </w:trPr>
        <w:tc>
          <w:tcPr>
            <w:tcW w:w="850" w:type="dxa"/>
          </w:tcPr>
          <w:p>
            <w:pPr>
              <w:pStyle w:val="yTableNAm"/>
            </w:pPr>
            <w:r>
              <w:rPr>
                <w:b/>
              </w:rPr>
              <w:t>9</w:t>
            </w:r>
            <w:r>
              <w:rPr>
                <w:b/>
                <w:bCs/>
              </w:rPr>
              <w:t>.</w:t>
            </w:r>
          </w:p>
        </w:tc>
        <w:tc>
          <w:tcPr>
            <w:tcW w:w="4236" w:type="dxa"/>
          </w:tcPr>
          <w:p>
            <w:pPr>
              <w:pStyle w:val="yTableNAm"/>
            </w:pPr>
            <w:r>
              <w:rPr>
                <w:b/>
                <w:bCs/>
              </w:rPr>
              <w:t>Metropolitan vacant land</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pPr>
            <w:r>
              <w:t>In respect of vacant land in the metropolitan area not being —</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(a)</w:t>
            </w:r>
            <w:r>
              <w:tab/>
              <w:t>land comprised in a residential property; or</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(b)</w:t>
            </w:r>
            <w:r>
              <w:tab/>
              <w:t>a nursing home; or</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(c)</w:t>
            </w:r>
            <w:r>
              <w:tab/>
              <w:t>a caravan park; or</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(d)</w:t>
            </w:r>
            <w:r>
              <w:tab/>
              <w:t>land referred to in item 1 or 3,</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right" w:leader="dot" w:pos="4003"/>
              </w:tabs>
              <w:rPr>
                <w:rFonts w:ascii="Arial" w:hAnsi="Arial"/>
                <w:b/>
              </w:rPr>
            </w:pPr>
            <w:r>
              <w:t xml:space="preserve">an amount of </w:t>
            </w:r>
            <w:r>
              <w:rPr>
                <w:spacing w:val="-1"/>
              </w:rPr>
              <w:tab/>
            </w:r>
          </w:p>
        </w:tc>
        <w:tc>
          <w:tcPr>
            <w:tcW w:w="1434" w:type="dxa"/>
            <w:vAlign w:val="bottom"/>
          </w:tcPr>
          <w:p>
            <w:pPr>
              <w:pStyle w:val="yTableNAm"/>
            </w:pPr>
            <w:r>
              <w:t>2.810 cents/</w:t>
            </w:r>
            <w:r>
              <w:br/>
              <w:t>$ of GRV</w:t>
            </w:r>
          </w:p>
        </w:tc>
      </w:tr>
      <w:tr>
        <w:trPr>
          <w:cantSplit/>
        </w:trPr>
        <w:tc>
          <w:tcPr>
            <w:tcW w:w="850" w:type="dxa"/>
          </w:tcPr>
          <w:p>
            <w:pPr>
              <w:pStyle w:val="zyTableNAm"/>
              <w:rPr>
                <w:rStyle w:val="CharSClsNo"/>
              </w:rPr>
            </w:pPr>
          </w:p>
        </w:tc>
        <w:tc>
          <w:tcPr>
            <w:tcW w:w="4236" w:type="dxa"/>
          </w:tcPr>
          <w:p>
            <w:pPr>
              <w:pStyle w:val="yTableNAm"/>
              <w:tabs>
                <w:tab w:val="clear" w:pos="567"/>
                <w:tab w:val="right" w:leader="dot" w:pos="4003"/>
              </w:tabs>
              <w:rPr>
                <w:rFonts w:ascii="Arial" w:hAnsi="Arial"/>
                <w:b/>
              </w:rPr>
            </w:pPr>
            <w:r>
              <w:rPr>
                <w:spacing w:val="-1"/>
              </w:rPr>
              <w:t xml:space="preserve">subject to a </w:t>
            </w:r>
            <w:r>
              <w:t>minimum</w:t>
            </w:r>
            <w:r>
              <w:rPr>
                <w:spacing w:val="-1"/>
              </w:rPr>
              <w:t xml:space="preserve"> in respect of any vacant land the subject of a separate assessment of </w:t>
            </w:r>
            <w:r>
              <w:rPr>
                <w:spacing w:val="-1"/>
              </w:rPr>
              <w:tab/>
            </w:r>
          </w:p>
        </w:tc>
        <w:tc>
          <w:tcPr>
            <w:tcW w:w="1434" w:type="dxa"/>
            <w:vAlign w:val="bottom"/>
          </w:tcPr>
          <w:p>
            <w:pPr>
              <w:pStyle w:val="yTableNAm"/>
            </w:pPr>
            <w:r>
              <w:rPr>
                <w:spacing w:val="-1"/>
              </w:rPr>
              <w:t>$249.63</w:t>
            </w:r>
          </w:p>
        </w:tc>
      </w:tr>
      <w:tr>
        <w:trPr>
          <w:cantSplit/>
        </w:trPr>
        <w:tc>
          <w:tcPr>
            <w:tcW w:w="850" w:type="dxa"/>
          </w:tcPr>
          <w:p>
            <w:pPr>
              <w:pStyle w:val="yTableNAm"/>
            </w:pPr>
            <w:r>
              <w:rPr>
                <w:b/>
                <w:bCs/>
              </w:rPr>
              <w:t>10.</w:t>
            </w:r>
          </w:p>
        </w:tc>
        <w:tc>
          <w:tcPr>
            <w:tcW w:w="4236" w:type="dxa"/>
          </w:tcPr>
          <w:p>
            <w:pPr>
              <w:pStyle w:val="yTableNAm"/>
            </w:pPr>
            <w:r>
              <w:rPr>
                <w:b/>
                <w:bCs/>
              </w:rPr>
              <w:t>Country</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pPr>
            <w:r>
              <w:t>In respect of land in a country sewerage area referred to in column 1 of the following Table, not being land referred to in Division 1 or 7 —</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(a)</w:t>
            </w:r>
            <w:r>
              <w:tab/>
              <w:t>where the land is classified as residential, an amount for each dollar of the GRV as set out in column 2 of the Table;</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(b)</w:t>
            </w:r>
            <w:r>
              <w:tab/>
              <w:t>where the land is not classified as residential, an amount for each dollar of the GRV as set out in column 3 of the Table,</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pPr>
            <w:r>
              <w:t>subject to a minimum in respect of any land the subject of a separate assessment of —</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 w:val="right" w:leader="dot" w:pos="4003"/>
              </w:tabs>
              <w:ind w:left="743" w:hanging="743"/>
              <w:rPr>
                <w:rFonts w:ascii="Arial" w:hAnsi="Arial"/>
                <w:b/>
              </w:rPr>
            </w:pPr>
            <w:r>
              <w:tab/>
              <w:t>(c)</w:t>
            </w:r>
            <w:r>
              <w:tab/>
              <w:t xml:space="preserve">in the case of land classified as residential </w:t>
            </w:r>
            <w:r>
              <w:tab/>
            </w:r>
          </w:p>
        </w:tc>
        <w:tc>
          <w:tcPr>
            <w:tcW w:w="1434" w:type="dxa"/>
            <w:vAlign w:val="bottom"/>
          </w:tcPr>
          <w:p>
            <w:pPr>
              <w:pStyle w:val="yTableNAm"/>
            </w:pPr>
            <w:r>
              <w:t>$331.99</w:t>
            </w: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 w:val="right" w:leader="dot" w:pos="4003"/>
              </w:tabs>
              <w:ind w:left="743" w:hanging="743"/>
              <w:rPr>
                <w:rFonts w:ascii="Arial" w:hAnsi="Arial"/>
                <w:b/>
              </w:rPr>
            </w:pPr>
            <w:r>
              <w:tab/>
              <w:t>(d)</w:t>
            </w:r>
            <w:r>
              <w:tab/>
              <w:t xml:space="preserve">in the case of land classified as vacant land </w:t>
            </w:r>
            <w:r>
              <w:tab/>
            </w:r>
          </w:p>
        </w:tc>
        <w:tc>
          <w:tcPr>
            <w:tcW w:w="1434" w:type="dxa"/>
            <w:vAlign w:val="bottom"/>
          </w:tcPr>
          <w:p>
            <w:pPr>
              <w:pStyle w:val="yTableNAm"/>
            </w:pPr>
            <w:r>
              <w:t>$218.47</w:t>
            </w: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 w:val="right" w:leader="dot" w:pos="4003"/>
              </w:tabs>
              <w:ind w:left="743" w:hanging="743"/>
              <w:rPr>
                <w:rFonts w:ascii="Arial" w:hAnsi="Arial"/>
                <w:b/>
              </w:rPr>
            </w:pPr>
            <w:r>
              <w:tab/>
              <w:t>(e)</w:t>
            </w:r>
            <w:r>
              <w:tab/>
              <w:t xml:space="preserve">in the case of land not classified as residential or vacant land </w:t>
            </w:r>
            <w:r>
              <w:tab/>
            </w:r>
          </w:p>
        </w:tc>
        <w:tc>
          <w:tcPr>
            <w:tcW w:w="1434" w:type="dxa"/>
            <w:vAlign w:val="bottom"/>
          </w:tcPr>
          <w:p>
            <w:pPr>
              <w:pStyle w:val="yTableNAm"/>
            </w:pPr>
            <w:r>
              <w:t>$772.10</w:t>
            </w:r>
          </w:p>
        </w:tc>
      </w:tr>
      <w:tr>
        <w:trPr>
          <w:cantSplit/>
        </w:trPr>
        <w:tc>
          <w:tcPr>
            <w:tcW w:w="850" w:type="dxa"/>
          </w:tcPr>
          <w:p>
            <w:pPr>
              <w:pStyle w:val="zyTableNAm"/>
              <w:rPr>
                <w:rStyle w:val="CharSClsNo"/>
              </w:rPr>
            </w:pPr>
          </w:p>
        </w:tc>
        <w:tc>
          <w:tcPr>
            <w:tcW w:w="4236" w:type="dxa"/>
          </w:tcPr>
          <w:p>
            <w:pPr>
              <w:pStyle w:val="yTableNAm"/>
              <w:tabs>
                <w:tab w:val="clear" w:pos="567"/>
                <w:tab w:val="right" w:leader="dot" w:pos="4003"/>
              </w:tabs>
              <w:rPr>
                <w:rFonts w:ascii="Arial" w:hAnsi="Arial"/>
                <w:b/>
              </w:rPr>
            </w:pPr>
            <w:r>
              <w:t xml:space="preserve">and subject to a maximum in respect of any land classified as residential or classified as vacant land and held for residential purposes </w:t>
            </w:r>
            <w:r>
              <w:tab/>
            </w:r>
          </w:p>
        </w:tc>
        <w:tc>
          <w:tcPr>
            <w:tcW w:w="1434" w:type="dxa"/>
            <w:vAlign w:val="bottom"/>
          </w:tcPr>
          <w:p>
            <w:pPr>
              <w:pStyle w:val="yTableNAm"/>
            </w:pPr>
            <w:r>
              <w:t>$827.22</w:t>
            </w:r>
          </w:p>
        </w:tc>
      </w:tr>
    </w:tbl>
    <w:p>
      <w:pPr>
        <w:pStyle w:val="yMiscellaneousBody"/>
      </w:pPr>
    </w:p>
    <w:tbl>
      <w:tblPr>
        <w:tblW w:w="0" w:type="auto"/>
        <w:tblInd w:w="567" w:type="dxa"/>
        <w:tblLayout w:type="fixed"/>
        <w:tblCellMar>
          <w:left w:w="141" w:type="dxa"/>
          <w:right w:w="141" w:type="dxa"/>
        </w:tblCellMar>
        <w:tblLook w:val="0000" w:firstRow="0" w:lastRow="0" w:firstColumn="0" w:lastColumn="0" w:noHBand="0" w:noVBand="0"/>
      </w:tblPr>
      <w:tblGrid>
        <w:gridCol w:w="2173"/>
        <w:gridCol w:w="2173"/>
        <w:gridCol w:w="2174"/>
        <w:gridCol w:w="33"/>
      </w:tblGrid>
      <w:tr>
        <w:trPr>
          <w:gridAfter w:val="1"/>
          <w:wAfter w:w="33" w:type="dxa"/>
          <w:cantSplit/>
          <w:trHeight w:hRule="exact" w:val="851"/>
          <w:tblHeader/>
        </w:trPr>
        <w:tc>
          <w:tcPr>
            <w:tcW w:w="2173" w:type="dxa"/>
            <w:tcBorders>
              <w:top w:val="single" w:sz="4" w:space="0" w:color="auto"/>
              <w:bottom w:val="single" w:sz="4" w:space="0" w:color="auto"/>
            </w:tcBorders>
          </w:tcPr>
          <w:p>
            <w:pPr>
              <w:pStyle w:val="yTableNAm"/>
              <w:jc w:val="center"/>
              <w:rPr>
                <w:rFonts w:ascii="Arial" w:hAnsi="Arial"/>
                <w:b/>
              </w:rPr>
            </w:pPr>
            <w:r>
              <w:rPr>
                <w:b/>
                <w:bCs/>
                <w:szCs w:val="22"/>
              </w:rPr>
              <w:t>Column 1</w:t>
            </w:r>
            <w:r>
              <w:rPr>
                <w:b/>
                <w:bCs/>
                <w:szCs w:val="22"/>
              </w:rPr>
              <w:br/>
              <w:t>Country sewerage area</w:t>
            </w:r>
          </w:p>
        </w:tc>
        <w:tc>
          <w:tcPr>
            <w:tcW w:w="2173" w:type="dxa"/>
            <w:tcBorders>
              <w:top w:val="single" w:sz="4" w:space="0" w:color="auto"/>
              <w:bottom w:val="single" w:sz="4" w:space="0" w:color="auto"/>
            </w:tcBorders>
          </w:tcPr>
          <w:p>
            <w:pPr>
              <w:pStyle w:val="yTableNAm"/>
              <w:jc w:val="center"/>
            </w:pPr>
            <w:r>
              <w:rPr>
                <w:b/>
                <w:bCs/>
                <w:szCs w:val="22"/>
              </w:rPr>
              <w:t>Column 2</w:t>
            </w:r>
            <w:r>
              <w:rPr>
                <w:b/>
                <w:bCs/>
                <w:szCs w:val="22"/>
              </w:rPr>
              <w:br/>
              <w:t>(Residential)</w:t>
            </w:r>
            <w:r>
              <w:rPr>
                <w:b/>
                <w:bCs/>
                <w:szCs w:val="22"/>
              </w:rPr>
              <w:br/>
              <w:t>cents/$ of GRV</w:t>
            </w:r>
          </w:p>
        </w:tc>
        <w:tc>
          <w:tcPr>
            <w:tcW w:w="2174" w:type="dxa"/>
            <w:tcBorders>
              <w:top w:val="single" w:sz="4" w:space="0" w:color="auto"/>
              <w:bottom w:val="single" w:sz="4" w:space="0" w:color="auto"/>
            </w:tcBorders>
          </w:tcPr>
          <w:p>
            <w:pPr>
              <w:pStyle w:val="yTableNAm"/>
              <w:jc w:val="center"/>
            </w:pPr>
            <w:r>
              <w:rPr>
                <w:b/>
                <w:bCs/>
                <w:szCs w:val="22"/>
              </w:rPr>
              <w:t>Column 3</w:t>
            </w:r>
            <w:r>
              <w:rPr>
                <w:b/>
                <w:bCs/>
                <w:szCs w:val="22"/>
              </w:rPr>
              <w:br/>
              <w:t>(Non</w:t>
            </w:r>
            <w:r>
              <w:rPr>
                <w:b/>
                <w:bCs/>
                <w:szCs w:val="22"/>
              </w:rPr>
              <w:noBreakHyphen/>
              <w:t>residential)</w:t>
            </w:r>
            <w:r>
              <w:rPr>
                <w:b/>
                <w:bCs/>
                <w:szCs w:val="22"/>
              </w:rPr>
              <w:br/>
              <w:t>cents/$ of GRV</w:t>
            </w:r>
          </w:p>
        </w:tc>
      </w:tr>
      <w:tr>
        <w:trPr>
          <w:gridAfter w:val="1"/>
          <w:wAfter w:w="33" w:type="dxa"/>
          <w:cantSplit/>
        </w:trPr>
        <w:tc>
          <w:tcPr>
            <w:tcW w:w="2173" w:type="dxa"/>
          </w:tcPr>
          <w:p>
            <w:pPr>
              <w:pStyle w:val="yTableNAm"/>
            </w:pPr>
            <w:r>
              <w:rPr>
                <w:szCs w:val="22"/>
              </w:rPr>
              <w:t>Albany</w:t>
            </w:r>
          </w:p>
        </w:tc>
        <w:tc>
          <w:tcPr>
            <w:tcW w:w="2173" w:type="dxa"/>
            <w:vAlign w:val="bottom"/>
          </w:tcPr>
          <w:p>
            <w:pPr>
              <w:pStyle w:val="yTableNAm"/>
              <w:jc w:val="center"/>
              <w:rPr>
                <w:rFonts w:ascii="Arial" w:hAnsi="Arial"/>
                <w:b/>
              </w:rPr>
            </w:pPr>
            <w:r>
              <w:t>9.611</w:t>
            </w:r>
          </w:p>
        </w:tc>
        <w:tc>
          <w:tcPr>
            <w:tcW w:w="2174" w:type="dxa"/>
            <w:vAlign w:val="bottom"/>
          </w:tcPr>
          <w:p>
            <w:pPr>
              <w:pStyle w:val="yTableNAm"/>
              <w:jc w:val="center"/>
              <w:rPr>
                <w:rFonts w:ascii="Arial" w:hAnsi="Arial"/>
                <w:b/>
              </w:rPr>
            </w:pPr>
            <w:r>
              <w:t>11.075</w:t>
            </w:r>
          </w:p>
        </w:tc>
      </w:tr>
      <w:tr>
        <w:trPr>
          <w:gridAfter w:val="1"/>
          <w:wAfter w:w="33" w:type="dxa"/>
          <w:cantSplit/>
        </w:trPr>
        <w:tc>
          <w:tcPr>
            <w:tcW w:w="2173" w:type="dxa"/>
          </w:tcPr>
          <w:p>
            <w:pPr>
              <w:pStyle w:val="yTableNAm"/>
            </w:pPr>
            <w:r>
              <w:rPr>
                <w:szCs w:val="22"/>
              </w:rPr>
              <w:t>Augusta</w:t>
            </w:r>
          </w:p>
        </w:tc>
        <w:tc>
          <w:tcPr>
            <w:tcW w:w="2173" w:type="dxa"/>
            <w:vAlign w:val="bottom"/>
          </w:tcPr>
          <w:p>
            <w:pPr>
              <w:pStyle w:val="yTableNAm"/>
              <w:jc w:val="center"/>
              <w:rPr>
                <w:rFonts w:ascii="Arial" w:hAnsi="Arial"/>
                <w:b/>
              </w:rPr>
            </w:pPr>
            <w:r>
              <w:t>9.805</w:t>
            </w:r>
          </w:p>
        </w:tc>
        <w:tc>
          <w:tcPr>
            <w:tcW w:w="2174" w:type="dxa"/>
            <w:vAlign w:val="bottom"/>
          </w:tcPr>
          <w:p>
            <w:pPr>
              <w:pStyle w:val="yTableNAm"/>
              <w:jc w:val="center"/>
              <w:rPr>
                <w:rFonts w:ascii="Arial" w:hAnsi="Arial"/>
                <w:b/>
              </w:rPr>
            </w:pPr>
            <w:r>
              <w:t>7.001</w:t>
            </w:r>
          </w:p>
        </w:tc>
      </w:tr>
      <w:tr>
        <w:trPr>
          <w:gridAfter w:val="1"/>
          <w:wAfter w:w="33" w:type="dxa"/>
          <w:cantSplit/>
        </w:trPr>
        <w:tc>
          <w:tcPr>
            <w:tcW w:w="2173" w:type="dxa"/>
          </w:tcPr>
          <w:p>
            <w:pPr>
              <w:pStyle w:val="yTableNAm"/>
            </w:pPr>
            <w:r>
              <w:rPr>
                <w:szCs w:val="22"/>
              </w:rPr>
              <w:t>Australind</w:t>
            </w:r>
          </w:p>
        </w:tc>
        <w:tc>
          <w:tcPr>
            <w:tcW w:w="2173" w:type="dxa"/>
            <w:vAlign w:val="bottom"/>
          </w:tcPr>
          <w:p>
            <w:pPr>
              <w:pStyle w:val="yTableNAm"/>
              <w:jc w:val="center"/>
              <w:rPr>
                <w:rFonts w:ascii="Arial" w:hAnsi="Arial"/>
                <w:b/>
              </w:rPr>
            </w:pPr>
            <w:r>
              <w:t>6.248</w:t>
            </w:r>
          </w:p>
        </w:tc>
        <w:tc>
          <w:tcPr>
            <w:tcW w:w="2174" w:type="dxa"/>
            <w:vAlign w:val="bottom"/>
          </w:tcPr>
          <w:p>
            <w:pPr>
              <w:pStyle w:val="yTableNAm"/>
              <w:jc w:val="center"/>
              <w:rPr>
                <w:rFonts w:ascii="Arial" w:hAnsi="Arial"/>
                <w:b/>
              </w:rPr>
            </w:pPr>
            <w:r>
              <w:t>1.583</w:t>
            </w:r>
          </w:p>
        </w:tc>
      </w:tr>
      <w:tr>
        <w:trPr>
          <w:gridAfter w:val="1"/>
          <w:wAfter w:w="33" w:type="dxa"/>
          <w:cantSplit/>
        </w:trPr>
        <w:tc>
          <w:tcPr>
            <w:tcW w:w="2173" w:type="dxa"/>
          </w:tcPr>
          <w:p>
            <w:pPr>
              <w:pStyle w:val="yTableNAm"/>
            </w:pPr>
            <w:r>
              <w:rPr>
                <w:szCs w:val="22"/>
              </w:rPr>
              <w:t>Beverley</w:t>
            </w:r>
          </w:p>
        </w:tc>
        <w:tc>
          <w:tcPr>
            <w:tcW w:w="2173" w:type="dxa"/>
            <w:vAlign w:val="bottom"/>
          </w:tcPr>
          <w:p>
            <w:pPr>
              <w:pStyle w:val="yTableNAm"/>
              <w:jc w:val="center"/>
              <w:rPr>
                <w:rFonts w:ascii="Arial" w:hAnsi="Arial"/>
                <w:b/>
              </w:rPr>
            </w:pPr>
            <w:r>
              <w:t>9.750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Binningup</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lastRenderedPageBreak/>
              <w:t>Boddington</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10.261</w:t>
            </w:r>
          </w:p>
        </w:tc>
      </w:tr>
      <w:tr>
        <w:trPr>
          <w:gridAfter w:val="1"/>
          <w:wAfter w:w="33" w:type="dxa"/>
          <w:cantSplit/>
        </w:trPr>
        <w:tc>
          <w:tcPr>
            <w:tcW w:w="2173" w:type="dxa"/>
          </w:tcPr>
          <w:p>
            <w:pPr>
              <w:pStyle w:val="yTableNAm"/>
            </w:pPr>
            <w:r>
              <w:rPr>
                <w:szCs w:val="22"/>
              </w:rPr>
              <w:t>Boyanup</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6.969</w:t>
            </w:r>
          </w:p>
        </w:tc>
      </w:tr>
      <w:tr>
        <w:trPr>
          <w:gridAfter w:val="1"/>
          <w:wAfter w:w="33" w:type="dxa"/>
          <w:cantSplit/>
        </w:trPr>
        <w:tc>
          <w:tcPr>
            <w:tcW w:w="2173" w:type="dxa"/>
          </w:tcPr>
          <w:p>
            <w:pPr>
              <w:pStyle w:val="yTableNAm"/>
            </w:pPr>
            <w:r>
              <w:rPr>
                <w:szCs w:val="22"/>
              </w:rPr>
              <w:t>Bremer Bay</w:t>
            </w:r>
          </w:p>
        </w:tc>
        <w:tc>
          <w:tcPr>
            <w:tcW w:w="2173" w:type="dxa"/>
            <w:vAlign w:val="bottom"/>
          </w:tcPr>
          <w:p>
            <w:pPr>
              <w:pStyle w:val="yTableNAm"/>
              <w:jc w:val="center"/>
              <w:rPr>
                <w:rFonts w:ascii="Arial" w:hAnsi="Arial"/>
                <w:b/>
              </w:rPr>
            </w:pPr>
            <w:r>
              <w:t>8.582</w:t>
            </w:r>
          </w:p>
        </w:tc>
        <w:tc>
          <w:tcPr>
            <w:tcW w:w="2174" w:type="dxa"/>
            <w:vAlign w:val="bottom"/>
          </w:tcPr>
          <w:p>
            <w:pPr>
              <w:pStyle w:val="yTableNAm"/>
              <w:jc w:val="center"/>
              <w:rPr>
                <w:rFonts w:ascii="Arial" w:hAnsi="Arial"/>
                <w:b/>
              </w:rPr>
            </w:pPr>
            <w:r>
              <w:t>6.001</w:t>
            </w:r>
          </w:p>
        </w:tc>
      </w:tr>
      <w:tr>
        <w:trPr>
          <w:gridAfter w:val="1"/>
          <w:wAfter w:w="33" w:type="dxa"/>
          <w:cantSplit/>
        </w:trPr>
        <w:tc>
          <w:tcPr>
            <w:tcW w:w="2173" w:type="dxa"/>
          </w:tcPr>
          <w:p>
            <w:pPr>
              <w:pStyle w:val="yTableNAm"/>
            </w:pPr>
            <w:r>
              <w:rPr>
                <w:szCs w:val="22"/>
              </w:rPr>
              <w:t>Bridgetown</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Broome</w:t>
            </w:r>
          </w:p>
        </w:tc>
        <w:tc>
          <w:tcPr>
            <w:tcW w:w="2173" w:type="dxa"/>
            <w:vAlign w:val="bottom"/>
          </w:tcPr>
          <w:p>
            <w:pPr>
              <w:pStyle w:val="yTableNAm"/>
              <w:jc w:val="center"/>
              <w:rPr>
                <w:rFonts w:ascii="Arial" w:hAnsi="Arial"/>
                <w:b/>
              </w:rPr>
            </w:pPr>
            <w:r>
              <w:t>6.625</w:t>
            </w:r>
          </w:p>
        </w:tc>
        <w:tc>
          <w:tcPr>
            <w:tcW w:w="2174" w:type="dxa"/>
            <w:vAlign w:val="bottom"/>
          </w:tcPr>
          <w:p>
            <w:pPr>
              <w:pStyle w:val="yTableNAm"/>
              <w:jc w:val="center"/>
              <w:rPr>
                <w:rFonts w:ascii="Arial" w:hAnsi="Arial"/>
                <w:b/>
              </w:rPr>
            </w:pPr>
            <w:r>
              <w:t>2.701</w:t>
            </w:r>
          </w:p>
        </w:tc>
      </w:tr>
      <w:tr>
        <w:trPr>
          <w:gridAfter w:val="1"/>
          <w:wAfter w:w="33" w:type="dxa"/>
          <w:cantSplit/>
        </w:trPr>
        <w:tc>
          <w:tcPr>
            <w:tcW w:w="2173" w:type="dxa"/>
          </w:tcPr>
          <w:p>
            <w:pPr>
              <w:pStyle w:val="yTableNAm"/>
            </w:pPr>
            <w:r>
              <w:rPr>
                <w:szCs w:val="22"/>
              </w:rPr>
              <w:t>Brunswick</w:t>
            </w:r>
          </w:p>
        </w:tc>
        <w:tc>
          <w:tcPr>
            <w:tcW w:w="2173" w:type="dxa"/>
            <w:vAlign w:val="bottom"/>
          </w:tcPr>
          <w:p>
            <w:pPr>
              <w:pStyle w:val="yTableNAm"/>
              <w:jc w:val="center"/>
              <w:rPr>
                <w:rFonts w:ascii="Arial" w:hAnsi="Arial"/>
                <w:b/>
              </w:rPr>
            </w:pPr>
            <w:r>
              <w:t>6.978</w:t>
            </w:r>
          </w:p>
        </w:tc>
        <w:tc>
          <w:tcPr>
            <w:tcW w:w="2174" w:type="dxa"/>
            <w:vAlign w:val="bottom"/>
          </w:tcPr>
          <w:p>
            <w:pPr>
              <w:pStyle w:val="yTableNAm"/>
              <w:jc w:val="center"/>
              <w:rPr>
                <w:rFonts w:ascii="Arial" w:hAnsi="Arial"/>
                <w:b/>
              </w:rPr>
            </w:pPr>
            <w:r>
              <w:t>10.601</w:t>
            </w:r>
          </w:p>
        </w:tc>
      </w:tr>
      <w:tr>
        <w:trPr>
          <w:gridAfter w:val="1"/>
          <w:wAfter w:w="33" w:type="dxa"/>
          <w:cantSplit/>
        </w:trPr>
        <w:tc>
          <w:tcPr>
            <w:tcW w:w="2173" w:type="dxa"/>
          </w:tcPr>
          <w:p>
            <w:pPr>
              <w:pStyle w:val="yTableNAm"/>
            </w:pPr>
            <w:r>
              <w:rPr>
                <w:szCs w:val="22"/>
              </w:rPr>
              <w:t>Bunbury</w:t>
            </w:r>
            <w:r>
              <w:rPr>
                <w:szCs w:val="22"/>
              </w:rPr>
              <w:br/>
              <w:t>(1/07/13 Values)</w:t>
            </w:r>
          </w:p>
        </w:tc>
        <w:tc>
          <w:tcPr>
            <w:tcW w:w="2173" w:type="dxa"/>
            <w:vAlign w:val="bottom"/>
          </w:tcPr>
          <w:p>
            <w:pPr>
              <w:pStyle w:val="yTableNAm"/>
              <w:jc w:val="center"/>
              <w:rPr>
                <w:rFonts w:ascii="Arial" w:hAnsi="Arial"/>
                <w:b/>
              </w:rPr>
            </w:pPr>
            <w:r>
              <w:t>3.765</w:t>
            </w:r>
          </w:p>
        </w:tc>
        <w:tc>
          <w:tcPr>
            <w:tcW w:w="2174" w:type="dxa"/>
            <w:vAlign w:val="bottom"/>
          </w:tcPr>
          <w:p>
            <w:pPr>
              <w:pStyle w:val="yTableNAm"/>
              <w:jc w:val="center"/>
              <w:rPr>
                <w:rFonts w:ascii="Arial" w:hAnsi="Arial"/>
                <w:b/>
              </w:rPr>
            </w:pPr>
            <w:r>
              <w:t>1.765</w:t>
            </w:r>
          </w:p>
        </w:tc>
      </w:tr>
      <w:tr>
        <w:trPr>
          <w:gridAfter w:val="1"/>
          <w:wAfter w:w="33" w:type="dxa"/>
          <w:cantSplit/>
        </w:trPr>
        <w:tc>
          <w:tcPr>
            <w:tcW w:w="2173" w:type="dxa"/>
          </w:tcPr>
          <w:p>
            <w:pPr>
              <w:pStyle w:val="yTableNAm"/>
            </w:pPr>
            <w:r>
              <w:rPr>
                <w:szCs w:val="22"/>
              </w:rPr>
              <w:t>Bunbury</w:t>
            </w:r>
            <w:r>
              <w:rPr>
                <w:szCs w:val="22"/>
              </w:rPr>
              <w:br/>
              <w:t>(1/07/11 Values)</w:t>
            </w:r>
          </w:p>
        </w:tc>
        <w:tc>
          <w:tcPr>
            <w:tcW w:w="2173" w:type="dxa"/>
            <w:vAlign w:val="bottom"/>
          </w:tcPr>
          <w:p>
            <w:pPr>
              <w:pStyle w:val="yTableNAm"/>
              <w:jc w:val="center"/>
              <w:rPr>
                <w:rFonts w:ascii="Arial" w:hAnsi="Arial"/>
                <w:b/>
              </w:rPr>
            </w:pPr>
            <w:r>
              <w:t>6.217</w:t>
            </w:r>
          </w:p>
        </w:tc>
        <w:tc>
          <w:tcPr>
            <w:tcW w:w="2174" w:type="dxa"/>
            <w:vAlign w:val="bottom"/>
          </w:tcPr>
          <w:p>
            <w:pPr>
              <w:pStyle w:val="yTableNAm"/>
              <w:jc w:val="center"/>
              <w:rPr>
                <w:rFonts w:ascii="Arial" w:hAnsi="Arial"/>
                <w:b/>
              </w:rPr>
            </w:pPr>
            <w:r>
              <w:rPr>
                <w:szCs w:val="22"/>
              </w:rPr>
              <w:t>6.100</w:t>
            </w:r>
          </w:p>
        </w:tc>
      </w:tr>
      <w:tr>
        <w:trPr>
          <w:gridAfter w:val="1"/>
          <w:wAfter w:w="33" w:type="dxa"/>
          <w:cantSplit/>
        </w:trPr>
        <w:tc>
          <w:tcPr>
            <w:tcW w:w="2173" w:type="dxa"/>
          </w:tcPr>
          <w:p>
            <w:pPr>
              <w:pStyle w:val="yTableNAm"/>
            </w:pPr>
            <w:r>
              <w:rPr>
                <w:szCs w:val="22"/>
              </w:rPr>
              <w:t>Burekup</w:t>
            </w:r>
          </w:p>
        </w:tc>
        <w:tc>
          <w:tcPr>
            <w:tcW w:w="2173" w:type="dxa"/>
            <w:vAlign w:val="bottom"/>
          </w:tcPr>
          <w:p>
            <w:pPr>
              <w:pStyle w:val="yTableNAm"/>
              <w:jc w:val="center"/>
              <w:rPr>
                <w:rFonts w:ascii="Arial" w:hAnsi="Arial"/>
                <w:b/>
              </w:rPr>
            </w:pPr>
            <w:r>
              <w:t>11.397</w:t>
            </w:r>
          </w:p>
        </w:tc>
        <w:tc>
          <w:tcPr>
            <w:tcW w:w="2174" w:type="dxa"/>
            <w:vAlign w:val="bottom"/>
          </w:tcPr>
          <w:p>
            <w:pPr>
              <w:pStyle w:val="yTableNAm"/>
              <w:jc w:val="center"/>
              <w:rPr>
                <w:rFonts w:ascii="Arial" w:hAnsi="Arial"/>
                <w:b/>
              </w:rPr>
            </w:pPr>
            <w:r>
              <w:t>5.445</w:t>
            </w:r>
          </w:p>
        </w:tc>
      </w:tr>
      <w:tr>
        <w:trPr>
          <w:gridAfter w:val="1"/>
          <w:wAfter w:w="33" w:type="dxa"/>
          <w:cantSplit/>
        </w:trPr>
        <w:tc>
          <w:tcPr>
            <w:tcW w:w="2173" w:type="dxa"/>
          </w:tcPr>
          <w:p>
            <w:pPr>
              <w:pStyle w:val="yTableNAm"/>
            </w:pPr>
            <w:r>
              <w:rPr>
                <w:szCs w:val="22"/>
              </w:rPr>
              <w:t>Busselton</w:t>
            </w:r>
          </w:p>
        </w:tc>
        <w:tc>
          <w:tcPr>
            <w:tcW w:w="2173" w:type="dxa"/>
            <w:vAlign w:val="bottom"/>
          </w:tcPr>
          <w:p>
            <w:pPr>
              <w:pStyle w:val="yTableNAm"/>
              <w:jc w:val="center"/>
              <w:rPr>
                <w:rFonts w:ascii="Arial" w:hAnsi="Arial"/>
                <w:b/>
              </w:rPr>
            </w:pPr>
            <w:r>
              <w:t>5.321</w:t>
            </w:r>
          </w:p>
        </w:tc>
        <w:tc>
          <w:tcPr>
            <w:tcW w:w="2174" w:type="dxa"/>
            <w:vAlign w:val="bottom"/>
          </w:tcPr>
          <w:p>
            <w:pPr>
              <w:pStyle w:val="yTableNAm"/>
              <w:jc w:val="center"/>
              <w:rPr>
                <w:rFonts w:ascii="Arial" w:hAnsi="Arial"/>
                <w:b/>
              </w:rPr>
            </w:pPr>
            <w:r>
              <w:t>7.526</w:t>
            </w:r>
          </w:p>
        </w:tc>
      </w:tr>
      <w:tr>
        <w:trPr>
          <w:gridAfter w:val="1"/>
          <w:wAfter w:w="33" w:type="dxa"/>
          <w:cantSplit/>
        </w:trPr>
        <w:tc>
          <w:tcPr>
            <w:tcW w:w="2173" w:type="dxa"/>
          </w:tcPr>
          <w:p>
            <w:pPr>
              <w:pStyle w:val="yTableNAm"/>
            </w:pPr>
            <w:r>
              <w:rPr>
                <w:szCs w:val="22"/>
              </w:rPr>
              <w:t>Cape Burney</w:t>
            </w:r>
          </w:p>
        </w:tc>
        <w:tc>
          <w:tcPr>
            <w:tcW w:w="2173" w:type="dxa"/>
            <w:vAlign w:val="bottom"/>
          </w:tcPr>
          <w:p>
            <w:pPr>
              <w:pStyle w:val="yTableNAm"/>
              <w:jc w:val="center"/>
              <w:rPr>
                <w:rFonts w:ascii="Arial" w:hAnsi="Arial"/>
                <w:b/>
              </w:rPr>
            </w:pPr>
            <w:r>
              <w:t>6.996</w:t>
            </w:r>
          </w:p>
        </w:tc>
        <w:tc>
          <w:tcPr>
            <w:tcW w:w="2174" w:type="dxa"/>
            <w:vAlign w:val="bottom"/>
          </w:tcPr>
          <w:p>
            <w:pPr>
              <w:pStyle w:val="yTableNAm"/>
              <w:jc w:val="center"/>
              <w:rPr>
                <w:rFonts w:ascii="Arial" w:hAnsi="Arial"/>
                <w:b/>
              </w:rPr>
            </w:pPr>
            <w:r>
              <w:t>5.141</w:t>
            </w:r>
          </w:p>
        </w:tc>
      </w:tr>
      <w:tr>
        <w:trPr>
          <w:gridAfter w:val="1"/>
          <w:wAfter w:w="33" w:type="dxa"/>
          <w:cantSplit/>
        </w:trPr>
        <w:tc>
          <w:tcPr>
            <w:tcW w:w="2173" w:type="dxa"/>
          </w:tcPr>
          <w:p>
            <w:pPr>
              <w:pStyle w:val="yTableNAm"/>
            </w:pPr>
            <w:r>
              <w:rPr>
                <w:szCs w:val="22"/>
              </w:rPr>
              <w:t>Capel</w:t>
            </w:r>
          </w:p>
        </w:tc>
        <w:tc>
          <w:tcPr>
            <w:tcW w:w="2173" w:type="dxa"/>
            <w:vAlign w:val="bottom"/>
          </w:tcPr>
          <w:p>
            <w:pPr>
              <w:pStyle w:val="yTableNAm"/>
              <w:jc w:val="center"/>
              <w:rPr>
                <w:rFonts w:ascii="Arial" w:hAnsi="Arial"/>
                <w:b/>
              </w:rPr>
            </w:pPr>
            <w:r>
              <w:t>8.042</w:t>
            </w:r>
          </w:p>
        </w:tc>
        <w:tc>
          <w:tcPr>
            <w:tcW w:w="2174" w:type="dxa"/>
            <w:vAlign w:val="bottom"/>
          </w:tcPr>
          <w:p>
            <w:pPr>
              <w:pStyle w:val="yTableNAm"/>
              <w:jc w:val="center"/>
              <w:rPr>
                <w:rFonts w:ascii="Arial" w:hAnsi="Arial"/>
                <w:b/>
              </w:rPr>
            </w:pPr>
            <w:r>
              <w:t>4.653</w:t>
            </w:r>
          </w:p>
        </w:tc>
      </w:tr>
      <w:tr>
        <w:trPr>
          <w:gridAfter w:val="1"/>
          <w:wAfter w:w="33" w:type="dxa"/>
          <w:cantSplit/>
        </w:trPr>
        <w:tc>
          <w:tcPr>
            <w:tcW w:w="2173" w:type="dxa"/>
          </w:tcPr>
          <w:p>
            <w:pPr>
              <w:pStyle w:val="yTableNAm"/>
            </w:pPr>
            <w:r>
              <w:rPr>
                <w:szCs w:val="22"/>
              </w:rPr>
              <w:t>Carnarvon</w:t>
            </w:r>
          </w:p>
        </w:tc>
        <w:tc>
          <w:tcPr>
            <w:tcW w:w="2173" w:type="dxa"/>
            <w:vAlign w:val="bottom"/>
          </w:tcPr>
          <w:p>
            <w:pPr>
              <w:pStyle w:val="yTableNAm"/>
              <w:jc w:val="center"/>
              <w:rPr>
                <w:rFonts w:ascii="Arial" w:hAnsi="Arial"/>
                <w:b/>
              </w:rPr>
            </w:pPr>
            <w:r>
              <w:t>9.186</w:t>
            </w:r>
          </w:p>
        </w:tc>
        <w:tc>
          <w:tcPr>
            <w:tcW w:w="2174" w:type="dxa"/>
            <w:vAlign w:val="bottom"/>
          </w:tcPr>
          <w:p>
            <w:pPr>
              <w:pStyle w:val="yTableNAm"/>
              <w:jc w:val="center"/>
              <w:rPr>
                <w:rFonts w:ascii="Arial" w:hAnsi="Arial"/>
                <w:b/>
              </w:rPr>
            </w:pPr>
            <w:r>
              <w:t>8.187</w:t>
            </w:r>
          </w:p>
        </w:tc>
      </w:tr>
      <w:tr>
        <w:trPr>
          <w:gridAfter w:val="1"/>
          <w:wAfter w:w="33" w:type="dxa"/>
          <w:cantSplit/>
        </w:trPr>
        <w:tc>
          <w:tcPr>
            <w:tcW w:w="2173" w:type="dxa"/>
          </w:tcPr>
          <w:p>
            <w:pPr>
              <w:pStyle w:val="yTableNAm"/>
            </w:pPr>
            <w:r>
              <w:rPr>
                <w:szCs w:val="22"/>
              </w:rPr>
              <w:t>Cervantes</w:t>
            </w:r>
          </w:p>
        </w:tc>
        <w:tc>
          <w:tcPr>
            <w:tcW w:w="2173" w:type="dxa"/>
            <w:vAlign w:val="bottom"/>
          </w:tcPr>
          <w:p>
            <w:pPr>
              <w:pStyle w:val="yTableNAm"/>
              <w:jc w:val="center"/>
              <w:rPr>
                <w:rFonts w:ascii="Arial" w:hAnsi="Arial"/>
                <w:b/>
              </w:rPr>
            </w:pPr>
            <w:r>
              <w:t>8.400</w:t>
            </w:r>
          </w:p>
        </w:tc>
        <w:tc>
          <w:tcPr>
            <w:tcW w:w="2174" w:type="dxa"/>
            <w:vAlign w:val="bottom"/>
          </w:tcPr>
          <w:p>
            <w:pPr>
              <w:pStyle w:val="yTableNAm"/>
              <w:jc w:val="center"/>
              <w:rPr>
                <w:rFonts w:ascii="Arial" w:hAnsi="Arial"/>
                <w:b/>
              </w:rPr>
            </w:pPr>
            <w:r>
              <w:t>3.271</w:t>
            </w:r>
          </w:p>
        </w:tc>
      </w:tr>
      <w:tr>
        <w:trPr>
          <w:gridAfter w:val="1"/>
          <w:wAfter w:w="33" w:type="dxa"/>
          <w:cantSplit/>
        </w:trPr>
        <w:tc>
          <w:tcPr>
            <w:tcW w:w="2173" w:type="dxa"/>
          </w:tcPr>
          <w:p>
            <w:pPr>
              <w:pStyle w:val="yTableNAm"/>
            </w:pPr>
            <w:r>
              <w:rPr>
                <w:szCs w:val="22"/>
              </w:rPr>
              <w:t>Collie</w:t>
            </w:r>
          </w:p>
        </w:tc>
        <w:tc>
          <w:tcPr>
            <w:tcW w:w="2173" w:type="dxa"/>
            <w:vAlign w:val="bottom"/>
          </w:tcPr>
          <w:p>
            <w:pPr>
              <w:pStyle w:val="yTableNAm"/>
              <w:jc w:val="center"/>
              <w:rPr>
                <w:rFonts w:ascii="Arial" w:hAnsi="Arial"/>
                <w:b/>
              </w:rPr>
            </w:pPr>
            <w:r>
              <w:t>8.605</w:t>
            </w:r>
          </w:p>
        </w:tc>
        <w:tc>
          <w:tcPr>
            <w:tcW w:w="2174" w:type="dxa"/>
            <w:vAlign w:val="bottom"/>
          </w:tcPr>
          <w:p>
            <w:pPr>
              <w:pStyle w:val="yTableNAm"/>
              <w:jc w:val="center"/>
              <w:rPr>
                <w:rFonts w:ascii="Arial" w:hAnsi="Arial"/>
                <w:b/>
              </w:rPr>
            </w:pPr>
            <w:r>
              <w:t>10.150</w:t>
            </w:r>
          </w:p>
        </w:tc>
      </w:tr>
      <w:tr>
        <w:trPr>
          <w:gridAfter w:val="1"/>
          <w:wAfter w:w="33" w:type="dxa"/>
          <w:cantSplit/>
        </w:trPr>
        <w:tc>
          <w:tcPr>
            <w:tcW w:w="2173" w:type="dxa"/>
          </w:tcPr>
          <w:p>
            <w:pPr>
              <w:pStyle w:val="yTableNAm"/>
            </w:pPr>
            <w:r>
              <w:rPr>
                <w:szCs w:val="22"/>
              </w:rPr>
              <w:t>Coral Bay</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Corrigin</w:t>
            </w:r>
          </w:p>
        </w:tc>
        <w:tc>
          <w:tcPr>
            <w:tcW w:w="2173" w:type="dxa"/>
            <w:vAlign w:val="bottom"/>
          </w:tcPr>
          <w:p>
            <w:pPr>
              <w:pStyle w:val="yTableNAm"/>
              <w:jc w:val="center"/>
              <w:rPr>
                <w:rFonts w:ascii="Arial" w:hAnsi="Arial"/>
                <w:b/>
              </w:rPr>
            </w:pPr>
            <w:r>
              <w:t>11.309</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Cowaramup</w:t>
            </w:r>
          </w:p>
        </w:tc>
        <w:tc>
          <w:tcPr>
            <w:tcW w:w="2173" w:type="dxa"/>
            <w:vAlign w:val="bottom"/>
          </w:tcPr>
          <w:p>
            <w:pPr>
              <w:pStyle w:val="yTableNAm"/>
              <w:jc w:val="center"/>
              <w:rPr>
                <w:rFonts w:ascii="Arial" w:hAnsi="Arial"/>
                <w:b/>
              </w:rPr>
            </w:pPr>
            <w:r>
              <w:t>7.590</w:t>
            </w:r>
          </w:p>
        </w:tc>
        <w:tc>
          <w:tcPr>
            <w:tcW w:w="2174" w:type="dxa"/>
            <w:vAlign w:val="bottom"/>
          </w:tcPr>
          <w:p>
            <w:pPr>
              <w:pStyle w:val="yTableNAm"/>
              <w:jc w:val="center"/>
              <w:rPr>
                <w:rFonts w:ascii="Arial" w:hAnsi="Arial"/>
                <w:b/>
              </w:rPr>
            </w:pPr>
            <w:r>
              <w:t>8.780</w:t>
            </w:r>
          </w:p>
        </w:tc>
      </w:tr>
      <w:tr>
        <w:trPr>
          <w:gridAfter w:val="1"/>
          <w:wAfter w:w="33" w:type="dxa"/>
          <w:cantSplit/>
        </w:trPr>
        <w:tc>
          <w:tcPr>
            <w:tcW w:w="2173" w:type="dxa"/>
          </w:tcPr>
          <w:p>
            <w:pPr>
              <w:pStyle w:val="yTableNAm"/>
            </w:pPr>
            <w:r>
              <w:rPr>
                <w:szCs w:val="22"/>
              </w:rPr>
              <w:t>Cranbrook</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Cunderdin</w:t>
            </w:r>
          </w:p>
        </w:tc>
        <w:tc>
          <w:tcPr>
            <w:tcW w:w="2173" w:type="dxa"/>
            <w:vAlign w:val="bottom"/>
          </w:tcPr>
          <w:p>
            <w:pPr>
              <w:pStyle w:val="yTableNAm"/>
              <w:jc w:val="center"/>
              <w:rPr>
                <w:rFonts w:ascii="Arial" w:hAnsi="Arial"/>
                <w:b/>
              </w:rPr>
            </w:pPr>
            <w:r>
              <w:t>8.024</w:t>
            </w:r>
          </w:p>
        </w:tc>
        <w:tc>
          <w:tcPr>
            <w:tcW w:w="2174" w:type="dxa"/>
            <w:vAlign w:val="bottom"/>
          </w:tcPr>
          <w:p>
            <w:pPr>
              <w:pStyle w:val="yTableNAm"/>
              <w:jc w:val="center"/>
              <w:rPr>
                <w:rFonts w:ascii="Arial" w:hAnsi="Arial"/>
                <w:b/>
              </w:rPr>
            </w:pPr>
            <w:r>
              <w:t>11.476</w:t>
            </w:r>
          </w:p>
        </w:tc>
      </w:tr>
      <w:tr>
        <w:trPr>
          <w:gridAfter w:val="1"/>
          <w:wAfter w:w="33" w:type="dxa"/>
          <w:cantSplit/>
        </w:trPr>
        <w:tc>
          <w:tcPr>
            <w:tcW w:w="2173" w:type="dxa"/>
          </w:tcPr>
          <w:p>
            <w:pPr>
              <w:pStyle w:val="yTableNAm"/>
            </w:pPr>
            <w:r>
              <w:rPr>
                <w:szCs w:val="22"/>
              </w:rPr>
              <w:t>Dardanup</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9.543</w:t>
            </w:r>
          </w:p>
        </w:tc>
      </w:tr>
      <w:tr>
        <w:trPr>
          <w:gridAfter w:val="1"/>
          <w:wAfter w:w="33" w:type="dxa"/>
          <w:cantSplit/>
        </w:trPr>
        <w:tc>
          <w:tcPr>
            <w:tcW w:w="2173" w:type="dxa"/>
          </w:tcPr>
          <w:p>
            <w:pPr>
              <w:pStyle w:val="yTableNAm"/>
            </w:pPr>
            <w:r>
              <w:rPr>
                <w:szCs w:val="22"/>
              </w:rPr>
              <w:t>Denham</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Denmark</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9.612</w:t>
            </w:r>
          </w:p>
        </w:tc>
      </w:tr>
      <w:tr>
        <w:trPr>
          <w:gridAfter w:val="1"/>
          <w:wAfter w:w="33" w:type="dxa"/>
          <w:cantSplit/>
        </w:trPr>
        <w:tc>
          <w:tcPr>
            <w:tcW w:w="2173" w:type="dxa"/>
          </w:tcPr>
          <w:p>
            <w:pPr>
              <w:pStyle w:val="yTableNAm"/>
            </w:pPr>
            <w:r>
              <w:rPr>
                <w:szCs w:val="22"/>
              </w:rPr>
              <w:lastRenderedPageBreak/>
              <w:t>Derby</w:t>
            </w:r>
          </w:p>
        </w:tc>
        <w:tc>
          <w:tcPr>
            <w:tcW w:w="2173" w:type="dxa"/>
            <w:vAlign w:val="bottom"/>
          </w:tcPr>
          <w:p>
            <w:pPr>
              <w:pStyle w:val="yTableNAm"/>
              <w:jc w:val="center"/>
              <w:rPr>
                <w:rFonts w:ascii="Arial" w:hAnsi="Arial"/>
                <w:b/>
              </w:rPr>
            </w:pPr>
            <w:r>
              <w:t>9.313</w:t>
            </w:r>
          </w:p>
        </w:tc>
        <w:tc>
          <w:tcPr>
            <w:tcW w:w="2174" w:type="dxa"/>
            <w:vAlign w:val="bottom"/>
          </w:tcPr>
          <w:p>
            <w:pPr>
              <w:pStyle w:val="yTableNAm"/>
              <w:jc w:val="center"/>
              <w:rPr>
                <w:rFonts w:ascii="Arial" w:hAnsi="Arial"/>
                <w:b/>
              </w:rPr>
            </w:pPr>
            <w:r>
              <w:t>3.891</w:t>
            </w:r>
          </w:p>
        </w:tc>
      </w:tr>
      <w:tr>
        <w:trPr>
          <w:gridAfter w:val="1"/>
          <w:wAfter w:w="33" w:type="dxa"/>
          <w:cantSplit/>
        </w:trPr>
        <w:tc>
          <w:tcPr>
            <w:tcW w:w="2173" w:type="dxa"/>
          </w:tcPr>
          <w:p>
            <w:pPr>
              <w:pStyle w:val="yTableNAm"/>
            </w:pPr>
            <w:r>
              <w:rPr>
                <w:szCs w:val="22"/>
              </w:rPr>
              <w:t>Dongara</w:t>
            </w:r>
            <w:r>
              <w:rPr>
                <w:szCs w:val="22"/>
              </w:rPr>
              <w:noBreakHyphen/>
              <w:t>Denison</w:t>
            </w:r>
          </w:p>
        </w:tc>
        <w:tc>
          <w:tcPr>
            <w:tcW w:w="2173" w:type="dxa"/>
            <w:vAlign w:val="bottom"/>
          </w:tcPr>
          <w:p>
            <w:pPr>
              <w:pStyle w:val="yTableNAm"/>
              <w:jc w:val="center"/>
              <w:rPr>
                <w:rFonts w:ascii="Arial" w:hAnsi="Arial"/>
                <w:b/>
              </w:rPr>
            </w:pPr>
            <w:r>
              <w:t>9.018</w:t>
            </w:r>
          </w:p>
        </w:tc>
        <w:tc>
          <w:tcPr>
            <w:tcW w:w="2174" w:type="dxa"/>
            <w:vAlign w:val="bottom"/>
          </w:tcPr>
          <w:p>
            <w:pPr>
              <w:pStyle w:val="yTableNAm"/>
              <w:jc w:val="center"/>
              <w:rPr>
                <w:rFonts w:ascii="Arial" w:hAnsi="Arial"/>
                <w:b/>
              </w:rPr>
            </w:pPr>
            <w:r>
              <w:t>5.239</w:t>
            </w:r>
          </w:p>
        </w:tc>
      </w:tr>
      <w:tr>
        <w:trPr>
          <w:gridAfter w:val="1"/>
          <w:wAfter w:w="33" w:type="dxa"/>
          <w:cantSplit/>
        </w:trPr>
        <w:tc>
          <w:tcPr>
            <w:tcW w:w="2173" w:type="dxa"/>
          </w:tcPr>
          <w:p>
            <w:pPr>
              <w:pStyle w:val="yTableNAm"/>
            </w:pPr>
            <w:r>
              <w:rPr>
                <w:szCs w:val="22"/>
              </w:rPr>
              <w:t>Donnybrook</w:t>
            </w:r>
          </w:p>
        </w:tc>
        <w:tc>
          <w:tcPr>
            <w:tcW w:w="2173" w:type="dxa"/>
            <w:vAlign w:val="bottom"/>
          </w:tcPr>
          <w:p>
            <w:pPr>
              <w:pStyle w:val="yTableNAm"/>
              <w:jc w:val="center"/>
              <w:rPr>
                <w:rFonts w:ascii="Arial" w:hAnsi="Arial"/>
                <w:b/>
              </w:rPr>
            </w:pPr>
            <w:r>
              <w:t>9.115</w:t>
            </w:r>
          </w:p>
        </w:tc>
        <w:tc>
          <w:tcPr>
            <w:tcW w:w="2174" w:type="dxa"/>
            <w:vAlign w:val="bottom"/>
          </w:tcPr>
          <w:p>
            <w:pPr>
              <w:pStyle w:val="yTableNAm"/>
              <w:jc w:val="center"/>
              <w:rPr>
                <w:rFonts w:ascii="Arial" w:hAnsi="Arial"/>
                <w:b/>
              </w:rPr>
            </w:pPr>
            <w:r>
              <w:t>9.353</w:t>
            </w:r>
          </w:p>
        </w:tc>
      </w:tr>
      <w:tr>
        <w:trPr>
          <w:gridAfter w:val="1"/>
          <w:wAfter w:w="33" w:type="dxa"/>
          <w:cantSplit/>
        </w:trPr>
        <w:tc>
          <w:tcPr>
            <w:tcW w:w="2173" w:type="dxa"/>
          </w:tcPr>
          <w:p>
            <w:pPr>
              <w:pStyle w:val="yTableNAm"/>
            </w:pPr>
            <w:r>
              <w:rPr>
                <w:szCs w:val="22"/>
              </w:rPr>
              <w:t>Dunsborough</w:t>
            </w:r>
          </w:p>
        </w:tc>
        <w:tc>
          <w:tcPr>
            <w:tcW w:w="2173" w:type="dxa"/>
            <w:vAlign w:val="bottom"/>
          </w:tcPr>
          <w:p>
            <w:pPr>
              <w:pStyle w:val="yTableNAm"/>
              <w:jc w:val="center"/>
              <w:rPr>
                <w:rFonts w:ascii="Arial" w:hAnsi="Arial"/>
                <w:b/>
              </w:rPr>
            </w:pPr>
            <w:r>
              <w:t>6.731</w:t>
            </w:r>
          </w:p>
        </w:tc>
        <w:tc>
          <w:tcPr>
            <w:tcW w:w="2174" w:type="dxa"/>
            <w:vAlign w:val="bottom"/>
          </w:tcPr>
          <w:p>
            <w:pPr>
              <w:pStyle w:val="yTableNAm"/>
              <w:jc w:val="center"/>
              <w:rPr>
                <w:rFonts w:ascii="Arial" w:hAnsi="Arial"/>
                <w:b/>
              </w:rPr>
            </w:pPr>
            <w:r>
              <w:t>5.655</w:t>
            </w:r>
          </w:p>
        </w:tc>
      </w:tr>
      <w:tr>
        <w:trPr>
          <w:gridAfter w:val="1"/>
          <w:wAfter w:w="33" w:type="dxa"/>
          <w:cantSplit/>
        </w:trPr>
        <w:tc>
          <w:tcPr>
            <w:tcW w:w="2173" w:type="dxa"/>
          </w:tcPr>
          <w:p>
            <w:pPr>
              <w:pStyle w:val="yTableNAm"/>
            </w:pPr>
            <w:r>
              <w:rPr>
                <w:szCs w:val="22"/>
              </w:rPr>
              <w:t>Eaton</w:t>
            </w:r>
          </w:p>
        </w:tc>
        <w:tc>
          <w:tcPr>
            <w:tcW w:w="2173" w:type="dxa"/>
            <w:vAlign w:val="bottom"/>
          </w:tcPr>
          <w:p>
            <w:pPr>
              <w:pStyle w:val="yTableNAm"/>
              <w:jc w:val="center"/>
              <w:rPr>
                <w:rFonts w:ascii="Arial" w:hAnsi="Arial"/>
                <w:b/>
              </w:rPr>
            </w:pPr>
            <w:r>
              <w:t>10.315</w:t>
            </w:r>
          </w:p>
        </w:tc>
        <w:tc>
          <w:tcPr>
            <w:tcW w:w="2174" w:type="dxa"/>
            <w:vAlign w:val="bottom"/>
          </w:tcPr>
          <w:p>
            <w:pPr>
              <w:pStyle w:val="yTableNAm"/>
              <w:jc w:val="center"/>
              <w:rPr>
                <w:rFonts w:ascii="Arial" w:hAnsi="Arial"/>
                <w:b/>
              </w:rPr>
            </w:pPr>
            <w:r>
              <w:t>5.660</w:t>
            </w:r>
          </w:p>
        </w:tc>
      </w:tr>
      <w:tr>
        <w:trPr>
          <w:gridAfter w:val="1"/>
          <w:wAfter w:w="33" w:type="dxa"/>
          <w:cantSplit/>
        </w:trPr>
        <w:tc>
          <w:tcPr>
            <w:tcW w:w="2173" w:type="dxa"/>
          </w:tcPr>
          <w:p>
            <w:pPr>
              <w:pStyle w:val="yTableNAm"/>
            </w:pPr>
            <w:r>
              <w:rPr>
                <w:szCs w:val="22"/>
              </w:rPr>
              <w:t>Eneabba</w:t>
            </w:r>
          </w:p>
        </w:tc>
        <w:tc>
          <w:tcPr>
            <w:tcW w:w="2173" w:type="dxa"/>
            <w:vAlign w:val="bottom"/>
          </w:tcPr>
          <w:p>
            <w:pPr>
              <w:pStyle w:val="yTableNAm"/>
              <w:jc w:val="center"/>
              <w:rPr>
                <w:rFonts w:ascii="Arial" w:hAnsi="Arial"/>
                <w:b/>
              </w:rPr>
            </w:pPr>
            <w:r>
              <w:t>11.222</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Esperance</w:t>
            </w:r>
          </w:p>
        </w:tc>
        <w:tc>
          <w:tcPr>
            <w:tcW w:w="2173" w:type="dxa"/>
            <w:vAlign w:val="bottom"/>
          </w:tcPr>
          <w:p>
            <w:pPr>
              <w:pStyle w:val="yTableNAm"/>
              <w:jc w:val="center"/>
              <w:rPr>
                <w:rFonts w:ascii="Arial" w:hAnsi="Arial"/>
                <w:b/>
              </w:rPr>
            </w:pPr>
            <w:r>
              <w:t>7.593</w:t>
            </w:r>
          </w:p>
        </w:tc>
        <w:tc>
          <w:tcPr>
            <w:tcW w:w="2174" w:type="dxa"/>
            <w:vAlign w:val="bottom"/>
          </w:tcPr>
          <w:p>
            <w:pPr>
              <w:pStyle w:val="yTableNAm"/>
              <w:jc w:val="center"/>
              <w:rPr>
                <w:rFonts w:ascii="Arial" w:hAnsi="Arial"/>
                <w:b/>
              </w:rPr>
            </w:pPr>
            <w:r>
              <w:t>6.675</w:t>
            </w:r>
          </w:p>
        </w:tc>
      </w:tr>
      <w:tr>
        <w:trPr>
          <w:gridAfter w:val="1"/>
          <w:wAfter w:w="33" w:type="dxa"/>
          <w:cantSplit/>
        </w:trPr>
        <w:tc>
          <w:tcPr>
            <w:tcW w:w="2173" w:type="dxa"/>
          </w:tcPr>
          <w:p>
            <w:pPr>
              <w:pStyle w:val="yTableNAm"/>
            </w:pPr>
            <w:r>
              <w:rPr>
                <w:szCs w:val="22"/>
              </w:rPr>
              <w:t>Exmouth</w:t>
            </w:r>
          </w:p>
        </w:tc>
        <w:tc>
          <w:tcPr>
            <w:tcW w:w="2173" w:type="dxa"/>
            <w:vAlign w:val="bottom"/>
          </w:tcPr>
          <w:p>
            <w:pPr>
              <w:pStyle w:val="yTableNAm"/>
              <w:jc w:val="center"/>
              <w:rPr>
                <w:rFonts w:ascii="Arial" w:hAnsi="Arial"/>
                <w:b/>
              </w:rPr>
            </w:pPr>
            <w:r>
              <w:t>3.949</w:t>
            </w:r>
          </w:p>
        </w:tc>
        <w:tc>
          <w:tcPr>
            <w:tcW w:w="2174" w:type="dxa"/>
            <w:vAlign w:val="bottom"/>
          </w:tcPr>
          <w:p>
            <w:pPr>
              <w:pStyle w:val="yTableNAm"/>
              <w:jc w:val="center"/>
              <w:rPr>
                <w:rFonts w:ascii="Arial" w:hAnsi="Arial"/>
                <w:b/>
              </w:rPr>
            </w:pPr>
            <w:r>
              <w:t>1.562</w:t>
            </w:r>
          </w:p>
        </w:tc>
      </w:tr>
      <w:tr>
        <w:trPr>
          <w:gridAfter w:val="1"/>
          <w:wAfter w:w="33" w:type="dxa"/>
          <w:cantSplit/>
        </w:trPr>
        <w:tc>
          <w:tcPr>
            <w:tcW w:w="2173" w:type="dxa"/>
          </w:tcPr>
          <w:p>
            <w:pPr>
              <w:pStyle w:val="yTableNAm"/>
            </w:pPr>
            <w:r>
              <w:rPr>
                <w:szCs w:val="22"/>
              </w:rPr>
              <w:t>Fitzroy Crossing</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11.526</w:t>
            </w:r>
          </w:p>
        </w:tc>
      </w:tr>
      <w:tr>
        <w:trPr>
          <w:gridAfter w:val="1"/>
          <w:wAfter w:w="33" w:type="dxa"/>
          <w:cantSplit/>
        </w:trPr>
        <w:tc>
          <w:tcPr>
            <w:tcW w:w="2173" w:type="dxa"/>
          </w:tcPr>
          <w:p>
            <w:pPr>
              <w:pStyle w:val="yTableNAm"/>
            </w:pPr>
            <w:r>
              <w:rPr>
                <w:szCs w:val="22"/>
              </w:rPr>
              <w:t>Geraldton</w:t>
            </w:r>
          </w:p>
        </w:tc>
        <w:tc>
          <w:tcPr>
            <w:tcW w:w="2173" w:type="dxa"/>
            <w:vAlign w:val="bottom"/>
          </w:tcPr>
          <w:p>
            <w:pPr>
              <w:pStyle w:val="yTableNAm"/>
              <w:jc w:val="center"/>
              <w:rPr>
                <w:rFonts w:ascii="Arial" w:hAnsi="Arial"/>
                <w:b/>
              </w:rPr>
            </w:pPr>
            <w:r>
              <w:t>7.192</w:t>
            </w:r>
          </w:p>
        </w:tc>
        <w:tc>
          <w:tcPr>
            <w:tcW w:w="2174" w:type="dxa"/>
            <w:vAlign w:val="bottom"/>
          </w:tcPr>
          <w:p>
            <w:pPr>
              <w:pStyle w:val="yTableNAm"/>
              <w:jc w:val="center"/>
              <w:rPr>
                <w:rFonts w:ascii="Arial" w:hAnsi="Arial"/>
                <w:b/>
              </w:rPr>
            </w:pPr>
            <w:r>
              <w:t>6.429</w:t>
            </w:r>
          </w:p>
        </w:tc>
      </w:tr>
      <w:tr>
        <w:trPr>
          <w:gridAfter w:val="1"/>
          <w:wAfter w:w="33" w:type="dxa"/>
          <w:cantSplit/>
        </w:trPr>
        <w:tc>
          <w:tcPr>
            <w:tcW w:w="2173" w:type="dxa"/>
          </w:tcPr>
          <w:p>
            <w:pPr>
              <w:pStyle w:val="yTableNAm"/>
            </w:pPr>
            <w:r>
              <w:rPr>
                <w:szCs w:val="22"/>
              </w:rPr>
              <w:t>Gnarabup</w:t>
            </w:r>
          </w:p>
        </w:tc>
        <w:tc>
          <w:tcPr>
            <w:tcW w:w="2173" w:type="dxa"/>
            <w:vAlign w:val="bottom"/>
          </w:tcPr>
          <w:p>
            <w:pPr>
              <w:pStyle w:val="yTableNAm"/>
              <w:jc w:val="center"/>
              <w:rPr>
                <w:rFonts w:ascii="Arial" w:hAnsi="Arial"/>
                <w:b/>
              </w:rPr>
            </w:pPr>
            <w:r>
              <w:t>6.265</w:t>
            </w:r>
          </w:p>
        </w:tc>
        <w:tc>
          <w:tcPr>
            <w:tcW w:w="2174" w:type="dxa"/>
            <w:vAlign w:val="bottom"/>
          </w:tcPr>
          <w:p>
            <w:pPr>
              <w:pStyle w:val="yTableNAm"/>
              <w:jc w:val="center"/>
              <w:rPr>
                <w:rFonts w:ascii="Arial" w:hAnsi="Arial"/>
                <w:b/>
              </w:rPr>
            </w:pPr>
            <w:r>
              <w:t>6.304</w:t>
            </w:r>
          </w:p>
        </w:tc>
      </w:tr>
      <w:tr>
        <w:trPr>
          <w:gridAfter w:val="1"/>
          <w:wAfter w:w="33" w:type="dxa"/>
          <w:cantSplit/>
        </w:trPr>
        <w:tc>
          <w:tcPr>
            <w:tcW w:w="2173" w:type="dxa"/>
          </w:tcPr>
          <w:p>
            <w:pPr>
              <w:pStyle w:val="yTableNAm"/>
            </w:pPr>
            <w:r>
              <w:rPr>
                <w:szCs w:val="22"/>
              </w:rPr>
              <w:t>Gnowangerup</w:t>
            </w:r>
          </w:p>
        </w:tc>
        <w:tc>
          <w:tcPr>
            <w:tcW w:w="2173" w:type="dxa"/>
            <w:vAlign w:val="bottom"/>
          </w:tcPr>
          <w:p>
            <w:pPr>
              <w:pStyle w:val="yTableNAm"/>
              <w:jc w:val="center"/>
              <w:rPr>
                <w:rFonts w:ascii="Arial" w:hAnsi="Arial"/>
                <w:b/>
              </w:rPr>
            </w:pPr>
            <w:r>
              <w:t>9.557</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Greenhead</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7.880</w:t>
            </w:r>
          </w:p>
        </w:tc>
      </w:tr>
      <w:tr>
        <w:trPr>
          <w:gridAfter w:val="1"/>
          <w:wAfter w:w="33" w:type="dxa"/>
          <w:cantSplit/>
        </w:trPr>
        <w:tc>
          <w:tcPr>
            <w:tcW w:w="2173" w:type="dxa"/>
          </w:tcPr>
          <w:p>
            <w:pPr>
              <w:pStyle w:val="yTableNAm"/>
            </w:pPr>
            <w:r>
              <w:rPr>
                <w:szCs w:val="22"/>
              </w:rPr>
              <w:t>Halls Creek</w:t>
            </w:r>
          </w:p>
        </w:tc>
        <w:tc>
          <w:tcPr>
            <w:tcW w:w="2173" w:type="dxa"/>
            <w:vAlign w:val="bottom"/>
          </w:tcPr>
          <w:p>
            <w:pPr>
              <w:pStyle w:val="yTableNAm"/>
              <w:jc w:val="center"/>
              <w:rPr>
                <w:rFonts w:ascii="Arial" w:hAnsi="Arial"/>
                <w:b/>
              </w:rPr>
            </w:pPr>
            <w:r>
              <w:t>11.721</w:t>
            </w:r>
          </w:p>
        </w:tc>
        <w:tc>
          <w:tcPr>
            <w:tcW w:w="2174" w:type="dxa"/>
            <w:vAlign w:val="bottom"/>
          </w:tcPr>
          <w:p>
            <w:pPr>
              <w:pStyle w:val="yTableNAm"/>
              <w:jc w:val="center"/>
              <w:rPr>
                <w:rFonts w:ascii="Arial" w:hAnsi="Arial"/>
                <w:b/>
              </w:rPr>
            </w:pPr>
            <w:r>
              <w:t>9.970</w:t>
            </w:r>
          </w:p>
        </w:tc>
      </w:tr>
      <w:tr>
        <w:trPr>
          <w:gridAfter w:val="1"/>
          <w:wAfter w:w="33" w:type="dxa"/>
          <w:cantSplit/>
        </w:trPr>
        <w:tc>
          <w:tcPr>
            <w:tcW w:w="2173" w:type="dxa"/>
          </w:tcPr>
          <w:p>
            <w:pPr>
              <w:pStyle w:val="yTableNAm"/>
            </w:pPr>
            <w:r>
              <w:rPr>
                <w:szCs w:val="22"/>
              </w:rPr>
              <w:t>Harvey</w:t>
            </w:r>
          </w:p>
        </w:tc>
        <w:tc>
          <w:tcPr>
            <w:tcW w:w="2173" w:type="dxa"/>
            <w:vAlign w:val="bottom"/>
          </w:tcPr>
          <w:p>
            <w:pPr>
              <w:pStyle w:val="yTableNAm"/>
              <w:jc w:val="center"/>
              <w:rPr>
                <w:rFonts w:ascii="Arial" w:hAnsi="Arial"/>
                <w:b/>
              </w:rPr>
            </w:pPr>
            <w:r>
              <w:t>7.426</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Hopetoun</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Horrocks</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8.465</w:t>
            </w:r>
          </w:p>
        </w:tc>
      </w:tr>
      <w:tr>
        <w:trPr>
          <w:gridAfter w:val="1"/>
          <w:wAfter w:w="33" w:type="dxa"/>
          <w:cantSplit/>
        </w:trPr>
        <w:tc>
          <w:tcPr>
            <w:tcW w:w="2173" w:type="dxa"/>
          </w:tcPr>
          <w:p>
            <w:pPr>
              <w:pStyle w:val="yTableNAm"/>
            </w:pPr>
            <w:r>
              <w:rPr>
                <w:szCs w:val="22"/>
              </w:rPr>
              <w:t>Jurien Bay</w:t>
            </w:r>
          </w:p>
        </w:tc>
        <w:tc>
          <w:tcPr>
            <w:tcW w:w="2173" w:type="dxa"/>
            <w:vAlign w:val="bottom"/>
          </w:tcPr>
          <w:p>
            <w:pPr>
              <w:pStyle w:val="yTableNAm"/>
              <w:jc w:val="center"/>
              <w:rPr>
                <w:rFonts w:ascii="Arial" w:hAnsi="Arial"/>
                <w:b/>
              </w:rPr>
            </w:pPr>
            <w:r>
              <w:t>8.440</w:t>
            </w:r>
          </w:p>
        </w:tc>
        <w:tc>
          <w:tcPr>
            <w:tcW w:w="2174" w:type="dxa"/>
            <w:vAlign w:val="bottom"/>
          </w:tcPr>
          <w:p>
            <w:pPr>
              <w:pStyle w:val="yTableNAm"/>
              <w:jc w:val="center"/>
              <w:rPr>
                <w:rFonts w:ascii="Arial" w:hAnsi="Arial"/>
                <w:b/>
              </w:rPr>
            </w:pPr>
            <w:r>
              <w:t>7.214</w:t>
            </w:r>
          </w:p>
        </w:tc>
      </w:tr>
      <w:tr>
        <w:trPr>
          <w:gridAfter w:val="1"/>
          <w:wAfter w:w="33" w:type="dxa"/>
          <w:cantSplit/>
        </w:trPr>
        <w:tc>
          <w:tcPr>
            <w:tcW w:w="2173" w:type="dxa"/>
          </w:tcPr>
          <w:p>
            <w:pPr>
              <w:pStyle w:val="yTableNAm"/>
            </w:pPr>
            <w:r>
              <w:rPr>
                <w:szCs w:val="22"/>
              </w:rPr>
              <w:t>Kalbarri</w:t>
            </w:r>
          </w:p>
        </w:tc>
        <w:tc>
          <w:tcPr>
            <w:tcW w:w="2173" w:type="dxa"/>
            <w:vAlign w:val="bottom"/>
          </w:tcPr>
          <w:p>
            <w:pPr>
              <w:pStyle w:val="yTableNAm"/>
              <w:jc w:val="center"/>
              <w:rPr>
                <w:rFonts w:ascii="Arial" w:hAnsi="Arial"/>
                <w:b/>
              </w:rPr>
            </w:pPr>
            <w:r>
              <w:t>8.765</w:t>
            </w:r>
          </w:p>
        </w:tc>
        <w:tc>
          <w:tcPr>
            <w:tcW w:w="2174" w:type="dxa"/>
            <w:vAlign w:val="bottom"/>
          </w:tcPr>
          <w:p>
            <w:pPr>
              <w:pStyle w:val="yTableNAm"/>
              <w:jc w:val="center"/>
              <w:rPr>
                <w:rFonts w:ascii="Arial" w:hAnsi="Arial"/>
                <w:b/>
              </w:rPr>
            </w:pPr>
            <w:r>
              <w:t>10.015</w:t>
            </w:r>
          </w:p>
        </w:tc>
      </w:tr>
      <w:tr>
        <w:trPr>
          <w:gridAfter w:val="1"/>
          <w:wAfter w:w="33" w:type="dxa"/>
          <w:cantSplit/>
        </w:trPr>
        <w:tc>
          <w:tcPr>
            <w:tcW w:w="2173" w:type="dxa"/>
          </w:tcPr>
          <w:p>
            <w:pPr>
              <w:pStyle w:val="yTableNAm"/>
            </w:pPr>
            <w:r>
              <w:rPr>
                <w:szCs w:val="22"/>
              </w:rPr>
              <w:t>Kambalda</w:t>
            </w:r>
          </w:p>
        </w:tc>
        <w:tc>
          <w:tcPr>
            <w:tcW w:w="2173" w:type="dxa"/>
            <w:vAlign w:val="bottom"/>
          </w:tcPr>
          <w:p>
            <w:pPr>
              <w:pStyle w:val="yTableNAm"/>
              <w:jc w:val="center"/>
              <w:rPr>
                <w:rFonts w:ascii="Arial" w:hAnsi="Arial"/>
                <w:b/>
              </w:rPr>
            </w:pPr>
            <w:r>
              <w:t>6.982</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Karratha</w:t>
            </w:r>
          </w:p>
        </w:tc>
        <w:tc>
          <w:tcPr>
            <w:tcW w:w="2173" w:type="dxa"/>
            <w:vAlign w:val="bottom"/>
          </w:tcPr>
          <w:p>
            <w:pPr>
              <w:pStyle w:val="yTableNAm"/>
              <w:jc w:val="center"/>
              <w:rPr>
                <w:rFonts w:ascii="Arial" w:hAnsi="Arial"/>
                <w:b/>
              </w:rPr>
            </w:pPr>
            <w:r>
              <w:t>0.982</w:t>
            </w:r>
          </w:p>
        </w:tc>
        <w:tc>
          <w:tcPr>
            <w:tcW w:w="2174" w:type="dxa"/>
            <w:vAlign w:val="bottom"/>
          </w:tcPr>
          <w:p>
            <w:pPr>
              <w:pStyle w:val="yTableNAm"/>
              <w:jc w:val="center"/>
              <w:rPr>
                <w:rFonts w:ascii="Arial" w:hAnsi="Arial"/>
                <w:b/>
              </w:rPr>
            </w:pPr>
            <w:r>
              <w:t>3.405</w:t>
            </w:r>
          </w:p>
        </w:tc>
      </w:tr>
      <w:tr>
        <w:trPr>
          <w:gridAfter w:val="1"/>
          <w:wAfter w:w="33" w:type="dxa"/>
          <w:cantSplit/>
        </w:trPr>
        <w:tc>
          <w:tcPr>
            <w:tcW w:w="2173" w:type="dxa"/>
          </w:tcPr>
          <w:p>
            <w:pPr>
              <w:pStyle w:val="yTableNAm"/>
            </w:pPr>
            <w:r>
              <w:rPr>
                <w:szCs w:val="22"/>
              </w:rPr>
              <w:t>Katanning</w:t>
            </w:r>
          </w:p>
        </w:tc>
        <w:tc>
          <w:tcPr>
            <w:tcW w:w="2173" w:type="dxa"/>
            <w:vAlign w:val="bottom"/>
          </w:tcPr>
          <w:p>
            <w:pPr>
              <w:pStyle w:val="yTableNAm"/>
              <w:jc w:val="center"/>
              <w:rPr>
                <w:rFonts w:ascii="Arial" w:hAnsi="Arial"/>
                <w:b/>
              </w:rPr>
            </w:pPr>
            <w:r>
              <w:t>7.052</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Kellerberrin</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Kojonup</w:t>
            </w:r>
          </w:p>
        </w:tc>
        <w:tc>
          <w:tcPr>
            <w:tcW w:w="2173" w:type="dxa"/>
            <w:vAlign w:val="bottom"/>
          </w:tcPr>
          <w:p>
            <w:pPr>
              <w:pStyle w:val="yTableNAm"/>
              <w:jc w:val="center"/>
              <w:rPr>
                <w:rFonts w:ascii="Arial" w:hAnsi="Arial"/>
                <w:b/>
              </w:rPr>
            </w:pPr>
            <w:r>
              <w:t>10.080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lastRenderedPageBreak/>
              <w:t>Kulin</w:t>
            </w:r>
          </w:p>
        </w:tc>
        <w:tc>
          <w:tcPr>
            <w:tcW w:w="2173" w:type="dxa"/>
            <w:vAlign w:val="bottom"/>
          </w:tcPr>
          <w:p>
            <w:pPr>
              <w:pStyle w:val="yTableNAm"/>
              <w:jc w:val="center"/>
              <w:rPr>
                <w:rFonts w:ascii="Arial" w:hAnsi="Arial"/>
                <w:b/>
              </w:rPr>
            </w:pPr>
            <w:r>
              <w:t>9.678</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Kununurra</w:t>
            </w:r>
          </w:p>
        </w:tc>
        <w:tc>
          <w:tcPr>
            <w:tcW w:w="2173" w:type="dxa"/>
            <w:vAlign w:val="bottom"/>
          </w:tcPr>
          <w:p>
            <w:pPr>
              <w:pStyle w:val="yTableNAm"/>
              <w:jc w:val="center"/>
              <w:rPr>
                <w:rFonts w:ascii="Arial" w:hAnsi="Arial"/>
                <w:b/>
              </w:rPr>
            </w:pPr>
            <w:r>
              <w:t>4.382</w:t>
            </w:r>
          </w:p>
        </w:tc>
        <w:tc>
          <w:tcPr>
            <w:tcW w:w="2174" w:type="dxa"/>
            <w:vAlign w:val="bottom"/>
          </w:tcPr>
          <w:p>
            <w:pPr>
              <w:pStyle w:val="yTableNAm"/>
              <w:jc w:val="center"/>
              <w:rPr>
                <w:rFonts w:ascii="Arial" w:hAnsi="Arial"/>
                <w:b/>
              </w:rPr>
            </w:pPr>
            <w:r>
              <w:t>6.120</w:t>
            </w:r>
          </w:p>
        </w:tc>
      </w:tr>
      <w:tr>
        <w:trPr>
          <w:gridAfter w:val="1"/>
          <w:wAfter w:w="33" w:type="dxa"/>
          <w:cantSplit/>
        </w:trPr>
        <w:tc>
          <w:tcPr>
            <w:tcW w:w="2173" w:type="dxa"/>
          </w:tcPr>
          <w:p>
            <w:pPr>
              <w:pStyle w:val="yTableNAm"/>
            </w:pPr>
            <w:r>
              <w:rPr>
                <w:szCs w:val="22"/>
              </w:rPr>
              <w:t>Lancelin</w:t>
            </w:r>
          </w:p>
        </w:tc>
        <w:tc>
          <w:tcPr>
            <w:tcW w:w="2173" w:type="dxa"/>
            <w:vAlign w:val="bottom"/>
          </w:tcPr>
          <w:p>
            <w:pPr>
              <w:pStyle w:val="yTableNAm"/>
              <w:jc w:val="center"/>
              <w:rPr>
                <w:rFonts w:ascii="Arial" w:hAnsi="Arial"/>
                <w:b/>
              </w:rPr>
            </w:pPr>
            <w:r>
              <w:t>7.791</w:t>
            </w:r>
          </w:p>
        </w:tc>
        <w:tc>
          <w:tcPr>
            <w:tcW w:w="2174" w:type="dxa"/>
            <w:vAlign w:val="bottom"/>
          </w:tcPr>
          <w:p>
            <w:pPr>
              <w:pStyle w:val="yTableNAm"/>
              <w:jc w:val="center"/>
              <w:rPr>
                <w:rFonts w:ascii="Arial" w:hAnsi="Arial"/>
                <w:b/>
              </w:rPr>
            </w:pPr>
            <w:r>
              <w:t>3.179</w:t>
            </w:r>
          </w:p>
        </w:tc>
      </w:tr>
      <w:tr>
        <w:trPr>
          <w:gridAfter w:val="1"/>
          <w:wAfter w:w="33" w:type="dxa"/>
          <w:cantSplit/>
        </w:trPr>
        <w:tc>
          <w:tcPr>
            <w:tcW w:w="2173" w:type="dxa"/>
          </w:tcPr>
          <w:p>
            <w:pPr>
              <w:pStyle w:val="yTableNAm"/>
            </w:pPr>
            <w:r>
              <w:rPr>
                <w:szCs w:val="22"/>
              </w:rPr>
              <w:t>Laverton</w:t>
            </w:r>
          </w:p>
        </w:tc>
        <w:tc>
          <w:tcPr>
            <w:tcW w:w="2173" w:type="dxa"/>
            <w:vAlign w:val="bottom"/>
          </w:tcPr>
          <w:p>
            <w:pPr>
              <w:pStyle w:val="yTableNAm"/>
              <w:jc w:val="center"/>
              <w:rPr>
                <w:rFonts w:ascii="Arial" w:hAnsi="Arial"/>
                <w:b/>
              </w:rPr>
            </w:pPr>
            <w:r>
              <w:t>10.136</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Ledge Point</w:t>
            </w:r>
          </w:p>
        </w:tc>
        <w:tc>
          <w:tcPr>
            <w:tcW w:w="2173" w:type="dxa"/>
            <w:vAlign w:val="bottom"/>
          </w:tcPr>
          <w:p>
            <w:pPr>
              <w:pStyle w:val="yTableNAm"/>
              <w:jc w:val="center"/>
              <w:rPr>
                <w:rFonts w:ascii="Arial" w:hAnsi="Arial"/>
                <w:b/>
              </w:rPr>
            </w:pPr>
            <w:r>
              <w:t>5.841</w:t>
            </w:r>
          </w:p>
        </w:tc>
        <w:tc>
          <w:tcPr>
            <w:tcW w:w="2174" w:type="dxa"/>
            <w:vAlign w:val="bottom"/>
          </w:tcPr>
          <w:p>
            <w:pPr>
              <w:pStyle w:val="yTableNAm"/>
              <w:jc w:val="center"/>
              <w:rPr>
                <w:rFonts w:ascii="Arial" w:hAnsi="Arial"/>
                <w:b/>
              </w:rPr>
            </w:pPr>
            <w:r>
              <w:t>3.946</w:t>
            </w:r>
          </w:p>
        </w:tc>
      </w:tr>
      <w:tr>
        <w:trPr>
          <w:gridAfter w:val="1"/>
          <w:wAfter w:w="33" w:type="dxa"/>
          <w:cantSplit/>
        </w:trPr>
        <w:tc>
          <w:tcPr>
            <w:tcW w:w="2173" w:type="dxa"/>
          </w:tcPr>
          <w:p>
            <w:pPr>
              <w:pStyle w:val="yTableNAm"/>
            </w:pPr>
            <w:r>
              <w:rPr>
                <w:szCs w:val="22"/>
              </w:rPr>
              <w:t>Leeman</w:t>
            </w:r>
          </w:p>
        </w:tc>
        <w:tc>
          <w:tcPr>
            <w:tcW w:w="2173" w:type="dxa"/>
            <w:vAlign w:val="bottom"/>
          </w:tcPr>
          <w:p>
            <w:pPr>
              <w:pStyle w:val="yTableNAm"/>
              <w:jc w:val="center"/>
              <w:rPr>
                <w:rFonts w:ascii="Arial" w:hAnsi="Arial"/>
                <w:b/>
              </w:rPr>
            </w:pPr>
            <w:r>
              <w:t>8.789</w:t>
            </w:r>
          </w:p>
        </w:tc>
        <w:tc>
          <w:tcPr>
            <w:tcW w:w="2174" w:type="dxa"/>
            <w:vAlign w:val="bottom"/>
          </w:tcPr>
          <w:p>
            <w:pPr>
              <w:pStyle w:val="yTableNAm"/>
              <w:jc w:val="center"/>
              <w:rPr>
                <w:rFonts w:ascii="Arial" w:hAnsi="Arial"/>
                <w:b/>
              </w:rPr>
            </w:pPr>
            <w:r>
              <w:t>7.132</w:t>
            </w:r>
          </w:p>
        </w:tc>
      </w:tr>
      <w:tr>
        <w:trPr>
          <w:gridAfter w:val="1"/>
          <w:wAfter w:w="33" w:type="dxa"/>
          <w:cantSplit/>
        </w:trPr>
        <w:tc>
          <w:tcPr>
            <w:tcW w:w="2173" w:type="dxa"/>
          </w:tcPr>
          <w:p>
            <w:pPr>
              <w:pStyle w:val="yTableNAm"/>
            </w:pPr>
            <w:r>
              <w:rPr>
                <w:szCs w:val="22"/>
              </w:rPr>
              <w:t>Leonora</w:t>
            </w:r>
          </w:p>
        </w:tc>
        <w:tc>
          <w:tcPr>
            <w:tcW w:w="2173" w:type="dxa"/>
            <w:vAlign w:val="bottom"/>
          </w:tcPr>
          <w:p>
            <w:pPr>
              <w:pStyle w:val="yTableNAm"/>
              <w:jc w:val="center"/>
              <w:rPr>
                <w:rFonts w:ascii="Arial" w:hAnsi="Arial"/>
                <w:b/>
              </w:rPr>
            </w:pPr>
            <w:r>
              <w:t>9.544</w:t>
            </w:r>
          </w:p>
        </w:tc>
        <w:tc>
          <w:tcPr>
            <w:tcW w:w="2174" w:type="dxa"/>
            <w:vAlign w:val="bottom"/>
          </w:tcPr>
          <w:p>
            <w:pPr>
              <w:pStyle w:val="yTableNAm"/>
              <w:jc w:val="center"/>
              <w:rPr>
                <w:rFonts w:ascii="Arial" w:hAnsi="Arial"/>
                <w:b/>
              </w:rPr>
            </w:pPr>
            <w:r>
              <w:t>11.948</w:t>
            </w:r>
          </w:p>
        </w:tc>
      </w:tr>
      <w:tr>
        <w:trPr>
          <w:gridAfter w:val="1"/>
          <w:wAfter w:w="33" w:type="dxa"/>
          <w:cantSplit/>
        </w:trPr>
        <w:tc>
          <w:tcPr>
            <w:tcW w:w="2173" w:type="dxa"/>
          </w:tcPr>
          <w:p>
            <w:pPr>
              <w:pStyle w:val="yTableNAm"/>
            </w:pPr>
            <w:r>
              <w:rPr>
                <w:szCs w:val="22"/>
              </w:rPr>
              <w:t>Mandurah</w:t>
            </w:r>
          </w:p>
        </w:tc>
        <w:tc>
          <w:tcPr>
            <w:tcW w:w="2173" w:type="dxa"/>
            <w:vAlign w:val="bottom"/>
          </w:tcPr>
          <w:p>
            <w:pPr>
              <w:pStyle w:val="yTableNAm"/>
              <w:jc w:val="center"/>
              <w:rPr>
                <w:rFonts w:ascii="Arial" w:hAnsi="Arial"/>
                <w:b/>
              </w:rPr>
            </w:pPr>
            <w:r>
              <w:t>5.384</w:t>
            </w:r>
          </w:p>
        </w:tc>
        <w:tc>
          <w:tcPr>
            <w:tcW w:w="2174" w:type="dxa"/>
            <w:vAlign w:val="bottom"/>
          </w:tcPr>
          <w:p>
            <w:pPr>
              <w:pStyle w:val="yTableNAm"/>
              <w:jc w:val="center"/>
              <w:rPr>
                <w:rFonts w:ascii="Arial" w:hAnsi="Arial"/>
                <w:b/>
              </w:rPr>
            </w:pPr>
            <w:r>
              <w:t>6.333</w:t>
            </w:r>
          </w:p>
        </w:tc>
      </w:tr>
      <w:tr>
        <w:trPr>
          <w:gridAfter w:val="1"/>
          <w:wAfter w:w="33" w:type="dxa"/>
          <w:cantSplit/>
        </w:trPr>
        <w:tc>
          <w:tcPr>
            <w:tcW w:w="2173" w:type="dxa"/>
          </w:tcPr>
          <w:p>
            <w:pPr>
              <w:pStyle w:val="yTableNAm"/>
            </w:pPr>
            <w:r>
              <w:rPr>
                <w:szCs w:val="22"/>
              </w:rPr>
              <w:t>Manjimup</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9.229</w:t>
            </w:r>
          </w:p>
        </w:tc>
      </w:tr>
      <w:tr>
        <w:trPr>
          <w:gridAfter w:val="1"/>
          <w:wAfter w:w="33" w:type="dxa"/>
          <w:cantSplit/>
        </w:trPr>
        <w:tc>
          <w:tcPr>
            <w:tcW w:w="2173" w:type="dxa"/>
          </w:tcPr>
          <w:p>
            <w:pPr>
              <w:pStyle w:val="yTableNAm"/>
            </w:pPr>
            <w:r>
              <w:rPr>
                <w:szCs w:val="22"/>
              </w:rPr>
              <w:t>Margaret River</w:t>
            </w:r>
          </w:p>
        </w:tc>
        <w:tc>
          <w:tcPr>
            <w:tcW w:w="2173" w:type="dxa"/>
            <w:vAlign w:val="bottom"/>
          </w:tcPr>
          <w:p>
            <w:pPr>
              <w:pStyle w:val="yTableNAm"/>
              <w:jc w:val="center"/>
              <w:rPr>
                <w:rFonts w:ascii="Arial" w:hAnsi="Arial"/>
                <w:b/>
              </w:rPr>
            </w:pPr>
            <w:r>
              <w:t>8.341</w:t>
            </w:r>
          </w:p>
        </w:tc>
        <w:tc>
          <w:tcPr>
            <w:tcW w:w="2174" w:type="dxa"/>
            <w:vAlign w:val="bottom"/>
          </w:tcPr>
          <w:p>
            <w:pPr>
              <w:pStyle w:val="yTableNAm"/>
              <w:jc w:val="center"/>
              <w:rPr>
                <w:rFonts w:ascii="Arial" w:hAnsi="Arial"/>
                <w:b/>
              </w:rPr>
            </w:pPr>
            <w:r>
              <w:t>7.083</w:t>
            </w:r>
          </w:p>
        </w:tc>
      </w:tr>
      <w:tr>
        <w:trPr>
          <w:gridAfter w:val="1"/>
          <w:wAfter w:w="33" w:type="dxa"/>
          <w:cantSplit/>
        </w:trPr>
        <w:tc>
          <w:tcPr>
            <w:tcW w:w="2173" w:type="dxa"/>
          </w:tcPr>
          <w:p>
            <w:pPr>
              <w:pStyle w:val="yTableNAm"/>
            </w:pPr>
            <w:r>
              <w:rPr>
                <w:szCs w:val="22"/>
              </w:rPr>
              <w:t>Meckering</w:t>
            </w:r>
          </w:p>
        </w:tc>
        <w:tc>
          <w:tcPr>
            <w:tcW w:w="2173" w:type="dxa"/>
            <w:vAlign w:val="bottom"/>
          </w:tcPr>
          <w:p>
            <w:pPr>
              <w:pStyle w:val="yTableNAm"/>
              <w:jc w:val="center"/>
              <w:rPr>
                <w:rFonts w:ascii="Arial" w:hAnsi="Arial"/>
                <w:b/>
              </w:rPr>
            </w:pPr>
            <w:r>
              <w:t>10.761</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Merredin</w:t>
            </w:r>
          </w:p>
        </w:tc>
        <w:tc>
          <w:tcPr>
            <w:tcW w:w="2173" w:type="dxa"/>
            <w:vAlign w:val="bottom"/>
          </w:tcPr>
          <w:p>
            <w:pPr>
              <w:pStyle w:val="yTableNAm"/>
              <w:jc w:val="center"/>
              <w:rPr>
                <w:rFonts w:ascii="Arial" w:hAnsi="Arial"/>
                <w:b/>
              </w:rPr>
            </w:pPr>
            <w:r>
              <w:t>8.455</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Mount Barker</w:t>
            </w:r>
          </w:p>
        </w:tc>
        <w:tc>
          <w:tcPr>
            <w:tcW w:w="2173" w:type="dxa"/>
            <w:vAlign w:val="bottom"/>
          </w:tcPr>
          <w:p>
            <w:pPr>
              <w:pStyle w:val="yTableNAm"/>
              <w:jc w:val="center"/>
              <w:rPr>
                <w:rFonts w:ascii="Arial" w:hAnsi="Arial"/>
                <w:b/>
              </w:rPr>
            </w:pPr>
            <w:r>
              <w:t>11.900</w:t>
            </w:r>
          </w:p>
        </w:tc>
        <w:tc>
          <w:tcPr>
            <w:tcW w:w="2174" w:type="dxa"/>
            <w:vAlign w:val="bottom"/>
          </w:tcPr>
          <w:p>
            <w:pPr>
              <w:pStyle w:val="yTableNAm"/>
              <w:jc w:val="center"/>
              <w:rPr>
                <w:rFonts w:ascii="Arial" w:hAnsi="Arial"/>
                <w:b/>
              </w:rPr>
            </w:pPr>
            <w:r>
              <w:t>6.358</w:t>
            </w:r>
          </w:p>
        </w:tc>
      </w:tr>
      <w:tr>
        <w:trPr>
          <w:gridAfter w:val="1"/>
          <w:wAfter w:w="33" w:type="dxa"/>
          <w:cantSplit/>
        </w:trPr>
        <w:tc>
          <w:tcPr>
            <w:tcW w:w="2173" w:type="dxa"/>
          </w:tcPr>
          <w:p>
            <w:pPr>
              <w:pStyle w:val="yTableNAm"/>
            </w:pPr>
            <w:r>
              <w:rPr>
                <w:szCs w:val="22"/>
              </w:rPr>
              <w:t>Mukinbudin</w:t>
            </w:r>
          </w:p>
        </w:tc>
        <w:tc>
          <w:tcPr>
            <w:tcW w:w="2173" w:type="dxa"/>
            <w:vAlign w:val="bottom"/>
          </w:tcPr>
          <w:p>
            <w:pPr>
              <w:pStyle w:val="yTableNAm"/>
              <w:jc w:val="center"/>
              <w:rPr>
                <w:rFonts w:ascii="Arial" w:hAnsi="Arial"/>
                <w:b/>
              </w:rPr>
            </w:pPr>
            <w:r>
              <w:t>9.583</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Nannup</w:t>
            </w:r>
          </w:p>
        </w:tc>
        <w:tc>
          <w:tcPr>
            <w:tcW w:w="2173" w:type="dxa"/>
            <w:vAlign w:val="bottom"/>
          </w:tcPr>
          <w:p>
            <w:pPr>
              <w:pStyle w:val="yTableNAm"/>
              <w:jc w:val="center"/>
              <w:rPr>
                <w:rFonts w:ascii="Arial" w:hAnsi="Arial"/>
                <w:b/>
              </w:rPr>
            </w:pPr>
            <w:r>
              <w:t>10.670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Narembeen</w:t>
            </w:r>
          </w:p>
        </w:tc>
        <w:tc>
          <w:tcPr>
            <w:tcW w:w="2173" w:type="dxa"/>
            <w:vAlign w:val="bottom"/>
          </w:tcPr>
          <w:p>
            <w:pPr>
              <w:pStyle w:val="yTableNAm"/>
              <w:jc w:val="center"/>
              <w:rPr>
                <w:rFonts w:ascii="Arial" w:hAnsi="Arial"/>
                <w:b/>
              </w:rPr>
            </w:pPr>
            <w:r>
              <w:t>11.857</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Narrogin</w:t>
            </w:r>
          </w:p>
        </w:tc>
        <w:tc>
          <w:tcPr>
            <w:tcW w:w="2173" w:type="dxa"/>
            <w:vAlign w:val="bottom"/>
          </w:tcPr>
          <w:p>
            <w:pPr>
              <w:pStyle w:val="yTableNAm"/>
              <w:jc w:val="center"/>
              <w:rPr>
                <w:rFonts w:ascii="Arial" w:hAnsi="Arial"/>
                <w:b/>
              </w:rPr>
            </w:pPr>
            <w:r>
              <w:t>5.647</w:t>
            </w:r>
          </w:p>
        </w:tc>
        <w:tc>
          <w:tcPr>
            <w:tcW w:w="2174" w:type="dxa"/>
            <w:vAlign w:val="bottom"/>
          </w:tcPr>
          <w:p>
            <w:pPr>
              <w:pStyle w:val="yTableNAm"/>
              <w:jc w:val="center"/>
              <w:rPr>
                <w:rFonts w:ascii="Arial" w:hAnsi="Arial"/>
                <w:b/>
              </w:rPr>
            </w:pPr>
            <w:r>
              <w:t>8.844</w:t>
            </w:r>
          </w:p>
        </w:tc>
      </w:tr>
      <w:tr>
        <w:trPr>
          <w:gridAfter w:val="1"/>
          <w:wAfter w:w="33" w:type="dxa"/>
          <w:cantSplit/>
        </w:trPr>
        <w:tc>
          <w:tcPr>
            <w:tcW w:w="2173" w:type="dxa"/>
          </w:tcPr>
          <w:p>
            <w:pPr>
              <w:pStyle w:val="yTableNAm"/>
            </w:pPr>
            <w:r>
              <w:rPr>
                <w:szCs w:val="22"/>
              </w:rPr>
              <w:t>Newdegate</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Newman</w:t>
            </w:r>
          </w:p>
        </w:tc>
        <w:tc>
          <w:tcPr>
            <w:tcW w:w="2173" w:type="dxa"/>
            <w:vAlign w:val="bottom"/>
          </w:tcPr>
          <w:p>
            <w:pPr>
              <w:pStyle w:val="yTableNAm"/>
              <w:jc w:val="center"/>
              <w:rPr>
                <w:rFonts w:ascii="Arial" w:hAnsi="Arial"/>
                <w:b/>
              </w:rPr>
            </w:pPr>
            <w:r>
              <w:t>0.883</w:t>
            </w:r>
          </w:p>
        </w:tc>
        <w:tc>
          <w:tcPr>
            <w:tcW w:w="2174" w:type="dxa"/>
            <w:vAlign w:val="bottom"/>
          </w:tcPr>
          <w:p>
            <w:pPr>
              <w:pStyle w:val="yTableNAm"/>
              <w:jc w:val="center"/>
              <w:rPr>
                <w:rFonts w:ascii="Arial" w:hAnsi="Arial"/>
                <w:b/>
              </w:rPr>
            </w:pPr>
            <w:r>
              <w:t>0.767</w:t>
            </w:r>
          </w:p>
        </w:tc>
      </w:tr>
      <w:tr>
        <w:trPr>
          <w:gridAfter w:val="1"/>
          <w:wAfter w:w="33" w:type="dxa"/>
          <w:cantSplit/>
        </w:trPr>
        <w:tc>
          <w:tcPr>
            <w:tcW w:w="2173" w:type="dxa"/>
          </w:tcPr>
          <w:p>
            <w:pPr>
              <w:pStyle w:val="yTableNAm"/>
            </w:pPr>
            <w:r>
              <w:rPr>
                <w:szCs w:val="22"/>
              </w:rPr>
              <w:t>Northam</w:t>
            </w:r>
          </w:p>
        </w:tc>
        <w:tc>
          <w:tcPr>
            <w:tcW w:w="2173" w:type="dxa"/>
            <w:vAlign w:val="bottom"/>
          </w:tcPr>
          <w:p>
            <w:pPr>
              <w:pStyle w:val="yTableNAm"/>
              <w:jc w:val="center"/>
              <w:rPr>
                <w:rFonts w:ascii="Arial" w:hAnsi="Arial"/>
                <w:b/>
              </w:rPr>
            </w:pPr>
            <w:r>
              <w:t>7.961</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Onslow</w:t>
            </w:r>
          </w:p>
        </w:tc>
        <w:tc>
          <w:tcPr>
            <w:tcW w:w="2173" w:type="dxa"/>
            <w:vAlign w:val="bottom"/>
          </w:tcPr>
          <w:p>
            <w:pPr>
              <w:pStyle w:val="yTableNAm"/>
              <w:jc w:val="center"/>
              <w:rPr>
                <w:rFonts w:ascii="Arial" w:hAnsi="Arial"/>
                <w:b/>
              </w:rPr>
            </w:pPr>
            <w:r>
              <w:t>11.148</w:t>
            </w:r>
          </w:p>
        </w:tc>
        <w:tc>
          <w:tcPr>
            <w:tcW w:w="2174" w:type="dxa"/>
            <w:vAlign w:val="bottom"/>
          </w:tcPr>
          <w:p>
            <w:pPr>
              <w:pStyle w:val="yTableNAm"/>
              <w:jc w:val="center"/>
              <w:rPr>
                <w:rFonts w:ascii="Arial" w:hAnsi="Arial"/>
                <w:b/>
              </w:rPr>
            </w:pPr>
            <w:r>
              <w:t>2.532</w:t>
            </w:r>
          </w:p>
        </w:tc>
      </w:tr>
      <w:tr>
        <w:trPr>
          <w:gridAfter w:val="1"/>
          <w:wAfter w:w="33" w:type="dxa"/>
          <w:cantSplit/>
        </w:trPr>
        <w:tc>
          <w:tcPr>
            <w:tcW w:w="2173" w:type="dxa"/>
          </w:tcPr>
          <w:p>
            <w:pPr>
              <w:pStyle w:val="yTableNAm"/>
            </w:pPr>
            <w:r>
              <w:rPr>
                <w:szCs w:val="22"/>
              </w:rPr>
              <w:t>Pemberton</w:t>
            </w:r>
          </w:p>
        </w:tc>
        <w:tc>
          <w:tcPr>
            <w:tcW w:w="2173" w:type="dxa"/>
            <w:vAlign w:val="bottom"/>
          </w:tcPr>
          <w:p>
            <w:pPr>
              <w:pStyle w:val="yTableNAm"/>
              <w:jc w:val="center"/>
              <w:rPr>
                <w:rFonts w:ascii="Arial" w:hAnsi="Arial"/>
                <w:b/>
              </w:rPr>
            </w:pPr>
            <w:r>
              <w:t>11.645</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Pingelly</w:t>
            </w:r>
          </w:p>
        </w:tc>
        <w:tc>
          <w:tcPr>
            <w:tcW w:w="2173" w:type="dxa"/>
            <w:vAlign w:val="bottom"/>
          </w:tcPr>
          <w:p>
            <w:pPr>
              <w:pStyle w:val="yTableNAm"/>
              <w:jc w:val="center"/>
              <w:rPr>
                <w:rFonts w:ascii="Arial" w:hAnsi="Arial"/>
                <w:b/>
              </w:rPr>
            </w:pPr>
            <w:r>
              <w:t>9.857</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Pinjarra</w:t>
            </w:r>
          </w:p>
        </w:tc>
        <w:tc>
          <w:tcPr>
            <w:tcW w:w="2173" w:type="dxa"/>
            <w:vAlign w:val="bottom"/>
          </w:tcPr>
          <w:p>
            <w:pPr>
              <w:pStyle w:val="yTableNAm"/>
              <w:jc w:val="center"/>
              <w:rPr>
                <w:rFonts w:ascii="Arial" w:hAnsi="Arial"/>
                <w:b/>
              </w:rPr>
            </w:pPr>
            <w:r>
              <w:t>6.948</w:t>
            </w:r>
          </w:p>
        </w:tc>
        <w:tc>
          <w:tcPr>
            <w:tcW w:w="2174" w:type="dxa"/>
            <w:vAlign w:val="bottom"/>
          </w:tcPr>
          <w:p>
            <w:pPr>
              <w:pStyle w:val="yTableNAm"/>
              <w:jc w:val="center"/>
              <w:rPr>
                <w:rFonts w:ascii="Arial" w:hAnsi="Arial"/>
                <w:b/>
              </w:rPr>
            </w:pPr>
            <w:r>
              <w:t>4.064</w:t>
            </w:r>
          </w:p>
        </w:tc>
      </w:tr>
      <w:tr>
        <w:trPr>
          <w:gridAfter w:val="1"/>
          <w:wAfter w:w="33" w:type="dxa"/>
          <w:cantSplit/>
        </w:trPr>
        <w:tc>
          <w:tcPr>
            <w:tcW w:w="2173" w:type="dxa"/>
          </w:tcPr>
          <w:p>
            <w:pPr>
              <w:pStyle w:val="yTableNAm"/>
            </w:pPr>
            <w:r>
              <w:rPr>
                <w:szCs w:val="22"/>
              </w:rPr>
              <w:lastRenderedPageBreak/>
              <w:t>Port Hedland</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2.356</w:t>
            </w:r>
          </w:p>
        </w:tc>
      </w:tr>
      <w:tr>
        <w:trPr>
          <w:gridAfter w:val="1"/>
          <w:wAfter w:w="33" w:type="dxa"/>
          <w:cantSplit/>
        </w:trPr>
        <w:tc>
          <w:tcPr>
            <w:tcW w:w="2173" w:type="dxa"/>
          </w:tcPr>
          <w:p>
            <w:pPr>
              <w:pStyle w:val="yTableNAm"/>
            </w:pPr>
            <w:r>
              <w:rPr>
                <w:szCs w:val="22"/>
              </w:rPr>
              <w:t>Quairading</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10.399</w:t>
            </w:r>
          </w:p>
        </w:tc>
      </w:tr>
      <w:tr>
        <w:trPr>
          <w:gridAfter w:val="1"/>
          <w:wAfter w:w="33" w:type="dxa"/>
          <w:cantSplit/>
        </w:trPr>
        <w:tc>
          <w:tcPr>
            <w:tcW w:w="2173" w:type="dxa"/>
          </w:tcPr>
          <w:p>
            <w:pPr>
              <w:pStyle w:val="yTableNAm"/>
            </w:pPr>
            <w:r>
              <w:rPr>
                <w:szCs w:val="22"/>
              </w:rPr>
              <w:t>Roebourne</w:t>
            </w:r>
          </w:p>
        </w:tc>
        <w:tc>
          <w:tcPr>
            <w:tcW w:w="2173" w:type="dxa"/>
            <w:vAlign w:val="bottom"/>
          </w:tcPr>
          <w:p>
            <w:pPr>
              <w:pStyle w:val="yTableNAm"/>
              <w:jc w:val="center"/>
              <w:rPr>
                <w:rFonts w:ascii="Arial" w:hAnsi="Arial"/>
                <w:b/>
              </w:rPr>
            </w:pPr>
            <w:r>
              <w:t>7.579</w:t>
            </w:r>
          </w:p>
        </w:tc>
        <w:tc>
          <w:tcPr>
            <w:tcW w:w="2174" w:type="dxa"/>
            <w:vAlign w:val="bottom"/>
          </w:tcPr>
          <w:p>
            <w:pPr>
              <w:pStyle w:val="yTableNAm"/>
              <w:jc w:val="center"/>
              <w:rPr>
                <w:rFonts w:ascii="Arial" w:hAnsi="Arial"/>
                <w:b/>
              </w:rPr>
            </w:pPr>
            <w:r>
              <w:t>9.148</w:t>
            </w:r>
          </w:p>
        </w:tc>
      </w:tr>
      <w:tr>
        <w:trPr>
          <w:gridAfter w:val="1"/>
          <w:wAfter w:w="33" w:type="dxa"/>
          <w:cantSplit/>
        </w:trPr>
        <w:tc>
          <w:tcPr>
            <w:tcW w:w="2173" w:type="dxa"/>
          </w:tcPr>
          <w:p>
            <w:pPr>
              <w:pStyle w:val="yTableNAm"/>
            </w:pPr>
            <w:r>
              <w:rPr>
                <w:szCs w:val="22"/>
              </w:rPr>
              <w:t>Seabird</w:t>
            </w:r>
          </w:p>
        </w:tc>
        <w:tc>
          <w:tcPr>
            <w:tcW w:w="2173" w:type="dxa"/>
            <w:vAlign w:val="bottom"/>
          </w:tcPr>
          <w:p>
            <w:pPr>
              <w:pStyle w:val="yTableNAm"/>
              <w:jc w:val="center"/>
              <w:rPr>
                <w:rFonts w:ascii="Arial" w:hAnsi="Arial"/>
                <w:b/>
              </w:rPr>
            </w:pPr>
            <w:r>
              <w:t>8.914</w:t>
            </w:r>
          </w:p>
        </w:tc>
        <w:tc>
          <w:tcPr>
            <w:tcW w:w="2174" w:type="dxa"/>
            <w:vAlign w:val="bottom"/>
          </w:tcPr>
          <w:p>
            <w:pPr>
              <w:pStyle w:val="yTableNAm"/>
              <w:jc w:val="center"/>
              <w:rPr>
                <w:rFonts w:ascii="Arial" w:hAnsi="Arial"/>
                <w:b/>
              </w:rPr>
            </w:pPr>
            <w:r>
              <w:t>6.511</w:t>
            </w:r>
          </w:p>
        </w:tc>
      </w:tr>
      <w:tr>
        <w:tblPrEx>
          <w:tblCellMar>
            <w:left w:w="108" w:type="dxa"/>
            <w:right w:w="108" w:type="dxa"/>
          </w:tblCellMar>
        </w:tblPrEx>
        <w:trPr>
          <w:cantSplit/>
        </w:trPr>
        <w:tc>
          <w:tcPr>
            <w:tcW w:w="2173" w:type="dxa"/>
          </w:tcPr>
          <w:p>
            <w:pPr>
              <w:pStyle w:val="yTableNAm"/>
            </w:pPr>
            <w:r>
              <w:rPr>
                <w:szCs w:val="22"/>
              </w:rPr>
              <w:t>Tambellup</w:t>
            </w:r>
          </w:p>
        </w:tc>
        <w:tc>
          <w:tcPr>
            <w:tcW w:w="2173" w:type="dxa"/>
            <w:vAlign w:val="bottom"/>
          </w:tcPr>
          <w:p>
            <w:pPr>
              <w:pStyle w:val="yTableNAm"/>
              <w:jc w:val="center"/>
              <w:rPr>
                <w:rFonts w:ascii="Arial" w:hAnsi="Arial"/>
                <w:b/>
              </w:rPr>
            </w:pPr>
            <w:r>
              <w:t>12.000</w:t>
            </w:r>
          </w:p>
        </w:tc>
        <w:tc>
          <w:tcPr>
            <w:tcW w:w="2207" w:type="dxa"/>
            <w:gridSpan w:val="2"/>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Three Springs</w:t>
            </w:r>
          </w:p>
        </w:tc>
        <w:tc>
          <w:tcPr>
            <w:tcW w:w="2173" w:type="dxa"/>
            <w:vAlign w:val="bottom"/>
          </w:tcPr>
          <w:p>
            <w:pPr>
              <w:pStyle w:val="yTableNAm"/>
              <w:jc w:val="center"/>
              <w:rPr>
                <w:rFonts w:ascii="Arial" w:hAnsi="Arial"/>
                <w:b/>
              </w:rPr>
            </w:pPr>
            <w:r>
              <w:t>8.272</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Toodyay</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8.547</w:t>
            </w:r>
          </w:p>
        </w:tc>
      </w:tr>
      <w:tr>
        <w:trPr>
          <w:gridAfter w:val="1"/>
          <w:wAfter w:w="33" w:type="dxa"/>
          <w:cantSplit/>
        </w:trPr>
        <w:tc>
          <w:tcPr>
            <w:tcW w:w="2173" w:type="dxa"/>
          </w:tcPr>
          <w:p>
            <w:pPr>
              <w:pStyle w:val="yTableNAm"/>
            </w:pPr>
            <w:r>
              <w:rPr>
                <w:szCs w:val="22"/>
              </w:rPr>
              <w:t>Wagin</w:t>
            </w:r>
          </w:p>
        </w:tc>
        <w:tc>
          <w:tcPr>
            <w:tcW w:w="2173" w:type="dxa"/>
            <w:vAlign w:val="bottom"/>
          </w:tcPr>
          <w:p>
            <w:pPr>
              <w:pStyle w:val="yTableNAm"/>
              <w:jc w:val="center"/>
              <w:rPr>
                <w:rFonts w:ascii="Arial" w:hAnsi="Arial"/>
                <w:b/>
              </w:rPr>
            </w:pPr>
            <w:r>
              <w:t>11.263</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Walpole</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11.503</w:t>
            </w:r>
          </w:p>
        </w:tc>
      </w:tr>
      <w:tr>
        <w:trPr>
          <w:gridAfter w:val="1"/>
          <w:wAfter w:w="33" w:type="dxa"/>
          <w:cantSplit/>
        </w:trPr>
        <w:tc>
          <w:tcPr>
            <w:tcW w:w="2173" w:type="dxa"/>
          </w:tcPr>
          <w:p>
            <w:pPr>
              <w:pStyle w:val="yTableNAm"/>
            </w:pPr>
            <w:r>
              <w:rPr>
                <w:szCs w:val="22"/>
              </w:rPr>
              <w:t>Waroona</w:t>
            </w:r>
          </w:p>
        </w:tc>
        <w:tc>
          <w:tcPr>
            <w:tcW w:w="2173" w:type="dxa"/>
            <w:vAlign w:val="bottom"/>
          </w:tcPr>
          <w:p>
            <w:pPr>
              <w:pStyle w:val="yTableNAm"/>
              <w:jc w:val="center"/>
              <w:rPr>
                <w:rFonts w:ascii="Arial" w:hAnsi="Arial"/>
                <w:b/>
              </w:rPr>
            </w:pPr>
            <w:r>
              <w:t>5.332</w:t>
            </w:r>
          </w:p>
        </w:tc>
        <w:tc>
          <w:tcPr>
            <w:tcW w:w="2174" w:type="dxa"/>
            <w:vAlign w:val="bottom"/>
          </w:tcPr>
          <w:p>
            <w:pPr>
              <w:pStyle w:val="yTableNAm"/>
              <w:jc w:val="center"/>
              <w:rPr>
                <w:rFonts w:ascii="Arial" w:hAnsi="Arial"/>
                <w:b/>
              </w:rPr>
            </w:pPr>
            <w:r>
              <w:t>7.771</w:t>
            </w:r>
          </w:p>
        </w:tc>
      </w:tr>
      <w:tr>
        <w:trPr>
          <w:gridAfter w:val="1"/>
          <w:wAfter w:w="33" w:type="dxa"/>
          <w:cantSplit/>
        </w:trPr>
        <w:tc>
          <w:tcPr>
            <w:tcW w:w="2173" w:type="dxa"/>
          </w:tcPr>
          <w:p>
            <w:pPr>
              <w:pStyle w:val="yTableNAm"/>
            </w:pPr>
            <w:r>
              <w:rPr>
                <w:szCs w:val="22"/>
              </w:rPr>
              <w:t>Wickham</w:t>
            </w:r>
          </w:p>
        </w:tc>
        <w:tc>
          <w:tcPr>
            <w:tcW w:w="2173" w:type="dxa"/>
            <w:vAlign w:val="bottom"/>
          </w:tcPr>
          <w:p>
            <w:pPr>
              <w:pStyle w:val="yTableNAm"/>
              <w:jc w:val="center"/>
              <w:rPr>
                <w:rFonts w:ascii="Arial" w:hAnsi="Arial"/>
                <w:b/>
              </w:rPr>
            </w:pPr>
            <w:r>
              <w:t>5.141</w:t>
            </w:r>
          </w:p>
        </w:tc>
        <w:tc>
          <w:tcPr>
            <w:tcW w:w="2174" w:type="dxa"/>
            <w:vAlign w:val="bottom"/>
          </w:tcPr>
          <w:p>
            <w:pPr>
              <w:pStyle w:val="yTableNAm"/>
              <w:jc w:val="center"/>
              <w:rPr>
                <w:rFonts w:ascii="Arial" w:hAnsi="Arial"/>
                <w:b/>
              </w:rPr>
            </w:pPr>
            <w:r>
              <w:t>5.772</w:t>
            </w:r>
          </w:p>
        </w:tc>
      </w:tr>
      <w:tr>
        <w:trPr>
          <w:gridAfter w:val="1"/>
          <w:wAfter w:w="33" w:type="dxa"/>
          <w:cantSplit/>
        </w:trPr>
        <w:tc>
          <w:tcPr>
            <w:tcW w:w="2173" w:type="dxa"/>
          </w:tcPr>
          <w:p>
            <w:pPr>
              <w:pStyle w:val="yTableNAm"/>
            </w:pPr>
            <w:r>
              <w:rPr>
                <w:szCs w:val="22"/>
              </w:rPr>
              <w:t>Williams</w:t>
            </w:r>
          </w:p>
        </w:tc>
        <w:tc>
          <w:tcPr>
            <w:tcW w:w="2173" w:type="dxa"/>
            <w:vAlign w:val="bottom"/>
          </w:tcPr>
          <w:p>
            <w:pPr>
              <w:pStyle w:val="yTableNAm"/>
              <w:jc w:val="center"/>
              <w:rPr>
                <w:rFonts w:ascii="Arial" w:hAnsi="Arial"/>
                <w:b/>
              </w:rPr>
            </w:pPr>
            <w:r>
              <w:t>7.820</w:t>
            </w:r>
          </w:p>
        </w:tc>
        <w:tc>
          <w:tcPr>
            <w:tcW w:w="2174" w:type="dxa"/>
            <w:vAlign w:val="bottom"/>
          </w:tcPr>
          <w:p>
            <w:pPr>
              <w:pStyle w:val="yTableNAm"/>
              <w:jc w:val="center"/>
              <w:rPr>
                <w:rFonts w:ascii="Arial" w:hAnsi="Arial"/>
                <w:b/>
              </w:rPr>
            </w:pPr>
            <w:r>
              <w:t>9.324</w:t>
            </w:r>
          </w:p>
        </w:tc>
      </w:tr>
      <w:tr>
        <w:tblPrEx>
          <w:tblCellMar>
            <w:left w:w="108" w:type="dxa"/>
            <w:right w:w="108" w:type="dxa"/>
          </w:tblCellMar>
        </w:tblPrEx>
        <w:trPr>
          <w:cantSplit/>
        </w:trPr>
        <w:tc>
          <w:tcPr>
            <w:tcW w:w="2173" w:type="dxa"/>
          </w:tcPr>
          <w:p>
            <w:pPr>
              <w:pStyle w:val="yTableNAm"/>
            </w:pPr>
            <w:r>
              <w:rPr>
                <w:szCs w:val="22"/>
              </w:rPr>
              <w:t>Wiluna</w:t>
            </w:r>
          </w:p>
        </w:tc>
        <w:tc>
          <w:tcPr>
            <w:tcW w:w="2173" w:type="dxa"/>
            <w:vAlign w:val="bottom"/>
          </w:tcPr>
          <w:p>
            <w:pPr>
              <w:pStyle w:val="yTableNAm"/>
              <w:jc w:val="center"/>
              <w:rPr>
                <w:rFonts w:ascii="Arial" w:hAnsi="Arial"/>
                <w:b/>
              </w:rPr>
            </w:pPr>
            <w:r>
              <w:t>12.000</w:t>
            </w:r>
          </w:p>
        </w:tc>
        <w:tc>
          <w:tcPr>
            <w:tcW w:w="2207" w:type="dxa"/>
            <w:gridSpan w:val="2"/>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Wongan Hills</w:t>
            </w:r>
          </w:p>
        </w:tc>
        <w:tc>
          <w:tcPr>
            <w:tcW w:w="2173" w:type="dxa"/>
            <w:vAlign w:val="bottom"/>
          </w:tcPr>
          <w:p>
            <w:pPr>
              <w:pStyle w:val="yTableNAm"/>
              <w:jc w:val="center"/>
              <w:rPr>
                <w:rFonts w:ascii="Arial" w:hAnsi="Arial"/>
                <w:b/>
              </w:rPr>
            </w:pPr>
            <w:r>
              <w:t>9.805</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Wundowie</w:t>
            </w:r>
          </w:p>
        </w:tc>
        <w:tc>
          <w:tcPr>
            <w:tcW w:w="2173" w:type="dxa"/>
            <w:vAlign w:val="bottom"/>
          </w:tcPr>
          <w:p>
            <w:pPr>
              <w:pStyle w:val="yTableNAm"/>
              <w:jc w:val="center"/>
              <w:rPr>
                <w:rFonts w:ascii="Arial" w:hAnsi="Arial"/>
                <w:b/>
              </w:rPr>
            </w:pPr>
            <w:r>
              <w:t>8.864</w:t>
            </w:r>
          </w:p>
        </w:tc>
        <w:tc>
          <w:tcPr>
            <w:tcW w:w="2174" w:type="dxa"/>
            <w:vAlign w:val="bottom"/>
          </w:tcPr>
          <w:p>
            <w:pPr>
              <w:pStyle w:val="yTableNAm"/>
              <w:jc w:val="center"/>
              <w:rPr>
                <w:rFonts w:ascii="Arial" w:hAnsi="Arial"/>
                <w:b/>
              </w:rPr>
            </w:pPr>
            <w:r>
              <w:t>9.280</w:t>
            </w:r>
          </w:p>
        </w:tc>
      </w:tr>
      <w:tr>
        <w:trPr>
          <w:gridAfter w:val="1"/>
          <w:wAfter w:w="33" w:type="dxa"/>
          <w:cantSplit/>
        </w:trPr>
        <w:tc>
          <w:tcPr>
            <w:tcW w:w="2173" w:type="dxa"/>
          </w:tcPr>
          <w:p>
            <w:pPr>
              <w:pStyle w:val="yTableNAm"/>
            </w:pPr>
            <w:r>
              <w:rPr>
                <w:szCs w:val="22"/>
              </w:rPr>
              <w:t>Wyalkatchem</w:t>
            </w:r>
          </w:p>
        </w:tc>
        <w:tc>
          <w:tcPr>
            <w:tcW w:w="2173" w:type="dxa"/>
            <w:vAlign w:val="bottom"/>
          </w:tcPr>
          <w:p>
            <w:pPr>
              <w:pStyle w:val="yTableNAm"/>
              <w:jc w:val="center"/>
              <w:rPr>
                <w:rFonts w:ascii="Arial" w:hAnsi="Arial"/>
                <w:b/>
              </w:rPr>
            </w:pPr>
            <w:r>
              <w:t>8.741</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Wyndham</w:t>
            </w:r>
          </w:p>
        </w:tc>
        <w:tc>
          <w:tcPr>
            <w:tcW w:w="2173" w:type="dxa"/>
            <w:vAlign w:val="bottom"/>
          </w:tcPr>
          <w:p>
            <w:pPr>
              <w:pStyle w:val="yTableNAm"/>
              <w:jc w:val="center"/>
              <w:rPr>
                <w:rFonts w:ascii="Arial" w:hAnsi="Arial"/>
                <w:b/>
              </w:rPr>
            </w:pPr>
            <w:r>
              <w:t>8.952</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York</w:t>
            </w:r>
          </w:p>
        </w:tc>
        <w:tc>
          <w:tcPr>
            <w:tcW w:w="2173" w:type="dxa"/>
            <w:vAlign w:val="bottom"/>
          </w:tcPr>
          <w:p>
            <w:pPr>
              <w:pStyle w:val="yTableNAm"/>
              <w:jc w:val="center"/>
              <w:rPr>
                <w:rFonts w:ascii="Arial" w:hAnsi="Arial"/>
                <w:b/>
              </w:rPr>
            </w:pPr>
            <w:r>
              <w:t>9.193</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Borders>
              <w:bottom w:val="single" w:sz="4" w:space="0" w:color="auto"/>
            </w:tcBorders>
          </w:tcPr>
          <w:p>
            <w:pPr>
              <w:pStyle w:val="yTableNAm"/>
            </w:pPr>
            <w:r>
              <w:rPr>
                <w:szCs w:val="22"/>
              </w:rPr>
              <w:t>Yunderup</w:t>
            </w:r>
          </w:p>
        </w:tc>
        <w:tc>
          <w:tcPr>
            <w:tcW w:w="2173" w:type="dxa"/>
            <w:tcBorders>
              <w:bottom w:val="single" w:sz="4" w:space="0" w:color="auto"/>
            </w:tcBorders>
            <w:vAlign w:val="bottom"/>
          </w:tcPr>
          <w:p>
            <w:pPr>
              <w:pStyle w:val="yTableNAm"/>
              <w:jc w:val="center"/>
              <w:rPr>
                <w:rFonts w:ascii="Arial" w:hAnsi="Arial"/>
                <w:b/>
              </w:rPr>
            </w:pPr>
            <w:r>
              <w:t>6.486</w:t>
            </w:r>
          </w:p>
        </w:tc>
        <w:tc>
          <w:tcPr>
            <w:tcW w:w="2174" w:type="dxa"/>
            <w:tcBorders>
              <w:bottom w:val="single" w:sz="4" w:space="0" w:color="auto"/>
            </w:tcBorders>
            <w:vAlign w:val="bottom"/>
          </w:tcPr>
          <w:p>
            <w:pPr>
              <w:pStyle w:val="yTableNAm"/>
              <w:jc w:val="center"/>
              <w:rPr>
                <w:rFonts w:ascii="Arial" w:hAnsi="Arial"/>
                <w:b/>
              </w:rPr>
            </w:pPr>
            <w:r>
              <w:t>5.771</w:t>
            </w:r>
          </w:p>
        </w:tc>
      </w:tr>
    </w:tbl>
    <w:p>
      <w:pPr>
        <w:pStyle w:val="yFootnotesection"/>
      </w:pPr>
      <w:r>
        <w:tab/>
        <w:t>[Division 2 inserted in Gazette 19 Jun 2013 p. 2374-9.]</w:t>
      </w:r>
    </w:p>
    <w:p>
      <w:pPr>
        <w:pStyle w:val="yHeading3"/>
      </w:pPr>
      <w:bookmarkStart w:id="66" w:name="_Toc84424793"/>
      <w:r>
        <w:rPr>
          <w:rStyle w:val="CharSDivNo"/>
        </w:rPr>
        <w:t>Division 3</w:t>
      </w:r>
      <w:r>
        <w:t> — </w:t>
      </w:r>
      <w:r>
        <w:rPr>
          <w:rStyle w:val="CharSDivText"/>
        </w:rPr>
        <w:t>Variable charges</w:t>
      </w:r>
      <w:bookmarkEnd w:id="66"/>
    </w:p>
    <w:p>
      <w:pPr>
        <w:pStyle w:val="yFootnoteheading"/>
        <w:spacing w:after="120"/>
      </w:pPr>
      <w:r>
        <w:tab/>
        <w:t>[Heading inserted in Gazette 19 Jun 2013 p. 2379.]</w:t>
      </w:r>
    </w:p>
    <w:tbl>
      <w:tblPr>
        <w:tblW w:w="0" w:type="auto"/>
        <w:tblInd w:w="534" w:type="dxa"/>
        <w:tblLook w:val="0000" w:firstRow="0" w:lastRow="0" w:firstColumn="0" w:lastColumn="0" w:noHBand="0" w:noVBand="0"/>
      </w:tblPr>
      <w:tblGrid>
        <w:gridCol w:w="836"/>
        <w:gridCol w:w="4166"/>
        <w:gridCol w:w="1561"/>
      </w:tblGrid>
      <w:tr>
        <w:trPr>
          <w:cantSplit/>
        </w:trPr>
        <w:tc>
          <w:tcPr>
            <w:tcW w:w="850" w:type="dxa"/>
          </w:tcPr>
          <w:p>
            <w:pPr>
              <w:pStyle w:val="yTableNAm"/>
            </w:pPr>
            <w:r>
              <w:rPr>
                <w:b/>
              </w:rPr>
              <w:t>11.</w:t>
            </w:r>
          </w:p>
        </w:tc>
        <w:tc>
          <w:tcPr>
            <w:tcW w:w="5812" w:type="dxa"/>
            <w:gridSpan w:val="2"/>
          </w:tcPr>
          <w:p>
            <w:pPr>
              <w:pStyle w:val="yTableNAm"/>
            </w:pPr>
            <w:r>
              <w:rPr>
                <w:b/>
              </w:rPr>
              <w:t>Industrial waste discharged into a sewer of the Corporation pursuant to a permit</w:t>
            </w:r>
          </w:p>
        </w:tc>
      </w:tr>
      <w:tr>
        <w:trPr>
          <w:cantSplit/>
        </w:trPr>
        <w:tc>
          <w:tcPr>
            <w:tcW w:w="850" w:type="dxa"/>
          </w:tcPr>
          <w:p>
            <w:pPr>
              <w:pStyle w:val="zyTableNAm"/>
              <w:rPr>
                <w:szCs w:val="22"/>
              </w:rPr>
            </w:pPr>
          </w:p>
        </w:tc>
        <w:tc>
          <w:tcPr>
            <w:tcW w:w="4236" w:type="dxa"/>
          </w:tcPr>
          <w:p>
            <w:pPr>
              <w:pStyle w:val="yTableNAm"/>
            </w:pPr>
            <w:r>
              <w:t>For industrial waste discharged into a sewer of the Corporation pursuant to a permit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(a)</w:t>
            </w:r>
            <w:r>
              <w:rPr>
                <w:szCs w:val="22"/>
              </w:rPr>
              <w:tab/>
              <w:t xml:space="preserve">for volume </w:t>
            </w:r>
            <w:r>
              <w:rPr>
                <w:szCs w:val="22"/>
              </w:rPr>
              <w:tab/>
            </w:r>
          </w:p>
        </w:tc>
        <w:tc>
          <w:tcPr>
            <w:tcW w:w="1576" w:type="dxa"/>
            <w:vAlign w:val="bottom"/>
          </w:tcPr>
          <w:p>
            <w:pPr>
              <w:pStyle w:val="yTableNAm"/>
            </w:pPr>
            <w:r>
              <w:rPr>
                <w:szCs w:val="22"/>
              </w:rPr>
              <w:t>135.0 c/kL</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(b)</w:t>
            </w:r>
            <w:r>
              <w:rPr>
                <w:szCs w:val="22"/>
              </w:rPr>
              <w:tab/>
              <w:t xml:space="preserve">for B.O.D.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5 kg per kL </w:t>
            </w:r>
            <w:r>
              <w:rPr>
                <w:szCs w:val="22"/>
              </w:rPr>
              <w:tab/>
            </w:r>
          </w:p>
        </w:tc>
        <w:tc>
          <w:tcPr>
            <w:tcW w:w="1576" w:type="dxa"/>
            <w:vAlign w:val="bottom"/>
          </w:tcPr>
          <w:p>
            <w:pPr>
              <w:pStyle w:val="yTableNAm"/>
            </w:pPr>
            <w:r>
              <w:rPr>
                <w:szCs w:val="22"/>
              </w:rPr>
              <w:t>114.0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of over 5 kg per kL </w:t>
            </w:r>
            <w:r>
              <w:rPr>
                <w:szCs w:val="22"/>
              </w:rPr>
              <w:tab/>
            </w:r>
          </w:p>
        </w:tc>
        <w:tc>
          <w:tcPr>
            <w:tcW w:w="1576" w:type="dxa"/>
            <w:vAlign w:val="bottom"/>
          </w:tcPr>
          <w:p>
            <w:pPr>
              <w:pStyle w:val="yTableNAm"/>
            </w:pPr>
            <w:r>
              <w:rPr>
                <w:szCs w:val="22"/>
              </w:rPr>
              <w:t>231.0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(c)</w:t>
            </w:r>
            <w:r>
              <w:rPr>
                <w:szCs w:val="22"/>
              </w:rPr>
              <w:tab/>
              <w:t xml:space="preserve">for suspended solids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2 kg per kL </w:t>
            </w:r>
            <w:r>
              <w:rPr>
                <w:szCs w:val="22"/>
              </w:rPr>
              <w:tab/>
            </w:r>
          </w:p>
        </w:tc>
        <w:tc>
          <w:tcPr>
            <w:tcW w:w="1576" w:type="dxa"/>
            <w:vAlign w:val="bottom"/>
          </w:tcPr>
          <w:p>
            <w:pPr>
              <w:pStyle w:val="yTableNAm"/>
            </w:pPr>
            <w:r>
              <w:rPr>
                <w:szCs w:val="22"/>
              </w:rPr>
              <w:t>154.0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of over 2 kg per kL </w:t>
            </w:r>
            <w:r>
              <w:rPr>
                <w:szCs w:val="22"/>
              </w:rPr>
              <w:tab/>
            </w:r>
          </w:p>
        </w:tc>
        <w:tc>
          <w:tcPr>
            <w:tcW w:w="1576" w:type="dxa"/>
            <w:vAlign w:val="bottom"/>
          </w:tcPr>
          <w:p>
            <w:pPr>
              <w:pStyle w:val="yTableNAm"/>
            </w:pPr>
            <w:r>
              <w:rPr>
                <w:szCs w:val="22"/>
              </w:rPr>
              <w:t>310.0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(d)</w:t>
            </w:r>
            <w:r>
              <w:rPr>
                <w:szCs w:val="22"/>
              </w:rPr>
              <w:tab/>
              <w:t xml:space="preserve">for chemical oxygen demand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10 kg per kL </w:t>
            </w:r>
            <w:r>
              <w:rPr>
                <w:szCs w:val="22"/>
              </w:rPr>
              <w:tab/>
            </w:r>
          </w:p>
        </w:tc>
        <w:tc>
          <w:tcPr>
            <w:tcW w:w="1576" w:type="dxa"/>
            <w:vAlign w:val="bottom"/>
          </w:tcPr>
          <w:p>
            <w:pPr>
              <w:pStyle w:val="yTableNAm"/>
            </w:pPr>
            <w:r>
              <w:rPr>
                <w:szCs w:val="22"/>
              </w:rPr>
              <w:t>46.0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of over 10 kg per kL </w:t>
            </w:r>
            <w:r>
              <w:rPr>
                <w:szCs w:val="22"/>
              </w:rPr>
              <w:tab/>
            </w:r>
          </w:p>
        </w:tc>
        <w:tc>
          <w:tcPr>
            <w:tcW w:w="1576" w:type="dxa"/>
            <w:vAlign w:val="bottom"/>
          </w:tcPr>
          <w:p>
            <w:pPr>
              <w:pStyle w:val="yTableNAm"/>
            </w:pPr>
            <w:r>
              <w:rPr>
                <w:szCs w:val="22"/>
              </w:rPr>
              <w:t>93.0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(e)</w:t>
            </w:r>
            <w:r>
              <w:rPr>
                <w:szCs w:val="22"/>
              </w:rPr>
              <w:tab/>
              <w:t xml:space="preserve">for oil and grease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0.3 kg per kL </w:t>
            </w:r>
            <w:r>
              <w:rPr>
                <w:szCs w:val="22"/>
              </w:rPr>
              <w:tab/>
            </w:r>
          </w:p>
        </w:tc>
        <w:tc>
          <w:tcPr>
            <w:tcW w:w="1576" w:type="dxa"/>
            <w:vAlign w:val="bottom"/>
          </w:tcPr>
          <w:p>
            <w:pPr>
              <w:pStyle w:val="yTableNAm"/>
            </w:pPr>
            <w:r>
              <w:rPr>
                <w:szCs w:val="22"/>
              </w:rPr>
              <w:t>139.0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0.3 kg per kL but not over 0.6 kg per kL </w:t>
            </w:r>
            <w:r>
              <w:rPr>
                <w:szCs w:val="22"/>
              </w:rPr>
              <w:tab/>
            </w:r>
          </w:p>
        </w:tc>
        <w:tc>
          <w:tcPr>
            <w:tcW w:w="1576" w:type="dxa"/>
            <w:vAlign w:val="bottom"/>
          </w:tcPr>
          <w:p>
            <w:pPr>
              <w:pStyle w:val="yTableNAm"/>
            </w:pPr>
            <w:r>
              <w:rPr>
                <w:szCs w:val="22"/>
              </w:rPr>
              <w:t>275.0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0.6 kg per kL </w:t>
            </w:r>
            <w:r>
              <w:rPr>
                <w:szCs w:val="22"/>
              </w:rPr>
              <w:tab/>
            </w:r>
          </w:p>
        </w:tc>
        <w:tc>
          <w:tcPr>
            <w:tcW w:w="1576" w:type="dxa"/>
            <w:vAlign w:val="bottom"/>
          </w:tcPr>
          <w:p>
            <w:pPr>
              <w:pStyle w:val="yTableNAm"/>
            </w:pPr>
            <w:r>
              <w:rPr>
                <w:szCs w:val="22"/>
              </w:rPr>
              <w:t>551.0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(f)</w:t>
            </w:r>
            <w:r>
              <w:rPr>
                <w:szCs w:val="22"/>
              </w:rPr>
              <w:tab/>
              <w:t xml:space="preserve">for acidity (pH &lt; 6)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0.1 kg per kL </w:t>
            </w:r>
            <w:r>
              <w:rPr>
                <w:szCs w:val="22"/>
              </w:rPr>
              <w:tab/>
            </w:r>
          </w:p>
        </w:tc>
        <w:tc>
          <w:tcPr>
            <w:tcW w:w="1576" w:type="dxa"/>
            <w:vAlign w:val="bottom"/>
          </w:tcPr>
          <w:p>
            <w:pPr>
              <w:pStyle w:val="yTableNAm"/>
            </w:pPr>
            <w:r>
              <w:rPr>
                <w:szCs w:val="22"/>
              </w:rPr>
              <w:t>40.0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0.1 kg per kL but not over 0.3 kg per kL </w:t>
            </w:r>
            <w:r>
              <w:rPr>
                <w:szCs w:val="22"/>
              </w:rPr>
              <w:tab/>
            </w:r>
          </w:p>
        </w:tc>
        <w:tc>
          <w:tcPr>
            <w:tcW w:w="1576" w:type="dxa"/>
            <w:vAlign w:val="bottom"/>
          </w:tcPr>
          <w:p>
            <w:pPr>
              <w:pStyle w:val="yTableNAm"/>
            </w:pPr>
            <w:r>
              <w:rPr>
                <w:szCs w:val="22"/>
              </w:rPr>
              <w:t>81.0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0.3 kg per kL </w:t>
            </w:r>
            <w:r>
              <w:rPr>
                <w:szCs w:val="22"/>
              </w:rPr>
              <w:tab/>
            </w:r>
          </w:p>
        </w:tc>
        <w:tc>
          <w:tcPr>
            <w:tcW w:w="1576" w:type="dxa"/>
            <w:vAlign w:val="bottom"/>
          </w:tcPr>
          <w:p>
            <w:pPr>
              <w:pStyle w:val="yTableNAm"/>
            </w:pPr>
            <w:r>
              <w:rPr>
                <w:szCs w:val="22"/>
              </w:rPr>
              <w:t>160.0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(g)</w:t>
            </w:r>
            <w:r>
              <w:rPr>
                <w:szCs w:val="22"/>
              </w:rPr>
              <w:tab/>
              <w:t xml:space="preserve">for alkalinity (pH &gt; 10)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0.1 kg per kL </w:t>
            </w:r>
            <w:r>
              <w:rPr>
                <w:szCs w:val="22"/>
              </w:rPr>
              <w:tab/>
            </w:r>
          </w:p>
        </w:tc>
        <w:tc>
          <w:tcPr>
            <w:tcW w:w="1576" w:type="dxa"/>
            <w:vAlign w:val="bottom"/>
          </w:tcPr>
          <w:p>
            <w:pPr>
              <w:pStyle w:val="yTableNAm"/>
            </w:pPr>
            <w:r>
              <w:rPr>
                <w:szCs w:val="22"/>
              </w:rPr>
              <w:t>14.0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0.1 kg per kL but not over 0.2 kg per kL </w:t>
            </w:r>
            <w:r>
              <w:rPr>
                <w:szCs w:val="22"/>
              </w:rPr>
              <w:tab/>
            </w:r>
          </w:p>
        </w:tc>
        <w:tc>
          <w:tcPr>
            <w:tcW w:w="1576" w:type="dxa"/>
            <w:vAlign w:val="bottom"/>
          </w:tcPr>
          <w:p>
            <w:pPr>
              <w:pStyle w:val="yTableNAm"/>
            </w:pPr>
            <w:r>
              <w:rPr>
                <w:szCs w:val="22"/>
              </w:rPr>
              <w:t>30.0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0.2 kg per kL </w:t>
            </w:r>
            <w:r>
              <w:rPr>
                <w:szCs w:val="22"/>
              </w:rPr>
              <w:tab/>
            </w:r>
          </w:p>
        </w:tc>
        <w:tc>
          <w:tcPr>
            <w:tcW w:w="1576" w:type="dxa"/>
            <w:vAlign w:val="bottom"/>
          </w:tcPr>
          <w:p>
            <w:pPr>
              <w:pStyle w:val="yTableNAm"/>
            </w:pPr>
            <w:r>
              <w:rPr>
                <w:szCs w:val="22"/>
              </w:rPr>
              <w:t>58.0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(h)</w:t>
            </w:r>
            <w:r>
              <w:rPr>
                <w:szCs w:val="22"/>
              </w:rPr>
              <w:tab/>
              <w:t xml:space="preserve">for nitrogen </w:t>
            </w:r>
            <w:r>
              <w:rPr>
                <w:szCs w:val="22"/>
              </w:rPr>
              <w:tab/>
            </w:r>
          </w:p>
        </w:tc>
        <w:tc>
          <w:tcPr>
            <w:tcW w:w="1576" w:type="dxa"/>
            <w:vAlign w:val="bottom"/>
          </w:tcPr>
          <w:p>
            <w:pPr>
              <w:pStyle w:val="yTableNAm"/>
            </w:pPr>
            <w:r>
              <w:rPr>
                <w:szCs w:val="22"/>
              </w:rPr>
              <w:t>124.0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(i)</w:t>
            </w:r>
            <w:r>
              <w:rPr>
                <w:szCs w:val="22"/>
              </w:rPr>
              <w:tab/>
              <w:t xml:space="preserve">for phosphorus </w:t>
            </w:r>
            <w:r>
              <w:rPr>
                <w:szCs w:val="22"/>
              </w:rPr>
              <w:tab/>
            </w:r>
          </w:p>
        </w:tc>
        <w:tc>
          <w:tcPr>
            <w:tcW w:w="1576" w:type="dxa"/>
            <w:vAlign w:val="bottom"/>
          </w:tcPr>
          <w:p>
            <w:pPr>
              <w:pStyle w:val="yTableNAm"/>
            </w:pPr>
            <w:r>
              <w:rPr>
                <w:szCs w:val="22"/>
              </w:rPr>
              <w:t>36.0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(j)</w:t>
            </w:r>
            <w:r>
              <w:rPr>
                <w:szCs w:val="22"/>
              </w:rPr>
              <w:tab/>
              <w:t xml:space="preserve">for sulphate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0.05 kg per kL </w:t>
            </w:r>
            <w:r>
              <w:rPr>
                <w:szCs w:val="22"/>
              </w:rPr>
              <w:tab/>
            </w:r>
          </w:p>
        </w:tc>
        <w:tc>
          <w:tcPr>
            <w:tcW w:w="1576" w:type="dxa"/>
            <w:vAlign w:val="bottom"/>
          </w:tcPr>
          <w:p>
            <w:pPr>
              <w:pStyle w:val="yTableNAm"/>
            </w:pPr>
            <w:r>
              <w:rPr>
                <w:szCs w:val="22"/>
              </w:rPr>
              <w:t>no charge</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of over 0.05 kg per kL </w:t>
            </w:r>
            <w:r>
              <w:rPr>
                <w:szCs w:val="22"/>
              </w:rPr>
              <w:tab/>
            </w:r>
          </w:p>
        </w:tc>
        <w:tc>
          <w:tcPr>
            <w:tcW w:w="1576" w:type="dxa"/>
            <w:vAlign w:val="bottom"/>
          </w:tcPr>
          <w:p>
            <w:pPr>
              <w:pStyle w:val="yTableNAm"/>
            </w:pPr>
            <w:r>
              <w:rPr>
                <w:szCs w:val="22"/>
              </w:rPr>
              <w:t>65.0 c/kg</w:t>
            </w:r>
          </w:p>
        </w:tc>
      </w:tr>
      <w:tr>
        <w:trPr>
          <w:cantSplit/>
        </w:trPr>
        <w:tc>
          <w:tcPr>
            <w:tcW w:w="850" w:type="dxa"/>
          </w:tcPr>
          <w:p>
            <w:pPr>
              <w:pStyle w:val="zyTableNAm"/>
              <w:keepNext/>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(k)</w:t>
            </w:r>
            <w:r>
              <w:rPr>
                <w:szCs w:val="22"/>
              </w:rPr>
              <w:tab/>
              <w:t xml:space="preserve">for total dissolved salts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1 kg per kL </w:t>
            </w:r>
            <w:r>
              <w:rPr>
                <w:szCs w:val="22"/>
              </w:rPr>
              <w:tab/>
            </w:r>
          </w:p>
        </w:tc>
        <w:tc>
          <w:tcPr>
            <w:tcW w:w="1576" w:type="dxa"/>
            <w:vAlign w:val="bottom"/>
          </w:tcPr>
          <w:p>
            <w:pPr>
              <w:pStyle w:val="yTableNAm"/>
            </w:pPr>
            <w:r>
              <w:rPr>
                <w:szCs w:val="22"/>
              </w:rPr>
              <w:t>no charge</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1 kg per kL but not over 3 kg per kL </w:t>
            </w:r>
            <w:r>
              <w:rPr>
                <w:szCs w:val="22"/>
              </w:rPr>
              <w:tab/>
            </w:r>
          </w:p>
        </w:tc>
        <w:tc>
          <w:tcPr>
            <w:tcW w:w="1576" w:type="dxa"/>
            <w:vAlign w:val="bottom"/>
          </w:tcPr>
          <w:p>
            <w:pPr>
              <w:pStyle w:val="yTableNAm"/>
            </w:pPr>
            <w:r>
              <w:rPr>
                <w:szCs w:val="22"/>
              </w:rPr>
              <w:t>0.1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over 3 kg per kL but not over 6 kg per kL </w:t>
            </w:r>
            <w:r>
              <w:rPr>
                <w:szCs w:val="22"/>
              </w:rPr>
              <w:tab/>
            </w:r>
          </w:p>
        </w:tc>
        <w:tc>
          <w:tcPr>
            <w:tcW w:w="1576" w:type="dxa"/>
            <w:vAlign w:val="bottom"/>
          </w:tcPr>
          <w:p>
            <w:pPr>
              <w:pStyle w:val="yTableNAm"/>
            </w:pPr>
            <w:r>
              <w:rPr>
                <w:szCs w:val="22"/>
              </w:rPr>
              <w:t>3.8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(iv)</w:t>
            </w:r>
            <w:r>
              <w:rPr>
                <w:szCs w:val="22"/>
              </w:rPr>
              <w:tab/>
              <w:t xml:space="preserve">with a concentration of over 6 kg per kL </w:t>
            </w:r>
            <w:r>
              <w:rPr>
                <w:szCs w:val="22"/>
              </w:rPr>
              <w:tab/>
            </w:r>
          </w:p>
        </w:tc>
        <w:tc>
          <w:tcPr>
            <w:tcW w:w="1576" w:type="dxa"/>
            <w:vAlign w:val="bottom"/>
          </w:tcPr>
          <w:p>
            <w:pPr>
              <w:pStyle w:val="yTableNAm"/>
            </w:pPr>
            <w:r>
              <w:rPr>
                <w:szCs w:val="22"/>
              </w:rPr>
              <w:t>13.1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(l)</w:t>
            </w:r>
            <w:r>
              <w:rPr>
                <w:szCs w:val="22"/>
              </w:rPr>
              <w:tab/>
              <w:t xml:space="preserve">for chromium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0.03 kg per day but not over 1 kg per day </w:t>
            </w:r>
            <w:r>
              <w:rPr>
                <w:szCs w:val="22"/>
              </w:rPr>
              <w:tab/>
            </w:r>
          </w:p>
        </w:tc>
        <w:tc>
          <w:tcPr>
            <w:tcW w:w="1576" w:type="dxa"/>
            <w:vAlign w:val="bottom"/>
          </w:tcPr>
          <w:p>
            <w:pPr>
              <w:pStyle w:val="yTableNAm"/>
            </w:pPr>
            <w:r>
              <w:rPr>
                <w:szCs w:val="22"/>
              </w:rPr>
              <w:t>2045.0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1 kg per day </w:t>
            </w:r>
            <w:r>
              <w:rPr>
                <w:szCs w:val="22"/>
              </w:rPr>
              <w:tab/>
            </w:r>
          </w:p>
        </w:tc>
        <w:tc>
          <w:tcPr>
            <w:tcW w:w="1576" w:type="dxa"/>
            <w:vAlign w:val="bottom"/>
          </w:tcPr>
          <w:p>
            <w:pPr>
              <w:pStyle w:val="yTableNAm"/>
            </w:pPr>
            <w:r>
              <w:rPr>
                <w:szCs w:val="22"/>
              </w:rPr>
              <w:t>8190.0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(m)</w:t>
            </w:r>
            <w:r>
              <w:rPr>
                <w:szCs w:val="22"/>
              </w:rPr>
              <w:tab/>
              <w:t xml:space="preserve">for copper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0.03 kg per day but not over 0.12 kg per day </w:t>
            </w:r>
            <w:r>
              <w:rPr>
                <w:szCs w:val="22"/>
              </w:rPr>
              <w:tab/>
            </w:r>
          </w:p>
        </w:tc>
        <w:tc>
          <w:tcPr>
            <w:tcW w:w="1576" w:type="dxa"/>
            <w:vAlign w:val="bottom"/>
          </w:tcPr>
          <w:p>
            <w:pPr>
              <w:pStyle w:val="yTableNAm"/>
            </w:pPr>
            <w:r>
              <w:rPr>
                <w:szCs w:val="22"/>
              </w:rPr>
              <w:t>2045.0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0.12 kg per day </w:t>
            </w:r>
            <w:r>
              <w:rPr>
                <w:szCs w:val="22"/>
              </w:rPr>
              <w:tab/>
            </w:r>
          </w:p>
        </w:tc>
        <w:tc>
          <w:tcPr>
            <w:tcW w:w="1576" w:type="dxa"/>
            <w:vAlign w:val="bottom"/>
          </w:tcPr>
          <w:p>
            <w:pPr>
              <w:pStyle w:val="yTableNAm"/>
            </w:pPr>
            <w:r>
              <w:rPr>
                <w:szCs w:val="22"/>
              </w:rPr>
              <w:t>8190.0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(n)</w:t>
            </w:r>
            <w:r>
              <w:rPr>
                <w:szCs w:val="22"/>
              </w:rPr>
              <w:tab/>
              <w:t xml:space="preserve">for lead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0.03 kg per day but not over 0.3 kg per day </w:t>
            </w:r>
            <w:r>
              <w:rPr>
                <w:szCs w:val="22"/>
              </w:rPr>
              <w:tab/>
            </w:r>
          </w:p>
        </w:tc>
        <w:tc>
          <w:tcPr>
            <w:tcW w:w="1576" w:type="dxa"/>
            <w:vAlign w:val="bottom"/>
          </w:tcPr>
          <w:p>
            <w:pPr>
              <w:pStyle w:val="yTableNAm"/>
            </w:pPr>
            <w:r>
              <w:rPr>
                <w:szCs w:val="22"/>
              </w:rPr>
              <w:t>2045.0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0.3 kg per day </w:t>
            </w:r>
            <w:r>
              <w:rPr>
                <w:szCs w:val="22"/>
              </w:rPr>
              <w:tab/>
            </w:r>
          </w:p>
        </w:tc>
        <w:tc>
          <w:tcPr>
            <w:tcW w:w="1576" w:type="dxa"/>
            <w:vAlign w:val="bottom"/>
          </w:tcPr>
          <w:p>
            <w:pPr>
              <w:pStyle w:val="yTableNAm"/>
            </w:pPr>
            <w:r>
              <w:rPr>
                <w:szCs w:val="22"/>
              </w:rPr>
              <w:t>8190.0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(o)</w:t>
            </w:r>
            <w:r>
              <w:rPr>
                <w:szCs w:val="22"/>
              </w:rPr>
              <w:tab/>
              <w:t xml:space="preserve">for nickel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0.006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0.006 kg per day but not over 0.15 kg per day </w:t>
            </w:r>
            <w:r>
              <w:rPr>
                <w:szCs w:val="22"/>
              </w:rPr>
              <w:tab/>
            </w:r>
          </w:p>
        </w:tc>
        <w:tc>
          <w:tcPr>
            <w:tcW w:w="1576" w:type="dxa"/>
            <w:vAlign w:val="bottom"/>
          </w:tcPr>
          <w:p>
            <w:pPr>
              <w:pStyle w:val="yTableNAm"/>
            </w:pPr>
            <w:r>
              <w:rPr>
                <w:szCs w:val="22"/>
              </w:rPr>
              <w:t>2045.0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0.15 kg per day </w:t>
            </w:r>
            <w:r>
              <w:rPr>
                <w:szCs w:val="22"/>
              </w:rPr>
              <w:tab/>
            </w:r>
          </w:p>
        </w:tc>
        <w:tc>
          <w:tcPr>
            <w:tcW w:w="1576" w:type="dxa"/>
            <w:vAlign w:val="bottom"/>
          </w:tcPr>
          <w:p>
            <w:pPr>
              <w:pStyle w:val="yTableNAm"/>
            </w:pPr>
            <w:r>
              <w:rPr>
                <w:szCs w:val="22"/>
              </w:rPr>
              <w:t>8190.0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(p)</w:t>
            </w:r>
            <w:r>
              <w:rPr>
                <w:szCs w:val="22"/>
              </w:rPr>
              <w:tab/>
              <w:t xml:space="preserve">for zinc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0.05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0.05 kg per day but not over 0.5 kg per day </w:t>
            </w:r>
            <w:r>
              <w:rPr>
                <w:szCs w:val="22"/>
              </w:rPr>
              <w:tab/>
            </w:r>
          </w:p>
        </w:tc>
        <w:tc>
          <w:tcPr>
            <w:tcW w:w="1576" w:type="dxa"/>
            <w:vAlign w:val="bottom"/>
          </w:tcPr>
          <w:p>
            <w:pPr>
              <w:pStyle w:val="yTableNAm"/>
            </w:pPr>
            <w:r>
              <w:rPr>
                <w:szCs w:val="22"/>
              </w:rPr>
              <w:t>2045.0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0.5 kg per day </w:t>
            </w:r>
            <w:r>
              <w:rPr>
                <w:szCs w:val="22"/>
              </w:rPr>
              <w:tab/>
            </w:r>
          </w:p>
        </w:tc>
        <w:tc>
          <w:tcPr>
            <w:tcW w:w="1576" w:type="dxa"/>
            <w:vAlign w:val="bottom"/>
          </w:tcPr>
          <w:p>
            <w:pPr>
              <w:pStyle w:val="yTableNAm"/>
            </w:pPr>
            <w:r>
              <w:rPr>
                <w:szCs w:val="22"/>
              </w:rPr>
              <w:t>8190.0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(q)</w:t>
            </w:r>
            <w:r>
              <w:rPr>
                <w:szCs w:val="22"/>
              </w:rPr>
              <w:tab/>
              <w:t xml:space="preserve">for arsenic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0.001 kg per day but not over 0.04 kg per day </w:t>
            </w:r>
            <w:r>
              <w:rPr>
                <w:szCs w:val="22"/>
              </w:rPr>
              <w:tab/>
            </w:r>
          </w:p>
        </w:tc>
        <w:tc>
          <w:tcPr>
            <w:tcW w:w="1576" w:type="dxa"/>
            <w:vAlign w:val="bottom"/>
          </w:tcPr>
          <w:p>
            <w:pPr>
              <w:pStyle w:val="yTableNAm"/>
            </w:pPr>
            <w:r>
              <w:rPr>
                <w:szCs w:val="22"/>
              </w:rPr>
              <w:t>10235.0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0.04 kg per day </w:t>
            </w:r>
            <w:r>
              <w:rPr>
                <w:szCs w:val="22"/>
              </w:rPr>
              <w:tab/>
            </w:r>
          </w:p>
        </w:tc>
        <w:tc>
          <w:tcPr>
            <w:tcW w:w="1576" w:type="dxa"/>
            <w:vAlign w:val="bottom"/>
          </w:tcPr>
          <w:p>
            <w:pPr>
              <w:pStyle w:val="yTableNAm"/>
            </w:pPr>
            <w:r>
              <w:rPr>
                <w:szCs w:val="22"/>
              </w:rPr>
              <w:t>102345.0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(r)</w:t>
            </w:r>
            <w:r>
              <w:rPr>
                <w:szCs w:val="22"/>
              </w:rPr>
              <w:tab/>
              <w:t xml:space="preserve">for cadmium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0.001 kg per day but not over 0.015 kg per day </w:t>
            </w:r>
            <w:r>
              <w:rPr>
                <w:szCs w:val="22"/>
              </w:rPr>
              <w:tab/>
            </w:r>
          </w:p>
        </w:tc>
        <w:tc>
          <w:tcPr>
            <w:tcW w:w="1576" w:type="dxa"/>
            <w:vAlign w:val="bottom"/>
          </w:tcPr>
          <w:p>
            <w:pPr>
              <w:pStyle w:val="yTableNAm"/>
            </w:pPr>
            <w:r>
              <w:rPr>
                <w:szCs w:val="22"/>
              </w:rPr>
              <w:t>10235.0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0.015 kg per day </w:t>
            </w:r>
            <w:r>
              <w:rPr>
                <w:szCs w:val="22"/>
              </w:rPr>
              <w:tab/>
            </w:r>
          </w:p>
        </w:tc>
        <w:tc>
          <w:tcPr>
            <w:tcW w:w="1576" w:type="dxa"/>
            <w:vAlign w:val="bottom"/>
          </w:tcPr>
          <w:p>
            <w:pPr>
              <w:pStyle w:val="yTableNAm"/>
            </w:pPr>
            <w:r>
              <w:rPr>
                <w:szCs w:val="22"/>
              </w:rPr>
              <w:t>102345.0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(s)</w:t>
            </w:r>
            <w:r>
              <w:rPr>
                <w:szCs w:val="22"/>
              </w:rPr>
              <w:tab/>
              <w:t xml:space="preserve">for molybdenum or selenium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0.001 kg per day but not over 0.02 kg per day </w:t>
            </w:r>
            <w:r>
              <w:rPr>
                <w:szCs w:val="22"/>
              </w:rPr>
              <w:tab/>
            </w:r>
          </w:p>
        </w:tc>
        <w:tc>
          <w:tcPr>
            <w:tcW w:w="1576" w:type="dxa"/>
            <w:vAlign w:val="bottom"/>
          </w:tcPr>
          <w:p>
            <w:pPr>
              <w:pStyle w:val="yTableNAm"/>
            </w:pPr>
            <w:r>
              <w:rPr>
                <w:szCs w:val="22"/>
              </w:rPr>
              <w:t>10235.0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0.02 kg per day </w:t>
            </w:r>
            <w:r>
              <w:rPr>
                <w:szCs w:val="22"/>
              </w:rPr>
              <w:tab/>
            </w:r>
          </w:p>
        </w:tc>
        <w:tc>
          <w:tcPr>
            <w:tcW w:w="1576" w:type="dxa"/>
            <w:vAlign w:val="bottom"/>
          </w:tcPr>
          <w:p>
            <w:pPr>
              <w:pStyle w:val="yTableNAm"/>
            </w:pPr>
            <w:r>
              <w:rPr>
                <w:szCs w:val="22"/>
              </w:rPr>
              <w:t>102345.0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(t)</w:t>
            </w:r>
            <w:r>
              <w:rPr>
                <w:szCs w:val="22"/>
              </w:rPr>
              <w:tab/>
              <w:t xml:space="preserve">for silver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0.002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0.002 kg per day but not over 0.01 kg per day </w:t>
            </w:r>
            <w:r>
              <w:rPr>
                <w:szCs w:val="22"/>
              </w:rPr>
              <w:tab/>
            </w:r>
          </w:p>
        </w:tc>
        <w:tc>
          <w:tcPr>
            <w:tcW w:w="1576" w:type="dxa"/>
            <w:vAlign w:val="bottom"/>
          </w:tcPr>
          <w:p>
            <w:pPr>
              <w:pStyle w:val="yTableNAm"/>
            </w:pPr>
            <w:r>
              <w:rPr>
                <w:szCs w:val="22"/>
              </w:rPr>
              <w:t>10235.0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0.01 kg per day </w:t>
            </w:r>
            <w:r>
              <w:rPr>
                <w:szCs w:val="22"/>
              </w:rPr>
              <w:tab/>
            </w:r>
          </w:p>
        </w:tc>
        <w:tc>
          <w:tcPr>
            <w:tcW w:w="1576" w:type="dxa"/>
            <w:vAlign w:val="bottom"/>
          </w:tcPr>
          <w:p>
            <w:pPr>
              <w:pStyle w:val="yTableNAm"/>
            </w:pPr>
            <w:r>
              <w:rPr>
                <w:szCs w:val="22"/>
              </w:rPr>
              <w:t>102345.0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(u)</w:t>
            </w:r>
            <w:r>
              <w:rPr>
                <w:szCs w:val="22"/>
              </w:rPr>
              <w:tab/>
              <w:t xml:space="preserve">for mercury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0.0001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0.0001 kg per day but not over 0.001 kg per day </w:t>
            </w:r>
            <w:r>
              <w:rPr>
                <w:szCs w:val="22"/>
              </w:rPr>
              <w:tab/>
            </w:r>
          </w:p>
        </w:tc>
        <w:tc>
          <w:tcPr>
            <w:tcW w:w="1576" w:type="dxa"/>
            <w:vAlign w:val="bottom"/>
          </w:tcPr>
          <w:p>
            <w:pPr>
              <w:pStyle w:val="yTableNAm"/>
            </w:pPr>
            <w:r>
              <w:rPr>
                <w:szCs w:val="22"/>
              </w:rPr>
              <w:t>102345.0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0.001 kg per day </w:t>
            </w:r>
            <w:r>
              <w:rPr>
                <w:szCs w:val="22"/>
              </w:rPr>
              <w:tab/>
            </w:r>
          </w:p>
        </w:tc>
        <w:tc>
          <w:tcPr>
            <w:tcW w:w="1576" w:type="dxa"/>
            <w:vAlign w:val="bottom"/>
          </w:tcPr>
          <w:p>
            <w:pPr>
              <w:pStyle w:val="yTableNAm"/>
            </w:pPr>
            <w:r>
              <w:rPr>
                <w:szCs w:val="22"/>
              </w:rPr>
              <w:t>767615.0 c/kg</w:t>
            </w:r>
          </w:p>
        </w:tc>
      </w:tr>
      <w:tr>
        <w:trPr>
          <w:cantSplit/>
        </w:trPr>
        <w:tc>
          <w:tcPr>
            <w:tcW w:w="850" w:type="dxa"/>
          </w:tcPr>
          <w:p>
            <w:pPr>
              <w:pStyle w:val="yTableNAm"/>
            </w:pPr>
            <w:r>
              <w:rPr>
                <w:b/>
                <w:bCs/>
              </w:rPr>
              <w:t>12.</w:t>
            </w:r>
          </w:p>
        </w:tc>
        <w:tc>
          <w:tcPr>
            <w:tcW w:w="5812" w:type="dxa"/>
            <w:gridSpan w:val="2"/>
          </w:tcPr>
          <w:p>
            <w:pPr>
              <w:pStyle w:val="yTableNAm"/>
            </w:pPr>
            <w:r>
              <w:rPr>
                <w:b/>
                <w:bCs/>
              </w:rPr>
              <w:t>Effluent discharged from a septic tank effluent pumping system into a sewer of the Corporation</w:t>
            </w:r>
          </w:p>
        </w:tc>
      </w:tr>
      <w:tr>
        <w:trPr>
          <w:cantSplit/>
        </w:trPr>
        <w:tc>
          <w:tcPr>
            <w:tcW w:w="850" w:type="dxa"/>
          </w:tcPr>
          <w:p>
            <w:pPr>
              <w:pStyle w:val="yTableNAm"/>
              <w:widowControl w:val="0"/>
              <w:rPr>
                <w:szCs w:val="22"/>
              </w:rPr>
            </w:pPr>
          </w:p>
        </w:tc>
        <w:tc>
          <w:tcPr>
            <w:tcW w:w="4236" w:type="dxa"/>
          </w:tcPr>
          <w:p>
            <w:pPr>
              <w:pStyle w:val="yTableNAm"/>
              <w:widowControl w:val="0"/>
              <w:tabs>
                <w:tab w:val="right" w:leader="dot" w:pos="5103"/>
              </w:tabs>
              <w:rPr>
                <w:szCs w:val="22"/>
              </w:rPr>
            </w:pPr>
            <w:r>
              <w:rPr>
                <w:szCs w:val="22"/>
              </w:rPr>
              <w:t xml:space="preserve">For effluent discharged from a septic tank effluent pumping system into a sewer of the Corporation </w:t>
            </w:r>
            <w:r>
              <w:rPr>
                <w:szCs w:val="22"/>
              </w:rPr>
              <w:tab/>
            </w:r>
          </w:p>
        </w:tc>
        <w:tc>
          <w:tcPr>
            <w:tcW w:w="1576" w:type="dxa"/>
            <w:vAlign w:val="bottom"/>
          </w:tcPr>
          <w:p>
            <w:pPr>
              <w:pStyle w:val="yTableNAm"/>
              <w:widowControl w:val="0"/>
              <w:rPr>
                <w:szCs w:val="22"/>
              </w:rPr>
            </w:pPr>
            <w:r>
              <w:rPr>
                <w:szCs w:val="22"/>
              </w:rPr>
              <w:t>155.0 c/kL</w:t>
            </w:r>
          </w:p>
        </w:tc>
      </w:tr>
      <w:tr>
        <w:trPr>
          <w:cantSplit/>
        </w:trPr>
        <w:tc>
          <w:tcPr>
            <w:tcW w:w="850" w:type="dxa"/>
          </w:tcPr>
          <w:p>
            <w:pPr>
              <w:pStyle w:val="yTableNAm"/>
            </w:pPr>
            <w:r>
              <w:rPr>
                <w:b/>
                <w:bCs/>
              </w:rPr>
              <w:t>13A.</w:t>
            </w:r>
          </w:p>
        </w:tc>
        <w:tc>
          <w:tcPr>
            <w:tcW w:w="5812" w:type="dxa"/>
            <w:gridSpan w:val="2"/>
          </w:tcPr>
          <w:p>
            <w:pPr>
              <w:pStyle w:val="yTableNAm"/>
            </w:pPr>
            <w:r>
              <w:rPr>
                <w:b/>
                <w:bCs/>
              </w:rPr>
              <w:t>Industrial waste discharged from an open area</w:t>
            </w:r>
          </w:p>
        </w:tc>
      </w:tr>
      <w:tr>
        <w:trPr>
          <w:cantSplit/>
        </w:trPr>
        <w:tc>
          <w:tcPr>
            <w:tcW w:w="850" w:type="dxa"/>
          </w:tcPr>
          <w:p>
            <w:pPr>
              <w:pStyle w:val="yTableNAm"/>
              <w:keepNext/>
              <w:keepLines/>
              <w:widowControl w:val="0"/>
              <w:rPr>
                <w:szCs w:val="22"/>
              </w:rPr>
            </w:pPr>
          </w:p>
        </w:tc>
        <w:tc>
          <w:tcPr>
            <w:tcW w:w="4236" w:type="dxa"/>
          </w:tcPr>
          <w:p>
            <w:pPr>
              <w:pStyle w:val="yTableNAm"/>
              <w:widowControl w:val="0"/>
              <w:tabs>
                <w:tab w:val="right" w:leader="dot" w:pos="5103"/>
              </w:tabs>
              <w:rPr>
                <w:rFonts w:ascii="Arial" w:hAnsi="Arial"/>
                <w:b/>
              </w:rPr>
            </w:pPr>
            <w:r>
              <w:t xml:space="preserve">Discharge of industrial waste from an open area pursuant to permit that has effect for the period of 12 months commencing on the day of issue or renewal of the </w:t>
            </w:r>
            <w:r>
              <w:rPr>
                <w:szCs w:val="22"/>
              </w:rPr>
              <w:t>permit</w:t>
            </w:r>
            <w:r>
              <w:tab/>
            </w:r>
          </w:p>
        </w:tc>
        <w:tc>
          <w:tcPr>
            <w:tcW w:w="1576" w:type="dxa"/>
            <w:vAlign w:val="bottom"/>
          </w:tcPr>
          <w:p>
            <w:pPr>
              <w:pStyle w:val="yTableNAm"/>
            </w:pPr>
            <w:r>
              <w:br/>
            </w:r>
            <w:r>
              <w:br/>
            </w:r>
            <w:r>
              <w:br/>
              <w:t>$1.45/square meter of the open area</w:t>
            </w:r>
          </w:p>
        </w:tc>
      </w:tr>
    </w:tbl>
    <w:p>
      <w:pPr>
        <w:pStyle w:val="yFootnotesection"/>
      </w:pPr>
      <w:r>
        <w:tab/>
        <w:t>[Division 3 inserted in Gazette 19 Jun 2013 p. 2379-84.]</w:t>
      </w:r>
    </w:p>
    <w:p>
      <w:pPr>
        <w:pStyle w:val="yHeading3"/>
      </w:pPr>
      <w:bookmarkStart w:id="67" w:name="_Toc84424794"/>
      <w:r>
        <w:rPr>
          <w:rStyle w:val="CharSDivNo"/>
        </w:rPr>
        <w:t>Division 4</w:t>
      </w:r>
      <w:r>
        <w:t> — </w:t>
      </w:r>
      <w:r>
        <w:rPr>
          <w:rStyle w:val="CharSDivText"/>
        </w:rPr>
        <w:t>Metropolitan combined charges</w:t>
      </w:r>
      <w:bookmarkEnd w:id="67"/>
    </w:p>
    <w:p>
      <w:pPr>
        <w:pStyle w:val="yFootnoteheading"/>
        <w:spacing w:after="120"/>
      </w:pPr>
      <w:r>
        <w:tab/>
        <w:t>[Heading inserted in Gazette 19 Jun 2013 p. 2384.]</w:t>
      </w:r>
    </w:p>
    <w:p>
      <w:pPr>
        <w:pStyle w:val="yMiscellaneousBody"/>
        <w:tabs>
          <w:tab w:val="left" w:pos="709"/>
        </w:tabs>
        <w:ind w:left="714" w:hanging="714"/>
      </w:pPr>
      <w:r>
        <w:rPr>
          <w:b/>
          <w:bCs/>
        </w:rPr>
        <w:lastRenderedPageBreak/>
        <w:t>13.</w:t>
      </w:r>
      <w:r>
        <w:rPr>
          <w:b/>
          <w:bCs/>
        </w:rPr>
        <w:tab/>
        <w:t>Metropolitan non</w:t>
      </w:r>
      <w:r>
        <w:rPr>
          <w:b/>
          <w:bCs/>
        </w:rPr>
        <w:noBreakHyphen/>
        <w:t>residential (other than vacant land)</w:t>
      </w:r>
    </w:p>
    <w:p>
      <w:pPr>
        <w:pStyle w:val="yMiscellaneousBody"/>
        <w:tabs>
          <w:tab w:val="left" w:pos="798"/>
        </w:tabs>
        <w:ind w:left="784" w:hanging="784"/>
      </w:pPr>
      <w:r>
        <w:tab/>
        <w:t xml:space="preserve">In respect of </w:t>
      </w:r>
      <w:r>
        <w:rPr>
          <w:snapToGrid w:val="0"/>
        </w:rPr>
        <w:t>land</w:t>
      </w:r>
      <w:r>
        <w:t xml:space="preserve"> in the metropolitan area that is not — </w:t>
      </w:r>
    </w:p>
    <w:p>
      <w:pPr>
        <w:pStyle w:val="yMiscellaneousBody"/>
        <w:tabs>
          <w:tab w:val="left" w:pos="993"/>
          <w:tab w:val="left" w:pos="1560"/>
        </w:tabs>
        <w:ind w:left="1560" w:hanging="1560"/>
      </w:pPr>
      <w:r>
        <w:tab/>
        <w:t>(a)</w:t>
      </w:r>
      <w:r>
        <w:tab/>
        <w:t>comprised in a residential property; and</w:t>
      </w:r>
    </w:p>
    <w:p>
      <w:pPr>
        <w:pStyle w:val="yMiscellaneousBody"/>
        <w:tabs>
          <w:tab w:val="left" w:pos="993"/>
          <w:tab w:val="left" w:pos="1560"/>
        </w:tabs>
        <w:ind w:left="1560" w:hanging="1560"/>
      </w:pPr>
      <w:r>
        <w:tab/>
        <w:t>(b)</w:t>
      </w:r>
      <w:r>
        <w:tab/>
        <w:t>referred to in item 1, 3, 4, 5, 14, 15 or 16,</w:t>
      </w:r>
    </w:p>
    <w:p>
      <w:pPr>
        <w:pStyle w:val="yMiscellaneousBody"/>
        <w:tabs>
          <w:tab w:val="left" w:pos="798"/>
        </w:tabs>
        <w:ind w:left="784" w:hanging="784"/>
      </w:pPr>
      <w:r>
        <w:tab/>
        <w:t xml:space="preserve">the charge is calculated in accordance with the following formula — </w:t>
      </w:r>
    </w:p>
    <w:p>
      <w:pPr>
        <w:pStyle w:val="yMiscellaneousBody"/>
        <w:tabs>
          <w:tab w:val="left" w:pos="1418"/>
        </w:tabs>
        <w:ind w:left="1418" w:hanging="1418"/>
      </w:pPr>
      <w:r>
        <w:tab/>
        <w:t>If (</w:t>
      </w:r>
      <w:r>
        <w:rPr>
          <w:b/>
        </w:rPr>
        <w:t>P</w:t>
      </w:r>
      <w:r>
        <w:t xml:space="preserve"> + </w:t>
      </w:r>
      <w:r>
        <w:rPr>
          <w:b/>
        </w:rPr>
        <w:t>Q</w:t>
      </w:r>
      <w:r>
        <w:t xml:space="preserve">) </w:t>
      </w:r>
      <w:r>
        <w:sym w:font="Symbol" w:char="F0A3"/>
      </w:r>
      <w:r>
        <w:t xml:space="preserve"> </w:t>
      </w:r>
      <w:r>
        <w:rPr>
          <w:b/>
        </w:rPr>
        <w:t>R</w:t>
      </w:r>
      <w:r>
        <w:t xml:space="preserve">, then — </w:t>
      </w:r>
    </w:p>
    <w:p>
      <w:pPr>
        <w:pStyle w:val="yMiscellaneousBody"/>
        <w:tabs>
          <w:tab w:val="left" w:pos="1418"/>
        </w:tabs>
        <w:ind w:left="1418" w:hanging="1418"/>
      </w:pPr>
      <w:r>
        <w:tab/>
      </w:r>
      <w:r>
        <w:rPr>
          <w:b/>
        </w:rPr>
        <w:t>P</w:t>
      </w:r>
      <w:r>
        <w:t xml:space="preserve"> + </w:t>
      </w:r>
      <w:r>
        <w:rPr>
          <w:b/>
        </w:rPr>
        <w:t>Q</w:t>
      </w:r>
    </w:p>
    <w:p>
      <w:pPr>
        <w:pStyle w:val="yMiscellaneousBody"/>
        <w:tabs>
          <w:tab w:val="left" w:pos="1418"/>
        </w:tabs>
        <w:ind w:left="1418" w:hanging="1418"/>
      </w:pPr>
      <w:r>
        <w:tab/>
        <w:t xml:space="preserve">or if — </w:t>
      </w:r>
    </w:p>
    <w:p>
      <w:pPr>
        <w:pStyle w:val="yMiscellaneousBody"/>
        <w:tabs>
          <w:tab w:val="left" w:pos="1985"/>
        </w:tabs>
        <w:ind w:left="1985" w:hanging="1985"/>
      </w:pPr>
      <w:r>
        <w:tab/>
        <w:t>(</w:t>
      </w:r>
      <w:r>
        <w:rPr>
          <w:b/>
        </w:rPr>
        <w:t>P</w:t>
      </w:r>
      <w:r>
        <w:t xml:space="preserve"> + </w:t>
      </w:r>
      <w:r>
        <w:rPr>
          <w:b/>
        </w:rPr>
        <w:t>Q</w:t>
      </w:r>
      <w:r>
        <w:t xml:space="preserve">) &gt; </w:t>
      </w:r>
      <w:r>
        <w:rPr>
          <w:b/>
        </w:rPr>
        <w:t>R</w:t>
      </w:r>
      <w:r>
        <w:t>; and</w:t>
      </w:r>
    </w:p>
    <w:p>
      <w:pPr>
        <w:pStyle w:val="yMiscellaneousBody"/>
        <w:tabs>
          <w:tab w:val="left" w:pos="1985"/>
        </w:tabs>
        <w:ind w:left="1985" w:hanging="1985"/>
      </w:pPr>
      <w:r>
        <w:tab/>
      </w:r>
      <w:r>
        <w:rPr>
          <w:b/>
        </w:rPr>
        <w:t>N</w:t>
      </w:r>
      <w:r>
        <w:t xml:space="preserve"> </w:t>
      </w:r>
      <w:r>
        <w:sym w:font="Symbol" w:char="F0A3"/>
      </w:r>
      <w:r>
        <w:t xml:space="preserve"> </w:t>
      </w:r>
      <w:r>
        <w:rPr>
          <w:b/>
        </w:rPr>
        <w:t>W</w:t>
      </w:r>
      <w:r>
        <w:t>,</w:t>
      </w:r>
    </w:p>
    <w:p>
      <w:pPr>
        <w:pStyle w:val="yMiscellaneousBody"/>
        <w:tabs>
          <w:tab w:val="left" w:pos="1418"/>
        </w:tabs>
        <w:ind w:left="1418" w:hanging="1418"/>
      </w:pPr>
      <w:r>
        <w:tab/>
        <w:t xml:space="preserve">then — </w:t>
      </w:r>
    </w:p>
    <w:p>
      <w:pPr>
        <w:pStyle w:val="yMiscellaneousBody"/>
        <w:tabs>
          <w:tab w:val="left" w:pos="1985"/>
        </w:tabs>
        <w:ind w:left="1985" w:hanging="1985"/>
        <w:rPr>
          <w:b/>
        </w:rPr>
      </w:pPr>
      <w:r>
        <w:tab/>
      </w:r>
      <w:r>
        <w:rPr>
          <w:b/>
        </w:rPr>
        <w:t>R</w:t>
      </w:r>
    </w:p>
    <w:p>
      <w:pPr>
        <w:pStyle w:val="yMiscellaneousBody"/>
        <w:tabs>
          <w:tab w:val="left" w:pos="1418"/>
        </w:tabs>
        <w:ind w:left="1418" w:hanging="1418"/>
      </w:pPr>
      <w:r>
        <w:tab/>
        <w:t xml:space="preserve">or if — </w:t>
      </w:r>
    </w:p>
    <w:p>
      <w:pPr>
        <w:pStyle w:val="yMiscellaneousBody"/>
        <w:tabs>
          <w:tab w:val="left" w:pos="1985"/>
        </w:tabs>
        <w:ind w:left="1985" w:hanging="1985"/>
      </w:pPr>
      <w:r>
        <w:tab/>
        <w:t>(</w:t>
      </w:r>
      <w:r>
        <w:rPr>
          <w:b/>
        </w:rPr>
        <w:t>P</w:t>
      </w:r>
      <w:r>
        <w:t xml:space="preserve"> + </w:t>
      </w:r>
      <w:r>
        <w:rPr>
          <w:b/>
        </w:rPr>
        <w:t>Q</w:t>
      </w:r>
      <w:r>
        <w:t xml:space="preserve">) &gt; </w:t>
      </w:r>
      <w:r>
        <w:rPr>
          <w:b/>
        </w:rPr>
        <w:t>R</w:t>
      </w:r>
      <w:r>
        <w:t>; and</w:t>
      </w:r>
    </w:p>
    <w:p>
      <w:pPr>
        <w:pStyle w:val="yMiscellaneousBody"/>
        <w:tabs>
          <w:tab w:val="left" w:pos="1985"/>
        </w:tabs>
        <w:ind w:left="1985" w:hanging="1985"/>
      </w:pPr>
      <w:r>
        <w:tab/>
      </w:r>
      <w:r>
        <w:rPr>
          <w:b/>
        </w:rPr>
        <w:t>N</w:t>
      </w:r>
      <w:r>
        <w:t xml:space="preserve"> &gt; </w:t>
      </w:r>
      <w:r>
        <w:rPr>
          <w:b/>
        </w:rPr>
        <w:t>W</w:t>
      </w:r>
      <w:r>
        <w:t>,</w:t>
      </w:r>
    </w:p>
    <w:p>
      <w:pPr>
        <w:pStyle w:val="yMiscellaneousBody"/>
        <w:tabs>
          <w:tab w:val="left" w:pos="1418"/>
        </w:tabs>
        <w:ind w:left="1418" w:hanging="1418"/>
      </w:pPr>
      <w:r>
        <w:tab/>
        <w:t xml:space="preserve">then — </w:t>
      </w:r>
    </w:p>
    <w:p>
      <w:pPr>
        <w:pStyle w:val="yMiscellaneousBody"/>
        <w:tabs>
          <w:tab w:val="left" w:pos="1985"/>
        </w:tabs>
        <w:ind w:left="1985" w:hanging="1985"/>
      </w:pP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MiscellaneousBody"/>
        <w:tabs>
          <w:tab w:val="left" w:pos="1418"/>
        </w:tabs>
        <w:ind w:left="1418" w:hanging="1418"/>
      </w:pPr>
      <w:r>
        <w:tab/>
        <w:t xml:space="preserve">where — </w:t>
      </w:r>
    </w:p>
    <w:p>
      <w:pPr>
        <w:pStyle w:val="yMiscellaneousBody"/>
        <w:tabs>
          <w:tab w:val="left" w:pos="1701"/>
          <w:tab w:val="left" w:pos="2268"/>
        </w:tabs>
        <w:ind w:left="2268" w:hanging="2268"/>
      </w:pPr>
      <w:r>
        <w:tab/>
      </w:r>
      <w:r>
        <w:rPr>
          <w:b/>
        </w:rPr>
        <w:t>P</w:t>
      </w:r>
      <w:r>
        <w:t xml:space="preserve"> =</w:t>
      </w:r>
      <w:r>
        <w:tab/>
        <w:t>the annual charge calculated in accordance with the formula in item 18;</w:t>
      </w:r>
    </w:p>
    <w:p>
      <w:pPr>
        <w:pStyle w:val="yMiscellaneousBody"/>
        <w:tabs>
          <w:tab w:val="left" w:pos="1701"/>
          <w:tab w:val="left" w:pos="2268"/>
        </w:tabs>
        <w:ind w:left="2268" w:hanging="2268"/>
      </w:pPr>
      <w:r>
        <w:tab/>
      </w:r>
      <w:r>
        <w:rPr>
          <w:b/>
        </w:rPr>
        <w:t>Q</w:t>
      </w:r>
      <w:r>
        <w:t xml:space="preserve"> =</w:t>
      </w:r>
      <w:r>
        <w:tab/>
        <w:t>the quantity charge calculated in accordance with the formula in item 19;</w:t>
      </w:r>
    </w:p>
    <w:p>
      <w:pPr>
        <w:pStyle w:val="yMiscellaneousBody"/>
        <w:tabs>
          <w:tab w:val="left" w:pos="1701"/>
          <w:tab w:val="left" w:pos="2268"/>
        </w:tabs>
        <w:ind w:left="2268" w:hanging="2268"/>
      </w:pPr>
      <w:r>
        <w:tab/>
      </w:r>
      <w:r>
        <w:rPr>
          <w:b/>
        </w:rPr>
        <w:t>R</w:t>
      </w:r>
      <w:r>
        <w:t xml:space="preserve"> =</w:t>
      </w:r>
      <w:r>
        <w:tab/>
        <w:t>the charge calculated in accordance with the following formula — </w:t>
      </w:r>
    </w:p>
    <w:p>
      <w:pPr>
        <w:pStyle w:val="yMiscellaneousBody"/>
        <w:tabs>
          <w:tab w:val="left" w:pos="2268"/>
        </w:tabs>
      </w:pPr>
      <w:r>
        <w:tab/>
      </w:r>
      <w:r>
        <w:rPr>
          <w:b/>
        </w:rPr>
        <w:t>A</w:t>
      </w:r>
      <w:r>
        <w:t xml:space="preserve"> </w:t>
      </w:r>
      <w:r>
        <w:sym w:font="Symbol" w:char="F0B4"/>
      </w:r>
      <w:r>
        <w:t xml:space="preserve"> </w:t>
      </w:r>
      <w:r>
        <w:rPr>
          <w:b/>
        </w:rPr>
        <w:t>S</w:t>
      </w:r>
    </w:p>
    <w:p>
      <w:pPr>
        <w:pStyle w:val="yMiscellaneousBody"/>
        <w:tabs>
          <w:tab w:val="left" w:pos="2268"/>
        </w:tabs>
      </w:pPr>
      <w:r>
        <w:lastRenderedPageBreak/>
        <w:tab/>
        <w:t xml:space="preserve">where — </w:t>
      </w:r>
    </w:p>
    <w:p>
      <w:pPr>
        <w:pStyle w:val="yMiscellaneousBody"/>
        <w:tabs>
          <w:tab w:val="left" w:pos="2552"/>
          <w:tab w:val="left" w:pos="3119"/>
        </w:tabs>
      </w:pPr>
      <w:r>
        <w:tab/>
      </w:r>
      <w:r>
        <w:rPr>
          <w:b/>
        </w:rPr>
        <w:t>A</w:t>
      </w:r>
      <w:r>
        <w:t xml:space="preserve"> =</w:t>
      </w:r>
      <w:r>
        <w:tab/>
        <w:t>the charge payable in the 2012/2013 year;</w:t>
      </w:r>
    </w:p>
    <w:p>
      <w:pPr>
        <w:pStyle w:val="yMiscellaneousBody"/>
        <w:tabs>
          <w:tab w:val="left" w:pos="2552"/>
          <w:tab w:val="left" w:pos="3119"/>
        </w:tabs>
      </w:pPr>
      <w:r>
        <w:tab/>
      </w:r>
      <w:r>
        <w:rPr>
          <w:b/>
        </w:rPr>
        <w:t>S</w:t>
      </w:r>
      <w:r>
        <w:t xml:space="preserve"> =</w:t>
      </w:r>
      <w:r>
        <w:tab/>
        <w:t>1.120;</w:t>
      </w:r>
    </w:p>
    <w:p>
      <w:pPr>
        <w:pStyle w:val="yMiscellaneousBody"/>
        <w:tabs>
          <w:tab w:val="left" w:pos="2552"/>
          <w:tab w:val="left" w:pos="3119"/>
        </w:tabs>
        <w:ind w:left="3119" w:hanging="3119"/>
      </w:pPr>
      <w:r>
        <w:tab/>
      </w:r>
      <w:r>
        <w:rPr>
          <w:b/>
        </w:rPr>
        <w:t>N</w:t>
      </w:r>
      <w:r>
        <w:t xml:space="preserve"> =</w:t>
      </w:r>
      <w:r>
        <w:tab/>
        <w:t>the discharge volume for the 2013/2014 year;</w:t>
      </w:r>
    </w:p>
    <w:p>
      <w:pPr>
        <w:pStyle w:val="yMiscellaneousBody"/>
        <w:tabs>
          <w:tab w:val="left" w:pos="2552"/>
          <w:tab w:val="left" w:pos="3119"/>
        </w:tabs>
        <w:ind w:left="3119" w:hanging="3119"/>
      </w:pPr>
      <w:r>
        <w:tab/>
      </w:r>
      <w:r>
        <w:rPr>
          <w:b/>
        </w:rPr>
        <w:t>W</w:t>
      </w:r>
      <w:r>
        <w:t xml:space="preserve"> =</w:t>
      </w:r>
      <w:r>
        <w:tab/>
        <w:t>the discharge volume for the 2012/2013 year;</w:t>
      </w:r>
    </w:p>
    <w:p>
      <w:pPr>
        <w:pStyle w:val="yMiscellaneousBody"/>
        <w:tabs>
          <w:tab w:val="left" w:pos="2552"/>
          <w:tab w:val="left" w:pos="3119"/>
        </w:tabs>
        <w:ind w:left="3119" w:hanging="3119"/>
      </w:pPr>
      <w:r>
        <w:tab/>
      </w:r>
      <w:r>
        <w:rPr>
          <w:b/>
        </w:rPr>
        <w:t>I</w:t>
      </w:r>
      <w:r>
        <w:t xml:space="preserve"> =</w:t>
      </w:r>
      <w:r>
        <w:tab/>
        <w:t>2.8376.</w:t>
      </w:r>
    </w:p>
    <w:p>
      <w:pPr>
        <w:pStyle w:val="yMiscellaneousBody"/>
        <w:tabs>
          <w:tab w:val="left" w:pos="709"/>
        </w:tabs>
        <w:ind w:left="714" w:hanging="714"/>
        <w:rPr>
          <w:b/>
          <w:bCs/>
        </w:rPr>
      </w:pPr>
      <w:r>
        <w:rPr>
          <w:b/>
          <w:bCs/>
        </w:rPr>
        <w:t>14.</w:t>
      </w:r>
      <w:r>
        <w:rPr>
          <w:b/>
          <w:bCs/>
        </w:rPr>
        <w:tab/>
        <w:t>Metropolitan Government trading organisation and non</w:t>
      </w:r>
      <w:r>
        <w:rPr>
          <w:b/>
          <w:bCs/>
        </w:rPr>
        <w:noBreakHyphen/>
        <w:t>commercial Government property</w:t>
      </w:r>
    </w:p>
    <w:p>
      <w:pPr>
        <w:pStyle w:val="yMiscellaneousBody"/>
        <w:tabs>
          <w:tab w:val="left" w:pos="798"/>
        </w:tabs>
        <w:ind w:left="784" w:hanging="784"/>
      </w:pP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MiscellaneousBody"/>
        <w:tabs>
          <w:tab w:val="left" w:pos="851"/>
        </w:tabs>
      </w:pPr>
      <w:r>
        <w:tab/>
      </w:r>
      <w:r>
        <w:rPr>
          <w:b/>
        </w:rPr>
        <w:t>Y</w:t>
      </w:r>
      <w:r>
        <w:t xml:space="preserve"> + </w:t>
      </w:r>
      <w:r>
        <w:rPr>
          <w:b/>
        </w:rPr>
        <w:t>Q</w:t>
      </w:r>
    </w:p>
    <w:p>
      <w:pPr>
        <w:pStyle w:val="yMiscellaneousBody"/>
        <w:tabs>
          <w:tab w:val="left" w:pos="798"/>
        </w:tabs>
        <w:ind w:left="784" w:hanging="784"/>
      </w:pPr>
      <w:r>
        <w:tab/>
        <w:t xml:space="preserve">where — </w:t>
      </w:r>
    </w:p>
    <w:p>
      <w:pPr>
        <w:pStyle w:val="yMiscellaneousBody"/>
        <w:tabs>
          <w:tab w:val="left" w:pos="1134"/>
          <w:tab w:val="left" w:pos="1701"/>
        </w:tabs>
        <w:ind w:left="1701" w:hanging="1701"/>
      </w:pPr>
      <w:r>
        <w:tab/>
      </w:r>
      <w:r>
        <w:rPr>
          <w:b/>
        </w:rPr>
        <w:t>Y</w:t>
      </w:r>
      <w:r>
        <w:t xml:space="preserve"> =</w:t>
      </w:r>
      <w:r>
        <w:tab/>
        <w:t>the charge payable for the relevant number of major fixtures in the 2013/2014 year as set out in the Table to item 18;</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MiscellaneousBody"/>
        <w:tabs>
          <w:tab w:val="left" w:pos="709"/>
        </w:tabs>
        <w:ind w:left="714" w:hanging="714"/>
        <w:rPr>
          <w:b/>
          <w:bCs/>
        </w:rPr>
      </w:pPr>
      <w:r>
        <w:rPr>
          <w:b/>
          <w:bCs/>
        </w:rPr>
        <w:t>15.</w:t>
      </w:r>
      <w:r>
        <w:rPr>
          <w:b/>
          <w:bCs/>
        </w:rPr>
        <w:tab/>
        <w:t>Metropolitan non strata</w:t>
      </w:r>
      <w:r>
        <w:rPr>
          <w:b/>
          <w:bCs/>
        </w:rPr>
        <w:noBreakHyphen/>
        <w:t>titled caravan park with long</w:t>
      </w:r>
      <w:r>
        <w:rPr>
          <w:b/>
          <w:bCs/>
        </w:rPr>
        <w:noBreakHyphen/>
        <w:t>term residential caravan bays</w:t>
      </w:r>
    </w:p>
    <w:p>
      <w:pPr>
        <w:pStyle w:val="yMiscellaneousBody"/>
        <w:tabs>
          <w:tab w:val="left" w:pos="798"/>
        </w:tabs>
        <w:ind w:left="784" w:hanging="784"/>
      </w:pPr>
      <w:r>
        <w:tab/>
        <w:t xml:space="preserve">In respect of a caravan park in the metropolitan area — </w:t>
      </w:r>
    </w:p>
    <w:p>
      <w:pPr>
        <w:pStyle w:val="yMiscellaneousBody"/>
        <w:tabs>
          <w:tab w:val="left" w:pos="993"/>
          <w:tab w:val="left" w:pos="1560"/>
        </w:tabs>
        <w:ind w:left="1560" w:hanging="1560"/>
      </w:pPr>
      <w:r>
        <w:tab/>
        <w:t>(a)</w:t>
      </w:r>
      <w:r>
        <w:tab/>
        <w:t>not consisting of strata</w:t>
      </w:r>
      <w:r>
        <w:noBreakHyphen/>
        <w:t>titled caravan bays referred to in item 3; and</w:t>
      </w:r>
    </w:p>
    <w:p>
      <w:pPr>
        <w:pStyle w:val="yMiscellaneousBody"/>
        <w:tabs>
          <w:tab w:val="left" w:pos="993"/>
          <w:tab w:val="left" w:pos="1560"/>
        </w:tabs>
        <w:ind w:left="1560" w:hanging="1560"/>
      </w:pPr>
      <w:r>
        <w:tab/>
        <w:t>(b)</w:t>
      </w:r>
      <w:r>
        <w:tab/>
        <w:t>having long</w:t>
      </w:r>
      <w:r>
        <w:noBreakHyphen/>
        <w:t xml:space="preserve">term residential caravan bays, the charge payable in accordance with the following formula — </w:t>
      </w:r>
    </w:p>
    <w:p>
      <w:pPr>
        <w:pStyle w:val="yMiscellaneousBody"/>
        <w:tabs>
          <w:tab w:val="left" w:pos="1701"/>
        </w:tabs>
      </w:pPr>
      <w:r>
        <w:tab/>
      </w:r>
      <w:r>
        <w:rPr>
          <w:b/>
        </w:rPr>
        <w:t>AA</w:t>
      </w:r>
      <w:r>
        <w:t xml:space="preserve"> + </w:t>
      </w:r>
      <w:r>
        <w:rPr>
          <w:b/>
        </w:rPr>
        <w:t>AB</w:t>
      </w:r>
    </w:p>
    <w:p>
      <w:pPr>
        <w:pStyle w:val="yMiscellaneousBody"/>
        <w:tabs>
          <w:tab w:val="left" w:pos="993"/>
          <w:tab w:val="left" w:pos="1560"/>
        </w:tabs>
        <w:ind w:left="1560" w:hanging="1560"/>
      </w:pPr>
      <w:r>
        <w:tab/>
      </w:r>
      <w:r>
        <w:tab/>
        <w:t xml:space="preserve">where — </w:t>
      </w:r>
    </w:p>
    <w:p>
      <w:pPr>
        <w:pStyle w:val="yMiscellaneousBody"/>
        <w:tabs>
          <w:tab w:val="left" w:pos="1701"/>
          <w:tab w:val="left" w:pos="2268"/>
        </w:tabs>
        <w:ind w:left="2268" w:hanging="2268"/>
      </w:pPr>
      <w:r>
        <w:lastRenderedPageBreak/>
        <w:tab/>
      </w:r>
      <w:r>
        <w:rPr>
          <w:b/>
        </w:rPr>
        <w:t>AA</w:t>
      </w:r>
      <w:r>
        <w:t xml:space="preserve"> =</w:t>
      </w:r>
      <w:r>
        <w:tab/>
        <w:t>a charge of $254.93 for each long</w:t>
      </w:r>
      <w:r>
        <w:noBreakHyphen/>
        <w:t>term residential caravan bay;</w:t>
      </w:r>
    </w:p>
    <w:p>
      <w:pPr>
        <w:pStyle w:val="yMiscellaneousBody"/>
        <w:tabs>
          <w:tab w:val="left" w:pos="1701"/>
          <w:tab w:val="left" w:pos="2268"/>
        </w:tabs>
        <w:ind w:left="2268" w:hanging="2268"/>
      </w:pPr>
      <w:r>
        <w:tab/>
      </w:r>
      <w:r>
        <w:rPr>
          <w:b/>
        </w:rPr>
        <w:t>AB</w:t>
      </w:r>
      <w:r>
        <w:t xml:space="preserve"> =</w:t>
      </w:r>
      <w:r>
        <w:tab/>
        <w:t>the charge for any part of the caravan park not comprised in long</w:t>
      </w:r>
      <w:r>
        <w:noBreakHyphen/>
        <w:t xml:space="preserve">term residential caravan bays, calculated in accordance with the following formula — </w:t>
      </w:r>
    </w:p>
    <w:p>
      <w:pPr>
        <w:pStyle w:val="yMiscellaneousBody"/>
        <w:tabs>
          <w:tab w:val="left" w:pos="2268"/>
        </w:tabs>
      </w:pPr>
      <w:r>
        <w:tab/>
        <w:t>If (</w:t>
      </w:r>
      <w:r>
        <w:rPr>
          <w:b/>
        </w:rPr>
        <w:t>Y</w:t>
      </w:r>
      <w:r>
        <w:t xml:space="preserve"> + </w:t>
      </w:r>
      <w:r>
        <w:rPr>
          <w:b/>
        </w:rPr>
        <w:t>Q</w:t>
      </w:r>
      <w:r>
        <w:t xml:space="preserve">) </w:t>
      </w:r>
      <w:r>
        <w:sym w:font="Symbol" w:char="F0A3"/>
      </w:r>
      <w:r>
        <w:t xml:space="preserve"> </w:t>
      </w:r>
      <w:r>
        <w:rPr>
          <w:b/>
        </w:rPr>
        <w:t>R</w:t>
      </w:r>
      <w:r>
        <w:t xml:space="preserve">, then — </w:t>
      </w:r>
    </w:p>
    <w:p>
      <w:pPr>
        <w:pStyle w:val="yMiscellaneousBody"/>
        <w:tabs>
          <w:tab w:val="left" w:pos="2268"/>
        </w:tabs>
      </w:pPr>
      <w:r>
        <w:tab/>
      </w:r>
      <w:r>
        <w:rPr>
          <w:b/>
        </w:rPr>
        <w:t>Y</w:t>
      </w:r>
      <w:r>
        <w:t xml:space="preserve"> + </w:t>
      </w:r>
      <w:r>
        <w:rPr>
          <w:b/>
        </w:rPr>
        <w:t>Q</w:t>
      </w:r>
    </w:p>
    <w:p>
      <w:pPr>
        <w:pStyle w:val="yMiscellaneousBody"/>
        <w:tabs>
          <w:tab w:val="left" w:pos="2268"/>
        </w:tabs>
      </w:pPr>
      <w:r>
        <w:tab/>
        <w:t xml:space="preserve">or if — </w:t>
      </w:r>
    </w:p>
    <w:p>
      <w:pPr>
        <w:pStyle w:val="yMiscellaneousBody"/>
        <w:tabs>
          <w:tab w:val="left" w:pos="2268"/>
        </w:tabs>
      </w:pPr>
      <w:r>
        <w:tab/>
        <w:t>(</w:t>
      </w:r>
      <w:r>
        <w:rPr>
          <w:b/>
        </w:rPr>
        <w:t>Y</w:t>
      </w:r>
      <w:r>
        <w:t xml:space="preserve"> + </w:t>
      </w:r>
      <w:r>
        <w:rPr>
          <w:b/>
        </w:rPr>
        <w:t>Q</w:t>
      </w:r>
      <w:r>
        <w:t xml:space="preserve">) &gt; </w:t>
      </w:r>
      <w:r>
        <w:rPr>
          <w:b/>
        </w:rPr>
        <w:t>R</w:t>
      </w:r>
      <w:r>
        <w:t>; and</w:t>
      </w:r>
    </w:p>
    <w:p>
      <w:pPr>
        <w:pStyle w:val="yMiscellaneousBody"/>
        <w:tabs>
          <w:tab w:val="left" w:pos="2268"/>
        </w:tabs>
      </w:pPr>
      <w:r>
        <w:tab/>
      </w:r>
      <w:r>
        <w:rPr>
          <w:b/>
        </w:rPr>
        <w:t>N</w:t>
      </w:r>
      <w:r>
        <w:t xml:space="preserve"> </w:t>
      </w:r>
      <w:r>
        <w:sym w:font="Symbol" w:char="F0A3"/>
      </w:r>
      <w:r>
        <w:t xml:space="preserve"> </w:t>
      </w:r>
      <w:r>
        <w:rPr>
          <w:b/>
        </w:rPr>
        <w:t>W</w:t>
      </w:r>
      <w:r>
        <w:t>,</w:t>
      </w:r>
    </w:p>
    <w:p>
      <w:pPr>
        <w:pStyle w:val="yMiscellaneousBody"/>
        <w:tabs>
          <w:tab w:val="left" w:pos="2268"/>
        </w:tabs>
      </w:pPr>
      <w:r>
        <w:tab/>
        <w:t xml:space="preserve">then — </w:t>
      </w:r>
    </w:p>
    <w:p>
      <w:pPr>
        <w:pStyle w:val="yMiscellaneousBody"/>
        <w:tabs>
          <w:tab w:val="left" w:pos="2268"/>
        </w:tabs>
        <w:rPr>
          <w:b/>
        </w:rPr>
      </w:pPr>
      <w:r>
        <w:tab/>
      </w:r>
      <w:r>
        <w:rPr>
          <w:b/>
        </w:rPr>
        <w:t>R</w:t>
      </w:r>
    </w:p>
    <w:p>
      <w:pPr>
        <w:pStyle w:val="yMiscellaneousBody"/>
        <w:tabs>
          <w:tab w:val="left" w:pos="2268"/>
        </w:tabs>
      </w:pPr>
      <w:r>
        <w:tab/>
        <w:t xml:space="preserve">or if — </w:t>
      </w:r>
    </w:p>
    <w:p>
      <w:pPr>
        <w:pStyle w:val="yMiscellaneousBody"/>
        <w:tabs>
          <w:tab w:val="left" w:pos="2268"/>
        </w:tabs>
      </w:pPr>
      <w:r>
        <w:tab/>
        <w:t>(</w:t>
      </w:r>
      <w:r>
        <w:rPr>
          <w:b/>
        </w:rPr>
        <w:t>Y</w:t>
      </w:r>
      <w:r>
        <w:t xml:space="preserve"> + </w:t>
      </w:r>
      <w:r>
        <w:rPr>
          <w:b/>
        </w:rPr>
        <w:t>Q</w:t>
      </w:r>
      <w:r>
        <w:t xml:space="preserve">) &gt; </w:t>
      </w:r>
      <w:r>
        <w:rPr>
          <w:b/>
        </w:rPr>
        <w:t>R</w:t>
      </w:r>
      <w:r>
        <w:t>; and</w:t>
      </w:r>
    </w:p>
    <w:p>
      <w:pPr>
        <w:pStyle w:val="yMiscellaneousBody"/>
        <w:tabs>
          <w:tab w:val="left" w:pos="2268"/>
        </w:tabs>
      </w:pPr>
      <w:r>
        <w:tab/>
      </w:r>
      <w:r>
        <w:rPr>
          <w:b/>
        </w:rPr>
        <w:t>N</w:t>
      </w:r>
      <w:r>
        <w:t xml:space="preserve"> &gt; </w:t>
      </w:r>
      <w:r>
        <w:rPr>
          <w:b/>
        </w:rPr>
        <w:t>W</w:t>
      </w:r>
      <w:r>
        <w:t>,</w:t>
      </w:r>
    </w:p>
    <w:p>
      <w:pPr>
        <w:pStyle w:val="yMiscellaneousBody"/>
        <w:tabs>
          <w:tab w:val="left" w:pos="2268"/>
        </w:tabs>
      </w:pPr>
      <w:r>
        <w:tab/>
        <w:t xml:space="preserve">then — </w:t>
      </w:r>
    </w:p>
    <w:p>
      <w:pPr>
        <w:pStyle w:val="yMiscellaneousBody"/>
        <w:tabs>
          <w:tab w:val="left" w:pos="2268"/>
        </w:tabs>
      </w:pP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MiscellaneousBody"/>
        <w:tabs>
          <w:tab w:val="left" w:pos="2268"/>
        </w:tabs>
      </w:pPr>
      <w:r>
        <w:tab/>
        <w:t xml:space="preserve">where — </w:t>
      </w:r>
    </w:p>
    <w:p>
      <w:pPr>
        <w:pStyle w:val="yMiscellaneousBody"/>
        <w:tabs>
          <w:tab w:val="left" w:pos="1701"/>
          <w:tab w:val="left" w:pos="2268"/>
        </w:tabs>
        <w:ind w:left="2268" w:hanging="2268"/>
      </w:pPr>
      <w:r>
        <w:tab/>
      </w:r>
      <w:r>
        <w:rPr>
          <w:b/>
        </w:rPr>
        <w:t>Y</w:t>
      </w:r>
      <w:r>
        <w:t xml:space="preserve"> =</w:t>
      </w:r>
      <w:r>
        <w:tab/>
        <w:t>the charge payable for the number of major fixtures in the relevant part of the caravan park in the 2013/2014 year as set out in the Table to item 18;</w:t>
      </w:r>
    </w:p>
    <w:p>
      <w:pPr>
        <w:pStyle w:val="yMiscellaneousBody"/>
        <w:tabs>
          <w:tab w:val="left" w:pos="1701"/>
          <w:tab w:val="left" w:pos="2268"/>
        </w:tabs>
        <w:ind w:left="2268" w:hanging="2268"/>
      </w:pPr>
      <w:r>
        <w:tab/>
      </w:r>
      <w:r>
        <w:rPr>
          <w:b/>
        </w:rPr>
        <w:t>Q</w:t>
      </w:r>
      <w:r>
        <w:t xml:space="preserve"> =</w:t>
      </w:r>
      <w:r>
        <w:tab/>
        <w:t>the quantity charge calculated in accordance with the formula in item 19;</w:t>
      </w:r>
    </w:p>
    <w:p>
      <w:pPr>
        <w:pStyle w:val="yMiscellaneousBody"/>
        <w:tabs>
          <w:tab w:val="left" w:pos="1701"/>
          <w:tab w:val="left" w:pos="2268"/>
        </w:tabs>
        <w:ind w:left="2268" w:hanging="2268"/>
      </w:pPr>
      <w:r>
        <w:tab/>
      </w:r>
      <w:r>
        <w:rPr>
          <w:b/>
        </w:rPr>
        <w:t>R</w:t>
      </w:r>
      <w:r>
        <w:t xml:space="preserve"> =</w:t>
      </w:r>
      <w:r>
        <w:tab/>
        <w:t>the charge calculated in accordance with the following formula — </w:t>
      </w:r>
    </w:p>
    <w:p>
      <w:pPr>
        <w:pStyle w:val="yMiscellaneousBody"/>
        <w:tabs>
          <w:tab w:val="left" w:pos="2268"/>
        </w:tabs>
      </w:pPr>
      <w:r>
        <w:tab/>
      </w:r>
      <w:r>
        <w:rPr>
          <w:b/>
        </w:rPr>
        <w:t>A</w:t>
      </w:r>
      <w:r>
        <w:t xml:space="preserve"> x </w:t>
      </w:r>
      <w:r>
        <w:rPr>
          <w:b/>
        </w:rPr>
        <w:t>S</w:t>
      </w:r>
    </w:p>
    <w:p>
      <w:pPr>
        <w:pStyle w:val="yMiscellaneousBody"/>
        <w:tabs>
          <w:tab w:val="left" w:pos="2268"/>
        </w:tabs>
      </w:pPr>
      <w:r>
        <w:lastRenderedPageBreak/>
        <w:tab/>
        <w:t xml:space="preserve">where — </w:t>
      </w:r>
    </w:p>
    <w:p>
      <w:pPr>
        <w:pStyle w:val="yMiscellaneousBody"/>
        <w:tabs>
          <w:tab w:val="left" w:pos="2410"/>
          <w:tab w:val="left" w:pos="2977"/>
        </w:tabs>
        <w:ind w:left="2977" w:hanging="2977"/>
      </w:pPr>
      <w:r>
        <w:tab/>
      </w:r>
      <w:r>
        <w:rPr>
          <w:b/>
        </w:rPr>
        <w:t>A</w:t>
      </w:r>
      <w:r>
        <w:t xml:space="preserve"> =</w:t>
      </w:r>
      <w:r>
        <w:tab/>
        <w:t>the amount payable in the 2012/2013 year;</w:t>
      </w:r>
    </w:p>
    <w:p>
      <w:pPr>
        <w:pStyle w:val="yMiscellaneousBody"/>
        <w:tabs>
          <w:tab w:val="left" w:pos="2410"/>
          <w:tab w:val="left" w:pos="2977"/>
        </w:tabs>
        <w:ind w:left="2977" w:hanging="2977"/>
      </w:pPr>
      <w:r>
        <w:tab/>
      </w:r>
      <w:r>
        <w:rPr>
          <w:b/>
        </w:rPr>
        <w:t>S</w:t>
      </w:r>
      <w:r>
        <w:t xml:space="preserve"> =</w:t>
      </w:r>
      <w:r>
        <w:tab/>
        <w:t>1.120;</w:t>
      </w:r>
    </w:p>
    <w:p>
      <w:pPr>
        <w:pStyle w:val="yMiscellaneousBody"/>
        <w:tabs>
          <w:tab w:val="left" w:pos="2410"/>
          <w:tab w:val="left" w:pos="2977"/>
        </w:tabs>
        <w:ind w:left="2977" w:hanging="2977"/>
      </w:pPr>
      <w:r>
        <w:tab/>
      </w:r>
      <w:r>
        <w:rPr>
          <w:b/>
        </w:rPr>
        <w:t>N</w:t>
      </w:r>
      <w:r>
        <w:t xml:space="preserve"> =</w:t>
      </w:r>
      <w:r>
        <w:tab/>
        <w:t>the discharge volume for the 2013/2014 year;</w:t>
      </w:r>
    </w:p>
    <w:p>
      <w:pPr>
        <w:pStyle w:val="yMiscellaneousBody"/>
        <w:tabs>
          <w:tab w:val="left" w:pos="2410"/>
          <w:tab w:val="left" w:pos="2977"/>
        </w:tabs>
        <w:ind w:left="2977" w:hanging="2977"/>
      </w:pPr>
      <w:r>
        <w:tab/>
      </w:r>
      <w:r>
        <w:rPr>
          <w:b/>
        </w:rPr>
        <w:t>W</w:t>
      </w:r>
      <w:r>
        <w:t xml:space="preserve"> =</w:t>
      </w:r>
      <w:r>
        <w:tab/>
        <w:t>the discharge volume for the 2012/2013 year;</w:t>
      </w:r>
    </w:p>
    <w:p>
      <w:pPr>
        <w:pStyle w:val="yMiscellaneousBody"/>
        <w:tabs>
          <w:tab w:val="left" w:pos="2410"/>
          <w:tab w:val="left" w:pos="2977"/>
        </w:tabs>
        <w:ind w:left="2977" w:hanging="2977"/>
      </w:pPr>
      <w:r>
        <w:tab/>
      </w:r>
      <w:r>
        <w:rPr>
          <w:b/>
        </w:rPr>
        <w:t>I</w:t>
      </w:r>
      <w:r>
        <w:t xml:space="preserve"> =</w:t>
      </w:r>
      <w:r>
        <w:tab/>
        <w:t>2.8376.</w:t>
      </w:r>
    </w:p>
    <w:p>
      <w:pPr>
        <w:pStyle w:val="yMiscellaneousBody"/>
        <w:tabs>
          <w:tab w:val="left" w:pos="709"/>
        </w:tabs>
        <w:ind w:left="714" w:hanging="714"/>
        <w:rPr>
          <w:b/>
          <w:bCs/>
        </w:rPr>
      </w:pPr>
      <w:r>
        <w:rPr>
          <w:b/>
          <w:bCs/>
        </w:rPr>
        <w:t>16.</w:t>
      </w:r>
      <w:r>
        <w:rPr>
          <w:b/>
          <w:bCs/>
        </w:rPr>
        <w:tab/>
        <w:t>Metropolitan nursing home</w:t>
      </w:r>
    </w:p>
    <w:p>
      <w:pPr>
        <w:pStyle w:val="yMiscellaneousBody"/>
        <w:tabs>
          <w:tab w:val="left" w:pos="798"/>
        </w:tabs>
        <w:ind w:left="784" w:hanging="784"/>
      </w:pPr>
      <w:r>
        <w:tab/>
        <w:t>In respect of a nursing home in the metropolitan area, not being a nursing home which is, or is part of, an aged home the charge is calculated in accordance with the following formula —</w:t>
      </w:r>
    </w:p>
    <w:p>
      <w:pPr>
        <w:pStyle w:val="yMiscellaneousBody"/>
        <w:tabs>
          <w:tab w:val="left" w:pos="851"/>
        </w:tabs>
        <w:ind w:left="851" w:hanging="851"/>
      </w:pPr>
      <w:r>
        <w:tab/>
        <w:t>If (</w:t>
      </w:r>
      <w:r>
        <w:rPr>
          <w:b/>
        </w:rPr>
        <w:t>T</w:t>
      </w:r>
      <w:r>
        <w:t xml:space="preserve"> + </w:t>
      </w:r>
      <w:r>
        <w:rPr>
          <w:b/>
        </w:rPr>
        <w:t>Q</w:t>
      </w:r>
      <w:r>
        <w:t xml:space="preserve">) </w:t>
      </w:r>
      <w:r>
        <w:sym w:font="Symbol" w:char="F0A3"/>
      </w:r>
      <w:r>
        <w:t xml:space="preserve"> </w:t>
      </w:r>
      <w:r>
        <w:rPr>
          <w:b/>
        </w:rPr>
        <w:t>R</w:t>
      </w:r>
      <w:r>
        <w:t xml:space="preserve">, then — </w:t>
      </w:r>
    </w:p>
    <w:p>
      <w:pPr>
        <w:pStyle w:val="yMiscellaneousBody"/>
        <w:tabs>
          <w:tab w:val="left" w:pos="851"/>
        </w:tabs>
        <w:ind w:left="851" w:hanging="851"/>
      </w:pPr>
      <w:r>
        <w:tab/>
      </w:r>
      <w:r>
        <w:rPr>
          <w:b/>
        </w:rPr>
        <w:t>T</w:t>
      </w:r>
      <w:r>
        <w:t xml:space="preserve"> + </w:t>
      </w:r>
      <w:r>
        <w:rPr>
          <w:b/>
        </w:rPr>
        <w:t>Q</w:t>
      </w:r>
    </w:p>
    <w:p>
      <w:pPr>
        <w:pStyle w:val="yMiscellaneousBody"/>
        <w:tabs>
          <w:tab w:val="left" w:pos="851"/>
        </w:tabs>
        <w:ind w:left="851" w:hanging="851"/>
      </w:pPr>
      <w:r>
        <w:tab/>
        <w:t>or if (</w:t>
      </w:r>
      <w:r>
        <w:rPr>
          <w:b/>
        </w:rPr>
        <w:t>T</w:t>
      </w:r>
      <w:r>
        <w:t xml:space="preserve"> + </w:t>
      </w:r>
      <w:r>
        <w:rPr>
          <w:b/>
        </w:rPr>
        <w:t>Q</w:t>
      </w:r>
      <w:r>
        <w:t xml:space="preserve">) &gt; </w:t>
      </w:r>
      <w:r>
        <w:rPr>
          <w:b/>
        </w:rPr>
        <w:t>R</w:t>
      </w:r>
      <w:r>
        <w:t xml:space="preserve">, then — </w:t>
      </w:r>
    </w:p>
    <w:p>
      <w:pPr>
        <w:pStyle w:val="yMiscellaneousBody"/>
        <w:tabs>
          <w:tab w:val="left" w:pos="851"/>
        </w:tabs>
        <w:ind w:left="851" w:hanging="851"/>
        <w:rPr>
          <w:b/>
        </w:rPr>
      </w:pPr>
      <w:r>
        <w:tab/>
      </w:r>
      <w:r>
        <w:rPr>
          <w:b/>
        </w:rPr>
        <w:t>R</w:t>
      </w:r>
    </w:p>
    <w:p>
      <w:pPr>
        <w:pStyle w:val="yMiscellaneousBody"/>
        <w:tabs>
          <w:tab w:val="left" w:pos="851"/>
        </w:tabs>
        <w:ind w:left="851" w:hanging="851"/>
      </w:pPr>
      <w:r>
        <w:tab/>
        <w:t xml:space="preserve">where — </w:t>
      </w:r>
    </w:p>
    <w:p>
      <w:pPr>
        <w:pStyle w:val="yMiscellaneousBody"/>
        <w:tabs>
          <w:tab w:val="left" w:pos="1134"/>
          <w:tab w:val="left" w:pos="1701"/>
        </w:tabs>
        <w:ind w:left="1701" w:hanging="1701"/>
      </w:pPr>
      <w:r>
        <w:tab/>
      </w:r>
      <w:r>
        <w:rPr>
          <w:b/>
        </w:rPr>
        <w:t>T</w:t>
      </w:r>
      <w:r>
        <w:t xml:space="preserve"> =</w:t>
      </w:r>
      <w:r>
        <w:tab/>
        <w:t>the charge calculated in accordance with the following formula — </w:t>
      </w:r>
    </w:p>
    <w:p>
      <w:pPr>
        <w:pStyle w:val="yMiscellaneousBody"/>
        <w:tabs>
          <w:tab w:val="left" w:pos="1985"/>
        </w:tabs>
      </w:pPr>
      <w:r>
        <w:tab/>
      </w:r>
      <w:r>
        <w:rPr>
          <w:b/>
        </w:rPr>
        <w:t>U</w:t>
      </w:r>
      <w:r>
        <w:t xml:space="preserve"> </w:t>
      </w:r>
      <w:r>
        <w:sym w:font="Symbol" w:char="F0B4"/>
      </w:r>
      <w:r>
        <w:t xml:space="preserve"> </w:t>
      </w:r>
      <w:r>
        <w:rPr>
          <w:b/>
        </w:rPr>
        <w:t>V</w:t>
      </w:r>
    </w:p>
    <w:p>
      <w:pPr>
        <w:pStyle w:val="yMiscellaneousBody"/>
        <w:tabs>
          <w:tab w:val="left" w:pos="1985"/>
        </w:tabs>
      </w:pPr>
      <w:r>
        <w:tab/>
        <w:t xml:space="preserve">where — </w:t>
      </w:r>
    </w:p>
    <w:p>
      <w:pPr>
        <w:pStyle w:val="yMiscellaneousBody"/>
        <w:tabs>
          <w:tab w:val="left" w:pos="1985"/>
          <w:tab w:val="left" w:pos="2552"/>
        </w:tabs>
        <w:ind w:left="2552" w:hanging="2552"/>
      </w:pPr>
      <w:r>
        <w:tab/>
      </w:r>
      <w:r>
        <w:rPr>
          <w:b/>
        </w:rPr>
        <w:t>U</w:t>
      </w:r>
      <w:r>
        <w:t xml:space="preserve"> =</w:t>
      </w:r>
      <w:r>
        <w:tab/>
        <w:t>the number of beds in the nursing home;</w:t>
      </w:r>
    </w:p>
    <w:p>
      <w:pPr>
        <w:pStyle w:val="yMiscellaneousBody"/>
        <w:tabs>
          <w:tab w:val="left" w:pos="1985"/>
          <w:tab w:val="left" w:pos="2552"/>
        </w:tabs>
        <w:ind w:left="2552" w:hanging="2552"/>
      </w:pPr>
      <w:r>
        <w:tab/>
      </w:r>
      <w:r>
        <w:rPr>
          <w:b/>
        </w:rPr>
        <w:t>V</w:t>
      </w:r>
      <w:r>
        <w:t xml:space="preserve"> =</w:t>
      </w:r>
      <w:r>
        <w:tab/>
        <w:t>$139.71;</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MiscellaneousBody"/>
        <w:tabs>
          <w:tab w:val="left" w:pos="1134"/>
          <w:tab w:val="left" w:pos="1701"/>
        </w:tabs>
        <w:ind w:left="1701" w:hanging="1701"/>
      </w:pPr>
      <w:r>
        <w:tab/>
      </w:r>
      <w:r>
        <w:rPr>
          <w:b/>
        </w:rPr>
        <w:t>R</w:t>
      </w:r>
      <w:r>
        <w:t xml:space="preserve"> =</w:t>
      </w:r>
      <w:r>
        <w:tab/>
        <w:t xml:space="preserve">the charge calculated in accordance with the following formula — </w:t>
      </w:r>
    </w:p>
    <w:p>
      <w:pPr>
        <w:pStyle w:val="yMiscellaneousBody"/>
        <w:tabs>
          <w:tab w:val="left" w:pos="1701"/>
        </w:tabs>
      </w:pPr>
      <w:r>
        <w:tab/>
      </w:r>
      <w:r>
        <w:rPr>
          <w:b/>
        </w:rPr>
        <w:t>A</w:t>
      </w:r>
      <w:r>
        <w:t xml:space="preserve"> x </w:t>
      </w:r>
      <w:r>
        <w:rPr>
          <w:b/>
        </w:rPr>
        <w:t>S</w:t>
      </w:r>
    </w:p>
    <w:p>
      <w:pPr>
        <w:pStyle w:val="yMiscellaneousBody"/>
        <w:tabs>
          <w:tab w:val="left" w:pos="1134"/>
          <w:tab w:val="left" w:pos="1701"/>
        </w:tabs>
        <w:ind w:left="1701" w:hanging="1701"/>
      </w:pPr>
      <w:r>
        <w:lastRenderedPageBreak/>
        <w:tab/>
      </w:r>
      <w:r>
        <w:tab/>
        <w:t xml:space="preserve">where — </w:t>
      </w:r>
    </w:p>
    <w:p>
      <w:pPr>
        <w:pStyle w:val="yMiscellaneousBody"/>
        <w:tabs>
          <w:tab w:val="left" w:pos="1985"/>
          <w:tab w:val="left" w:pos="2552"/>
        </w:tabs>
        <w:ind w:left="2552" w:hanging="2552"/>
      </w:pPr>
      <w:r>
        <w:tab/>
      </w:r>
      <w:r>
        <w:rPr>
          <w:b/>
        </w:rPr>
        <w:t>A</w:t>
      </w:r>
      <w:r>
        <w:t xml:space="preserve"> =</w:t>
      </w:r>
      <w:r>
        <w:tab/>
        <w:t xml:space="preserve">the amount payable in the 2012/2013 year; </w:t>
      </w:r>
    </w:p>
    <w:p>
      <w:pPr>
        <w:pStyle w:val="yMiscellaneousBody"/>
        <w:tabs>
          <w:tab w:val="left" w:pos="1985"/>
          <w:tab w:val="left" w:pos="2552"/>
        </w:tabs>
        <w:ind w:left="2552" w:hanging="2552"/>
      </w:pPr>
      <w:r>
        <w:tab/>
      </w:r>
      <w:r>
        <w:rPr>
          <w:b/>
        </w:rPr>
        <w:t>S</w:t>
      </w:r>
      <w:r>
        <w:t xml:space="preserve"> =</w:t>
      </w:r>
      <w:r>
        <w:tab/>
        <w:t>1.120.</w:t>
      </w:r>
    </w:p>
    <w:p>
      <w:pPr>
        <w:pStyle w:val="yMiscellaneousBody"/>
        <w:tabs>
          <w:tab w:val="left" w:pos="709"/>
        </w:tabs>
        <w:ind w:left="714" w:hanging="714"/>
        <w:rPr>
          <w:b/>
          <w:bCs/>
        </w:rPr>
      </w:pPr>
      <w:r>
        <w:rPr>
          <w:b/>
          <w:bCs/>
        </w:rPr>
        <w:t>17.</w:t>
      </w:r>
      <w:r>
        <w:rPr>
          <w:b/>
          <w:bCs/>
        </w:rPr>
        <w:tab/>
        <w:t>Certain metropolitan strata</w:t>
      </w:r>
      <w:r>
        <w:rPr>
          <w:b/>
          <w:bCs/>
        </w:rPr>
        <w:noBreakHyphen/>
        <w:t>titled units</w:t>
      </w:r>
    </w:p>
    <w:p>
      <w:pPr>
        <w:pStyle w:val="yMiscellaneousBody"/>
        <w:tabs>
          <w:tab w:val="left" w:pos="798"/>
        </w:tabs>
        <w:ind w:left="784" w:hanging="784"/>
      </w:pPr>
      <w:r>
        <w:tab/>
        <w:t>In respect of land in the metropolitan area that —</w:t>
      </w:r>
    </w:p>
    <w:p>
      <w:pPr>
        <w:pStyle w:val="yMiscellaneousBody"/>
        <w:tabs>
          <w:tab w:val="left" w:pos="993"/>
          <w:tab w:val="left" w:pos="1560"/>
        </w:tabs>
        <w:ind w:left="1560" w:hanging="1560"/>
      </w:pPr>
      <w:r>
        <w:tab/>
        <w:t>(a)</w:t>
      </w:r>
      <w:r>
        <w:tab/>
        <w:t>is not classified residential or vacant land; and</w:t>
      </w:r>
    </w:p>
    <w:p>
      <w:pPr>
        <w:pStyle w:val="yMiscellaneousBody"/>
        <w:tabs>
          <w:tab w:val="left" w:pos="993"/>
          <w:tab w:val="left" w:pos="1560"/>
        </w:tabs>
        <w:ind w:left="1560" w:hanging="1560"/>
      </w:pPr>
      <w:r>
        <w:tab/>
        <w:t>(b)</w:t>
      </w:r>
      <w:r>
        <w:tab/>
        <w:t xml:space="preserve">comprises a unit that is a lot within the meaning of the </w:t>
      </w:r>
      <w:r>
        <w:rPr>
          <w:i/>
        </w:rPr>
        <w:t>Strata Titles Act 1985</w:t>
      </w:r>
      <w:r>
        <w:t>; and</w:t>
      </w:r>
    </w:p>
    <w:p>
      <w:pPr>
        <w:pStyle w:val="yMiscellaneousBody"/>
        <w:tabs>
          <w:tab w:val="left" w:pos="993"/>
          <w:tab w:val="left" w:pos="1560"/>
        </w:tabs>
        <w:ind w:left="1560" w:hanging="1560"/>
      </w:pPr>
      <w:r>
        <w:tab/>
        <w:t>(c)</w:t>
      </w:r>
      <w:r>
        <w:tab/>
        <w:t>shares a major fixture with another unit described in paragraph (b) and has no other major fixtures that discharge into the sewer,</w:t>
      </w:r>
    </w:p>
    <w:p>
      <w:pPr>
        <w:pStyle w:val="yMiscellaneousBody"/>
        <w:tabs>
          <w:tab w:val="left" w:pos="798"/>
        </w:tabs>
        <w:ind w:left="784" w:hanging="784"/>
      </w:pPr>
      <w:r>
        <w:tab/>
        <w:t xml:space="preserve">and where the total number of major fixtures shared by all the units on the relevant strata plan is less than the number of those units, an amount calculated in accordance with the following formula — </w:t>
      </w:r>
    </w:p>
    <w:p>
      <w:pPr>
        <w:pStyle w:val="yMiscellaneousBody"/>
        <w:tabs>
          <w:tab w:val="left" w:pos="851"/>
        </w:tabs>
        <w:ind w:left="851" w:hanging="851"/>
      </w:pPr>
      <w:r>
        <w:tab/>
      </w:r>
      <w:r>
        <w:rPr>
          <w:b/>
        </w:rPr>
        <w:t>T</w:t>
      </w:r>
      <w:r>
        <w:t xml:space="preserve"> + </w:t>
      </w:r>
      <w:r>
        <w:rPr>
          <w:b/>
        </w:rPr>
        <w:t>Q</w:t>
      </w:r>
    </w:p>
    <w:p>
      <w:pPr>
        <w:pStyle w:val="yMiscellaneousBody"/>
        <w:tabs>
          <w:tab w:val="left" w:pos="851"/>
        </w:tabs>
        <w:ind w:left="851" w:hanging="851"/>
      </w:pPr>
      <w:r>
        <w:tab/>
        <w:t xml:space="preserve">where — </w:t>
      </w:r>
    </w:p>
    <w:p>
      <w:pPr>
        <w:pStyle w:val="yMiscellaneousBody"/>
        <w:tabs>
          <w:tab w:val="left" w:pos="1134"/>
          <w:tab w:val="left" w:pos="1701"/>
        </w:tabs>
        <w:ind w:left="1701" w:hanging="1701"/>
      </w:pPr>
      <w:r>
        <w:tab/>
      </w:r>
      <w:r>
        <w:rPr>
          <w:b/>
        </w:rPr>
        <w:t>T</w:t>
      </w:r>
      <w:r>
        <w:t xml:space="preserve"> =</w:t>
      </w:r>
      <w:r>
        <w:tab/>
        <w:t>$479.97;</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Footnotesection"/>
      </w:pPr>
      <w:r>
        <w:tab/>
        <w:t>[Division 4 inserted in Gazette 19 Jun 2013 p. 2384-8.]</w:t>
      </w:r>
    </w:p>
    <w:p>
      <w:pPr>
        <w:pStyle w:val="yHeading3"/>
      </w:pPr>
      <w:bookmarkStart w:id="68" w:name="_Toc84424795"/>
      <w:r>
        <w:rPr>
          <w:rStyle w:val="CharSDivNo"/>
        </w:rPr>
        <w:t>Division 5</w:t>
      </w:r>
      <w:r>
        <w:rPr>
          <w:b w:val="0"/>
        </w:rPr>
        <w:t> — </w:t>
      </w:r>
      <w:r>
        <w:rPr>
          <w:rStyle w:val="CharSDivText"/>
        </w:rPr>
        <w:t>Computation of combined metropolitan charges</w:t>
      </w:r>
      <w:bookmarkEnd w:id="68"/>
    </w:p>
    <w:p>
      <w:pPr>
        <w:pStyle w:val="yFootnoteheading"/>
        <w:spacing w:after="120"/>
      </w:pPr>
      <w:r>
        <w:tab/>
        <w:t>[Heading inserted in Gazette 19 Jun 2013 p. 2389.]</w:t>
      </w:r>
    </w:p>
    <w:p>
      <w:pPr>
        <w:pStyle w:val="yMiscellaneousBody"/>
      </w:pPr>
      <w:r>
        <w:rPr>
          <w:b/>
          <w:bCs/>
        </w:rPr>
        <w:t>18.</w:t>
      </w:r>
      <w:r>
        <w:rPr>
          <w:b/>
          <w:bCs/>
        </w:rPr>
        <w:tab/>
        <w:t>Formula for annual charge</w:t>
      </w:r>
    </w:p>
    <w:p>
      <w:pPr>
        <w:pStyle w:val="yMiscellaneousBody"/>
        <w:tabs>
          <w:tab w:val="left" w:pos="798"/>
        </w:tabs>
        <w:ind w:left="784" w:hanging="784"/>
      </w:pPr>
      <w:r>
        <w:tab/>
        <w:t xml:space="preserve">For the purposes of Division 4, the annual charge (P) is calculated according to the following formula — </w:t>
      </w:r>
    </w:p>
    <w:p>
      <w:pPr>
        <w:pStyle w:val="yMiscellaneousBody"/>
        <w:tabs>
          <w:tab w:val="left" w:pos="851"/>
        </w:tabs>
        <w:ind w:left="851" w:hanging="851"/>
      </w:pP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MiscellaneousBody"/>
        <w:tabs>
          <w:tab w:val="left" w:pos="851"/>
        </w:tabs>
        <w:ind w:left="851" w:hanging="851"/>
        <w:rPr>
          <w:b/>
        </w:rPr>
      </w:pPr>
      <w:r>
        <w:tab/>
      </w:r>
      <w:r>
        <w:rPr>
          <w:b/>
        </w:rPr>
        <w:t>X</w:t>
      </w:r>
    </w:p>
    <w:p>
      <w:pPr>
        <w:pStyle w:val="yMiscellaneousBody"/>
        <w:tabs>
          <w:tab w:val="left" w:pos="851"/>
        </w:tabs>
        <w:ind w:left="851" w:hanging="851"/>
      </w:pPr>
      <w:r>
        <w:lastRenderedPageBreak/>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MiscellaneousBody"/>
        <w:tabs>
          <w:tab w:val="left" w:pos="851"/>
        </w:tabs>
        <w:ind w:left="851" w:hanging="851"/>
      </w:pP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MiscellaneousBody"/>
        <w:tabs>
          <w:tab w:val="left" w:pos="851"/>
        </w:tabs>
        <w:ind w:left="851" w:hanging="851"/>
      </w:pPr>
      <w:r>
        <w:tab/>
        <w:t xml:space="preserve">where — </w:t>
      </w:r>
    </w:p>
    <w:p>
      <w:pPr>
        <w:pStyle w:val="yMiscellaneousBody"/>
        <w:tabs>
          <w:tab w:val="left" w:pos="1134"/>
          <w:tab w:val="left" w:pos="1701"/>
        </w:tabs>
        <w:ind w:left="1701" w:hanging="1701"/>
      </w:pPr>
      <w:r>
        <w:tab/>
      </w:r>
      <w:r>
        <w:rPr>
          <w:b/>
        </w:rPr>
        <w:t>A</w:t>
      </w:r>
      <w:r>
        <w:t xml:space="preserve"> =</w:t>
      </w:r>
      <w:r>
        <w:tab/>
        <w:t>the amount payable in the 2012/2013 year;</w:t>
      </w:r>
    </w:p>
    <w:p>
      <w:pPr>
        <w:pStyle w:val="yMiscellaneousBody"/>
        <w:tabs>
          <w:tab w:val="left" w:pos="1134"/>
          <w:tab w:val="left" w:pos="1701"/>
        </w:tabs>
        <w:ind w:left="1701" w:hanging="1701"/>
      </w:pPr>
      <w:r>
        <w:tab/>
      </w:r>
      <w:r>
        <w:rPr>
          <w:b/>
        </w:rPr>
        <w:t>B</w:t>
      </w:r>
      <w:r>
        <w:t xml:space="preserve"> =</w:t>
      </w:r>
      <w:r>
        <w:tab/>
        <w:t>1.120;</w:t>
      </w:r>
    </w:p>
    <w:p>
      <w:pPr>
        <w:pStyle w:val="yMiscellaneousBody"/>
        <w:tabs>
          <w:tab w:val="left" w:pos="1134"/>
          <w:tab w:val="left" w:pos="1701"/>
        </w:tabs>
        <w:ind w:left="1701" w:hanging="1701"/>
      </w:pPr>
      <w:r>
        <w:tab/>
      </w:r>
      <w:r>
        <w:rPr>
          <w:b/>
        </w:rPr>
        <w:t>C</w:t>
      </w:r>
      <w:r>
        <w:t xml:space="preserve"> =</w:t>
      </w:r>
      <w:r>
        <w:tab/>
        <w:t>the charge payable for the relevant number of major fixtures for the 2013/2014 year as set out in the Table;</w:t>
      </w:r>
    </w:p>
    <w:p>
      <w:pPr>
        <w:pStyle w:val="yMiscellaneousBody"/>
        <w:tabs>
          <w:tab w:val="left" w:pos="1134"/>
          <w:tab w:val="left" w:pos="1701"/>
        </w:tabs>
        <w:ind w:left="1701" w:hanging="1701"/>
      </w:pPr>
      <w:r>
        <w:tab/>
      </w:r>
      <w:r>
        <w:rPr>
          <w:b/>
        </w:rPr>
        <w:t>D</w:t>
      </w:r>
      <w:r>
        <w:t xml:space="preserve"> =</w:t>
      </w:r>
      <w:r>
        <w:tab/>
        <w:t>discharge charge;</w:t>
      </w:r>
    </w:p>
    <w:p>
      <w:pPr>
        <w:pStyle w:val="yMiscellaneousBody"/>
        <w:tabs>
          <w:tab w:val="left" w:pos="1134"/>
          <w:tab w:val="left" w:pos="1701"/>
        </w:tabs>
        <w:ind w:left="1701" w:hanging="1701"/>
      </w:pPr>
      <w:r>
        <w:tab/>
      </w:r>
      <w:r>
        <w:rPr>
          <w:b/>
        </w:rPr>
        <w:t>E</w:t>
      </w:r>
      <w:r>
        <w:t xml:space="preserve"> =</w:t>
      </w:r>
      <w:r>
        <w:tab/>
        <w:t>1.000;</w:t>
      </w:r>
    </w:p>
    <w:p>
      <w:pPr>
        <w:pStyle w:val="yMiscellaneousBody"/>
        <w:tabs>
          <w:tab w:val="left" w:pos="1134"/>
          <w:tab w:val="left" w:pos="1701"/>
        </w:tabs>
        <w:ind w:left="1701" w:hanging="1701"/>
      </w:pPr>
      <w:r>
        <w:tab/>
      </w:r>
      <w:r>
        <w:rPr>
          <w:b/>
        </w:rPr>
        <w:t>X</w:t>
      </w:r>
      <w:r>
        <w:t xml:space="preserve"> =</w:t>
      </w:r>
      <w:r>
        <w:tab/>
        <w:t>the amount specified in relation to the 2013/2014 year for the relevant number of major fixtures as set out in the Table.</w:t>
      </w:r>
    </w:p>
    <w:p>
      <w:pPr>
        <w:pStyle w:val="yTHeadingNAm"/>
      </w:pPr>
      <w:r>
        <w:t>Table of major fixture</w:t>
      </w:r>
      <w:r>
        <w:noBreakHyphen/>
        <w:t>based minimum charges</w:t>
      </w:r>
      <w:r>
        <w:br/>
        <w:t>(per fixture)</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NAm"/>
              <w:jc w:val="center"/>
            </w:pPr>
            <w:r>
              <w:rPr>
                <w:b/>
              </w:rPr>
              <w:t>No. of fixtures</w:t>
            </w:r>
          </w:p>
        </w:tc>
        <w:tc>
          <w:tcPr>
            <w:tcW w:w="2268" w:type="dxa"/>
            <w:tcBorders>
              <w:top w:val="single" w:sz="4" w:space="0" w:color="auto"/>
              <w:bottom w:val="single" w:sz="4" w:space="0" w:color="auto"/>
            </w:tcBorders>
          </w:tcPr>
          <w:p>
            <w:pPr>
              <w:pStyle w:val="yTableNAm"/>
              <w:jc w:val="center"/>
            </w:pPr>
            <w:r>
              <w:rPr>
                <w:b/>
              </w:rPr>
              <w:t>Charge</w:t>
            </w:r>
            <w:r>
              <w:rPr>
                <w:b/>
              </w:rPr>
              <w:br/>
              <w:t>$</w:t>
            </w:r>
          </w:p>
        </w:tc>
      </w:tr>
      <w:tr>
        <w:tc>
          <w:tcPr>
            <w:tcW w:w="2268" w:type="dxa"/>
          </w:tcPr>
          <w:p>
            <w:pPr>
              <w:pStyle w:val="yTableNAm"/>
              <w:jc w:val="center"/>
            </w:pPr>
            <w:r>
              <w:t>1</w:t>
            </w:r>
          </w:p>
        </w:tc>
        <w:tc>
          <w:tcPr>
            <w:tcW w:w="2268" w:type="dxa"/>
          </w:tcPr>
          <w:p>
            <w:pPr>
              <w:pStyle w:val="yTableNAm"/>
              <w:jc w:val="center"/>
              <w:rPr>
                <w:rFonts w:ascii="Arial" w:hAnsi="Arial"/>
                <w:b/>
              </w:rPr>
            </w:pPr>
            <w:r>
              <w:t>772.10</w:t>
            </w:r>
          </w:p>
        </w:tc>
      </w:tr>
      <w:tr>
        <w:tc>
          <w:tcPr>
            <w:tcW w:w="2268" w:type="dxa"/>
          </w:tcPr>
          <w:p>
            <w:pPr>
              <w:pStyle w:val="yTableNAm"/>
              <w:jc w:val="center"/>
              <w:rPr>
                <w:rFonts w:ascii="Arial" w:hAnsi="Arial"/>
                <w:b/>
              </w:rPr>
            </w:pPr>
            <w:r>
              <w:t>2</w:t>
            </w:r>
          </w:p>
        </w:tc>
        <w:tc>
          <w:tcPr>
            <w:tcW w:w="2268" w:type="dxa"/>
          </w:tcPr>
          <w:p>
            <w:pPr>
              <w:pStyle w:val="yTableNAm"/>
              <w:jc w:val="center"/>
              <w:rPr>
                <w:rFonts w:ascii="Arial" w:hAnsi="Arial"/>
                <w:b/>
              </w:rPr>
            </w:pPr>
            <w:r>
              <w:t>330.51</w:t>
            </w:r>
          </w:p>
        </w:tc>
      </w:tr>
      <w:tr>
        <w:tc>
          <w:tcPr>
            <w:tcW w:w="2268" w:type="dxa"/>
          </w:tcPr>
          <w:p>
            <w:pPr>
              <w:pStyle w:val="yTableNAm"/>
              <w:jc w:val="center"/>
              <w:rPr>
                <w:rFonts w:ascii="Arial" w:hAnsi="Arial"/>
                <w:b/>
              </w:rPr>
            </w:pPr>
            <w:r>
              <w:t>3</w:t>
            </w:r>
          </w:p>
        </w:tc>
        <w:tc>
          <w:tcPr>
            <w:tcW w:w="2268" w:type="dxa"/>
          </w:tcPr>
          <w:p>
            <w:pPr>
              <w:pStyle w:val="yTableNAm"/>
              <w:jc w:val="center"/>
              <w:rPr>
                <w:rFonts w:ascii="Arial" w:hAnsi="Arial"/>
                <w:b/>
              </w:rPr>
            </w:pPr>
            <w:r>
              <w:t>441.38</w:t>
            </w:r>
          </w:p>
        </w:tc>
      </w:tr>
      <w:tr>
        <w:tc>
          <w:tcPr>
            <w:tcW w:w="2268" w:type="dxa"/>
            <w:tcBorders>
              <w:bottom w:val="single" w:sz="4" w:space="0" w:color="auto"/>
            </w:tcBorders>
          </w:tcPr>
          <w:p>
            <w:pPr>
              <w:pStyle w:val="yTableNAm"/>
              <w:jc w:val="center"/>
              <w:rPr>
                <w:rFonts w:ascii="Arial" w:hAnsi="Arial"/>
                <w:b/>
              </w:rPr>
            </w:pPr>
            <w:r>
              <w:t>4+</w:t>
            </w:r>
          </w:p>
        </w:tc>
        <w:tc>
          <w:tcPr>
            <w:tcW w:w="2268" w:type="dxa"/>
            <w:tcBorders>
              <w:bottom w:val="single" w:sz="4" w:space="0" w:color="auto"/>
            </w:tcBorders>
          </w:tcPr>
          <w:p>
            <w:pPr>
              <w:pStyle w:val="yTableNAm"/>
              <w:jc w:val="center"/>
              <w:rPr>
                <w:rFonts w:ascii="Arial" w:hAnsi="Arial"/>
                <w:b/>
              </w:rPr>
            </w:pPr>
            <w:r>
              <w:t>479.97</w:t>
            </w:r>
          </w:p>
        </w:tc>
      </w:tr>
    </w:tbl>
    <w:p>
      <w:pPr>
        <w:pStyle w:val="yMiscellaneousBody"/>
      </w:pPr>
      <w:r>
        <w:rPr>
          <w:b/>
          <w:bCs/>
        </w:rPr>
        <w:t>19.</w:t>
      </w:r>
      <w:r>
        <w:rPr>
          <w:b/>
          <w:bCs/>
        </w:rPr>
        <w:tab/>
        <w:t>Formula for quantity charge</w:t>
      </w:r>
    </w:p>
    <w:p>
      <w:pPr>
        <w:pStyle w:val="yMiscellaneousBody"/>
        <w:tabs>
          <w:tab w:val="left" w:pos="798"/>
        </w:tabs>
        <w:ind w:left="784" w:hanging="784"/>
      </w:pPr>
      <w:r>
        <w:tab/>
        <w:t xml:space="preserve">For the purposes of Division 4, the quantity charge (Q) is calculated in accordance with the following formula — </w:t>
      </w:r>
    </w:p>
    <w:p>
      <w:pPr>
        <w:pStyle w:val="yMiscellaneousBody"/>
        <w:tabs>
          <w:tab w:val="left" w:pos="851"/>
        </w:tabs>
        <w:ind w:left="851" w:hanging="851"/>
      </w:pP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MiscellaneousBody"/>
        <w:tabs>
          <w:tab w:val="left" w:pos="851"/>
        </w:tabs>
        <w:ind w:left="851" w:hanging="851"/>
      </w:pPr>
      <w:r>
        <w:tab/>
        <w:t>nil</w:t>
      </w:r>
    </w:p>
    <w:p>
      <w:pPr>
        <w:pStyle w:val="yMiscellaneousBody"/>
        <w:tabs>
          <w:tab w:val="left" w:pos="851"/>
        </w:tabs>
        <w:ind w:left="851" w:hanging="851"/>
      </w:pPr>
      <w:r>
        <w:tab/>
        <w:t>or if (</w:t>
      </w:r>
      <w:r>
        <w:rPr>
          <w:b/>
        </w:rPr>
        <w:t>F</w:t>
      </w:r>
      <w:r>
        <w:t xml:space="preserve"> </w:t>
      </w:r>
      <w:r>
        <w:sym w:font="Symbol" w:char="F0B4"/>
      </w:r>
      <w:r>
        <w:t xml:space="preserve"> </w:t>
      </w:r>
      <w:r>
        <w:rPr>
          <w:b/>
        </w:rPr>
        <w:t>G</w:t>
      </w:r>
      <w:r>
        <w:t xml:space="preserve">) &gt; </w:t>
      </w:r>
      <w:r>
        <w:rPr>
          <w:b/>
        </w:rPr>
        <w:t>H</w:t>
      </w:r>
      <w:r>
        <w:t xml:space="preserve">, then — </w:t>
      </w:r>
    </w:p>
    <w:p>
      <w:pPr>
        <w:pStyle w:val="yMiscellaneousBody"/>
        <w:tabs>
          <w:tab w:val="left" w:pos="851"/>
        </w:tabs>
        <w:ind w:left="851" w:hanging="851"/>
      </w:pPr>
      <w:r>
        <w:tab/>
        <w:t>{(</w:t>
      </w:r>
      <w:r>
        <w:rPr>
          <w:b/>
        </w:rPr>
        <w:t>F</w:t>
      </w:r>
      <w:r>
        <w:t xml:space="preserve"> (</w:t>
      </w:r>
      <w:r>
        <w:rPr>
          <w:b/>
        </w:rPr>
        <w:t>G</w:t>
      </w:r>
      <w:r>
        <w:t xml:space="preserve">) – </w:t>
      </w:r>
      <w:r>
        <w:rPr>
          <w:b/>
        </w:rPr>
        <w:t>H</w:t>
      </w:r>
      <w:r>
        <w:t xml:space="preserve">} </w:t>
      </w:r>
      <w:r>
        <w:sym w:font="Symbol" w:char="F0B4"/>
      </w:r>
      <w:r>
        <w:t xml:space="preserve"> </w:t>
      </w:r>
      <w:r>
        <w:rPr>
          <w:b/>
        </w:rPr>
        <w:t>I</w:t>
      </w:r>
    </w:p>
    <w:p>
      <w:pPr>
        <w:pStyle w:val="yMiscellaneousBody"/>
        <w:tabs>
          <w:tab w:val="left" w:pos="851"/>
        </w:tabs>
        <w:ind w:left="851" w:hanging="851"/>
      </w:pPr>
      <w:r>
        <w:lastRenderedPageBreak/>
        <w:tab/>
        <w:t xml:space="preserve">where — </w:t>
      </w:r>
    </w:p>
    <w:p>
      <w:pPr>
        <w:pStyle w:val="yMiscellaneousBody"/>
        <w:tabs>
          <w:tab w:val="left" w:pos="1134"/>
          <w:tab w:val="left" w:pos="1701"/>
        </w:tabs>
        <w:ind w:left="1701" w:hanging="1701"/>
      </w:pPr>
      <w:r>
        <w:tab/>
      </w:r>
      <w:r>
        <w:rPr>
          <w:b/>
        </w:rPr>
        <w:t>F</w:t>
      </w:r>
      <w:r>
        <w:t xml:space="preserve"> =</w:t>
      </w:r>
      <w:r>
        <w:tab/>
        <w:t>the volume of water delivered to the property in the 2013/2014 year;</w:t>
      </w:r>
    </w:p>
    <w:p>
      <w:pPr>
        <w:pStyle w:val="yMiscellaneousBody"/>
        <w:tabs>
          <w:tab w:val="left" w:pos="1134"/>
          <w:tab w:val="left" w:pos="1701"/>
        </w:tabs>
        <w:ind w:left="1701" w:hanging="1701"/>
      </w:pPr>
      <w:r>
        <w:tab/>
      </w:r>
      <w:r>
        <w:rPr>
          <w:b/>
        </w:rPr>
        <w:t>G</w:t>
      </w:r>
      <w:r>
        <w:t xml:space="preserve"> =</w:t>
      </w:r>
      <w:r>
        <w:tab/>
        <w:t>the discharge factor set for the property for the 2013/2014 year;</w:t>
      </w:r>
    </w:p>
    <w:p>
      <w:pPr>
        <w:pStyle w:val="yMiscellaneousBody"/>
        <w:tabs>
          <w:tab w:val="left" w:pos="1134"/>
          <w:tab w:val="left" w:pos="1701"/>
        </w:tabs>
        <w:ind w:left="1701" w:hanging="1701"/>
      </w:pPr>
      <w:r>
        <w:tab/>
      </w:r>
      <w:r>
        <w:rPr>
          <w:b/>
        </w:rPr>
        <w:t>H</w:t>
      </w:r>
      <w:r>
        <w:t xml:space="preserve"> =</w:t>
      </w:r>
      <w:r>
        <w:tab/>
        <w:t>the discharge allowance for the 2013/2014 year calculated in accordance with item 20;</w:t>
      </w:r>
    </w:p>
    <w:p>
      <w:pPr>
        <w:pStyle w:val="yMiscellaneousBody"/>
        <w:tabs>
          <w:tab w:val="left" w:pos="1134"/>
          <w:tab w:val="left" w:pos="1701"/>
        </w:tabs>
        <w:ind w:left="1701" w:hanging="1701"/>
      </w:pPr>
      <w:r>
        <w:tab/>
      </w:r>
      <w:r>
        <w:rPr>
          <w:b/>
        </w:rPr>
        <w:t>I</w:t>
      </w:r>
      <w:r>
        <w:t xml:space="preserve"> =</w:t>
      </w:r>
      <w:r>
        <w:tab/>
        <w:t>2.8376.</w:t>
      </w:r>
    </w:p>
    <w:p>
      <w:pPr>
        <w:pStyle w:val="yMiscellaneousBody"/>
        <w:rPr>
          <w:b/>
          <w:bCs/>
        </w:rPr>
      </w:pPr>
      <w:r>
        <w:rPr>
          <w:b/>
          <w:bCs/>
        </w:rPr>
        <w:t>20.</w:t>
      </w:r>
      <w:r>
        <w:rPr>
          <w:b/>
          <w:bCs/>
        </w:rPr>
        <w:tab/>
        <w:t>Discharge allowance</w:t>
      </w:r>
    </w:p>
    <w:p>
      <w:pPr>
        <w:pStyle w:val="yMiscellaneousBody"/>
        <w:tabs>
          <w:tab w:val="left" w:pos="798"/>
        </w:tabs>
        <w:ind w:left="784" w:hanging="784"/>
      </w:pPr>
      <w:r>
        <w:tab/>
        <w:t xml:space="preserve">For the purposes of item 19, the discharge allowance is — </w:t>
      </w:r>
    </w:p>
    <w:p>
      <w:pPr>
        <w:pStyle w:val="yMiscellaneousBody"/>
        <w:tabs>
          <w:tab w:val="left" w:pos="993"/>
          <w:tab w:val="left" w:pos="1560"/>
        </w:tabs>
        <w:ind w:left="1560" w:hanging="1560"/>
      </w:pPr>
      <w:r>
        <w:tab/>
        <w:t>(a)</w:t>
      </w:r>
      <w:r>
        <w:tab/>
        <w:t>for land to which item 13 applies that is not mentioned in paragraph (e), 200 kL of water; and</w:t>
      </w:r>
    </w:p>
    <w:p>
      <w:pPr>
        <w:pStyle w:val="yMiscellaneousBody"/>
        <w:tabs>
          <w:tab w:val="left" w:pos="993"/>
          <w:tab w:val="left" w:pos="1560"/>
        </w:tabs>
        <w:ind w:left="1560" w:hanging="1560"/>
      </w:pPr>
      <w:r>
        <w:tab/>
        <w:t>(b)</w:t>
      </w:r>
      <w:r>
        <w:tab/>
        <w:t>for a non</w:t>
      </w:r>
      <w:r>
        <w:noBreakHyphen/>
        <w:t>commercial Government property, or a property held by a Government trading organisation, 200 kL of water; and</w:t>
      </w:r>
    </w:p>
    <w:p>
      <w:pPr>
        <w:pStyle w:val="yMiscellaneousBody"/>
        <w:tabs>
          <w:tab w:val="left" w:pos="993"/>
          <w:tab w:val="left" w:pos="1560"/>
        </w:tabs>
        <w:ind w:left="1560" w:hanging="1560"/>
      </w:pPr>
      <w:r>
        <w:tab/>
        <w:t>(c)</w:t>
      </w:r>
      <w:r>
        <w:tab/>
        <w:t>for a caravan park referred to in item 15, an amount of water in kilolitres calculated in accordance with the following formula — </w:t>
      </w:r>
    </w:p>
    <w:p>
      <w:pPr>
        <w:pStyle w:val="yMiscellaneousBody"/>
        <w:tabs>
          <w:tab w:val="left" w:pos="1701"/>
        </w:tabs>
        <w:ind w:left="1701" w:hanging="1701"/>
      </w:pPr>
      <w:r>
        <w:tab/>
      </w:r>
      <w:r>
        <w:rPr>
          <w:b/>
        </w:rPr>
        <w:t>L</w:t>
      </w:r>
      <w:r>
        <w:t xml:space="preserve"> + </w:t>
      </w:r>
      <w:r>
        <w:rPr>
          <w:b/>
        </w:rPr>
        <w:t>M</w:t>
      </w:r>
    </w:p>
    <w:p>
      <w:pPr>
        <w:pStyle w:val="yMiscellaneousBody"/>
        <w:tabs>
          <w:tab w:val="left" w:pos="1701"/>
        </w:tabs>
        <w:ind w:left="1701" w:hanging="1701"/>
      </w:pPr>
      <w:r>
        <w:tab/>
        <w:t xml:space="preserve">where — </w:t>
      </w:r>
    </w:p>
    <w:p>
      <w:pPr>
        <w:pStyle w:val="yMiscellaneousBody"/>
        <w:tabs>
          <w:tab w:val="left" w:pos="1985"/>
          <w:tab w:val="left" w:pos="2552"/>
        </w:tabs>
      </w:pPr>
      <w:r>
        <w:tab/>
      </w:r>
      <w:r>
        <w:rPr>
          <w:b/>
        </w:rPr>
        <w:t>L</w:t>
      </w:r>
      <w:r>
        <w:t xml:space="preserve"> =</w:t>
      </w:r>
      <w:r>
        <w:tab/>
        <w:t>200;</w:t>
      </w:r>
    </w:p>
    <w:p>
      <w:pPr>
        <w:pStyle w:val="yMiscellaneousBody"/>
        <w:tabs>
          <w:tab w:val="left" w:pos="1985"/>
          <w:tab w:val="left" w:pos="2552"/>
        </w:tabs>
        <w:ind w:left="2552" w:hanging="2552"/>
      </w:pPr>
      <w:r>
        <w:tab/>
      </w:r>
      <w:r>
        <w:rPr>
          <w:b/>
        </w:rPr>
        <w:t>M</w:t>
      </w:r>
      <w:r>
        <w:t xml:space="preserve"> =</w:t>
      </w:r>
      <w:r>
        <w:tab/>
        <w:t>75 kL of water for each long</w:t>
      </w:r>
      <w:r>
        <w:noBreakHyphen/>
        <w:t>term residential caravan bay;</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(d)</w:t>
      </w:r>
      <w:r>
        <w:tab/>
        <w:t>for a nursing home referred to in item 16, 75 kL of water per bed; and</w:t>
      </w:r>
    </w:p>
    <w:p>
      <w:pPr>
        <w:pStyle w:val="yMiscellaneousBody"/>
        <w:tabs>
          <w:tab w:val="left" w:pos="993"/>
          <w:tab w:val="left" w:pos="1560"/>
        </w:tabs>
        <w:ind w:left="1560" w:hanging="1560"/>
      </w:pPr>
      <w:r>
        <w:tab/>
        <w:t>(e)</w:t>
      </w:r>
      <w:r>
        <w:tab/>
        <w:t>for properties served through a common metered service, 200 kL of water for each property.</w:t>
      </w:r>
    </w:p>
    <w:p>
      <w:pPr>
        <w:pStyle w:val="yFootnotesection"/>
      </w:pPr>
      <w:r>
        <w:tab/>
        <w:t>[Division 5 inserted in Gazette 19 Jun 2013 p. 2389-91.]</w:t>
      </w:r>
    </w:p>
    <w:p>
      <w:pPr>
        <w:pStyle w:val="yHeading3"/>
      </w:pPr>
      <w:bookmarkStart w:id="69" w:name="_Toc84424796"/>
      <w:r>
        <w:rPr>
          <w:rStyle w:val="CharSDivNo"/>
        </w:rPr>
        <w:lastRenderedPageBreak/>
        <w:t>Division 6</w:t>
      </w:r>
      <w:r>
        <w:t> — </w:t>
      </w:r>
      <w:r>
        <w:rPr>
          <w:rStyle w:val="CharSDivText"/>
        </w:rPr>
        <w:t>Service charges for industrial waste</w:t>
      </w:r>
      <w:bookmarkEnd w:id="69"/>
    </w:p>
    <w:p>
      <w:pPr>
        <w:pStyle w:val="yFootnoteheading"/>
        <w:spacing w:after="120"/>
      </w:pPr>
      <w:r>
        <w:tab/>
        <w:t>[Heading inserted in Gazette 19 Jun 2013 p. 2391.]</w:t>
      </w:r>
    </w:p>
    <w:tbl>
      <w:tblPr>
        <w:tblW w:w="0" w:type="auto"/>
        <w:tblInd w:w="534" w:type="dxa"/>
        <w:tblLayout w:type="fixed"/>
        <w:tblLook w:val="0000" w:firstRow="0" w:lastRow="0" w:firstColumn="0" w:lastColumn="0" w:noHBand="0" w:noVBand="0"/>
      </w:tblPr>
      <w:tblGrid>
        <w:gridCol w:w="850"/>
        <w:gridCol w:w="4212"/>
        <w:gridCol w:w="14"/>
        <w:gridCol w:w="1444"/>
      </w:tblGrid>
      <w:tr>
        <w:trPr>
          <w:cantSplit/>
        </w:trPr>
        <w:tc>
          <w:tcPr>
            <w:tcW w:w="850" w:type="dxa"/>
          </w:tcPr>
          <w:p>
            <w:pPr>
              <w:pStyle w:val="yTableNAm"/>
              <w:rPr>
                <w:snapToGrid w:val="0"/>
              </w:rPr>
            </w:pPr>
            <w:r>
              <w:rPr>
                <w:b/>
                <w:bCs/>
                <w:snapToGrid w:val="0"/>
                <w:szCs w:val="22"/>
              </w:rPr>
              <w:t>21.</w:t>
            </w:r>
          </w:p>
        </w:tc>
        <w:tc>
          <w:tcPr>
            <w:tcW w:w="5670" w:type="dxa"/>
            <w:gridSpan w:val="3"/>
          </w:tcPr>
          <w:p>
            <w:pPr>
              <w:pStyle w:val="yTableNAm"/>
              <w:rPr>
                <w:snapToGrid w:val="0"/>
              </w:rPr>
            </w:pPr>
            <w:r>
              <w:rPr>
                <w:b/>
                <w:bCs/>
                <w:snapToGrid w:val="0"/>
                <w:szCs w:val="22"/>
              </w:rPr>
              <w:t>Inspection — routine programme</w:t>
            </w: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For an inspection for a routine programme </w:t>
            </w:r>
            <w:r>
              <w:rPr>
                <w:spacing w:val="-1"/>
                <w:szCs w:val="22"/>
              </w:rPr>
              <w:tab/>
            </w:r>
          </w:p>
        </w:tc>
        <w:tc>
          <w:tcPr>
            <w:tcW w:w="1444" w:type="dxa"/>
            <w:vAlign w:val="bottom"/>
          </w:tcPr>
          <w:p>
            <w:pPr>
              <w:pStyle w:val="yTableNAm"/>
            </w:pPr>
            <w:r>
              <w:rPr>
                <w:spacing w:val="-1"/>
                <w:szCs w:val="22"/>
              </w:rPr>
              <w:t>$134.75/hour</w:t>
            </w:r>
          </w:p>
        </w:tc>
      </w:tr>
      <w:tr>
        <w:tc>
          <w:tcPr>
            <w:tcW w:w="850" w:type="dxa"/>
          </w:tcPr>
          <w:p>
            <w:pPr>
              <w:pStyle w:val="yTableNAm"/>
              <w:rPr>
                <w:snapToGrid w:val="0"/>
              </w:rPr>
            </w:pPr>
            <w:r>
              <w:rPr>
                <w:b/>
                <w:bCs/>
                <w:snapToGrid w:val="0"/>
                <w:szCs w:val="22"/>
              </w:rPr>
              <w:t>22.</w:t>
            </w:r>
          </w:p>
        </w:tc>
        <w:tc>
          <w:tcPr>
            <w:tcW w:w="4226" w:type="dxa"/>
            <w:gridSpan w:val="2"/>
          </w:tcPr>
          <w:p>
            <w:pPr>
              <w:pStyle w:val="yTableNAm"/>
              <w:tabs>
                <w:tab w:val="right" w:leader="dot" w:pos="4253"/>
              </w:tabs>
              <w:rPr>
                <w:b/>
                <w:bCs/>
                <w:snapToGrid w:val="0"/>
                <w:szCs w:val="22"/>
              </w:rPr>
            </w:pPr>
            <w:r>
              <w:rPr>
                <w:b/>
                <w:bCs/>
                <w:snapToGrid w:val="0"/>
                <w:szCs w:val="22"/>
              </w:rPr>
              <w:t>Meter reading — routine programme</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For each meter reading for a routine programme </w:t>
            </w:r>
            <w:r>
              <w:rPr>
                <w:spacing w:val="-1"/>
                <w:szCs w:val="22"/>
              </w:rPr>
              <w:tab/>
            </w:r>
          </w:p>
        </w:tc>
        <w:tc>
          <w:tcPr>
            <w:tcW w:w="1444" w:type="dxa"/>
            <w:vAlign w:val="bottom"/>
          </w:tcPr>
          <w:p>
            <w:pPr>
              <w:pStyle w:val="yTableNAm"/>
            </w:pPr>
            <w:r>
              <w:rPr>
                <w:spacing w:val="-1"/>
                <w:szCs w:val="22"/>
              </w:rPr>
              <w:t>$24.60</w:t>
            </w:r>
          </w:p>
        </w:tc>
      </w:tr>
      <w:tr>
        <w:tc>
          <w:tcPr>
            <w:tcW w:w="850" w:type="dxa"/>
          </w:tcPr>
          <w:p>
            <w:pPr>
              <w:pStyle w:val="yTableNAm"/>
              <w:rPr>
                <w:snapToGrid w:val="0"/>
              </w:rPr>
            </w:pPr>
            <w:r>
              <w:rPr>
                <w:b/>
                <w:bCs/>
                <w:snapToGrid w:val="0"/>
                <w:szCs w:val="22"/>
              </w:rPr>
              <w:t>23.</w:t>
            </w:r>
          </w:p>
        </w:tc>
        <w:tc>
          <w:tcPr>
            <w:tcW w:w="4226" w:type="dxa"/>
            <w:gridSpan w:val="2"/>
          </w:tcPr>
          <w:p>
            <w:pPr>
              <w:pStyle w:val="yTableNAm"/>
              <w:rPr>
                <w:snapToGrid w:val="0"/>
              </w:rPr>
            </w:pPr>
            <w:r>
              <w:rPr>
                <w:b/>
                <w:bCs/>
                <w:snapToGrid w:val="0"/>
                <w:szCs w:val="22"/>
              </w:rPr>
              <w:t>Grab samples — routine programme</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For each grab sample for a routine programme</w:t>
            </w:r>
            <w:r>
              <w:rPr>
                <w:szCs w:val="22"/>
              </w:rPr>
              <w:t xml:space="preserve"> </w:t>
            </w:r>
            <w:r>
              <w:rPr>
                <w:szCs w:val="22"/>
              </w:rPr>
              <w:tab/>
            </w:r>
          </w:p>
        </w:tc>
        <w:tc>
          <w:tcPr>
            <w:tcW w:w="1444" w:type="dxa"/>
            <w:vAlign w:val="bottom"/>
          </w:tcPr>
          <w:p>
            <w:pPr>
              <w:pStyle w:val="yTableNAm"/>
            </w:pPr>
            <w:r>
              <w:rPr>
                <w:spacing w:val="-1"/>
                <w:szCs w:val="22"/>
              </w:rPr>
              <w:t>$286.00</w:t>
            </w:r>
          </w:p>
        </w:tc>
      </w:tr>
      <w:tr>
        <w:tc>
          <w:tcPr>
            <w:tcW w:w="850" w:type="dxa"/>
          </w:tcPr>
          <w:p>
            <w:pPr>
              <w:pStyle w:val="yTableNAm"/>
              <w:rPr>
                <w:snapToGrid w:val="0"/>
              </w:rPr>
            </w:pPr>
            <w:r>
              <w:rPr>
                <w:b/>
                <w:bCs/>
                <w:snapToGrid w:val="0"/>
                <w:szCs w:val="22"/>
              </w:rPr>
              <w:t>24.</w:t>
            </w:r>
          </w:p>
        </w:tc>
        <w:tc>
          <w:tcPr>
            <w:tcW w:w="4226" w:type="dxa"/>
            <w:gridSpan w:val="2"/>
          </w:tcPr>
          <w:p>
            <w:pPr>
              <w:pStyle w:val="yTableNAm"/>
              <w:rPr>
                <w:snapToGrid w:val="0"/>
              </w:rPr>
            </w:pPr>
            <w:r>
              <w:rPr>
                <w:b/>
                <w:bCs/>
                <w:snapToGrid w:val="0"/>
                <w:szCs w:val="22"/>
              </w:rPr>
              <w:t>Composite samples — routine programme</w:t>
            </w:r>
          </w:p>
        </w:tc>
        <w:tc>
          <w:tcPr>
            <w:tcW w:w="1444" w:type="dxa"/>
            <w:vAlign w:val="bottom"/>
          </w:tcPr>
          <w:p>
            <w:pPr>
              <w:pStyle w:val="yTableNAm"/>
            </w:pPr>
          </w:p>
        </w:tc>
      </w:tr>
      <w:tr>
        <w:tc>
          <w:tcPr>
            <w:tcW w:w="850" w:type="dxa"/>
          </w:tcPr>
          <w:p>
            <w:pPr>
              <w:pStyle w:val="yTableNAm"/>
              <w:keepNext/>
              <w:keepLines/>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For each composite sample for a routine programme </w:t>
            </w:r>
            <w:r>
              <w:rPr>
                <w:spacing w:val="-1"/>
                <w:szCs w:val="22"/>
              </w:rPr>
              <w:tab/>
            </w:r>
          </w:p>
        </w:tc>
        <w:tc>
          <w:tcPr>
            <w:tcW w:w="1444" w:type="dxa"/>
            <w:vAlign w:val="bottom"/>
          </w:tcPr>
          <w:p>
            <w:pPr>
              <w:pStyle w:val="yTableNAm"/>
            </w:pPr>
            <w:r>
              <w:rPr>
                <w:spacing w:val="-1"/>
                <w:szCs w:val="22"/>
              </w:rPr>
              <w:t>$672.10</w:t>
            </w:r>
          </w:p>
        </w:tc>
      </w:tr>
      <w:tr>
        <w:tc>
          <w:tcPr>
            <w:tcW w:w="850" w:type="dxa"/>
          </w:tcPr>
          <w:p>
            <w:pPr>
              <w:pStyle w:val="yTableNAm"/>
              <w:rPr>
                <w:snapToGrid w:val="0"/>
              </w:rPr>
            </w:pPr>
            <w:r>
              <w:rPr>
                <w:b/>
                <w:bCs/>
                <w:snapToGrid w:val="0"/>
                <w:szCs w:val="22"/>
              </w:rPr>
              <w:t>25.</w:t>
            </w:r>
          </w:p>
        </w:tc>
        <w:tc>
          <w:tcPr>
            <w:tcW w:w="4226" w:type="dxa"/>
            <w:gridSpan w:val="2"/>
          </w:tcPr>
          <w:p>
            <w:pPr>
              <w:pStyle w:val="yTableNAm"/>
              <w:rPr>
                <w:snapToGrid w:val="0"/>
              </w:rPr>
            </w:pPr>
            <w:r>
              <w:rPr>
                <w:b/>
                <w:bCs/>
                <w:snapToGrid w:val="0"/>
                <w:szCs w:val="22"/>
              </w:rPr>
              <w:t>Establishment charge — unscheduled visit</w:t>
            </w:r>
          </w:p>
        </w:tc>
        <w:tc>
          <w:tcPr>
            <w:tcW w:w="1444" w:type="dxa"/>
            <w:vAlign w:val="bottom"/>
          </w:tcPr>
          <w:p>
            <w:pPr>
              <w:pStyle w:val="yTableNAm"/>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Establishment charge </w:t>
            </w:r>
            <w:r>
              <w:rPr>
                <w:spacing w:val="-12"/>
                <w:szCs w:val="22"/>
              </w:rPr>
              <w:t>for</w:t>
            </w:r>
            <w:r>
              <w:rPr>
                <w:spacing w:val="-1"/>
                <w:szCs w:val="22"/>
              </w:rPr>
              <w:t xml:space="preserve"> an </w:t>
            </w:r>
            <w:r>
              <w:rPr>
                <w:szCs w:val="22"/>
              </w:rPr>
              <w:t>unscheduled</w:t>
            </w:r>
            <w:r>
              <w:rPr>
                <w:spacing w:val="-1"/>
                <w:szCs w:val="22"/>
              </w:rPr>
              <w:t xml:space="preserve"> visit </w:t>
            </w:r>
          </w:p>
        </w:tc>
        <w:tc>
          <w:tcPr>
            <w:tcW w:w="1444" w:type="dxa"/>
            <w:vAlign w:val="bottom"/>
          </w:tcPr>
          <w:p>
            <w:pPr>
              <w:pStyle w:val="yTableNAm"/>
            </w:pPr>
            <w:r>
              <w:rPr>
                <w:spacing w:val="-1"/>
                <w:szCs w:val="22"/>
              </w:rPr>
              <w:t>$122.50/hour</w:t>
            </w:r>
          </w:p>
        </w:tc>
      </w:tr>
      <w:tr>
        <w:tc>
          <w:tcPr>
            <w:tcW w:w="850" w:type="dxa"/>
          </w:tcPr>
          <w:p>
            <w:pPr>
              <w:pStyle w:val="yTableNAm"/>
              <w:rPr>
                <w:snapToGrid w:val="0"/>
              </w:rPr>
            </w:pPr>
            <w:r>
              <w:rPr>
                <w:b/>
                <w:bCs/>
                <w:snapToGrid w:val="0"/>
                <w:szCs w:val="22"/>
              </w:rPr>
              <w:t>26.</w:t>
            </w:r>
          </w:p>
        </w:tc>
        <w:tc>
          <w:tcPr>
            <w:tcW w:w="4226" w:type="dxa"/>
            <w:gridSpan w:val="2"/>
          </w:tcPr>
          <w:p>
            <w:pPr>
              <w:pStyle w:val="yTableNAm"/>
              <w:rPr>
                <w:snapToGrid w:val="0"/>
              </w:rPr>
            </w:pPr>
            <w:r>
              <w:rPr>
                <w:b/>
                <w:bCs/>
                <w:snapToGrid w:val="0"/>
                <w:szCs w:val="22"/>
              </w:rPr>
              <w:t>Product evaluation — unscheduled visit</w:t>
            </w:r>
          </w:p>
        </w:tc>
        <w:tc>
          <w:tcPr>
            <w:tcW w:w="1444" w:type="dxa"/>
            <w:vAlign w:val="bottom"/>
          </w:tcPr>
          <w:p>
            <w:pPr>
              <w:pStyle w:val="yTableNAm"/>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Product evaluation for an unscheduled visit </w:t>
            </w:r>
            <w:r>
              <w:rPr>
                <w:spacing w:val="-1"/>
                <w:szCs w:val="22"/>
              </w:rPr>
              <w:tab/>
            </w:r>
          </w:p>
        </w:tc>
        <w:tc>
          <w:tcPr>
            <w:tcW w:w="1444" w:type="dxa"/>
            <w:vAlign w:val="bottom"/>
          </w:tcPr>
          <w:p>
            <w:pPr>
              <w:pStyle w:val="yTableNAm"/>
            </w:pPr>
            <w:r>
              <w:rPr>
                <w:spacing w:val="-1"/>
                <w:szCs w:val="22"/>
              </w:rPr>
              <w:t>$153.30/hour</w:t>
            </w:r>
          </w:p>
        </w:tc>
      </w:tr>
      <w:tr>
        <w:tc>
          <w:tcPr>
            <w:tcW w:w="850" w:type="dxa"/>
          </w:tcPr>
          <w:p>
            <w:pPr>
              <w:pStyle w:val="yTableNAm"/>
              <w:rPr>
                <w:snapToGrid w:val="0"/>
              </w:rPr>
            </w:pPr>
            <w:r>
              <w:rPr>
                <w:b/>
                <w:bCs/>
                <w:snapToGrid w:val="0"/>
                <w:szCs w:val="22"/>
              </w:rPr>
              <w:t>27.</w:t>
            </w:r>
          </w:p>
        </w:tc>
        <w:tc>
          <w:tcPr>
            <w:tcW w:w="4226" w:type="dxa"/>
            <w:gridSpan w:val="2"/>
          </w:tcPr>
          <w:p>
            <w:pPr>
              <w:pStyle w:val="yTableNAm"/>
              <w:rPr>
                <w:snapToGrid w:val="0"/>
              </w:rPr>
            </w:pPr>
            <w:r>
              <w:rPr>
                <w:b/>
                <w:bCs/>
                <w:snapToGrid w:val="0"/>
                <w:szCs w:val="22"/>
              </w:rPr>
              <w:t>Grab samples — unscheduled visit</w:t>
            </w:r>
          </w:p>
        </w:tc>
        <w:tc>
          <w:tcPr>
            <w:tcW w:w="1444" w:type="dxa"/>
            <w:vAlign w:val="bottom"/>
          </w:tcPr>
          <w:p>
            <w:pPr>
              <w:pStyle w:val="yTableNAm"/>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For each grab sample for an unscheduled visit </w:t>
            </w:r>
            <w:r>
              <w:rPr>
                <w:spacing w:val="-1"/>
                <w:szCs w:val="22"/>
              </w:rPr>
              <w:tab/>
            </w:r>
          </w:p>
        </w:tc>
        <w:tc>
          <w:tcPr>
            <w:tcW w:w="1444" w:type="dxa"/>
            <w:vAlign w:val="bottom"/>
          </w:tcPr>
          <w:p>
            <w:pPr>
              <w:pStyle w:val="yTableNAm"/>
            </w:pPr>
            <w:r>
              <w:rPr>
                <w:spacing w:val="-1"/>
                <w:szCs w:val="22"/>
              </w:rPr>
              <w:t>At cost</w:t>
            </w:r>
          </w:p>
        </w:tc>
      </w:tr>
      <w:tr>
        <w:tc>
          <w:tcPr>
            <w:tcW w:w="850" w:type="dxa"/>
          </w:tcPr>
          <w:p>
            <w:pPr>
              <w:pStyle w:val="yTableNAm"/>
              <w:rPr>
                <w:snapToGrid w:val="0"/>
              </w:rPr>
            </w:pPr>
            <w:r>
              <w:rPr>
                <w:b/>
                <w:bCs/>
                <w:snapToGrid w:val="0"/>
                <w:szCs w:val="22"/>
              </w:rPr>
              <w:t>28.</w:t>
            </w:r>
          </w:p>
        </w:tc>
        <w:tc>
          <w:tcPr>
            <w:tcW w:w="4226" w:type="dxa"/>
            <w:gridSpan w:val="2"/>
          </w:tcPr>
          <w:p>
            <w:pPr>
              <w:pStyle w:val="yTableNAm"/>
              <w:tabs>
                <w:tab w:val="right" w:leader="dot" w:pos="4253"/>
              </w:tabs>
              <w:rPr>
                <w:b/>
                <w:bCs/>
                <w:spacing w:val="-1"/>
                <w:szCs w:val="22"/>
              </w:rPr>
            </w:pPr>
            <w:r>
              <w:rPr>
                <w:b/>
                <w:bCs/>
                <w:snapToGrid w:val="0"/>
                <w:szCs w:val="22"/>
              </w:rPr>
              <w:t xml:space="preserve">Composite samples — </w:t>
            </w:r>
            <w:r>
              <w:rPr>
                <w:b/>
                <w:bCs/>
                <w:spacing w:val="-1"/>
                <w:szCs w:val="22"/>
              </w:rPr>
              <w:t>unscheduled visit</w:t>
            </w:r>
          </w:p>
        </w:tc>
        <w:tc>
          <w:tcPr>
            <w:tcW w:w="1444" w:type="dxa"/>
            <w:vAlign w:val="bottom"/>
          </w:tcPr>
          <w:p>
            <w:pPr>
              <w:pStyle w:val="yTableNAm"/>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For each composite sample for an unscheduled visit </w:t>
            </w:r>
            <w:r>
              <w:rPr>
                <w:spacing w:val="-1"/>
                <w:szCs w:val="22"/>
              </w:rPr>
              <w:tab/>
            </w:r>
          </w:p>
        </w:tc>
        <w:tc>
          <w:tcPr>
            <w:tcW w:w="1444" w:type="dxa"/>
            <w:vAlign w:val="bottom"/>
          </w:tcPr>
          <w:p>
            <w:pPr>
              <w:pStyle w:val="yTableNAm"/>
            </w:pPr>
            <w:r>
              <w:rPr>
                <w:spacing w:val="-1"/>
                <w:szCs w:val="22"/>
              </w:rPr>
              <w:t>At cost</w:t>
            </w:r>
          </w:p>
        </w:tc>
      </w:tr>
      <w:tr>
        <w:trPr>
          <w:cantSplit/>
        </w:trPr>
        <w:tc>
          <w:tcPr>
            <w:tcW w:w="850" w:type="dxa"/>
          </w:tcPr>
          <w:p>
            <w:pPr>
              <w:pStyle w:val="yTableNAm"/>
              <w:rPr>
                <w:snapToGrid w:val="0"/>
              </w:rPr>
            </w:pPr>
            <w:r>
              <w:rPr>
                <w:b/>
                <w:bCs/>
                <w:snapToGrid w:val="0"/>
                <w:szCs w:val="22"/>
              </w:rPr>
              <w:t>29.</w:t>
            </w:r>
          </w:p>
        </w:tc>
        <w:tc>
          <w:tcPr>
            <w:tcW w:w="5670" w:type="dxa"/>
            <w:gridSpan w:val="3"/>
          </w:tcPr>
          <w:p>
            <w:pPr>
              <w:pStyle w:val="yTableNAm"/>
              <w:rPr>
                <w:snapToGrid w:val="0"/>
              </w:rPr>
            </w:pPr>
            <w:r>
              <w:rPr>
                <w:b/>
                <w:bCs/>
                <w:snapToGrid w:val="0"/>
                <w:szCs w:val="22"/>
              </w:rPr>
              <w:t>Non</w:t>
            </w:r>
            <w:r>
              <w:rPr>
                <w:b/>
                <w:bCs/>
                <w:snapToGrid w:val="0"/>
                <w:szCs w:val="22"/>
              </w:rPr>
              <w:noBreakHyphen/>
              <w:t>permit holders discharging industrial waste</w:t>
            </w:r>
          </w:p>
        </w:tc>
      </w:tr>
      <w:tr>
        <w:tc>
          <w:tcPr>
            <w:tcW w:w="850" w:type="dxa"/>
          </w:tcPr>
          <w:p>
            <w:pPr>
              <w:pStyle w:val="yTableNAm"/>
              <w:rPr>
                <w:szCs w:val="22"/>
              </w:rPr>
            </w:pPr>
          </w:p>
        </w:tc>
        <w:tc>
          <w:tcPr>
            <w:tcW w:w="4212" w:type="dxa"/>
          </w:tcPr>
          <w:p>
            <w:pPr>
              <w:pStyle w:val="yTableNAm"/>
              <w:tabs>
                <w:tab w:val="clear" w:pos="567"/>
                <w:tab w:val="right" w:leader="dot" w:pos="4003"/>
              </w:tabs>
              <w:rPr>
                <w:rFonts w:ascii="Arial" w:hAnsi="Arial"/>
                <w:b/>
              </w:rPr>
            </w:pPr>
            <w:r>
              <w:rPr>
                <w:spacing w:val="-1"/>
                <w:szCs w:val="22"/>
              </w:rPr>
              <w:t>For a one</w:t>
            </w:r>
            <w:r>
              <w:rPr>
                <w:spacing w:val="-1"/>
                <w:szCs w:val="22"/>
              </w:rPr>
              <w:noBreakHyphen/>
              <w:t xml:space="preserve">off discharge of industrial waste by a person who does not hold an industrial waste permit </w:t>
            </w:r>
            <w:r>
              <w:rPr>
                <w:spacing w:val="-1"/>
                <w:szCs w:val="22"/>
              </w:rPr>
              <w:tab/>
            </w:r>
          </w:p>
        </w:tc>
        <w:tc>
          <w:tcPr>
            <w:tcW w:w="1458" w:type="dxa"/>
            <w:gridSpan w:val="2"/>
            <w:vAlign w:val="bottom"/>
          </w:tcPr>
          <w:p>
            <w:pPr>
              <w:pStyle w:val="yTableNAm"/>
            </w:pPr>
            <w:r>
              <w:rPr>
                <w:spacing w:val="-1"/>
                <w:szCs w:val="22"/>
              </w:rPr>
              <w:t>$122.50/hour</w:t>
            </w:r>
          </w:p>
        </w:tc>
      </w:tr>
      <w:tr>
        <w:tc>
          <w:tcPr>
            <w:tcW w:w="850" w:type="dxa"/>
          </w:tcPr>
          <w:p>
            <w:pPr>
              <w:pStyle w:val="yTableNAm"/>
              <w:rPr>
                <w:b/>
                <w:szCs w:val="22"/>
              </w:rPr>
            </w:pPr>
            <w:r>
              <w:rPr>
                <w:b/>
                <w:szCs w:val="22"/>
              </w:rPr>
              <w:t>30.</w:t>
            </w:r>
          </w:p>
        </w:tc>
        <w:tc>
          <w:tcPr>
            <w:tcW w:w="4212" w:type="dxa"/>
          </w:tcPr>
          <w:p>
            <w:pPr>
              <w:pStyle w:val="yTableNAm"/>
            </w:pPr>
            <w:r>
              <w:rPr>
                <w:b/>
                <w:spacing w:val="-1"/>
                <w:szCs w:val="22"/>
              </w:rPr>
              <w:t>(Not used)</w:t>
            </w:r>
          </w:p>
        </w:tc>
        <w:tc>
          <w:tcPr>
            <w:tcW w:w="1458" w:type="dxa"/>
            <w:gridSpan w:val="2"/>
            <w:vAlign w:val="bottom"/>
          </w:tcPr>
          <w:p>
            <w:pPr>
              <w:pStyle w:val="yTableNAm"/>
            </w:pPr>
          </w:p>
        </w:tc>
      </w:tr>
    </w:tbl>
    <w:p>
      <w:pPr>
        <w:pStyle w:val="yFootnotesection"/>
      </w:pPr>
      <w:r>
        <w:tab/>
        <w:t>[Division 6 inserted in Gazette 19 Jun 2013 p. 2391-2.]</w:t>
      </w:r>
    </w:p>
    <w:p>
      <w:pPr>
        <w:pStyle w:val="yHeading3"/>
      </w:pPr>
      <w:bookmarkStart w:id="70" w:name="_Toc84424797"/>
      <w:r>
        <w:rPr>
          <w:rStyle w:val="CharSDivNo"/>
        </w:rPr>
        <w:lastRenderedPageBreak/>
        <w:t>Division 7</w:t>
      </w:r>
      <w:r>
        <w:t> — </w:t>
      </w:r>
      <w:r>
        <w:rPr>
          <w:rStyle w:val="CharSDivText"/>
        </w:rPr>
        <w:t>Combined charges for country</w:t>
      </w:r>
      <w:bookmarkEnd w:id="70"/>
    </w:p>
    <w:p>
      <w:pPr>
        <w:pStyle w:val="yFootnoteheading"/>
        <w:spacing w:after="120"/>
      </w:pPr>
      <w:r>
        <w:tab/>
        <w:t>[Heading inserted in Gazette 19 Jun 2013 p. 2392.]</w:t>
      </w:r>
    </w:p>
    <w:p>
      <w:pPr>
        <w:pStyle w:val="yMiscellaneousBody"/>
        <w:tabs>
          <w:tab w:val="left" w:pos="709"/>
        </w:tabs>
        <w:ind w:left="714" w:hanging="714"/>
      </w:pPr>
      <w:r>
        <w:rPr>
          <w:b/>
        </w:rPr>
        <w:t>31.</w:t>
      </w:r>
      <w:r>
        <w:rPr>
          <w:b/>
        </w:rPr>
        <w:tab/>
        <w:t>Country non</w:t>
      </w:r>
      <w:r>
        <w:rPr>
          <w:b/>
        </w:rPr>
        <w:noBreakHyphen/>
        <w:t>residential or commercial residential property, Government trading organisations and non</w:t>
      </w:r>
      <w:r>
        <w:rPr>
          <w:b/>
        </w:rPr>
        <w:noBreakHyphen/>
        <w:t>commercial Government property</w:t>
      </w:r>
    </w:p>
    <w:p>
      <w:pPr>
        <w:pStyle w:val="yMiscellaneousBody"/>
        <w:tabs>
          <w:tab w:val="left" w:pos="798"/>
        </w:tabs>
        <w:ind w:left="784" w:hanging="784"/>
      </w:pPr>
      <w:r>
        <w:tab/>
        <w:t>In respect of land in a country sewerage area that is classified as country non</w:t>
      </w:r>
      <w:r>
        <w:noBreakHyphen/>
        <w:t>residential or commercial residential property, Government trading organisation or non</w:t>
      </w:r>
      <w:r>
        <w:noBreakHyphen/>
        <w:t>commercial Government property and is not referred to in item 2, 4, 5, 32, 33 or 34, the charge is calculated in accordance with the following formula —</w:t>
      </w:r>
    </w:p>
    <w:p>
      <w:pPr>
        <w:pStyle w:val="yMiscellaneousBody"/>
        <w:tabs>
          <w:tab w:val="left" w:pos="851"/>
        </w:tabs>
        <w:ind w:left="851" w:hanging="851"/>
      </w:pPr>
      <w:r>
        <w:tab/>
        <w:t>If (</w:t>
      </w:r>
      <w:r>
        <w:rPr>
          <w:b/>
        </w:rPr>
        <w:t>P</w:t>
      </w:r>
      <w:r>
        <w:t xml:space="preserve"> + </w:t>
      </w:r>
      <w:r>
        <w:rPr>
          <w:b/>
        </w:rPr>
        <w:t>Q</w:t>
      </w:r>
      <w:r>
        <w:t xml:space="preserve">) </w:t>
      </w:r>
      <w:r>
        <w:sym w:font="Symbol" w:char="F0A3"/>
      </w:r>
      <w:r>
        <w:t xml:space="preserve"> </w:t>
      </w:r>
      <w:r>
        <w:rPr>
          <w:b/>
        </w:rPr>
        <w:t>R</w:t>
      </w:r>
      <w:r>
        <w:t xml:space="preserve">, then — </w:t>
      </w:r>
    </w:p>
    <w:p>
      <w:pPr>
        <w:pStyle w:val="yMiscellaneousBody"/>
        <w:tabs>
          <w:tab w:val="left" w:pos="851"/>
        </w:tabs>
        <w:ind w:left="851" w:hanging="851"/>
      </w:pPr>
      <w:r>
        <w:tab/>
      </w:r>
      <w:r>
        <w:rPr>
          <w:b/>
        </w:rPr>
        <w:t>P</w:t>
      </w:r>
      <w:r>
        <w:t xml:space="preserve"> + </w:t>
      </w:r>
      <w:r>
        <w:rPr>
          <w:b/>
        </w:rPr>
        <w:t>Q</w:t>
      </w:r>
    </w:p>
    <w:p>
      <w:pPr>
        <w:pStyle w:val="yMiscellaneousBody"/>
        <w:tabs>
          <w:tab w:val="left" w:pos="851"/>
        </w:tabs>
        <w:ind w:left="851" w:hanging="851"/>
      </w:pPr>
      <w:r>
        <w:tab/>
        <w:t xml:space="preserve">or if — </w:t>
      </w:r>
    </w:p>
    <w:p>
      <w:pPr>
        <w:pStyle w:val="yMiscellaneousBody"/>
        <w:tabs>
          <w:tab w:val="left" w:pos="851"/>
        </w:tabs>
        <w:ind w:left="851" w:hanging="851"/>
      </w:pPr>
      <w:r>
        <w:tab/>
        <w:t>(</w:t>
      </w:r>
      <w:r>
        <w:rPr>
          <w:b/>
        </w:rPr>
        <w:t>P</w:t>
      </w:r>
      <w:r>
        <w:t xml:space="preserve"> + </w:t>
      </w:r>
      <w:r>
        <w:rPr>
          <w:b/>
        </w:rPr>
        <w:t>Q</w:t>
      </w:r>
      <w:r>
        <w:t xml:space="preserve">) &gt; </w:t>
      </w:r>
      <w:r>
        <w:rPr>
          <w:b/>
        </w:rPr>
        <w:t>R</w:t>
      </w:r>
      <w:r>
        <w:t>; and</w:t>
      </w:r>
    </w:p>
    <w:p>
      <w:pPr>
        <w:pStyle w:val="yMiscellaneousBody"/>
        <w:tabs>
          <w:tab w:val="left" w:pos="851"/>
        </w:tabs>
        <w:ind w:left="851" w:hanging="851"/>
      </w:pPr>
      <w:r>
        <w:tab/>
      </w:r>
      <w:r>
        <w:rPr>
          <w:b/>
        </w:rPr>
        <w:t>N</w:t>
      </w:r>
      <w:r>
        <w:t xml:space="preserve"> </w:t>
      </w:r>
      <w:r>
        <w:sym w:font="Symbol" w:char="F0A3"/>
      </w:r>
      <w:r>
        <w:t xml:space="preserve"> </w:t>
      </w:r>
      <w:r>
        <w:rPr>
          <w:b/>
        </w:rPr>
        <w:t>W</w:t>
      </w:r>
      <w:r>
        <w:t>,</w:t>
      </w:r>
    </w:p>
    <w:p>
      <w:pPr>
        <w:pStyle w:val="yMiscellaneousBody"/>
        <w:tabs>
          <w:tab w:val="left" w:pos="851"/>
        </w:tabs>
        <w:ind w:left="851" w:hanging="851"/>
      </w:pPr>
      <w:r>
        <w:tab/>
        <w:t xml:space="preserve">then — </w:t>
      </w:r>
    </w:p>
    <w:p>
      <w:pPr>
        <w:pStyle w:val="yMiscellaneousBody"/>
        <w:tabs>
          <w:tab w:val="left" w:pos="851"/>
        </w:tabs>
        <w:ind w:left="851" w:hanging="851"/>
      </w:pPr>
      <w:r>
        <w:tab/>
      </w:r>
      <w:r>
        <w:rPr>
          <w:b/>
        </w:rPr>
        <w:t>R</w:t>
      </w:r>
      <w:r>
        <w:t xml:space="preserve"> + {(</w:t>
      </w:r>
      <w:r>
        <w:rPr>
          <w:b/>
        </w:rPr>
        <w:t>N</w:t>
      </w:r>
      <w:r>
        <w:t xml:space="preserve"> (</w:t>
      </w:r>
      <w:r>
        <w:rPr>
          <w:b/>
        </w:rPr>
        <w:t>W</w:t>
      </w:r>
      <w:r>
        <w:t xml:space="preserve">) </w:t>
      </w:r>
      <w:r>
        <w:sym w:font="Symbol" w:char="F0B4"/>
      </w:r>
      <w:r>
        <w:t xml:space="preserve"> </w:t>
      </w:r>
      <w:r>
        <w:rPr>
          <w:b/>
        </w:rPr>
        <w:t>I</w:t>
      </w:r>
      <w:r>
        <w:t>}</w:t>
      </w:r>
    </w:p>
    <w:p>
      <w:pPr>
        <w:pStyle w:val="yMiscellaneousBody"/>
        <w:tabs>
          <w:tab w:val="left" w:pos="851"/>
        </w:tabs>
        <w:ind w:left="851" w:hanging="851"/>
      </w:pPr>
      <w:r>
        <w:tab/>
        <w:t xml:space="preserve">where — </w:t>
      </w:r>
    </w:p>
    <w:p>
      <w:pPr>
        <w:pStyle w:val="yMiscellaneousBody"/>
        <w:tabs>
          <w:tab w:val="left" w:pos="1134"/>
          <w:tab w:val="left" w:pos="1701"/>
        </w:tabs>
        <w:ind w:left="1701" w:hanging="1701"/>
      </w:pPr>
      <w:r>
        <w:tab/>
      </w:r>
      <w:r>
        <w:rPr>
          <w:b/>
        </w:rPr>
        <w:t>P</w:t>
      </w:r>
      <w:r>
        <w:t xml:space="preserve"> =</w:t>
      </w:r>
      <w:r>
        <w:tab/>
        <w:t>the annual charge calculated in accordance with the formula in item 36;</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37;</w:t>
      </w:r>
    </w:p>
    <w:p>
      <w:pPr>
        <w:pStyle w:val="yMiscellaneousBody"/>
        <w:tabs>
          <w:tab w:val="left" w:pos="1134"/>
          <w:tab w:val="left" w:pos="1701"/>
        </w:tabs>
        <w:ind w:left="1701" w:hanging="1701"/>
      </w:pPr>
      <w:r>
        <w:tab/>
      </w:r>
      <w:r>
        <w:rPr>
          <w:b/>
        </w:rPr>
        <w:t>R</w:t>
      </w:r>
      <w:r>
        <w:t xml:space="preserve"> =</w:t>
      </w:r>
      <w:r>
        <w:tab/>
        <w:t>the maximum charge calculated in accordance with the formula in item 35;</w:t>
      </w:r>
    </w:p>
    <w:p>
      <w:pPr>
        <w:pStyle w:val="yMiscellaneousBody"/>
        <w:tabs>
          <w:tab w:val="left" w:pos="1134"/>
          <w:tab w:val="left" w:pos="1701"/>
        </w:tabs>
        <w:ind w:left="1701" w:hanging="1701"/>
      </w:pPr>
      <w:r>
        <w:tab/>
      </w:r>
      <w:r>
        <w:rPr>
          <w:b/>
        </w:rPr>
        <w:t>N</w:t>
      </w:r>
      <w:r>
        <w:t xml:space="preserve"> =</w:t>
      </w:r>
      <w:r>
        <w:tab/>
        <w:t>the discharge volume for the 2013/2014 year;</w:t>
      </w:r>
    </w:p>
    <w:p>
      <w:pPr>
        <w:pStyle w:val="yMiscellaneousBody"/>
        <w:tabs>
          <w:tab w:val="left" w:pos="1134"/>
          <w:tab w:val="left" w:pos="1701"/>
        </w:tabs>
        <w:ind w:left="1701" w:hanging="1701"/>
      </w:pPr>
      <w:r>
        <w:tab/>
      </w:r>
      <w:r>
        <w:rPr>
          <w:b/>
        </w:rPr>
        <w:t>W</w:t>
      </w:r>
      <w:r>
        <w:t xml:space="preserve"> =</w:t>
      </w:r>
      <w:r>
        <w:tab/>
        <w:t>the discharge volume for the last available consumption year;</w:t>
      </w:r>
    </w:p>
    <w:p>
      <w:pPr>
        <w:pStyle w:val="yMiscellaneousBody"/>
        <w:tabs>
          <w:tab w:val="left" w:pos="1134"/>
          <w:tab w:val="left" w:pos="1701"/>
        </w:tabs>
        <w:ind w:left="1701" w:hanging="1701"/>
      </w:pPr>
      <w:r>
        <w:tab/>
      </w:r>
      <w:r>
        <w:rPr>
          <w:b/>
        </w:rPr>
        <w:t>I</w:t>
      </w:r>
      <w:r>
        <w:t xml:space="preserve"> =</w:t>
      </w:r>
      <w:r>
        <w:tab/>
        <w:t>2.8376.</w:t>
      </w:r>
    </w:p>
    <w:p>
      <w:pPr>
        <w:pStyle w:val="yMiscellaneousBody"/>
        <w:tabs>
          <w:tab w:val="left" w:pos="709"/>
        </w:tabs>
        <w:ind w:left="714" w:hanging="714"/>
        <w:rPr>
          <w:b/>
        </w:rPr>
      </w:pPr>
      <w:r>
        <w:rPr>
          <w:b/>
        </w:rPr>
        <w:lastRenderedPageBreak/>
        <w:t>32.</w:t>
      </w:r>
      <w:r>
        <w:rPr>
          <w:b/>
        </w:rPr>
        <w:tab/>
        <w:t>Country non strata</w:t>
      </w:r>
      <w:r>
        <w:rPr>
          <w:b/>
        </w:rPr>
        <w:noBreakHyphen/>
        <w:t>titled caravan park with long</w:t>
      </w:r>
      <w:r>
        <w:rPr>
          <w:b/>
        </w:rPr>
        <w:noBreakHyphen/>
        <w:t>term residential caravan bays</w:t>
      </w:r>
    </w:p>
    <w:p>
      <w:pPr>
        <w:pStyle w:val="yMiscellaneousBody"/>
        <w:tabs>
          <w:tab w:val="left" w:pos="798"/>
        </w:tabs>
        <w:ind w:left="784" w:hanging="784"/>
      </w:pPr>
      <w:r>
        <w:tab/>
        <w:t>In respect of a caravan park in a country sewerage area —</w:t>
      </w:r>
    </w:p>
    <w:p>
      <w:pPr>
        <w:pStyle w:val="yMiscellaneousBody"/>
        <w:tabs>
          <w:tab w:val="left" w:pos="993"/>
          <w:tab w:val="left" w:pos="1560"/>
        </w:tabs>
        <w:ind w:left="1560" w:hanging="1560"/>
      </w:pPr>
      <w:r>
        <w:tab/>
        <w:t>(a)</w:t>
      </w:r>
      <w:r>
        <w:tab/>
        <w:t>not consisting of strata</w:t>
      </w:r>
      <w:r>
        <w:noBreakHyphen/>
        <w:t>titled caravan bays referred to in item 3 of this Schedule; and</w:t>
      </w:r>
    </w:p>
    <w:p>
      <w:pPr>
        <w:pStyle w:val="yMiscellaneousBody"/>
        <w:tabs>
          <w:tab w:val="left" w:pos="993"/>
          <w:tab w:val="left" w:pos="1560"/>
        </w:tabs>
        <w:ind w:left="1560" w:hanging="1560"/>
      </w:pPr>
      <w:r>
        <w:tab/>
        <w:t>(b)</w:t>
      </w:r>
      <w:r>
        <w:tab/>
        <w:t>having long</w:t>
      </w:r>
      <w:r>
        <w:noBreakHyphen/>
        <w:t>term residential caravan bays,</w:t>
      </w:r>
    </w:p>
    <w:p>
      <w:pPr>
        <w:pStyle w:val="yMiscellaneousBody"/>
        <w:tabs>
          <w:tab w:val="left" w:pos="798"/>
        </w:tabs>
        <w:ind w:left="784" w:hanging="784"/>
      </w:pPr>
      <w:r>
        <w:tab/>
        <w:t xml:space="preserve">the charge payable in accordance with the following formula — </w:t>
      </w:r>
    </w:p>
    <w:p>
      <w:pPr>
        <w:pStyle w:val="yMiscellaneousBody"/>
        <w:tabs>
          <w:tab w:val="left" w:pos="798"/>
        </w:tabs>
        <w:ind w:left="784" w:hanging="784"/>
      </w:pPr>
      <w:r>
        <w:tab/>
      </w:r>
      <w:r>
        <w:rPr>
          <w:b/>
        </w:rPr>
        <w:t>AA</w:t>
      </w:r>
      <w:r>
        <w:t xml:space="preserve"> + </w:t>
      </w:r>
      <w:r>
        <w:rPr>
          <w:b/>
        </w:rPr>
        <w:t>AB</w:t>
      </w:r>
    </w:p>
    <w:p>
      <w:pPr>
        <w:pStyle w:val="yMiscellaneousBody"/>
        <w:tabs>
          <w:tab w:val="left" w:pos="798"/>
        </w:tabs>
        <w:ind w:left="784" w:hanging="784"/>
      </w:pPr>
      <w:r>
        <w:tab/>
        <w:t xml:space="preserve">where — </w:t>
      </w:r>
    </w:p>
    <w:p>
      <w:pPr>
        <w:pStyle w:val="yMiscellaneousBody"/>
        <w:tabs>
          <w:tab w:val="left" w:pos="851"/>
          <w:tab w:val="left" w:pos="1418"/>
        </w:tabs>
        <w:ind w:left="1418" w:hanging="1418"/>
      </w:pPr>
      <w:r>
        <w:tab/>
      </w:r>
      <w:r>
        <w:rPr>
          <w:b/>
        </w:rPr>
        <w:t>AA</w:t>
      </w:r>
      <w:r>
        <w:t xml:space="preserve"> =</w:t>
      </w:r>
      <w:r>
        <w:tab/>
        <w:t>a charge of $254.93 for each long</w:t>
      </w:r>
      <w:r>
        <w:noBreakHyphen/>
        <w:t xml:space="preserve">term residential caravan bay; </w:t>
      </w:r>
    </w:p>
    <w:p>
      <w:pPr>
        <w:pStyle w:val="yMiscellaneousBody"/>
        <w:tabs>
          <w:tab w:val="left" w:pos="851"/>
          <w:tab w:val="left" w:pos="1418"/>
        </w:tabs>
        <w:ind w:left="1418" w:hanging="1418"/>
      </w:pPr>
      <w:r>
        <w:tab/>
      </w:r>
      <w:r>
        <w:rPr>
          <w:b/>
        </w:rPr>
        <w:t>AB</w:t>
      </w:r>
      <w:r>
        <w:t xml:space="preserve"> =</w:t>
      </w:r>
      <w:r>
        <w:tab/>
        <w:t>the charge for any part of the caravan park not comprised in long</w:t>
      </w:r>
      <w:r>
        <w:noBreakHyphen/>
        <w:t xml:space="preserve">term residential caravan bays, calculated in accordance with the following formula — </w:t>
      </w:r>
    </w:p>
    <w:p>
      <w:pPr>
        <w:pStyle w:val="yMiscellaneousBody"/>
        <w:tabs>
          <w:tab w:val="left" w:pos="1418"/>
        </w:tabs>
      </w:pPr>
      <w:r>
        <w:tab/>
        <w:t>If (</w:t>
      </w:r>
      <w:r>
        <w:rPr>
          <w:b/>
        </w:rPr>
        <w:t>Y</w:t>
      </w:r>
      <w:r>
        <w:t xml:space="preserve"> + </w:t>
      </w:r>
      <w:r>
        <w:rPr>
          <w:b/>
        </w:rPr>
        <w:t>Q</w:t>
      </w:r>
      <w:r>
        <w:t xml:space="preserve">) </w:t>
      </w:r>
      <w:r>
        <w:sym w:font="Symbol" w:char="F0A3"/>
      </w:r>
      <w:r>
        <w:t xml:space="preserve"> </w:t>
      </w:r>
      <w:r>
        <w:rPr>
          <w:b/>
        </w:rPr>
        <w:t>R</w:t>
      </w:r>
      <w:r>
        <w:t xml:space="preserve">, then — </w:t>
      </w:r>
    </w:p>
    <w:p>
      <w:pPr>
        <w:pStyle w:val="yMiscellaneousBody"/>
        <w:tabs>
          <w:tab w:val="left" w:pos="1418"/>
        </w:tabs>
      </w:pPr>
      <w:r>
        <w:tab/>
      </w:r>
      <w:r>
        <w:rPr>
          <w:b/>
        </w:rPr>
        <w:t>Y</w:t>
      </w:r>
      <w:r>
        <w:t xml:space="preserve"> + </w:t>
      </w:r>
      <w:r>
        <w:rPr>
          <w:b/>
        </w:rPr>
        <w:t>Q</w:t>
      </w:r>
    </w:p>
    <w:p>
      <w:pPr>
        <w:pStyle w:val="yMiscellaneousBody"/>
        <w:tabs>
          <w:tab w:val="left" w:pos="1418"/>
        </w:tabs>
      </w:pPr>
      <w:r>
        <w:tab/>
        <w:t xml:space="preserve">or if — </w:t>
      </w:r>
    </w:p>
    <w:p>
      <w:pPr>
        <w:pStyle w:val="yMiscellaneousBody"/>
        <w:tabs>
          <w:tab w:val="left" w:pos="1418"/>
        </w:tabs>
      </w:pPr>
      <w:r>
        <w:tab/>
        <w:t>(</w:t>
      </w:r>
      <w:r>
        <w:rPr>
          <w:b/>
        </w:rPr>
        <w:t>Y</w:t>
      </w:r>
      <w:r>
        <w:t xml:space="preserve"> + </w:t>
      </w:r>
      <w:r>
        <w:rPr>
          <w:b/>
        </w:rPr>
        <w:t>Q</w:t>
      </w:r>
      <w:r>
        <w:t xml:space="preserve">) &gt; </w:t>
      </w:r>
      <w:r>
        <w:rPr>
          <w:b/>
        </w:rPr>
        <w:t>R</w:t>
      </w:r>
      <w:r>
        <w:t>; and</w:t>
      </w:r>
    </w:p>
    <w:p>
      <w:pPr>
        <w:pStyle w:val="yMiscellaneousBody"/>
        <w:tabs>
          <w:tab w:val="left" w:pos="1418"/>
        </w:tabs>
      </w:pPr>
      <w:r>
        <w:tab/>
      </w:r>
      <w:r>
        <w:rPr>
          <w:b/>
        </w:rPr>
        <w:t>N</w:t>
      </w:r>
      <w:r>
        <w:t xml:space="preserve"> </w:t>
      </w:r>
      <w:r>
        <w:sym w:font="Symbol" w:char="F0A3"/>
      </w:r>
      <w:r>
        <w:t xml:space="preserve"> </w:t>
      </w:r>
      <w:r>
        <w:rPr>
          <w:b/>
        </w:rPr>
        <w:t>W</w:t>
      </w:r>
      <w:r>
        <w:t>,</w:t>
      </w:r>
    </w:p>
    <w:p>
      <w:pPr>
        <w:pStyle w:val="yMiscellaneousBody"/>
        <w:tabs>
          <w:tab w:val="left" w:pos="1418"/>
        </w:tabs>
      </w:pPr>
      <w:r>
        <w:tab/>
        <w:t xml:space="preserve">then — </w:t>
      </w:r>
    </w:p>
    <w:p>
      <w:pPr>
        <w:pStyle w:val="yMiscellaneousBody"/>
        <w:tabs>
          <w:tab w:val="left" w:pos="1418"/>
        </w:tabs>
        <w:rPr>
          <w:b/>
        </w:rPr>
      </w:pPr>
      <w:r>
        <w:tab/>
      </w:r>
      <w:r>
        <w:rPr>
          <w:b/>
        </w:rPr>
        <w:t>R</w:t>
      </w:r>
    </w:p>
    <w:p>
      <w:pPr>
        <w:pStyle w:val="yMiscellaneousBody"/>
        <w:tabs>
          <w:tab w:val="left" w:pos="1418"/>
        </w:tabs>
      </w:pPr>
      <w:r>
        <w:tab/>
        <w:t xml:space="preserve">or if — </w:t>
      </w:r>
    </w:p>
    <w:p>
      <w:pPr>
        <w:pStyle w:val="yMiscellaneousBody"/>
        <w:tabs>
          <w:tab w:val="left" w:pos="1418"/>
        </w:tabs>
      </w:pPr>
      <w:r>
        <w:tab/>
        <w:t>(</w:t>
      </w:r>
      <w:r>
        <w:rPr>
          <w:b/>
        </w:rPr>
        <w:t>Y</w:t>
      </w:r>
      <w:r>
        <w:t xml:space="preserve"> + </w:t>
      </w:r>
      <w:r>
        <w:rPr>
          <w:b/>
        </w:rPr>
        <w:t>Q</w:t>
      </w:r>
      <w:r>
        <w:t xml:space="preserve">) &gt; </w:t>
      </w:r>
      <w:r>
        <w:rPr>
          <w:b/>
        </w:rPr>
        <w:t>R</w:t>
      </w:r>
      <w:r>
        <w:t>; and</w:t>
      </w:r>
    </w:p>
    <w:p>
      <w:pPr>
        <w:pStyle w:val="yMiscellaneousBody"/>
        <w:tabs>
          <w:tab w:val="left" w:pos="1418"/>
        </w:tabs>
      </w:pPr>
      <w:r>
        <w:tab/>
      </w:r>
      <w:r>
        <w:rPr>
          <w:b/>
        </w:rPr>
        <w:t>N</w:t>
      </w:r>
      <w:r>
        <w:t xml:space="preserve"> &gt; </w:t>
      </w:r>
      <w:r>
        <w:rPr>
          <w:b/>
        </w:rPr>
        <w:t>W</w:t>
      </w:r>
      <w:r>
        <w:t>,</w:t>
      </w:r>
    </w:p>
    <w:p>
      <w:pPr>
        <w:pStyle w:val="yMiscellaneousBody"/>
        <w:tabs>
          <w:tab w:val="left" w:pos="1418"/>
        </w:tabs>
      </w:pPr>
      <w:r>
        <w:tab/>
        <w:t xml:space="preserve">then — </w:t>
      </w:r>
    </w:p>
    <w:p>
      <w:pPr>
        <w:pStyle w:val="yMiscellaneousBody"/>
        <w:tabs>
          <w:tab w:val="left" w:pos="1418"/>
        </w:tabs>
      </w:pP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MiscellaneousBody"/>
        <w:tabs>
          <w:tab w:val="left" w:pos="1418"/>
        </w:tabs>
      </w:pPr>
      <w:r>
        <w:tab/>
        <w:t xml:space="preserve">where — </w:t>
      </w:r>
    </w:p>
    <w:p>
      <w:pPr>
        <w:pStyle w:val="yMiscellaneousBody"/>
        <w:tabs>
          <w:tab w:val="left" w:pos="1701"/>
          <w:tab w:val="left" w:pos="2268"/>
        </w:tabs>
        <w:ind w:left="2268" w:hanging="2268"/>
      </w:pPr>
      <w:r>
        <w:lastRenderedPageBreak/>
        <w:tab/>
      </w:r>
      <w:r>
        <w:rPr>
          <w:b/>
        </w:rPr>
        <w:t>Y</w:t>
      </w:r>
      <w:r>
        <w:t xml:space="preserve"> =</w:t>
      </w:r>
      <w:r>
        <w:tab/>
        <w:t>the charge payable for the number of major fixtures in the relevant part of the caravan park in the 2013/2014 year as set out in the Table to item 36;</w:t>
      </w:r>
    </w:p>
    <w:p>
      <w:pPr>
        <w:pStyle w:val="yMiscellaneousBody"/>
        <w:tabs>
          <w:tab w:val="left" w:pos="1701"/>
          <w:tab w:val="left" w:pos="2268"/>
        </w:tabs>
        <w:ind w:left="2268" w:hanging="2268"/>
      </w:pPr>
      <w:r>
        <w:tab/>
      </w:r>
      <w:r>
        <w:rPr>
          <w:b/>
        </w:rPr>
        <w:t>Q</w:t>
      </w:r>
      <w:r>
        <w:t xml:space="preserve"> =</w:t>
      </w:r>
      <w:r>
        <w:tab/>
        <w:t>the quantity charge calculated in accordance with the formula in item 37;</w:t>
      </w:r>
    </w:p>
    <w:p>
      <w:pPr>
        <w:pStyle w:val="yMiscellaneousBody"/>
        <w:tabs>
          <w:tab w:val="left" w:pos="1701"/>
          <w:tab w:val="left" w:pos="2268"/>
        </w:tabs>
        <w:ind w:left="2268" w:hanging="2268"/>
      </w:pPr>
      <w:r>
        <w:tab/>
      </w:r>
      <w:r>
        <w:rPr>
          <w:b/>
        </w:rPr>
        <w:t>R</w:t>
      </w:r>
      <w:r>
        <w:t xml:space="preserve"> =</w:t>
      </w:r>
      <w:r>
        <w:tab/>
        <w:t>the charge calculated in accordance with the formula in item 35;</w:t>
      </w:r>
    </w:p>
    <w:p>
      <w:pPr>
        <w:pStyle w:val="yMiscellaneousBody"/>
        <w:tabs>
          <w:tab w:val="left" w:pos="1701"/>
          <w:tab w:val="left" w:pos="2268"/>
        </w:tabs>
        <w:ind w:left="2268" w:hanging="2268"/>
      </w:pPr>
      <w:r>
        <w:tab/>
      </w:r>
      <w:r>
        <w:rPr>
          <w:b/>
        </w:rPr>
        <w:t>N</w:t>
      </w:r>
      <w:r>
        <w:t xml:space="preserve"> =</w:t>
      </w:r>
      <w:r>
        <w:tab/>
        <w:t>the discharge volume for the 2013/2014 year;</w:t>
      </w:r>
    </w:p>
    <w:p>
      <w:pPr>
        <w:pStyle w:val="yMiscellaneousBody"/>
        <w:tabs>
          <w:tab w:val="left" w:pos="1701"/>
          <w:tab w:val="left" w:pos="2268"/>
        </w:tabs>
        <w:ind w:left="2268" w:hanging="2268"/>
      </w:pPr>
      <w:r>
        <w:tab/>
      </w:r>
      <w:r>
        <w:rPr>
          <w:b/>
        </w:rPr>
        <w:t>W</w:t>
      </w:r>
      <w:r>
        <w:t xml:space="preserve"> =</w:t>
      </w:r>
      <w:r>
        <w:tab/>
        <w:t>the discharge volume for the last available consumption year;</w:t>
      </w:r>
    </w:p>
    <w:p>
      <w:pPr>
        <w:pStyle w:val="yMiscellaneousBody"/>
        <w:tabs>
          <w:tab w:val="left" w:pos="1701"/>
          <w:tab w:val="left" w:pos="2268"/>
        </w:tabs>
        <w:ind w:left="2268" w:hanging="2268"/>
      </w:pPr>
      <w:r>
        <w:tab/>
      </w:r>
      <w:r>
        <w:rPr>
          <w:b/>
        </w:rPr>
        <w:t>I</w:t>
      </w:r>
      <w:r>
        <w:t xml:space="preserve"> =</w:t>
      </w:r>
      <w:r>
        <w:tab/>
        <w:t>2.8376.</w:t>
      </w:r>
    </w:p>
    <w:p>
      <w:pPr>
        <w:pStyle w:val="yMiscellaneousBody"/>
        <w:tabs>
          <w:tab w:val="left" w:pos="709"/>
        </w:tabs>
        <w:ind w:left="714" w:hanging="714"/>
        <w:rPr>
          <w:b/>
        </w:rPr>
      </w:pPr>
      <w:r>
        <w:rPr>
          <w:b/>
        </w:rPr>
        <w:t>33.</w:t>
      </w:r>
      <w:r>
        <w:rPr>
          <w:b/>
        </w:rPr>
        <w:tab/>
        <w:t>Country nursing home</w:t>
      </w:r>
    </w:p>
    <w:p>
      <w:pPr>
        <w:pStyle w:val="yMiscellaneousBody"/>
        <w:tabs>
          <w:tab w:val="left" w:pos="798"/>
        </w:tabs>
        <w:ind w:left="784" w:hanging="784"/>
      </w:pPr>
      <w:r>
        <w:tab/>
        <w:t>In respect of a nursing home in a country sewerage area, not being a nursing home which is, or is part of, an aged home, the charge is calculated in accordance with the following formula —</w:t>
      </w:r>
    </w:p>
    <w:p>
      <w:pPr>
        <w:pStyle w:val="yMiscellaneousBody"/>
        <w:tabs>
          <w:tab w:val="left" w:pos="798"/>
        </w:tabs>
        <w:ind w:left="784" w:hanging="784"/>
      </w:pPr>
      <w:r>
        <w:tab/>
        <w:t>If (</w:t>
      </w:r>
      <w:r>
        <w:rPr>
          <w:b/>
        </w:rPr>
        <w:t>T</w:t>
      </w:r>
      <w:r>
        <w:t xml:space="preserve"> + </w:t>
      </w:r>
      <w:r>
        <w:rPr>
          <w:b/>
        </w:rPr>
        <w:t>Q</w:t>
      </w:r>
      <w:r>
        <w:t xml:space="preserve">) </w:t>
      </w:r>
      <w:r>
        <w:sym w:font="Symbol" w:char="F0A3"/>
      </w:r>
      <w:r>
        <w:t xml:space="preserve"> </w:t>
      </w:r>
      <w:r>
        <w:rPr>
          <w:b/>
        </w:rPr>
        <w:t>R</w:t>
      </w:r>
      <w:r>
        <w:t xml:space="preserve">, then — </w:t>
      </w:r>
    </w:p>
    <w:p>
      <w:pPr>
        <w:pStyle w:val="yMiscellaneousBody"/>
        <w:tabs>
          <w:tab w:val="left" w:pos="798"/>
        </w:tabs>
        <w:ind w:left="784" w:hanging="784"/>
      </w:pPr>
      <w:r>
        <w:tab/>
      </w:r>
      <w:r>
        <w:rPr>
          <w:b/>
        </w:rPr>
        <w:t>T</w:t>
      </w:r>
      <w:r>
        <w:t xml:space="preserve"> + </w:t>
      </w:r>
      <w:r>
        <w:rPr>
          <w:b/>
        </w:rPr>
        <w:t>Q</w:t>
      </w:r>
    </w:p>
    <w:p>
      <w:pPr>
        <w:pStyle w:val="yMiscellaneousBody"/>
        <w:tabs>
          <w:tab w:val="left" w:pos="798"/>
        </w:tabs>
        <w:ind w:left="784" w:hanging="784"/>
      </w:pPr>
      <w:r>
        <w:tab/>
        <w:t>or if (</w:t>
      </w:r>
      <w:r>
        <w:rPr>
          <w:b/>
        </w:rPr>
        <w:t>T</w:t>
      </w:r>
      <w:r>
        <w:t xml:space="preserve"> + </w:t>
      </w:r>
      <w:r>
        <w:rPr>
          <w:b/>
        </w:rPr>
        <w:t>Q</w:t>
      </w:r>
      <w:r>
        <w:t xml:space="preserve">) &gt; </w:t>
      </w:r>
      <w:r>
        <w:rPr>
          <w:b/>
        </w:rPr>
        <w:t>R</w:t>
      </w:r>
      <w:r>
        <w:t xml:space="preserve">, then — </w:t>
      </w:r>
    </w:p>
    <w:p>
      <w:pPr>
        <w:pStyle w:val="yMiscellaneousBody"/>
        <w:tabs>
          <w:tab w:val="left" w:pos="798"/>
        </w:tabs>
        <w:ind w:left="784" w:hanging="784"/>
        <w:rPr>
          <w:b/>
        </w:rPr>
      </w:pPr>
      <w:r>
        <w:tab/>
      </w:r>
      <w:r>
        <w:rPr>
          <w:b/>
        </w:rPr>
        <w:t>R</w:t>
      </w:r>
    </w:p>
    <w:p>
      <w:pPr>
        <w:pStyle w:val="yMiscellaneousBody"/>
        <w:tabs>
          <w:tab w:val="left" w:pos="798"/>
        </w:tabs>
        <w:ind w:left="784" w:hanging="784"/>
      </w:pPr>
      <w:r>
        <w:tab/>
        <w:t xml:space="preserve">where — </w:t>
      </w:r>
    </w:p>
    <w:p>
      <w:pPr>
        <w:pStyle w:val="yMiscellaneousBody"/>
        <w:tabs>
          <w:tab w:val="left" w:pos="993"/>
          <w:tab w:val="left" w:pos="1560"/>
        </w:tabs>
        <w:ind w:left="1560" w:hanging="1560"/>
      </w:pPr>
      <w:r>
        <w:tab/>
      </w:r>
      <w:r>
        <w:rPr>
          <w:b/>
        </w:rPr>
        <w:t>T</w:t>
      </w:r>
      <w:r>
        <w:t xml:space="preserve"> =</w:t>
      </w:r>
      <w:r>
        <w:tab/>
        <w:t>the charge calculated in accordance with the following formula — </w:t>
      </w:r>
    </w:p>
    <w:p>
      <w:pPr>
        <w:pStyle w:val="yMiscellaneousBody"/>
        <w:tabs>
          <w:tab w:val="left" w:pos="1560"/>
        </w:tabs>
      </w:pPr>
      <w:r>
        <w:tab/>
      </w:r>
      <w:r>
        <w:rPr>
          <w:b/>
        </w:rPr>
        <w:t>U</w:t>
      </w:r>
      <w:r>
        <w:t xml:space="preserve"> </w:t>
      </w:r>
      <w:r>
        <w:sym w:font="Symbol" w:char="F0B4"/>
      </w:r>
      <w:r>
        <w:t xml:space="preserve"> </w:t>
      </w:r>
      <w:r>
        <w:rPr>
          <w:b/>
        </w:rPr>
        <w:t>V</w:t>
      </w:r>
    </w:p>
    <w:p>
      <w:pPr>
        <w:pStyle w:val="yMiscellaneousBody"/>
        <w:tabs>
          <w:tab w:val="left" w:pos="1560"/>
        </w:tabs>
      </w:pPr>
      <w:r>
        <w:tab/>
        <w:t xml:space="preserve">where — </w:t>
      </w:r>
    </w:p>
    <w:p>
      <w:pPr>
        <w:pStyle w:val="yMiscellaneousBody"/>
        <w:tabs>
          <w:tab w:val="left" w:pos="1701"/>
          <w:tab w:val="left" w:pos="2268"/>
        </w:tabs>
        <w:ind w:left="2268" w:hanging="2268"/>
      </w:pPr>
      <w:r>
        <w:tab/>
      </w:r>
      <w:r>
        <w:rPr>
          <w:b/>
        </w:rPr>
        <w:t>U</w:t>
      </w:r>
      <w:r>
        <w:t xml:space="preserve"> =</w:t>
      </w:r>
      <w:r>
        <w:tab/>
        <w:t xml:space="preserve">the number of beds in the nursing home; </w:t>
      </w:r>
    </w:p>
    <w:p>
      <w:pPr>
        <w:pStyle w:val="yMiscellaneousBody"/>
        <w:tabs>
          <w:tab w:val="left" w:pos="1701"/>
          <w:tab w:val="left" w:pos="2268"/>
        </w:tabs>
        <w:ind w:left="2268" w:hanging="2268"/>
      </w:pPr>
      <w:r>
        <w:tab/>
      </w:r>
      <w:r>
        <w:rPr>
          <w:b/>
        </w:rPr>
        <w:t>V</w:t>
      </w:r>
      <w:r>
        <w:t xml:space="preserve"> =</w:t>
      </w:r>
      <w:r>
        <w:tab/>
        <w:t>$139.71;</w:t>
      </w:r>
    </w:p>
    <w:p>
      <w:pPr>
        <w:pStyle w:val="yMiscellaneousBody"/>
        <w:tabs>
          <w:tab w:val="left" w:pos="993"/>
          <w:tab w:val="left" w:pos="1560"/>
        </w:tabs>
        <w:ind w:left="1560" w:hanging="1560"/>
      </w:pPr>
      <w:r>
        <w:tab/>
      </w:r>
      <w:r>
        <w:rPr>
          <w:b/>
        </w:rPr>
        <w:t>Q</w:t>
      </w:r>
      <w:r>
        <w:t xml:space="preserve"> =</w:t>
      </w:r>
      <w:r>
        <w:tab/>
        <w:t>the quantity charge calculated in accordance with the formula in item 37;</w:t>
      </w:r>
    </w:p>
    <w:p>
      <w:pPr>
        <w:pStyle w:val="yMiscellaneousBody"/>
        <w:tabs>
          <w:tab w:val="left" w:pos="993"/>
          <w:tab w:val="left" w:pos="1560"/>
        </w:tabs>
        <w:ind w:left="1560" w:hanging="1560"/>
      </w:pPr>
      <w:r>
        <w:lastRenderedPageBreak/>
        <w:tab/>
      </w:r>
      <w:r>
        <w:rPr>
          <w:b/>
        </w:rPr>
        <w:t>R</w:t>
      </w:r>
      <w:r>
        <w:t xml:space="preserve"> =</w:t>
      </w:r>
      <w:r>
        <w:tab/>
        <w:t>the charge calculated in accordance with the formula in item 35.</w:t>
      </w:r>
    </w:p>
    <w:p>
      <w:pPr>
        <w:pStyle w:val="yMiscellaneousBody"/>
        <w:tabs>
          <w:tab w:val="left" w:pos="709"/>
        </w:tabs>
        <w:ind w:left="714" w:hanging="714"/>
        <w:rPr>
          <w:b/>
        </w:rPr>
      </w:pPr>
      <w:r>
        <w:rPr>
          <w:b/>
        </w:rPr>
        <w:t>34.</w:t>
      </w:r>
      <w:r>
        <w:rPr>
          <w:b/>
        </w:rPr>
        <w:tab/>
        <w:t>Certain country strata</w:t>
      </w:r>
      <w:r>
        <w:rPr>
          <w:b/>
        </w:rPr>
        <w:noBreakHyphen/>
        <w:t>titled units</w:t>
      </w:r>
    </w:p>
    <w:p>
      <w:pPr>
        <w:pStyle w:val="yMiscellaneousBody"/>
        <w:tabs>
          <w:tab w:val="left" w:pos="798"/>
        </w:tabs>
        <w:ind w:left="784" w:hanging="784"/>
      </w:pPr>
      <w:r>
        <w:tab/>
        <w:t>In respect of country non</w:t>
      </w:r>
      <w:r>
        <w:noBreakHyphen/>
        <w:t xml:space="preserve">residential or commercial residential property that is in a country sewerage area that — </w:t>
      </w:r>
    </w:p>
    <w:p>
      <w:pPr>
        <w:pStyle w:val="yMiscellaneousBody"/>
        <w:tabs>
          <w:tab w:val="left" w:pos="993"/>
          <w:tab w:val="left" w:pos="1560"/>
        </w:tabs>
        <w:ind w:left="1560" w:hanging="1560"/>
      </w:pPr>
      <w:r>
        <w:tab/>
        <w:t>(a)</w:t>
      </w:r>
      <w:r>
        <w:tab/>
        <w:t xml:space="preserve">comprises a unit that is a lot within the meaning of the </w:t>
      </w:r>
      <w:r>
        <w:rPr>
          <w:i/>
        </w:rPr>
        <w:t>Strata Titles Act 1985</w:t>
      </w:r>
      <w:r>
        <w:t>; and</w:t>
      </w:r>
    </w:p>
    <w:p>
      <w:pPr>
        <w:pStyle w:val="yMiscellaneousBody"/>
        <w:tabs>
          <w:tab w:val="left" w:pos="993"/>
          <w:tab w:val="left" w:pos="1560"/>
        </w:tabs>
        <w:ind w:left="1560" w:hanging="1560"/>
      </w:pPr>
      <w:r>
        <w:tab/>
        <w:t>(b)</w:t>
      </w:r>
      <w:r>
        <w:tab/>
        <w:t>shares a major fixture with another unit described in paragraph (a) and has no other major fixtures that discharge into the sewer,</w:t>
      </w:r>
    </w:p>
    <w:p>
      <w:pPr>
        <w:pStyle w:val="yMiscellaneousBody"/>
        <w:tabs>
          <w:tab w:val="left" w:pos="798"/>
        </w:tabs>
        <w:ind w:left="784" w:hanging="784"/>
      </w:pPr>
      <w:r>
        <w:tab/>
        <w:t xml:space="preserve">and where the total number of major fixtures shared by all the units on the relevant strata plan is less than the number of those units, an amount is calculated in accordance with the following formula — </w:t>
      </w:r>
    </w:p>
    <w:p>
      <w:pPr>
        <w:pStyle w:val="yMiscellaneousBody"/>
        <w:tabs>
          <w:tab w:val="left" w:pos="798"/>
        </w:tabs>
        <w:ind w:left="784" w:hanging="784"/>
      </w:pPr>
      <w:r>
        <w:tab/>
      </w:r>
      <w:r>
        <w:rPr>
          <w:b/>
        </w:rPr>
        <w:t>T</w:t>
      </w:r>
      <w:r>
        <w:t xml:space="preserve"> + </w:t>
      </w:r>
      <w:r>
        <w:rPr>
          <w:b/>
        </w:rPr>
        <w:t>Q</w:t>
      </w:r>
    </w:p>
    <w:p>
      <w:pPr>
        <w:pStyle w:val="yMiscellaneousBody"/>
        <w:tabs>
          <w:tab w:val="left" w:pos="798"/>
        </w:tabs>
        <w:ind w:left="784" w:hanging="784"/>
      </w:pPr>
      <w:r>
        <w:tab/>
        <w:t xml:space="preserve">where — </w:t>
      </w:r>
    </w:p>
    <w:p>
      <w:pPr>
        <w:pStyle w:val="yMiscellaneousBody"/>
        <w:tabs>
          <w:tab w:val="left" w:pos="993"/>
          <w:tab w:val="left" w:pos="1560"/>
        </w:tabs>
        <w:ind w:left="1560" w:hanging="1560"/>
      </w:pPr>
      <w:r>
        <w:tab/>
      </w:r>
      <w:r>
        <w:rPr>
          <w:b/>
        </w:rPr>
        <w:t>T</w:t>
      </w:r>
      <w:r>
        <w:t xml:space="preserve"> =</w:t>
      </w:r>
      <w:r>
        <w:tab/>
        <w:t>$479.97;</w:t>
      </w:r>
    </w:p>
    <w:p>
      <w:pPr>
        <w:pStyle w:val="yMiscellaneousBody"/>
        <w:tabs>
          <w:tab w:val="left" w:pos="993"/>
          <w:tab w:val="left" w:pos="1560"/>
        </w:tabs>
        <w:ind w:left="1560" w:hanging="1560"/>
      </w:pPr>
      <w:r>
        <w:tab/>
      </w:r>
      <w:r>
        <w:rPr>
          <w:b/>
        </w:rPr>
        <w:t>Q</w:t>
      </w:r>
      <w:r>
        <w:t xml:space="preserve"> =</w:t>
      </w:r>
      <w:r>
        <w:tab/>
        <w:t>the quantity charge calculated in accordance with the formula in item 37.</w:t>
      </w:r>
    </w:p>
    <w:p>
      <w:pPr>
        <w:pStyle w:val="yMiscellaneousBody"/>
        <w:tabs>
          <w:tab w:val="left" w:pos="709"/>
        </w:tabs>
        <w:ind w:left="714" w:hanging="714"/>
        <w:rPr>
          <w:b/>
        </w:rPr>
      </w:pPr>
      <w:r>
        <w:rPr>
          <w:b/>
        </w:rPr>
        <w:t>35.</w:t>
      </w:r>
      <w:r>
        <w:rPr>
          <w:b/>
        </w:rPr>
        <w:tab/>
        <w:t>Limit on increase</w:t>
      </w:r>
    </w:p>
    <w:p>
      <w:pPr>
        <w:pStyle w:val="yMiscellaneousBody"/>
        <w:tabs>
          <w:tab w:val="left" w:pos="798"/>
        </w:tabs>
        <w:ind w:left="784" w:hanging="784"/>
      </w:pPr>
      <w:r>
        <w:tab/>
        <w:t>For the purposes of this Division, the maximum charge (</w:t>
      </w:r>
      <w:r>
        <w:rPr>
          <w:b/>
          <w:i/>
        </w:rPr>
        <w:t>R</w:t>
      </w:r>
      <w:r>
        <w:t xml:space="preserve">) is calculated in accordance with the following formula — </w:t>
      </w:r>
    </w:p>
    <w:p>
      <w:pPr>
        <w:pStyle w:val="yMiscellaneousBody"/>
        <w:tabs>
          <w:tab w:val="left" w:pos="798"/>
        </w:tabs>
        <w:ind w:left="784" w:hanging="784"/>
      </w:pP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yMiscellaneousBody"/>
        <w:tabs>
          <w:tab w:val="left" w:pos="798"/>
        </w:tabs>
        <w:ind w:left="784" w:hanging="784"/>
      </w:pPr>
      <w:r>
        <w:tab/>
        <w:t>if (</w:t>
      </w:r>
      <w:r>
        <w:rPr>
          <w:b/>
        </w:rPr>
        <w:t>A</w:t>
      </w:r>
      <w:r>
        <w:t xml:space="preserve"> (</w:t>
      </w:r>
      <w:r>
        <w:rPr>
          <w:b/>
        </w:rPr>
        <w:t>S</w:t>
      </w:r>
      <w:r>
        <w:t>) &gt; (</w:t>
      </w:r>
      <w:r>
        <w:rPr>
          <w:b/>
        </w:rPr>
        <w:t>A</w:t>
      </w:r>
      <w:r>
        <w:t xml:space="preserve"> + </w:t>
      </w:r>
      <w:r>
        <w:rPr>
          <w:b/>
        </w:rPr>
        <w:t>J</w:t>
      </w:r>
      <w:r>
        <w:t>), then</w:t>
      </w:r>
    </w:p>
    <w:p>
      <w:pPr>
        <w:pStyle w:val="yMiscellaneousBody"/>
        <w:tabs>
          <w:tab w:val="left" w:pos="798"/>
        </w:tabs>
        <w:ind w:left="784" w:hanging="784"/>
      </w:pPr>
      <w:r>
        <w:tab/>
        <w:t>(</w:t>
      </w:r>
      <w:r>
        <w:rPr>
          <w:b/>
        </w:rPr>
        <w:t>A</w:t>
      </w:r>
      <w:r>
        <w:t xml:space="preserve"> </w:t>
      </w:r>
      <w:r>
        <w:sym w:font="Symbol" w:char="F0B4"/>
      </w:r>
      <w:r>
        <w:t xml:space="preserve"> </w:t>
      </w:r>
      <w:r>
        <w:rPr>
          <w:b/>
        </w:rPr>
        <w:t>S</w:t>
      </w:r>
      <w:r>
        <w:t>)</w:t>
      </w:r>
    </w:p>
    <w:p>
      <w:pPr>
        <w:pStyle w:val="yMiscellaneousBody"/>
        <w:tabs>
          <w:tab w:val="left" w:pos="798"/>
        </w:tabs>
        <w:ind w:left="784" w:hanging="784"/>
      </w:pP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MiscellaneousBody"/>
        <w:tabs>
          <w:tab w:val="left" w:pos="798"/>
        </w:tabs>
        <w:ind w:left="784" w:hanging="784"/>
      </w:pPr>
      <w:r>
        <w:tab/>
        <w:t>(</w:t>
      </w:r>
      <w:r>
        <w:rPr>
          <w:b/>
        </w:rPr>
        <w:t>A</w:t>
      </w:r>
      <w:r>
        <w:t xml:space="preserve"> + </w:t>
      </w:r>
      <w:r>
        <w:rPr>
          <w:b/>
        </w:rPr>
        <w:t>J</w:t>
      </w:r>
      <w:r>
        <w:t>)</w:t>
      </w:r>
    </w:p>
    <w:p>
      <w:pPr>
        <w:pStyle w:val="yMiscellaneousBody"/>
        <w:tabs>
          <w:tab w:val="left" w:pos="798"/>
        </w:tabs>
        <w:ind w:left="784" w:hanging="784"/>
      </w:pP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MiscellaneousBody"/>
        <w:tabs>
          <w:tab w:val="left" w:pos="798"/>
        </w:tabs>
        <w:ind w:left="784" w:hanging="784"/>
      </w:pP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MiscellaneousBody"/>
        <w:tabs>
          <w:tab w:val="left" w:pos="798"/>
        </w:tabs>
        <w:ind w:left="784" w:hanging="784"/>
      </w:pPr>
      <w:r>
        <w:lastRenderedPageBreak/>
        <w:tab/>
        <w:t>(</w:t>
      </w:r>
      <w:r>
        <w:rPr>
          <w:b/>
        </w:rPr>
        <w:t>A</w:t>
      </w:r>
      <w:r>
        <w:t xml:space="preserve"> </w:t>
      </w:r>
      <w:r>
        <w:sym w:font="Symbol" w:char="F0B4"/>
      </w:r>
      <w:r>
        <w:t xml:space="preserve"> </w:t>
      </w:r>
      <w:r>
        <w:rPr>
          <w:b/>
        </w:rPr>
        <w:t>S</w:t>
      </w:r>
      <w:r>
        <w:t>)</w:t>
      </w:r>
    </w:p>
    <w:p>
      <w:pPr>
        <w:pStyle w:val="yMiscellaneousBody"/>
        <w:tabs>
          <w:tab w:val="left" w:pos="798"/>
        </w:tabs>
        <w:ind w:left="784" w:hanging="784"/>
      </w:pP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yMiscellaneousBody"/>
        <w:tabs>
          <w:tab w:val="left" w:pos="798"/>
        </w:tabs>
        <w:ind w:left="784" w:hanging="784"/>
      </w:pPr>
      <w:r>
        <w:tab/>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MiscellaneousBody"/>
        <w:tabs>
          <w:tab w:val="left" w:pos="798"/>
        </w:tabs>
        <w:ind w:left="784" w:hanging="784"/>
      </w:pPr>
      <w:r>
        <w:tab/>
        <w:t xml:space="preserve">where — </w:t>
      </w:r>
    </w:p>
    <w:p>
      <w:pPr>
        <w:pStyle w:val="yMiscellaneousBody"/>
        <w:tabs>
          <w:tab w:val="left" w:pos="993"/>
          <w:tab w:val="left" w:pos="1560"/>
        </w:tabs>
        <w:ind w:left="1560" w:hanging="1560"/>
      </w:pPr>
      <w:r>
        <w:tab/>
      </w:r>
      <w:r>
        <w:rPr>
          <w:b/>
        </w:rPr>
        <w:t>P</w:t>
      </w:r>
      <w:r>
        <w:t xml:space="preserve"> =</w:t>
      </w:r>
      <w:r>
        <w:tab/>
        <w:t>the target annual charge, based on the number of major fixtures calculated using the Table in item 36;</w:t>
      </w:r>
    </w:p>
    <w:p>
      <w:pPr>
        <w:pStyle w:val="yMiscellaneousBody"/>
        <w:tabs>
          <w:tab w:val="left" w:pos="993"/>
          <w:tab w:val="left" w:pos="1560"/>
        </w:tabs>
        <w:ind w:left="1560" w:hanging="1560"/>
      </w:pPr>
      <w:r>
        <w:tab/>
      </w:r>
      <w:r>
        <w:rPr>
          <w:b/>
        </w:rPr>
        <w:t>Q</w:t>
      </w:r>
      <w:r>
        <w:t xml:space="preserve"> =</w:t>
      </w:r>
      <w:r>
        <w:tab/>
        <w:t>the ultimate discharge charge calculated using the formula in item 37, except that the discharge allowance calculated in accordance with item 38(a) is 200 kL;</w:t>
      </w:r>
    </w:p>
    <w:p>
      <w:pPr>
        <w:pStyle w:val="yMiscellaneousBody"/>
        <w:tabs>
          <w:tab w:val="left" w:pos="993"/>
          <w:tab w:val="left" w:pos="1560"/>
        </w:tabs>
        <w:ind w:left="1560" w:hanging="1560"/>
      </w:pPr>
      <w:r>
        <w:tab/>
      </w:r>
      <w:r>
        <w:rPr>
          <w:b/>
        </w:rPr>
        <w:t>A</w:t>
      </w:r>
      <w:r>
        <w:t xml:space="preserve"> =</w:t>
      </w:r>
      <w:r>
        <w:tab/>
        <w:t>the equivalent full year charge payable in the 2012/2013 year;</w:t>
      </w:r>
    </w:p>
    <w:p>
      <w:pPr>
        <w:pStyle w:val="yMiscellaneousBody"/>
        <w:tabs>
          <w:tab w:val="left" w:pos="993"/>
          <w:tab w:val="left" w:pos="1560"/>
        </w:tabs>
        <w:ind w:left="1560" w:hanging="1560"/>
      </w:pPr>
      <w:r>
        <w:tab/>
      </w:r>
      <w:r>
        <w:rPr>
          <w:b/>
        </w:rPr>
        <w:t>S</w:t>
      </w:r>
      <w:r>
        <w:t xml:space="preserve"> =</w:t>
      </w:r>
      <w:r>
        <w:tab/>
        <w:t>1.120;</w:t>
      </w:r>
    </w:p>
    <w:p>
      <w:pPr>
        <w:pStyle w:val="yMiscellaneousBody"/>
        <w:tabs>
          <w:tab w:val="left" w:pos="993"/>
          <w:tab w:val="left" w:pos="1560"/>
        </w:tabs>
        <w:ind w:left="1560" w:hanging="1560"/>
      </w:pPr>
      <w:r>
        <w:tab/>
      </w:r>
      <w:r>
        <w:rPr>
          <w:b/>
        </w:rPr>
        <w:t>B</w:t>
      </w:r>
      <w:r>
        <w:t xml:space="preserve"> =</w:t>
      </w:r>
      <w:r>
        <w:tab/>
        <w:t>$166.67;</w:t>
      </w:r>
    </w:p>
    <w:p>
      <w:pPr>
        <w:pStyle w:val="yMiscellaneousBody"/>
        <w:tabs>
          <w:tab w:val="left" w:pos="993"/>
          <w:tab w:val="left" w:pos="1560"/>
        </w:tabs>
        <w:ind w:left="1560" w:hanging="1560"/>
      </w:pPr>
      <w:r>
        <w:tab/>
      </w:r>
      <w:r>
        <w:rPr>
          <w:b/>
        </w:rPr>
        <w:t>J</w:t>
      </w:r>
      <w:r>
        <w:t xml:space="preserve"> =</w:t>
      </w:r>
      <w:r>
        <w:tab/>
        <w:t>$166.67;</w:t>
      </w:r>
    </w:p>
    <w:p>
      <w:pPr>
        <w:pStyle w:val="yMiscellaneousBody"/>
        <w:tabs>
          <w:tab w:val="left" w:pos="993"/>
          <w:tab w:val="left" w:pos="1560"/>
        </w:tabs>
        <w:ind w:left="1560" w:hanging="1560"/>
      </w:pPr>
      <w:r>
        <w:tab/>
      </w:r>
      <w:r>
        <w:rPr>
          <w:b/>
        </w:rPr>
        <w:t>O</w:t>
      </w:r>
      <w:r>
        <w:t xml:space="preserve"> =</w:t>
      </w:r>
      <w:r>
        <w:tab/>
        <w:t>1.</w:t>
      </w:r>
    </w:p>
    <w:p>
      <w:pPr>
        <w:pStyle w:val="yFootnotesection"/>
      </w:pPr>
      <w:r>
        <w:tab/>
        <w:t>[Division 7 inserted in Gazette 19 Jun 2013 p. 2392-6.]</w:t>
      </w:r>
    </w:p>
    <w:p>
      <w:pPr>
        <w:pStyle w:val="yHeading3"/>
      </w:pPr>
      <w:bookmarkStart w:id="71" w:name="_Toc84424798"/>
      <w:r>
        <w:t>Division 8 — Computation of combined charges for country</w:t>
      </w:r>
      <w:bookmarkEnd w:id="71"/>
    </w:p>
    <w:p>
      <w:pPr>
        <w:pStyle w:val="yFootnoteheading"/>
        <w:spacing w:after="120"/>
      </w:pPr>
      <w:r>
        <w:tab/>
        <w:t>[Heading inserted in Gazette 19 Jun 2013 p. 2396.]</w:t>
      </w:r>
    </w:p>
    <w:p>
      <w:pPr>
        <w:pStyle w:val="yMiscellaneousBody"/>
        <w:tabs>
          <w:tab w:val="left" w:pos="709"/>
        </w:tabs>
        <w:ind w:left="714" w:hanging="714"/>
      </w:pPr>
      <w:r>
        <w:rPr>
          <w:b/>
        </w:rPr>
        <w:t>36.</w:t>
      </w:r>
      <w:r>
        <w:rPr>
          <w:b/>
        </w:rPr>
        <w:tab/>
        <w:t>Formula for annual charge</w:t>
      </w:r>
    </w:p>
    <w:p>
      <w:pPr>
        <w:pStyle w:val="yMiscellaneousBody"/>
        <w:tabs>
          <w:tab w:val="left" w:pos="798"/>
        </w:tabs>
        <w:ind w:left="784" w:hanging="784"/>
      </w:pPr>
      <w:r>
        <w:tab/>
        <w:t>For the purposes of Division 7, the annual charge (</w:t>
      </w:r>
      <w:r>
        <w:rPr>
          <w:b/>
          <w:i/>
        </w:rPr>
        <w:t>P</w:t>
      </w:r>
      <w:r>
        <w:t xml:space="preserve">) is calculated according to the following formula — </w:t>
      </w:r>
    </w:p>
    <w:p>
      <w:pPr>
        <w:pStyle w:val="yMiscellaneousBody"/>
        <w:tabs>
          <w:tab w:val="left" w:pos="798"/>
        </w:tabs>
        <w:ind w:left="784" w:hanging="784"/>
      </w:pP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MiscellaneousBody"/>
        <w:tabs>
          <w:tab w:val="left" w:pos="798"/>
        </w:tabs>
        <w:ind w:left="784" w:hanging="784"/>
        <w:rPr>
          <w:b/>
        </w:rPr>
      </w:pPr>
      <w:r>
        <w:tab/>
      </w:r>
      <w:r>
        <w:rPr>
          <w:b/>
        </w:rPr>
        <w:t>X</w:t>
      </w:r>
    </w:p>
    <w:p>
      <w:pPr>
        <w:pStyle w:val="yMiscellaneousBody"/>
        <w:tabs>
          <w:tab w:val="left" w:pos="798"/>
        </w:tabs>
        <w:ind w:left="784" w:hanging="784"/>
      </w:pPr>
      <w:r>
        <w:tab/>
        <w:t xml:space="preserve">or if </w:t>
      </w:r>
      <w:r>
        <w:rPr>
          <w:b/>
        </w:rPr>
        <w:t>A</w:t>
      </w:r>
      <w:r>
        <w:t xml:space="preserve"> &gt; (</w:t>
      </w:r>
      <w:r>
        <w:rPr>
          <w:b/>
        </w:rPr>
        <w:t>C</w:t>
      </w:r>
      <w:r>
        <w:t xml:space="preserve"> + </w:t>
      </w:r>
      <w:r>
        <w:rPr>
          <w:b/>
        </w:rPr>
        <w:t>D</w:t>
      </w:r>
      <w:r>
        <w:t xml:space="preserve">), then — </w:t>
      </w:r>
    </w:p>
    <w:p>
      <w:pPr>
        <w:pStyle w:val="yMiscellaneousBody"/>
        <w:tabs>
          <w:tab w:val="left" w:pos="798"/>
        </w:tabs>
        <w:ind w:left="784" w:hanging="784"/>
      </w:pPr>
      <w:r>
        <w:tab/>
      </w:r>
      <w:r>
        <w:rPr>
          <w:b/>
        </w:rPr>
        <w:t>A</w:t>
      </w:r>
      <w:r>
        <w:t xml:space="preserve"> – [{</w:t>
      </w:r>
      <w:r>
        <w:rPr>
          <w:b/>
        </w:rPr>
        <w:t>A</w:t>
      </w:r>
      <w:r>
        <w:t xml:space="preserve"> – (</w:t>
      </w:r>
      <w:r>
        <w:rPr>
          <w:b/>
        </w:rPr>
        <w:t>C</w:t>
      </w:r>
      <w:r>
        <w:t xml:space="preserve"> + </w:t>
      </w:r>
      <w:r>
        <w:rPr>
          <w:b/>
        </w:rPr>
        <w:t>D</w:t>
      </w:r>
      <w:r>
        <w:t xml:space="preserve">)} / </w:t>
      </w:r>
      <w:r>
        <w:rPr>
          <w:b/>
        </w:rPr>
        <w:t>E</w:t>
      </w:r>
      <w:r>
        <w:t>]</w:t>
      </w:r>
    </w:p>
    <w:p>
      <w:pPr>
        <w:pStyle w:val="yMiscellaneousBody"/>
        <w:tabs>
          <w:tab w:val="left" w:pos="798"/>
        </w:tabs>
        <w:ind w:left="784" w:hanging="784"/>
      </w:pPr>
      <w:r>
        <w:tab/>
        <w:t xml:space="preserve">where — </w:t>
      </w:r>
    </w:p>
    <w:p>
      <w:pPr>
        <w:pStyle w:val="yMiscellaneousBody"/>
        <w:tabs>
          <w:tab w:val="left" w:pos="993"/>
          <w:tab w:val="left" w:pos="1560"/>
        </w:tabs>
        <w:ind w:left="1560" w:hanging="1560"/>
      </w:pPr>
      <w:r>
        <w:tab/>
      </w:r>
      <w:r>
        <w:rPr>
          <w:b/>
        </w:rPr>
        <w:t>A</w:t>
      </w:r>
      <w:r>
        <w:t xml:space="preserve"> =</w:t>
      </w:r>
      <w:r>
        <w:tab/>
        <w:t>the equivalent amount payable in the 2012/2013 year;</w:t>
      </w:r>
    </w:p>
    <w:p>
      <w:pPr>
        <w:pStyle w:val="yMiscellaneousBody"/>
        <w:tabs>
          <w:tab w:val="left" w:pos="993"/>
          <w:tab w:val="left" w:pos="1560"/>
        </w:tabs>
        <w:ind w:left="1560" w:hanging="1560"/>
      </w:pPr>
      <w:r>
        <w:lastRenderedPageBreak/>
        <w:tab/>
      </w:r>
      <w:r>
        <w:rPr>
          <w:b/>
        </w:rPr>
        <w:t>C</w:t>
      </w:r>
      <w:r>
        <w:t xml:space="preserve"> =</w:t>
      </w:r>
      <w:r>
        <w:tab/>
        <w:t>the charge payable for the relevant number of major fixtures for the 2013/2014 year as set out in the Table;</w:t>
      </w:r>
    </w:p>
    <w:p>
      <w:pPr>
        <w:pStyle w:val="yMiscellaneousBody"/>
        <w:tabs>
          <w:tab w:val="left" w:pos="993"/>
          <w:tab w:val="left" w:pos="1560"/>
        </w:tabs>
        <w:ind w:left="1560" w:hanging="1560"/>
      </w:pPr>
      <w:r>
        <w:tab/>
      </w:r>
      <w:r>
        <w:rPr>
          <w:b/>
        </w:rPr>
        <w:t>D</w:t>
      </w:r>
      <w:r>
        <w:t xml:space="preserve"> =</w:t>
      </w:r>
      <w:r>
        <w:tab/>
        <w:t>the ultimate discharge charge;</w:t>
      </w:r>
    </w:p>
    <w:p>
      <w:pPr>
        <w:pStyle w:val="yMiscellaneousBody"/>
        <w:tabs>
          <w:tab w:val="left" w:pos="993"/>
          <w:tab w:val="left" w:pos="1560"/>
        </w:tabs>
        <w:ind w:left="1560" w:hanging="1560"/>
      </w:pPr>
      <w:r>
        <w:tab/>
      </w:r>
      <w:r>
        <w:rPr>
          <w:b/>
        </w:rPr>
        <w:t>E</w:t>
      </w:r>
      <w:r>
        <w:t xml:space="preserve"> =</w:t>
      </w:r>
      <w:r>
        <w:tab/>
        <w:t>1;</w:t>
      </w:r>
    </w:p>
    <w:p>
      <w:pPr>
        <w:pStyle w:val="yMiscellaneousBody"/>
        <w:tabs>
          <w:tab w:val="left" w:pos="993"/>
          <w:tab w:val="left" w:pos="1560"/>
        </w:tabs>
        <w:ind w:left="1560" w:hanging="1560"/>
      </w:pPr>
      <w:r>
        <w:tab/>
      </w:r>
      <w:r>
        <w:rPr>
          <w:b/>
        </w:rPr>
        <w:t>X</w:t>
      </w:r>
      <w:r>
        <w:t xml:space="preserve"> =</w:t>
      </w:r>
      <w:r>
        <w:tab/>
        <w:t>the amount specified in relation to the 2013/2014 year for the relevant number of major fixtures as set out in the Table.</w:t>
      </w:r>
    </w:p>
    <w:p>
      <w:pPr>
        <w:pStyle w:val="yTHeadingNAm"/>
      </w:pPr>
      <w:r>
        <w:t>Table of major fixture</w:t>
      </w:r>
      <w:r>
        <w:noBreakHyphen/>
        <w:t>based minimum charges</w:t>
      </w:r>
      <w:r>
        <w:br/>
        <w:t>(</w:t>
      </w:r>
      <w:r>
        <w:rPr>
          <w:iCs/>
        </w:rPr>
        <w:t>per fixture</w:t>
      </w:r>
      <w:r>
        <w:t>)</w:t>
      </w:r>
    </w:p>
    <w:tbl>
      <w:tblPr>
        <w:tblW w:w="0" w:type="auto"/>
        <w:tblInd w:w="910" w:type="dxa"/>
        <w:tblLayout w:type="fixed"/>
        <w:tblCellMar>
          <w:left w:w="28" w:type="dxa"/>
          <w:right w:w="28" w:type="dxa"/>
        </w:tblCellMar>
        <w:tblLook w:val="0000" w:firstRow="0" w:lastRow="0" w:firstColumn="0" w:lastColumn="0" w:noHBand="0" w:noVBand="0"/>
      </w:tblPr>
      <w:tblGrid>
        <w:gridCol w:w="2961"/>
        <w:gridCol w:w="2961"/>
      </w:tblGrid>
      <w:tr>
        <w:trPr>
          <w:cantSplit/>
          <w:tblHeader/>
        </w:trPr>
        <w:tc>
          <w:tcPr>
            <w:tcW w:w="2961" w:type="dxa"/>
            <w:tcBorders>
              <w:top w:val="single" w:sz="4" w:space="0" w:color="auto"/>
              <w:bottom w:val="single" w:sz="4" w:space="0" w:color="auto"/>
            </w:tcBorders>
          </w:tcPr>
          <w:p>
            <w:pPr>
              <w:pStyle w:val="yTableNAm"/>
              <w:jc w:val="center"/>
            </w:pPr>
            <w:r>
              <w:rPr>
                <w:b/>
              </w:rPr>
              <w:t>No. of fixtures</w:t>
            </w:r>
          </w:p>
        </w:tc>
        <w:tc>
          <w:tcPr>
            <w:tcW w:w="2961" w:type="dxa"/>
            <w:tcBorders>
              <w:top w:val="single" w:sz="4" w:space="0" w:color="auto"/>
              <w:bottom w:val="single" w:sz="4" w:space="0" w:color="auto"/>
            </w:tcBorders>
          </w:tcPr>
          <w:p>
            <w:pPr>
              <w:pStyle w:val="yTableNAm"/>
              <w:jc w:val="center"/>
            </w:pPr>
            <w:r>
              <w:rPr>
                <w:b/>
              </w:rPr>
              <w:t>Charges</w:t>
            </w:r>
            <w:r>
              <w:rPr>
                <w:b/>
              </w:rPr>
              <w:br/>
              <w:t>$</w:t>
            </w:r>
          </w:p>
        </w:tc>
      </w:tr>
      <w:tr>
        <w:trPr>
          <w:cantSplit/>
        </w:trPr>
        <w:tc>
          <w:tcPr>
            <w:tcW w:w="2961" w:type="dxa"/>
          </w:tcPr>
          <w:p>
            <w:pPr>
              <w:pStyle w:val="yTableNAm"/>
              <w:jc w:val="center"/>
            </w:pPr>
            <w:r>
              <w:t>1</w:t>
            </w:r>
          </w:p>
        </w:tc>
        <w:tc>
          <w:tcPr>
            <w:tcW w:w="2961" w:type="dxa"/>
            <w:vAlign w:val="bottom"/>
          </w:tcPr>
          <w:p>
            <w:pPr>
              <w:pStyle w:val="yTableNAm"/>
              <w:jc w:val="center"/>
              <w:rPr>
                <w:rFonts w:ascii="Arial" w:hAnsi="Arial"/>
                <w:b/>
              </w:rPr>
            </w:pPr>
            <w:r>
              <w:t>772.10</w:t>
            </w:r>
          </w:p>
        </w:tc>
      </w:tr>
      <w:tr>
        <w:trPr>
          <w:cantSplit/>
        </w:trPr>
        <w:tc>
          <w:tcPr>
            <w:tcW w:w="2961" w:type="dxa"/>
          </w:tcPr>
          <w:p>
            <w:pPr>
              <w:pStyle w:val="yTableNAm"/>
              <w:jc w:val="center"/>
              <w:rPr>
                <w:rFonts w:ascii="Arial" w:hAnsi="Arial"/>
                <w:b/>
              </w:rPr>
            </w:pPr>
            <w:r>
              <w:t>2</w:t>
            </w:r>
          </w:p>
        </w:tc>
        <w:tc>
          <w:tcPr>
            <w:tcW w:w="2961" w:type="dxa"/>
            <w:vAlign w:val="bottom"/>
          </w:tcPr>
          <w:p>
            <w:pPr>
              <w:pStyle w:val="yTableNAm"/>
              <w:jc w:val="center"/>
              <w:rPr>
                <w:rFonts w:ascii="Arial" w:hAnsi="Arial"/>
                <w:b/>
              </w:rPr>
            </w:pPr>
            <w:r>
              <w:t>350.51</w:t>
            </w:r>
          </w:p>
        </w:tc>
      </w:tr>
      <w:tr>
        <w:trPr>
          <w:cantSplit/>
        </w:trPr>
        <w:tc>
          <w:tcPr>
            <w:tcW w:w="2961" w:type="dxa"/>
          </w:tcPr>
          <w:p>
            <w:pPr>
              <w:pStyle w:val="yTableNAm"/>
              <w:jc w:val="center"/>
              <w:rPr>
                <w:rFonts w:ascii="Arial" w:hAnsi="Arial"/>
                <w:b/>
              </w:rPr>
            </w:pPr>
            <w:r>
              <w:t>3</w:t>
            </w:r>
          </w:p>
        </w:tc>
        <w:tc>
          <w:tcPr>
            <w:tcW w:w="2961" w:type="dxa"/>
            <w:vAlign w:val="bottom"/>
          </w:tcPr>
          <w:p>
            <w:pPr>
              <w:pStyle w:val="yTableNAm"/>
              <w:jc w:val="center"/>
              <w:rPr>
                <w:rFonts w:ascii="Arial" w:hAnsi="Arial"/>
                <w:b/>
              </w:rPr>
            </w:pPr>
            <w:r>
              <w:t>441.38</w:t>
            </w:r>
          </w:p>
        </w:tc>
      </w:tr>
      <w:tr>
        <w:trPr>
          <w:cantSplit/>
        </w:trPr>
        <w:tc>
          <w:tcPr>
            <w:tcW w:w="2961" w:type="dxa"/>
            <w:tcBorders>
              <w:bottom w:val="single" w:sz="4" w:space="0" w:color="auto"/>
            </w:tcBorders>
          </w:tcPr>
          <w:p>
            <w:pPr>
              <w:pStyle w:val="yTableNAm"/>
              <w:jc w:val="center"/>
              <w:rPr>
                <w:rFonts w:ascii="Arial" w:hAnsi="Arial"/>
                <w:b/>
              </w:rPr>
            </w:pPr>
            <w:r>
              <w:t>4+</w:t>
            </w:r>
          </w:p>
        </w:tc>
        <w:tc>
          <w:tcPr>
            <w:tcW w:w="2961" w:type="dxa"/>
            <w:tcBorders>
              <w:bottom w:val="single" w:sz="4" w:space="0" w:color="auto"/>
            </w:tcBorders>
            <w:vAlign w:val="bottom"/>
          </w:tcPr>
          <w:p>
            <w:pPr>
              <w:pStyle w:val="yTableNAm"/>
              <w:jc w:val="center"/>
              <w:rPr>
                <w:rFonts w:ascii="Arial" w:hAnsi="Arial"/>
                <w:b/>
              </w:rPr>
            </w:pPr>
            <w:r>
              <w:t>479.97</w:t>
            </w:r>
          </w:p>
        </w:tc>
      </w:tr>
    </w:tbl>
    <w:p>
      <w:pPr>
        <w:pStyle w:val="yMiscellaneousBody"/>
      </w:pPr>
      <w:r>
        <w:rPr>
          <w:b/>
        </w:rPr>
        <w:t>37.</w:t>
      </w:r>
      <w:r>
        <w:rPr>
          <w:b/>
        </w:rPr>
        <w:tab/>
        <w:t>Formula for quantity charge</w:t>
      </w:r>
    </w:p>
    <w:p>
      <w:pPr>
        <w:pStyle w:val="yMiscellaneousBody"/>
        <w:tabs>
          <w:tab w:val="left" w:pos="798"/>
        </w:tabs>
        <w:ind w:left="784" w:hanging="784"/>
      </w:pPr>
      <w:r>
        <w:tab/>
        <w:t>For the purposes of Division 7, the quantity charge (</w:t>
      </w:r>
      <w:r>
        <w:rPr>
          <w:b/>
          <w:i/>
        </w:rPr>
        <w:t>Q</w:t>
      </w:r>
      <w:r>
        <w:t xml:space="preserve">) is calculated in accordance with the following formula — </w:t>
      </w:r>
    </w:p>
    <w:p>
      <w:pPr>
        <w:pStyle w:val="yMiscellaneousBody"/>
        <w:tabs>
          <w:tab w:val="left" w:pos="798"/>
        </w:tabs>
        <w:ind w:left="784" w:hanging="784"/>
      </w:pP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MiscellaneousBody"/>
        <w:tabs>
          <w:tab w:val="left" w:pos="798"/>
        </w:tabs>
        <w:ind w:left="784" w:hanging="784"/>
      </w:pPr>
      <w:r>
        <w:tab/>
        <w:t>nil</w:t>
      </w:r>
    </w:p>
    <w:p>
      <w:pPr>
        <w:pStyle w:val="yMiscellaneousBody"/>
        <w:tabs>
          <w:tab w:val="left" w:pos="798"/>
        </w:tabs>
        <w:ind w:left="784" w:hanging="784"/>
      </w:pPr>
      <w:r>
        <w:tab/>
        <w:t>or if (</w:t>
      </w:r>
      <w:r>
        <w:rPr>
          <w:b/>
        </w:rPr>
        <w:t>F</w:t>
      </w:r>
      <w:r>
        <w:t xml:space="preserve"> </w:t>
      </w:r>
      <w:r>
        <w:sym w:font="Symbol" w:char="F0B4"/>
      </w:r>
      <w:r>
        <w:t xml:space="preserve"> </w:t>
      </w:r>
      <w:r>
        <w:rPr>
          <w:b/>
        </w:rPr>
        <w:t>G</w:t>
      </w:r>
      <w:r>
        <w:t xml:space="preserve">) &gt; </w:t>
      </w:r>
      <w:r>
        <w:rPr>
          <w:b/>
        </w:rPr>
        <w:t>H</w:t>
      </w:r>
      <w:r>
        <w:t xml:space="preserve">, then — </w:t>
      </w:r>
    </w:p>
    <w:p>
      <w:pPr>
        <w:pStyle w:val="yMiscellaneousBody"/>
        <w:tabs>
          <w:tab w:val="left" w:pos="798"/>
        </w:tabs>
        <w:ind w:left="784" w:hanging="784"/>
      </w:pP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MiscellaneousBody"/>
        <w:tabs>
          <w:tab w:val="left" w:pos="798"/>
        </w:tabs>
        <w:ind w:left="784" w:hanging="784"/>
      </w:pPr>
      <w:r>
        <w:tab/>
        <w:t xml:space="preserve">where — </w:t>
      </w:r>
    </w:p>
    <w:p>
      <w:pPr>
        <w:pStyle w:val="yMiscellaneousBody"/>
        <w:tabs>
          <w:tab w:val="left" w:pos="993"/>
          <w:tab w:val="left" w:pos="1560"/>
        </w:tabs>
        <w:ind w:left="1560" w:hanging="1560"/>
      </w:pPr>
      <w:r>
        <w:tab/>
      </w:r>
      <w:r>
        <w:rPr>
          <w:b/>
        </w:rPr>
        <w:t>F</w:t>
      </w:r>
      <w:r>
        <w:t xml:space="preserve"> =</w:t>
      </w:r>
      <w:r>
        <w:tab/>
        <w:t>the volume of water delivered to the property in the 2013/2014 year;</w:t>
      </w:r>
    </w:p>
    <w:p>
      <w:pPr>
        <w:pStyle w:val="yMiscellaneousBody"/>
        <w:tabs>
          <w:tab w:val="left" w:pos="993"/>
          <w:tab w:val="left" w:pos="1560"/>
        </w:tabs>
        <w:ind w:left="1560" w:hanging="1560"/>
      </w:pPr>
      <w:r>
        <w:tab/>
      </w:r>
      <w:r>
        <w:rPr>
          <w:b/>
        </w:rPr>
        <w:t>G</w:t>
      </w:r>
      <w:r>
        <w:t xml:space="preserve"> =</w:t>
      </w:r>
      <w:r>
        <w:tab/>
        <w:t>the discharge factor set for the property for the 2013/2014 year;</w:t>
      </w:r>
    </w:p>
    <w:p>
      <w:pPr>
        <w:pStyle w:val="yMiscellaneousBody"/>
        <w:tabs>
          <w:tab w:val="left" w:pos="993"/>
          <w:tab w:val="left" w:pos="1560"/>
        </w:tabs>
        <w:ind w:left="1560" w:hanging="1560"/>
      </w:pPr>
      <w:r>
        <w:tab/>
      </w:r>
      <w:r>
        <w:rPr>
          <w:b/>
        </w:rPr>
        <w:t>H</w:t>
      </w:r>
      <w:r>
        <w:t xml:space="preserve"> =</w:t>
      </w:r>
      <w:r>
        <w:tab/>
        <w:t>the discharge allowance for the 2013/2014 year calculated in accordance with item 38;</w:t>
      </w:r>
    </w:p>
    <w:p>
      <w:pPr>
        <w:pStyle w:val="yMiscellaneousBody"/>
        <w:tabs>
          <w:tab w:val="left" w:pos="993"/>
          <w:tab w:val="left" w:pos="1560"/>
        </w:tabs>
        <w:ind w:left="1560" w:hanging="1560"/>
      </w:pPr>
      <w:r>
        <w:lastRenderedPageBreak/>
        <w:tab/>
      </w:r>
      <w:r>
        <w:rPr>
          <w:b/>
        </w:rPr>
        <w:t>I</w:t>
      </w:r>
      <w:r>
        <w:t xml:space="preserve"> =</w:t>
      </w:r>
      <w:r>
        <w:tab/>
        <w:t>2.8376,</w:t>
      </w:r>
    </w:p>
    <w:p>
      <w:pPr>
        <w:pStyle w:val="yMiscellaneousBody"/>
        <w:tabs>
          <w:tab w:val="left" w:pos="798"/>
        </w:tabs>
        <w:ind w:left="784" w:hanging="784"/>
      </w:pPr>
      <w:r>
        <w:tab/>
        <w:t>and where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MiscellaneousBody"/>
        <w:rPr>
          <w:b/>
        </w:rPr>
      </w:pPr>
      <w:r>
        <w:rPr>
          <w:b/>
        </w:rPr>
        <w:t>38.</w:t>
      </w:r>
      <w:r>
        <w:rPr>
          <w:b/>
        </w:rPr>
        <w:tab/>
        <w:t>Discharge allowance</w:t>
      </w:r>
    </w:p>
    <w:p>
      <w:pPr>
        <w:pStyle w:val="yMiscellaneousBody"/>
        <w:tabs>
          <w:tab w:val="left" w:pos="798"/>
        </w:tabs>
        <w:ind w:left="784" w:hanging="784"/>
      </w:pPr>
      <w:r>
        <w:tab/>
        <w:t xml:space="preserve">For the purposes of item 37, the discharge allowance is — </w:t>
      </w:r>
    </w:p>
    <w:p>
      <w:pPr>
        <w:pStyle w:val="yMiscellaneousBody"/>
        <w:tabs>
          <w:tab w:val="left" w:pos="993"/>
          <w:tab w:val="left" w:pos="1560"/>
        </w:tabs>
        <w:ind w:left="1560" w:hanging="1560"/>
      </w:pPr>
      <w:r>
        <w:tab/>
        <w:t>(a)</w:t>
      </w:r>
      <w:r>
        <w:tab/>
        <w:t xml:space="preserve">for land to which item 35 applies that is not mentioned in paragraph (d), an amount of water in kilolitres calculated in accordance with the following formula — </w:t>
      </w:r>
    </w:p>
    <w:p>
      <w:pPr>
        <w:pStyle w:val="yMiscellaneousBody"/>
        <w:tabs>
          <w:tab w:val="left" w:pos="1560"/>
        </w:tabs>
        <w:ind w:left="1560" w:hanging="1560"/>
      </w:pPr>
      <w:r>
        <w:tab/>
        <w:t xml:space="preserve">If </w:t>
      </w:r>
      <w:r>
        <w:rPr>
          <w:b/>
        </w:rPr>
        <w:t>X</w:t>
      </w:r>
      <w:r>
        <w:t xml:space="preserve"> </w:t>
      </w:r>
      <w:r>
        <w:sym w:font="Symbol" w:char="F0A3"/>
      </w:r>
      <w:r>
        <w:t xml:space="preserve"> </w:t>
      </w:r>
      <w:r>
        <w:rPr>
          <w:b/>
        </w:rPr>
        <w:t>C</w:t>
      </w:r>
      <w:r>
        <w:t xml:space="preserve">, then — </w:t>
      </w:r>
    </w:p>
    <w:p>
      <w:pPr>
        <w:pStyle w:val="yMiscellaneousBody"/>
        <w:tabs>
          <w:tab w:val="left" w:pos="1560"/>
        </w:tabs>
        <w:ind w:left="1560" w:hanging="1560"/>
        <w:rPr>
          <w:b/>
        </w:rPr>
      </w:pPr>
      <w:r>
        <w:tab/>
      </w:r>
      <w:r>
        <w:rPr>
          <w:b/>
        </w:rPr>
        <w:t>L</w:t>
      </w:r>
    </w:p>
    <w:p>
      <w:pPr>
        <w:pStyle w:val="yMiscellaneousBody"/>
        <w:tabs>
          <w:tab w:val="left" w:pos="1560"/>
        </w:tabs>
        <w:ind w:left="1560" w:hanging="1560"/>
      </w:pPr>
      <w:r>
        <w:tab/>
        <w:t xml:space="preserve">or if </w:t>
      </w:r>
      <w:r>
        <w:rPr>
          <w:b/>
        </w:rPr>
        <w:t>X</w:t>
      </w:r>
      <w:r>
        <w:t xml:space="preserve"> &gt; </w:t>
      </w:r>
      <w:r>
        <w:rPr>
          <w:b/>
        </w:rPr>
        <w:t>C</w:t>
      </w:r>
      <w:r>
        <w:t xml:space="preserve">, then — </w:t>
      </w:r>
    </w:p>
    <w:p>
      <w:pPr>
        <w:pStyle w:val="yMiscellaneousBody"/>
        <w:tabs>
          <w:tab w:val="left" w:pos="1560"/>
        </w:tabs>
        <w:ind w:left="1560" w:hanging="1560"/>
      </w:pPr>
      <w:r>
        <w:tab/>
      </w:r>
      <w:r>
        <w:rPr>
          <w:b/>
        </w:rPr>
        <w:t>L</w:t>
      </w:r>
      <w:r>
        <w:t xml:space="preserve"> + [(</w:t>
      </w:r>
      <w:r>
        <w:rPr>
          <w:b/>
        </w:rPr>
        <w:t>X</w:t>
      </w:r>
      <w:r>
        <w:t xml:space="preserve"> – </w:t>
      </w:r>
      <w:r>
        <w:rPr>
          <w:b/>
        </w:rPr>
        <w:t>C</w:t>
      </w:r>
      <w:r>
        <w:t xml:space="preserve">) / </w:t>
      </w:r>
      <w:r>
        <w:rPr>
          <w:b/>
        </w:rPr>
        <w:t>K</w:t>
      </w:r>
      <w:r>
        <w:t>]</w:t>
      </w:r>
    </w:p>
    <w:p>
      <w:pPr>
        <w:pStyle w:val="yMiscellaneousBody"/>
        <w:tabs>
          <w:tab w:val="left" w:pos="1560"/>
        </w:tabs>
        <w:ind w:left="1560" w:hanging="1560"/>
      </w:pPr>
      <w:r>
        <w:tab/>
        <w:t xml:space="preserve">where — </w:t>
      </w:r>
    </w:p>
    <w:p>
      <w:pPr>
        <w:pStyle w:val="yMiscellaneousBody"/>
        <w:tabs>
          <w:tab w:val="left" w:pos="1701"/>
          <w:tab w:val="left" w:pos="2268"/>
        </w:tabs>
        <w:ind w:left="2268" w:hanging="2268"/>
      </w:pPr>
      <w:r>
        <w:tab/>
      </w:r>
      <w:r>
        <w:rPr>
          <w:b/>
        </w:rPr>
        <w:t>X</w:t>
      </w:r>
      <w:r>
        <w:t xml:space="preserve"> =</w:t>
      </w:r>
      <w:r>
        <w:tab/>
        <w:t>the annual charge for the 2013/2014 year calculated in accordance with the formula in item 36;</w:t>
      </w:r>
    </w:p>
    <w:p>
      <w:pPr>
        <w:pStyle w:val="yMiscellaneousBody"/>
        <w:tabs>
          <w:tab w:val="left" w:pos="1701"/>
          <w:tab w:val="left" w:pos="2268"/>
        </w:tabs>
        <w:ind w:left="2268" w:hanging="2268"/>
      </w:pPr>
      <w:r>
        <w:tab/>
      </w:r>
      <w:r>
        <w:rPr>
          <w:b/>
        </w:rPr>
        <w:t>L</w:t>
      </w:r>
      <w:r>
        <w:t xml:space="preserve"> =</w:t>
      </w:r>
      <w:r>
        <w:tab/>
        <w:t>200;</w:t>
      </w:r>
    </w:p>
    <w:p>
      <w:pPr>
        <w:pStyle w:val="yMiscellaneousBody"/>
        <w:tabs>
          <w:tab w:val="left" w:pos="1701"/>
          <w:tab w:val="left" w:pos="2268"/>
        </w:tabs>
        <w:ind w:left="2268" w:hanging="2268"/>
      </w:pPr>
      <w:r>
        <w:tab/>
      </w:r>
      <w:r>
        <w:rPr>
          <w:b/>
        </w:rPr>
        <w:t>C</w:t>
      </w:r>
      <w:r>
        <w:t xml:space="preserve"> =</w:t>
      </w:r>
      <w:r>
        <w:tab/>
        <w:t xml:space="preserve">the charge payable for the relevant number of major fixtures for the 2013/2014 year as set out in the Table to item 36; </w:t>
      </w:r>
    </w:p>
    <w:p>
      <w:pPr>
        <w:pStyle w:val="yMiscellaneousBody"/>
        <w:tabs>
          <w:tab w:val="left" w:pos="1701"/>
          <w:tab w:val="left" w:pos="2268"/>
        </w:tabs>
        <w:ind w:left="2268" w:hanging="2268"/>
      </w:pPr>
      <w:r>
        <w:tab/>
      </w:r>
      <w:r>
        <w:rPr>
          <w:b/>
        </w:rPr>
        <w:t>K</w:t>
      </w:r>
      <w:r>
        <w:t xml:space="preserve"> =</w:t>
      </w:r>
      <w:r>
        <w:tab/>
        <w:t>2.8376;</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(b)</w:t>
      </w:r>
      <w:r>
        <w:tab/>
        <w:t>for a caravan park referred to in item 32, an amount of water in kilolitres calculated in accordance with the following formula — </w:t>
      </w:r>
    </w:p>
    <w:p>
      <w:pPr>
        <w:pStyle w:val="yMiscellaneousBody"/>
        <w:tabs>
          <w:tab w:val="left" w:pos="1560"/>
        </w:tabs>
        <w:ind w:left="1560" w:hanging="1560"/>
      </w:pPr>
      <w:r>
        <w:tab/>
      </w:r>
      <w:r>
        <w:rPr>
          <w:b/>
        </w:rPr>
        <w:t>L</w:t>
      </w:r>
      <w:r>
        <w:t xml:space="preserve"> + </w:t>
      </w:r>
      <w:r>
        <w:rPr>
          <w:b/>
        </w:rPr>
        <w:t>M</w:t>
      </w:r>
    </w:p>
    <w:p>
      <w:pPr>
        <w:pStyle w:val="yMiscellaneousBody"/>
        <w:tabs>
          <w:tab w:val="left" w:pos="1560"/>
        </w:tabs>
        <w:ind w:left="1560" w:hanging="1560"/>
      </w:pPr>
      <w:r>
        <w:tab/>
        <w:t xml:space="preserve">where — </w:t>
      </w:r>
    </w:p>
    <w:p>
      <w:pPr>
        <w:pStyle w:val="yMiscellaneousBody"/>
        <w:tabs>
          <w:tab w:val="left" w:pos="1701"/>
          <w:tab w:val="left" w:pos="2268"/>
        </w:tabs>
        <w:ind w:left="2268" w:hanging="2268"/>
      </w:pPr>
      <w:r>
        <w:tab/>
      </w:r>
      <w:r>
        <w:rPr>
          <w:b/>
        </w:rPr>
        <w:t>L</w:t>
      </w:r>
      <w:r>
        <w:t xml:space="preserve"> =</w:t>
      </w:r>
      <w:r>
        <w:tab/>
        <w:t>200;</w:t>
      </w:r>
    </w:p>
    <w:p>
      <w:pPr>
        <w:pStyle w:val="yMiscellaneousBody"/>
        <w:tabs>
          <w:tab w:val="left" w:pos="1701"/>
          <w:tab w:val="left" w:pos="2268"/>
        </w:tabs>
        <w:ind w:left="2268" w:hanging="2268"/>
      </w:pPr>
      <w:r>
        <w:lastRenderedPageBreak/>
        <w:tab/>
      </w:r>
      <w:r>
        <w:rPr>
          <w:b/>
        </w:rPr>
        <w:t>M</w:t>
      </w:r>
      <w:r>
        <w:t xml:space="preserve"> =</w:t>
      </w:r>
      <w:r>
        <w:tab/>
        <w:t>75 kL of water for each long</w:t>
      </w:r>
      <w:r>
        <w:noBreakHyphen/>
        <w:t>term residential caravan bay;</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(c)</w:t>
      </w:r>
      <w:r>
        <w:tab/>
        <w:t>for a nursing home referred to in item 33, 75 kL of water per bed; and</w:t>
      </w:r>
    </w:p>
    <w:p>
      <w:pPr>
        <w:pStyle w:val="yMiscellaneousBody"/>
        <w:tabs>
          <w:tab w:val="left" w:pos="993"/>
          <w:tab w:val="left" w:pos="1560"/>
        </w:tabs>
        <w:ind w:left="1560" w:hanging="1560"/>
      </w:pPr>
      <w:r>
        <w:tab/>
        <w:t>(d)</w:t>
      </w:r>
      <w:r>
        <w:tab/>
        <w:t>for properties served through a common metered service, 200 kL of water for each property; and</w:t>
      </w:r>
    </w:p>
    <w:p>
      <w:pPr>
        <w:pStyle w:val="yMiscellaneousBody"/>
        <w:tabs>
          <w:tab w:val="left" w:pos="993"/>
          <w:tab w:val="left" w:pos="1560"/>
        </w:tabs>
        <w:ind w:left="1560" w:hanging="1560"/>
      </w:pPr>
      <w:r>
        <w:tab/>
        <w:t>(e)</w:t>
      </w:r>
      <w:r>
        <w:tab/>
        <w:t>for a non</w:t>
      </w:r>
      <w:r>
        <w:noBreakHyphen/>
        <w:t>commercial Government property, or a property held by a Government trading organisation, 200 kL of water.</w:t>
      </w:r>
    </w:p>
    <w:p>
      <w:pPr>
        <w:pStyle w:val="yFootnotesection"/>
      </w:pPr>
      <w:r>
        <w:tab/>
        <w:t>[Division 8 inserted in Gazette 19 Jun 2013 p. 2396-8.]</w:t>
      </w:r>
    </w:p>
    <w:p>
      <w:pPr>
        <w:pStyle w:val="yScheduleHeading"/>
      </w:pPr>
      <w:bookmarkStart w:id="72" w:name="_Toc84424799"/>
      <w:r>
        <w:rPr>
          <w:rStyle w:val="CharSchNo"/>
        </w:rPr>
        <w:lastRenderedPageBreak/>
        <w:t>Schedule 4</w:t>
      </w:r>
      <w:r>
        <w:t> — </w:t>
      </w:r>
      <w:r>
        <w:rPr>
          <w:rStyle w:val="CharSchText"/>
        </w:rPr>
        <w:t>Charges for drainage for 2013/2014</w:t>
      </w:r>
      <w:bookmarkEnd w:id="72"/>
    </w:p>
    <w:p>
      <w:pPr>
        <w:pStyle w:val="yShoulderClause"/>
      </w:pPr>
      <w:r>
        <w:t>[bl. 27]</w:t>
      </w:r>
    </w:p>
    <w:p>
      <w:pPr>
        <w:pStyle w:val="yFootnoteheading"/>
        <w:spacing w:after="120"/>
      </w:pPr>
      <w:r>
        <w:tab/>
        <w:t>[Heading inserted in Gazette 19 Jun 2013 p. 2399.]</w:t>
      </w:r>
    </w:p>
    <w:p>
      <w:pPr>
        <w:pStyle w:val="yHeading3"/>
      </w:pPr>
      <w:bookmarkStart w:id="73" w:name="_Toc84424800"/>
      <w:r>
        <w:rPr>
          <w:rStyle w:val="CharSDivNo"/>
        </w:rPr>
        <w:t>Division 1</w:t>
      </w:r>
      <w:r>
        <w:t> — </w:t>
      </w:r>
      <w:r>
        <w:rPr>
          <w:rStyle w:val="CharSDivText"/>
        </w:rPr>
        <w:t>Fixed charges</w:t>
      </w:r>
      <w:bookmarkEnd w:id="73"/>
    </w:p>
    <w:p>
      <w:pPr>
        <w:pStyle w:val="yFootnoteheading"/>
        <w:spacing w:after="120"/>
      </w:pPr>
      <w:r>
        <w:tab/>
        <w:t>[Heading inserted in Gazette 19 Jun 2013 p. 2399.]</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pPr>
            <w:r>
              <w:rPr>
                <w:b/>
              </w:rPr>
              <w:t>1.</w:t>
            </w:r>
          </w:p>
        </w:tc>
        <w:tc>
          <w:tcPr>
            <w:tcW w:w="5670" w:type="dxa"/>
            <w:gridSpan w:val="2"/>
          </w:tcPr>
          <w:p>
            <w:pPr>
              <w:pStyle w:val="yTableNAm"/>
            </w:pPr>
            <w:r>
              <w:rPr>
                <w:b/>
                <w:bCs/>
              </w:rPr>
              <w:t>Strata</w:t>
            </w:r>
            <w:r>
              <w:rPr>
                <w:b/>
                <w:bCs/>
              </w:rPr>
              <w:noBreakHyphen/>
              <w:t>titled caravan bay</w:t>
            </w:r>
          </w:p>
        </w:tc>
      </w:tr>
      <w:tr>
        <w:trPr>
          <w:cantSplit/>
        </w:trPr>
        <w:tc>
          <w:tcPr>
            <w:tcW w:w="850" w:type="dxa"/>
          </w:tcPr>
          <w:p>
            <w:pPr>
              <w:pStyle w:val="zyTableNAm"/>
              <w:keepNext/>
              <w:keepLines/>
            </w:pPr>
          </w:p>
        </w:tc>
        <w:tc>
          <w:tcPr>
            <w:tcW w:w="4235" w:type="dxa"/>
          </w:tcPr>
          <w:p>
            <w:pPr>
              <w:pStyle w:val="yTableNAm"/>
              <w:tabs>
                <w:tab w:val="right" w:leader="dot" w:pos="4003"/>
              </w:tabs>
              <w:rPr>
                <w:rFonts w:ascii="Arial" w:hAnsi="Arial"/>
                <w:b/>
              </w:rPr>
            </w:pPr>
            <w:r>
              <w:t xml:space="preserve">In respect of each residential property being a single caravan bay that is a lot within the meaning of the </w:t>
            </w:r>
            <w:r>
              <w:rPr>
                <w:i/>
              </w:rPr>
              <w:t>Strata Titles Act 1985</w:t>
            </w:r>
            <w:r>
              <w:t xml:space="preserve"> </w:t>
            </w:r>
            <w:r>
              <w:tab/>
            </w:r>
          </w:p>
        </w:tc>
        <w:tc>
          <w:tcPr>
            <w:tcW w:w="1435" w:type="dxa"/>
          </w:tcPr>
          <w:p>
            <w:pPr>
              <w:pStyle w:val="yTableNAm"/>
            </w:pPr>
            <w:r>
              <w:br/>
            </w:r>
            <w:r>
              <w:br/>
              <w:t>$28.30</w:t>
            </w:r>
          </w:p>
        </w:tc>
      </w:tr>
      <w:tr>
        <w:trPr>
          <w:cantSplit/>
        </w:trPr>
        <w:tc>
          <w:tcPr>
            <w:tcW w:w="850" w:type="dxa"/>
          </w:tcPr>
          <w:p>
            <w:pPr>
              <w:pStyle w:val="yTableNAm"/>
            </w:pPr>
            <w:r>
              <w:rPr>
                <w:b/>
              </w:rPr>
              <w:t>2.</w:t>
            </w:r>
          </w:p>
        </w:tc>
        <w:tc>
          <w:tcPr>
            <w:tcW w:w="5670" w:type="dxa"/>
            <w:gridSpan w:val="2"/>
          </w:tcPr>
          <w:p>
            <w:pPr>
              <w:pStyle w:val="yTableNAm"/>
            </w:pPr>
            <w:r>
              <w:rPr>
                <w:b/>
                <w:bCs/>
              </w:rPr>
              <w:t>Strata</w:t>
            </w:r>
            <w:r>
              <w:rPr>
                <w:b/>
                <w:bCs/>
              </w:rPr>
              <w:noBreakHyphen/>
              <w:t>titled storage unit and strata</w:t>
            </w:r>
            <w:r>
              <w:rPr>
                <w:b/>
                <w:bCs/>
              </w:rPr>
              <w:noBreakHyphen/>
              <w:t>titled parking bay</w:t>
            </w:r>
          </w:p>
        </w:tc>
      </w:tr>
      <w:tr>
        <w:trPr>
          <w:cantSplit/>
        </w:trPr>
        <w:tc>
          <w:tcPr>
            <w:tcW w:w="850" w:type="dxa"/>
          </w:tcPr>
          <w:p>
            <w:pPr>
              <w:pStyle w:val="zyTableNAm"/>
            </w:pPr>
          </w:p>
        </w:tc>
        <w:tc>
          <w:tcPr>
            <w:tcW w:w="4235" w:type="dxa"/>
          </w:tcPr>
          <w:p>
            <w:pPr>
              <w:pStyle w:val="yTableNAm"/>
              <w:tabs>
                <w:tab w:val="right" w:leader="dot" w:pos="4003"/>
              </w:tabs>
              <w:rPr>
                <w:rFonts w:ascii="Arial" w:hAnsi="Arial"/>
                <w:b/>
              </w:rPr>
            </w:pPr>
            <w:r>
              <w:t xml:space="preserve">In respect of land comprised in a unit used for storage purposes or as a parking bay that is a lot within the meaning of the </w:t>
            </w:r>
            <w:r>
              <w:rPr>
                <w:i/>
                <w:iCs/>
              </w:rPr>
              <w:t>Strata Titles Act 1985</w:t>
            </w:r>
            <w:r>
              <w:t xml:space="preserve"> </w:t>
            </w:r>
            <w:r>
              <w:tab/>
            </w:r>
          </w:p>
        </w:tc>
        <w:tc>
          <w:tcPr>
            <w:tcW w:w="1435" w:type="dxa"/>
          </w:tcPr>
          <w:p>
            <w:pPr>
              <w:pStyle w:val="yTableNAm"/>
            </w:pPr>
            <w:r>
              <w:br/>
            </w:r>
            <w:r>
              <w:br/>
            </w:r>
            <w:r>
              <w:br/>
              <w:t>$10.55</w:t>
            </w:r>
          </w:p>
        </w:tc>
      </w:tr>
    </w:tbl>
    <w:p>
      <w:pPr>
        <w:pStyle w:val="yFootnotesection"/>
      </w:pPr>
      <w:r>
        <w:tab/>
        <w:t>[Division 1 inserted in Gazette 19 Jun 2013 p. 2399.]</w:t>
      </w:r>
    </w:p>
    <w:p>
      <w:pPr>
        <w:pStyle w:val="yHeading3"/>
      </w:pPr>
      <w:bookmarkStart w:id="74" w:name="_Toc84424801"/>
      <w:r>
        <w:t>Division 2 — Charges by way of rate</w:t>
      </w:r>
      <w:bookmarkEnd w:id="74"/>
    </w:p>
    <w:p>
      <w:pPr>
        <w:pStyle w:val="yFootnoteheading"/>
        <w:spacing w:after="120"/>
      </w:pPr>
      <w:r>
        <w:tab/>
        <w:t>[Heading inserted in Gazette 19 Jun 2013 p. 2399.]</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TableNAm"/>
            </w:pPr>
            <w:r>
              <w:rPr>
                <w:b/>
              </w:rPr>
              <w:t>3.</w:t>
            </w:r>
          </w:p>
        </w:tc>
        <w:tc>
          <w:tcPr>
            <w:tcW w:w="5670" w:type="dxa"/>
            <w:gridSpan w:val="2"/>
          </w:tcPr>
          <w:p>
            <w:pPr>
              <w:pStyle w:val="yTableNAm"/>
            </w:pPr>
            <w:r>
              <w:rPr>
                <w:b/>
              </w:rPr>
              <w:t>Land in a drainage area as referred to in by</w:t>
            </w:r>
            <w:r>
              <w:rPr>
                <w:b/>
              </w:rPr>
              <w:noBreakHyphen/>
              <w:t>law 27 classified as residential or semi</w:t>
            </w:r>
            <w:r>
              <w:rPr>
                <w:b/>
              </w:rPr>
              <w:noBreakHyphen/>
              <w:t>rural residential</w:t>
            </w:r>
          </w:p>
        </w:tc>
      </w:tr>
      <w:tr>
        <w:trPr>
          <w:cantSplit/>
        </w:trPr>
        <w:tc>
          <w:tcPr>
            <w:tcW w:w="850" w:type="dxa"/>
          </w:tcPr>
          <w:p>
            <w:pPr>
              <w:pStyle w:val="zyTableNAm"/>
            </w:pPr>
          </w:p>
        </w:tc>
        <w:tc>
          <w:tcPr>
            <w:tcW w:w="4236" w:type="dxa"/>
          </w:tcPr>
          <w:p>
            <w:pPr>
              <w:pStyle w:val="yTableNAm"/>
              <w:tabs>
                <w:tab w:val="right" w:leader="dot" w:pos="4003"/>
              </w:tabs>
              <w:rPr>
                <w:rFonts w:ascii="Arial" w:hAnsi="Arial"/>
                <w:b/>
              </w:rPr>
            </w:pPr>
            <w:r>
              <w:t>In respect of all land in a drainage area as referred to in by</w:t>
            </w:r>
            <w:r>
              <w:noBreakHyphen/>
              <w:t>law 27 that is classified as residential or semi</w:t>
            </w:r>
            <w:r>
              <w:noBreakHyphen/>
              <w:t xml:space="preserve">rural residential land </w:t>
            </w:r>
            <w:r>
              <w:tab/>
            </w:r>
          </w:p>
        </w:tc>
        <w:tc>
          <w:tcPr>
            <w:tcW w:w="1434" w:type="dxa"/>
            <w:vAlign w:val="bottom"/>
          </w:tcPr>
          <w:p>
            <w:pPr>
              <w:pStyle w:val="yTableNAm"/>
            </w:pPr>
            <w:r>
              <w:br/>
            </w:r>
            <w:r>
              <w:br/>
              <w:t>0.545 cents/</w:t>
            </w:r>
            <w:r>
              <w:br/>
              <w:t>$ of GRV</w:t>
            </w:r>
          </w:p>
        </w:tc>
      </w:tr>
      <w:tr>
        <w:trPr>
          <w:cantSplit/>
        </w:trPr>
        <w:tc>
          <w:tcPr>
            <w:tcW w:w="850" w:type="dxa"/>
          </w:tcPr>
          <w:p>
            <w:pPr>
              <w:pStyle w:val="zyTableNAm"/>
            </w:pPr>
          </w:p>
        </w:tc>
        <w:tc>
          <w:tcPr>
            <w:tcW w:w="4236" w:type="dxa"/>
          </w:tcPr>
          <w:p>
            <w:pPr>
              <w:pStyle w:val="yTableNAm"/>
              <w:tabs>
                <w:tab w:val="right" w:leader="dot" w:pos="4003"/>
              </w:tabs>
              <w:rPr>
                <w:rFonts w:ascii="Arial" w:hAnsi="Arial"/>
                <w:b/>
              </w:rPr>
            </w:pPr>
            <w:r>
              <w:t xml:space="preserve">subject to a minimum in respect of any land the subject of a separate assessment of </w:t>
            </w:r>
            <w:r>
              <w:tab/>
            </w:r>
          </w:p>
        </w:tc>
        <w:tc>
          <w:tcPr>
            <w:tcW w:w="1434" w:type="dxa"/>
            <w:vAlign w:val="bottom"/>
          </w:tcPr>
          <w:p>
            <w:pPr>
              <w:pStyle w:val="yTableNAm"/>
            </w:pPr>
            <w:r>
              <w:t>$93.60</w:t>
            </w:r>
          </w:p>
        </w:tc>
      </w:tr>
      <w:tr>
        <w:trPr>
          <w:cantSplit/>
        </w:trPr>
        <w:tc>
          <w:tcPr>
            <w:tcW w:w="850" w:type="dxa"/>
          </w:tcPr>
          <w:p>
            <w:pPr>
              <w:pStyle w:val="yTableNAm"/>
            </w:pPr>
            <w:r>
              <w:rPr>
                <w:b/>
              </w:rPr>
              <w:t>4.</w:t>
            </w:r>
          </w:p>
        </w:tc>
        <w:tc>
          <w:tcPr>
            <w:tcW w:w="5670" w:type="dxa"/>
            <w:gridSpan w:val="2"/>
          </w:tcPr>
          <w:p>
            <w:pPr>
              <w:pStyle w:val="yTableNAm"/>
            </w:pPr>
            <w:r>
              <w:rPr>
                <w:b/>
                <w:bCs/>
              </w:rPr>
              <w:t>Land in a drainage area classified as vacant land</w:t>
            </w:r>
          </w:p>
        </w:tc>
      </w:tr>
      <w:tr>
        <w:trPr>
          <w:cantSplit/>
        </w:trPr>
        <w:tc>
          <w:tcPr>
            <w:tcW w:w="850" w:type="dxa"/>
          </w:tcPr>
          <w:p>
            <w:pPr>
              <w:pStyle w:val="zyTableNAm"/>
              <w:tabs>
                <w:tab w:val="right" w:leader="dot" w:pos="4253"/>
              </w:tabs>
            </w:pPr>
          </w:p>
        </w:tc>
        <w:tc>
          <w:tcPr>
            <w:tcW w:w="4236" w:type="dxa"/>
          </w:tcPr>
          <w:p>
            <w:pPr>
              <w:pStyle w:val="yTableNAm"/>
              <w:tabs>
                <w:tab w:val="right" w:leader="dot" w:pos="4003"/>
              </w:tabs>
              <w:rPr>
                <w:rFonts w:ascii="Arial" w:hAnsi="Arial"/>
                <w:b/>
              </w:rPr>
            </w:pPr>
            <w:r>
              <w:t xml:space="preserve">In respect of all land in a drainage area classified as vacant land </w:t>
            </w:r>
            <w:r>
              <w:tab/>
            </w:r>
          </w:p>
        </w:tc>
        <w:tc>
          <w:tcPr>
            <w:tcW w:w="1434" w:type="dxa"/>
            <w:vAlign w:val="bottom"/>
          </w:tcPr>
          <w:p>
            <w:pPr>
              <w:pStyle w:val="yTableNAm"/>
            </w:pPr>
            <w:r>
              <w:br/>
              <w:t>0.694 cents/</w:t>
            </w:r>
            <w:r>
              <w:br/>
              <w:t>$ of GRV</w:t>
            </w:r>
          </w:p>
        </w:tc>
      </w:tr>
      <w:tr>
        <w:trPr>
          <w:cantSplit/>
        </w:trPr>
        <w:tc>
          <w:tcPr>
            <w:tcW w:w="850" w:type="dxa"/>
          </w:tcPr>
          <w:p>
            <w:pPr>
              <w:pStyle w:val="zyTableNAm"/>
              <w:tabs>
                <w:tab w:val="right" w:leader="dot" w:pos="4253"/>
              </w:tabs>
            </w:pPr>
          </w:p>
        </w:tc>
        <w:tc>
          <w:tcPr>
            <w:tcW w:w="4236" w:type="dxa"/>
          </w:tcPr>
          <w:p>
            <w:pPr>
              <w:pStyle w:val="yTableNAm"/>
              <w:tabs>
                <w:tab w:val="right" w:leader="dot" w:pos="4003"/>
              </w:tabs>
              <w:rPr>
                <w:rFonts w:ascii="Arial" w:hAnsi="Arial"/>
                <w:b/>
              </w:rPr>
            </w:pPr>
            <w:r>
              <w:t xml:space="preserve">subject to a minimum in respect of any land the subject of a separate assessment of </w:t>
            </w:r>
            <w:r>
              <w:tab/>
            </w:r>
          </w:p>
        </w:tc>
        <w:tc>
          <w:tcPr>
            <w:tcW w:w="1434" w:type="dxa"/>
            <w:vAlign w:val="bottom"/>
          </w:tcPr>
          <w:p>
            <w:pPr>
              <w:pStyle w:val="yTableNAm"/>
            </w:pPr>
            <w:r>
              <w:t>$93.60</w:t>
            </w:r>
          </w:p>
        </w:tc>
      </w:tr>
      <w:tr>
        <w:trPr>
          <w:cantSplit/>
        </w:trPr>
        <w:tc>
          <w:tcPr>
            <w:tcW w:w="850" w:type="dxa"/>
          </w:tcPr>
          <w:p>
            <w:pPr>
              <w:pStyle w:val="yTableNAm"/>
            </w:pPr>
            <w:r>
              <w:rPr>
                <w:b/>
              </w:rPr>
              <w:t>5.</w:t>
            </w:r>
          </w:p>
        </w:tc>
        <w:tc>
          <w:tcPr>
            <w:tcW w:w="5670" w:type="dxa"/>
            <w:gridSpan w:val="2"/>
          </w:tcPr>
          <w:p>
            <w:pPr>
              <w:pStyle w:val="yTableNAm"/>
            </w:pPr>
            <w:r>
              <w:rPr>
                <w:b/>
                <w:bCs/>
              </w:rPr>
              <w:t>Land in a drainage area as referred to in by</w:t>
            </w:r>
            <w:r>
              <w:rPr>
                <w:b/>
                <w:bCs/>
              </w:rPr>
              <w:noBreakHyphen/>
              <w:t>law 27 other than land to which item 1, 2, 3 or 4 applies</w:t>
            </w:r>
          </w:p>
        </w:tc>
      </w:tr>
      <w:tr>
        <w:trPr>
          <w:cantSplit/>
        </w:trPr>
        <w:tc>
          <w:tcPr>
            <w:tcW w:w="850" w:type="dxa"/>
          </w:tcPr>
          <w:p>
            <w:pPr>
              <w:pStyle w:val="zyTableNAm"/>
              <w:tabs>
                <w:tab w:val="right" w:leader="dot" w:pos="4253"/>
              </w:tabs>
            </w:pPr>
          </w:p>
        </w:tc>
        <w:tc>
          <w:tcPr>
            <w:tcW w:w="4236" w:type="dxa"/>
          </w:tcPr>
          <w:p>
            <w:pPr>
              <w:pStyle w:val="yTableNAm"/>
              <w:tabs>
                <w:tab w:val="right" w:leader="dot" w:pos="4003"/>
              </w:tabs>
              <w:rPr>
                <w:rFonts w:ascii="Arial" w:hAnsi="Arial"/>
                <w:b/>
              </w:rPr>
            </w:pPr>
            <w:r>
              <w:t>In respect of all land in a drainage area as referred to in by</w:t>
            </w:r>
            <w:r>
              <w:noBreakHyphen/>
              <w:t xml:space="preserve">law 27 other than land to which item 1, 2, 3 or 4 applies </w:t>
            </w:r>
            <w:r>
              <w:tab/>
            </w:r>
          </w:p>
        </w:tc>
        <w:tc>
          <w:tcPr>
            <w:tcW w:w="1434" w:type="dxa"/>
            <w:vAlign w:val="bottom"/>
          </w:tcPr>
          <w:p>
            <w:pPr>
              <w:pStyle w:val="yTableNAm"/>
            </w:pPr>
            <w:r>
              <w:br/>
            </w:r>
            <w:r>
              <w:br/>
              <w:t>0.279 cents/</w:t>
            </w:r>
            <w:r>
              <w:br/>
              <w:t>$ of GRV</w:t>
            </w:r>
          </w:p>
        </w:tc>
      </w:tr>
      <w:tr>
        <w:trPr>
          <w:cantSplit/>
        </w:trPr>
        <w:tc>
          <w:tcPr>
            <w:tcW w:w="850" w:type="dxa"/>
          </w:tcPr>
          <w:p>
            <w:pPr>
              <w:pStyle w:val="zyTableNAm"/>
              <w:tabs>
                <w:tab w:val="right" w:leader="dot" w:pos="4253"/>
              </w:tabs>
            </w:pPr>
          </w:p>
        </w:tc>
        <w:tc>
          <w:tcPr>
            <w:tcW w:w="4236" w:type="dxa"/>
          </w:tcPr>
          <w:p>
            <w:pPr>
              <w:pStyle w:val="yTableNAm"/>
              <w:tabs>
                <w:tab w:val="right" w:leader="dot" w:pos="4003"/>
              </w:tabs>
              <w:rPr>
                <w:rFonts w:ascii="Arial" w:hAnsi="Arial"/>
                <w:b/>
              </w:rPr>
            </w:pPr>
            <w:r>
              <w:t xml:space="preserve">subject to a minimum in respect of any land the subject of a separate assessment of </w:t>
            </w:r>
            <w:r>
              <w:tab/>
            </w:r>
          </w:p>
        </w:tc>
        <w:tc>
          <w:tcPr>
            <w:tcW w:w="1434" w:type="dxa"/>
            <w:vAlign w:val="bottom"/>
          </w:tcPr>
          <w:p>
            <w:pPr>
              <w:pStyle w:val="yTableNAm"/>
            </w:pPr>
            <w:r>
              <w:t>$93.60</w:t>
            </w:r>
          </w:p>
        </w:tc>
      </w:tr>
    </w:tbl>
    <w:p>
      <w:pPr>
        <w:pStyle w:val="yFootnotesection"/>
      </w:pPr>
      <w:r>
        <w:tab/>
        <w:t>[Division 2 inserted in Gazette 19 Jun 2013 p. 2399-400.]</w:t>
      </w:r>
    </w:p>
    <w:p>
      <w:pPr>
        <w:pStyle w:val="yScheduleHeading"/>
      </w:pPr>
      <w:bookmarkStart w:id="75" w:name="_Toc84424802"/>
      <w:r>
        <w:rPr>
          <w:rStyle w:val="CharSchNo"/>
        </w:rPr>
        <w:lastRenderedPageBreak/>
        <w:t>Schedule 5</w:t>
      </w:r>
      <w:r>
        <w:rPr>
          <w:rStyle w:val="CharSDivNo"/>
        </w:rPr>
        <w:t> </w:t>
      </w:r>
      <w:r>
        <w:t>—</w:t>
      </w:r>
      <w:r>
        <w:rPr>
          <w:rStyle w:val="CharSDivText"/>
        </w:rPr>
        <w:t> </w:t>
      </w:r>
      <w:r>
        <w:rPr>
          <w:rStyle w:val="CharSchText"/>
        </w:rPr>
        <w:t>Charges for irrigation for 2013/2014</w:t>
      </w:r>
      <w:bookmarkEnd w:id="75"/>
    </w:p>
    <w:p>
      <w:pPr>
        <w:pStyle w:val="yShoulderClause"/>
      </w:pPr>
      <w:r>
        <w:t>[bl. 31]</w:t>
      </w:r>
    </w:p>
    <w:p>
      <w:pPr>
        <w:pStyle w:val="yFootnoteheading"/>
        <w:spacing w:after="120"/>
      </w:pPr>
      <w:r>
        <w:tab/>
        <w:t>[Heading inserted in Gazette 19 Jun 2013 p. 2400.]</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pPr>
            <w:r>
              <w:rPr>
                <w:b/>
              </w:rPr>
              <w:t>1.</w:t>
            </w:r>
          </w:p>
        </w:tc>
        <w:tc>
          <w:tcPr>
            <w:tcW w:w="5670" w:type="dxa"/>
            <w:gridSpan w:val="2"/>
          </w:tcPr>
          <w:p>
            <w:pPr>
              <w:pStyle w:val="yTableNAm"/>
            </w:pPr>
            <w:r>
              <w:rPr>
                <w:b/>
                <w:bCs/>
              </w:rPr>
              <w:t>Ord Irrigation District</w:t>
            </w:r>
          </w:p>
        </w:tc>
      </w:tr>
      <w:tr>
        <w:trPr>
          <w:cantSplit/>
        </w:trPr>
        <w:tc>
          <w:tcPr>
            <w:tcW w:w="850" w:type="dxa"/>
          </w:tcPr>
          <w:p>
            <w:pPr>
              <w:pStyle w:val="zyTableNAm"/>
              <w:tabs>
                <w:tab w:val="right" w:leader="dot" w:pos="4253"/>
              </w:tabs>
            </w:pPr>
          </w:p>
        </w:tc>
        <w:tc>
          <w:tcPr>
            <w:tcW w:w="4235" w:type="dxa"/>
          </w:tcPr>
          <w:p>
            <w:pPr>
              <w:pStyle w:val="yTableNAm"/>
            </w:pPr>
            <w:r>
              <w:t xml:space="preserve">Charges by way of rate for land in the Ord Irrigation District where under the </w:t>
            </w:r>
            <w:r>
              <w:rPr>
                <w:i/>
              </w:rPr>
              <w:t>Ord Irrigation District By</w:t>
            </w:r>
            <w:r>
              <w:rPr>
                <w:i/>
              </w:rPr>
              <w:noBreakHyphen/>
              <w:t>laws 1963</w:t>
            </w:r>
            <w:r>
              <w:t xml:space="preserve"> by</w:t>
            </w:r>
            <w:r>
              <w:noBreakHyphen/>
              <w:t>law 31A, the land is irrigated by pumping from works, an amount per hectare of land so irrigated of —</w:t>
            </w:r>
          </w:p>
        </w:tc>
        <w:tc>
          <w:tcPr>
            <w:tcW w:w="1435" w:type="dxa"/>
          </w:tcPr>
          <w:p>
            <w:pPr>
              <w:pStyle w:val="yTableNAm"/>
            </w:pPr>
          </w:p>
        </w:tc>
      </w:tr>
      <w:tr>
        <w:trPr>
          <w:cantSplit/>
        </w:trPr>
        <w:tc>
          <w:tcPr>
            <w:tcW w:w="850" w:type="dxa"/>
          </w:tcPr>
          <w:p>
            <w:pPr>
              <w:pStyle w:val="zyTableNAm"/>
              <w:tabs>
                <w:tab w:val="right" w:leader="dot" w:pos="4253"/>
              </w:tabs>
            </w:pPr>
          </w:p>
        </w:tc>
        <w:tc>
          <w:tcPr>
            <w:tcW w:w="4235" w:type="dxa"/>
          </w:tcPr>
          <w:p>
            <w:pPr>
              <w:pStyle w:val="yTableNAm"/>
              <w:tabs>
                <w:tab w:val="clear" w:pos="567"/>
                <w:tab w:val="left" w:pos="290"/>
                <w:tab w:val="left" w:pos="884"/>
              </w:tabs>
              <w:ind w:left="884" w:hanging="850"/>
              <w:rPr>
                <w:rFonts w:ascii="Arial" w:hAnsi="Arial"/>
                <w:b/>
              </w:rPr>
            </w:pPr>
            <w:r>
              <w:tab/>
              <w:t>(a)</w:t>
            </w:r>
            <w:r>
              <w:tab/>
              <w:t xml:space="preserve">where the supply is assured </w:t>
            </w:r>
            <w:r>
              <w:tab/>
            </w:r>
          </w:p>
        </w:tc>
        <w:tc>
          <w:tcPr>
            <w:tcW w:w="1435" w:type="dxa"/>
          </w:tcPr>
          <w:p>
            <w:pPr>
              <w:pStyle w:val="yTableNAm"/>
            </w:pPr>
            <w:r>
              <w:t>$142.00</w:t>
            </w:r>
          </w:p>
        </w:tc>
      </w:tr>
      <w:tr>
        <w:trPr>
          <w:cantSplit/>
        </w:trPr>
        <w:tc>
          <w:tcPr>
            <w:tcW w:w="850" w:type="dxa"/>
          </w:tcPr>
          <w:p>
            <w:pPr>
              <w:pStyle w:val="zyTableNAm"/>
              <w:tabs>
                <w:tab w:val="right" w:leader="dot" w:pos="4253"/>
              </w:tabs>
            </w:pPr>
          </w:p>
        </w:tc>
        <w:tc>
          <w:tcPr>
            <w:tcW w:w="4235" w:type="dxa"/>
          </w:tcPr>
          <w:p>
            <w:pPr>
              <w:pStyle w:val="yTableNAm"/>
              <w:tabs>
                <w:tab w:val="clear" w:pos="567"/>
                <w:tab w:val="left" w:pos="290"/>
                <w:tab w:val="left" w:pos="884"/>
                <w:tab w:val="right" w:pos="4003"/>
              </w:tabs>
              <w:ind w:left="884" w:hanging="850"/>
              <w:rPr>
                <w:rFonts w:ascii="Arial" w:hAnsi="Arial"/>
                <w:b/>
              </w:rPr>
            </w:pPr>
            <w:r>
              <w:tab/>
              <w:t>(b)</w:t>
            </w:r>
            <w:r>
              <w:tab/>
              <w:t xml:space="preserve">where the supply is not assured </w:t>
            </w:r>
            <w:r>
              <w:tab/>
            </w:r>
          </w:p>
        </w:tc>
        <w:tc>
          <w:tcPr>
            <w:tcW w:w="1435" w:type="dxa"/>
          </w:tcPr>
          <w:p>
            <w:pPr>
              <w:pStyle w:val="yTableNAm"/>
            </w:pPr>
            <w:r>
              <w:t>$107.00</w:t>
            </w:r>
          </w:p>
        </w:tc>
      </w:tr>
    </w:tbl>
    <w:p>
      <w:pPr>
        <w:pStyle w:val="yFootnotesection"/>
      </w:pPr>
      <w:r>
        <w:tab/>
        <w:t>[Schedule 5 inserted in Gazette 19 Jun 2013 p. 2400.]</w:t>
      </w:r>
    </w:p>
    <w:p>
      <w:pPr>
        <w:pStyle w:val="yEdnoteschedule"/>
      </w:pPr>
      <w:r>
        <w:t>[Schedule 6 deleted in Gazette 19 Jun 2013 p. 2400.]</w:t>
      </w:r>
    </w:p>
    <w:p>
      <w:pPr>
        <w:sectPr>
          <w:headerReference w:type="even" r:id="rId28"/>
          <w:headerReference w:type="default" r:id="rId29"/>
          <w:headerReference w:type="first" r:id="rId30"/>
          <w:pgSz w:w="11907" w:h="16840" w:code="9"/>
          <w:pgMar w:top="2604" w:right="2405" w:bottom="3542" w:left="2405" w:header="706" w:footer="3380" w:gutter="0"/>
          <w:cols w:space="720"/>
          <w:noEndnote/>
          <w:docGrid w:linePitch="326"/>
        </w:sectPr>
      </w:pPr>
    </w:p>
    <w:p>
      <w:pPr>
        <w:pStyle w:val="yScheduleHeading"/>
      </w:pPr>
      <w:bookmarkStart w:id="76" w:name="_Toc84424803"/>
      <w:r>
        <w:rPr>
          <w:rStyle w:val="CharSchNo"/>
        </w:rPr>
        <w:lastRenderedPageBreak/>
        <w:t>Schedule 7</w:t>
      </w:r>
      <w:r>
        <w:rPr>
          <w:rStyle w:val="CharSDivNo"/>
        </w:rPr>
        <w:t> </w:t>
      </w:r>
      <w:r>
        <w:t>—</w:t>
      </w:r>
      <w:r>
        <w:rPr>
          <w:rStyle w:val="CharSDivText"/>
        </w:rPr>
        <w:t> </w:t>
      </w:r>
      <w:r>
        <w:rPr>
          <w:rStyle w:val="CharSchText"/>
        </w:rPr>
        <w:t>Concessional charges and interest rates</w:t>
      </w:r>
      <w:bookmarkEnd w:id="76"/>
    </w:p>
    <w:p>
      <w:pPr>
        <w:pStyle w:val="yShoulderClause"/>
      </w:pPr>
      <w:r>
        <w:t>[bl. 8, 8A and 9]</w:t>
      </w:r>
    </w:p>
    <w:p>
      <w:pPr>
        <w:pStyle w:val="yFootnoteheading"/>
        <w:spacing w:after="120"/>
      </w:pPr>
      <w:r>
        <w:tab/>
        <w:t>[Heading inserted in Gazette 19 Jun 2013 p. 2400.]</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pPr>
            <w:r>
              <w:rPr>
                <w:b/>
              </w:rPr>
              <w:t>1.</w:t>
            </w:r>
          </w:p>
        </w:tc>
        <w:tc>
          <w:tcPr>
            <w:tcW w:w="4235" w:type="dxa"/>
          </w:tcPr>
          <w:p>
            <w:pPr>
              <w:pStyle w:val="yTableNAm"/>
            </w:pPr>
            <w:r>
              <w:rPr>
                <w:b/>
                <w:bCs/>
              </w:rPr>
              <w:t>Concession (by</w:t>
            </w:r>
            <w:r>
              <w:rPr>
                <w:b/>
                <w:bCs/>
              </w:rPr>
              <w:noBreakHyphen/>
              <w:t>law 8A(2))</w:t>
            </w:r>
          </w:p>
        </w:tc>
        <w:tc>
          <w:tcPr>
            <w:tcW w:w="1435" w:type="dxa"/>
          </w:tcPr>
          <w:p>
            <w:pPr>
              <w:pStyle w:val="yTableNAm"/>
            </w:pPr>
          </w:p>
        </w:tc>
      </w:tr>
      <w:tr>
        <w:trPr>
          <w:cantSplit/>
        </w:trPr>
        <w:tc>
          <w:tcPr>
            <w:tcW w:w="850" w:type="dxa"/>
          </w:tcPr>
          <w:p>
            <w:pPr>
              <w:pStyle w:val="zyTableNAm"/>
              <w:tabs>
                <w:tab w:val="right" w:leader="dot" w:pos="4253"/>
              </w:tabs>
            </w:pPr>
          </w:p>
        </w:tc>
        <w:tc>
          <w:tcPr>
            <w:tcW w:w="4235" w:type="dxa"/>
          </w:tcPr>
          <w:p>
            <w:pPr>
              <w:pStyle w:val="yTableNAm"/>
              <w:tabs>
                <w:tab w:val="clear" w:pos="567"/>
                <w:tab w:val="right" w:leader="dot" w:pos="4003"/>
              </w:tabs>
              <w:rPr>
                <w:rFonts w:ascii="Arial" w:hAnsi="Arial"/>
                <w:b/>
              </w:rPr>
            </w:pPr>
            <w:r>
              <w:t xml:space="preserve">Charge for water supply </w:t>
            </w:r>
            <w:r>
              <w:tab/>
            </w:r>
          </w:p>
        </w:tc>
        <w:tc>
          <w:tcPr>
            <w:tcW w:w="1435" w:type="dxa"/>
          </w:tcPr>
          <w:p>
            <w:pPr>
              <w:pStyle w:val="yTableNAm"/>
            </w:pPr>
            <w:r>
              <w:t>$98.19</w:t>
            </w:r>
          </w:p>
        </w:tc>
      </w:tr>
      <w:tr>
        <w:trPr>
          <w:cantSplit/>
        </w:trPr>
        <w:tc>
          <w:tcPr>
            <w:tcW w:w="850" w:type="dxa"/>
          </w:tcPr>
          <w:p>
            <w:pPr>
              <w:pStyle w:val="zyTableNAm"/>
              <w:tabs>
                <w:tab w:val="right" w:leader="dot" w:pos="4253"/>
              </w:tabs>
            </w:pPr>
          </w:p>
        </w:tc>
        <w:tc>
          <w:tcPr>
            <w:tcW w:w="4235" w:type="dxa"/>
          </w:tcPr>
          <w:p>
            <w:pPr>
              <w:pStyle w:val="yTableNAm"/>
              <w:tabs>
                <w:tab w:val="clear" w:pos="567"/>
                <w:tab w:val="right" w:leader="dot" w:pos="4003"/>
              </w:tabs>
              <w:rPr>
                <w:rFonts w:ascii="Arial" w:hAnsi="Arial"/>
                <w:b/>
              </w:rPr>
            </w:pPr>
            <w:r>
              <w:t xml:space="preserve">Charge for sewerage </w:t>
            </w:r>
            <w:r>
              <w:tab/>
            </w:r>
          </w:p>
        </w:tc>
        <w:tc>
          <w:tcPr>
            <w:tcW w:w="1435" w:type="dxa"/>
          </w:tcPr>
          <w:p>
            <w:pPr>
              <w:pStyle w:val="yTableNAm"/>
            </w:pPr>
            <w:r>
              <w:t>$195.13</w:t>
            </w:r>
          </w:p>
        </w:tc>
      </w:tr>
      <w:tr>
        <w:trPr>
          <w:cantSplit/>
        </w:trPr>
        <w:tc>
          <w:tcPr>
            <w:tcW w:w="850" w:type="dxa"/>
          </w:tcPr>
          <w:p>
            <w:pPr>
              <w:pStyle w:val="zyTableNAm"/>
              <w:tabs>
                <w:tab w:val="right" w:leader="dot" w:pos="4253"/>
              </w:tabs>
            </w:pPr>
          </w:p>
        </w:tc>
        <w:tc>
          <w:tcPr>
            <w:tcW w:w="4235" w:type="dxa"/>
          </w:tcPr>
          <w:p>
            <w:pPr>
              <w:pStyle w:val="yTableNAm"/>
              <w:tabs>
                <w:tab w:val="clear" w:pos="567"/>
                <w:tab w:val="right" w:leader="dot" w:pos="4003"/>
              </w:tabs>
              <w:rPr>
                <w:rFonts w:ascii="Arial" w:hAnsi="Arial"/>
                <w:b/>
              </w:rPr>
            </w:pPr>
            <w:r>
              <w:t xml:space="preserve">Charge for drainage </w:t>
            </w:r>
            <w:r>
              <w:tab/>
            </w:r>
          </w:p>
        </w:tc>
        <w:tc>
          <w:tcPr>
            <w:tcW w:w="1435" w:type="dxa"/>
          </w:tcPr>
          <w:p>
            <w:pPr>
              <w:pStyle w:val="yTableNAm"/>
            </w:pPr>
            <w:r>
              <w:t>$25.51</w:t>
            </w:r>
          </w:p>
        </w:tc>
      </w:tr>
      <w:tr>
        <w:trPr>
          <w:cantSplit/>
        </w:trPr>
        <w:tc>
          <w:tcPr>
            <w:tcW w:w="850" w:type="dxa"/>
          </w:tcPr>
          <w:p>
            <w:pPr>
              <w:pStyle w:val="yTableNAm"/>
            </w:pPr>
            <w:r>
              <w:rPr>
                <w:b/>
              </w:rPr>
              <w:t>2.</w:t>
            </w:r>
          </w:p>
        </w:tc>
        <w:tc>
          <w:tcPr>
            <w:tcW w:w="4235" w:type="dxa"/>
          </w:tcPr>
          <w:p>
            <w:pPr>
              <w:pStyle w:val="yTableNAm"/>
            </w:pPr>
            <w:r>
              <w:rPr>
                <w:b/>
                <w:bCs/>
              </w:rPr>
              <w:t>Interest on overdue amounts (by</w:t>
            </w:r>
            <w:r>
              <w:rPr>
                <w:b/>
                <w:bCs/>
              </w:rPr>
              <w:noBreakHyphen/>
              <w:t>laws 8 and 9)</w:t>
            </w:r>
          </w:p>
        </w:tc>
        <w:tc>
          <w:tcPr>
            <w:tcW w:w="1435" w:type="dxa"/>
          </w:tcPr>
          <w:p>
            <w:pPr>
              <w:pStyle w:val="yTableNAm"/>
            </w:pPr>
          </w:p>
        </w:tc>
      </w:tr>
      <w:tr>
        <w:trPr>
          <w:cantSplit/>
        </w:trPr>
        <w:tc>
          <w:tcPr>
            <w:tcW w:w="850" w:type="dxa"/>
          </w:tcPr>
          <w:p>
            <w:pPr>
              <w:pStyle w:val="zyTableNAm"/>
              <w:tabs>
                <w:tab w:val="right" w:leader="dot" w:pos="4253"/>
              </w:tabs>
            </w:pPr>
          </w:p>
        </w:tc>
        <w:tc>
          <w:tcPr>
            <w:tcW w:w="4235" w:type="dxa"/>
          </w:tcPr>
          <w:p>
            <w:pPr>
              <w:pStyle w:val="yTableNAm"/>
              <w:tabs>
                <w:tab w:val="clear" w:pos="567"/>
                <w:tab w:val="right" w:leader="dot" w:pos="4003"/>
              </w:tabs>
              <w:rPr>
                <w:rFonts w:ascii="Arial" w:hAnsi="Arial"/>
                <w:b/>
              </w:rPr>
            </w:pPr>
            <w:r>
              <w:t>Interest on overdue amounts (by</w:t>
            </w:r>
            <w:r>
              <w:noBreakHyphen/>
              <w:t xml:space="preserve">laws 8 </w:t>
            </w:r>
            <w:r>
              <w:br/>
              <w:t xml:space="preserve">and 9) </w:t>
            </w:r>
            <w:r>
              <w:tab/>
            </w:r>
          </w:p>
        </w:tc>
        <w:tc>
          <w:tcPr>
            <w:tcW w:w="1435" w:type="dxa"/>
          </w:tcPr>
          <w:p>
            <w:pPr>
              <w:pStyle w:val="yTableNAm"/>
            </w:pPr>
            <w:r>
              <w:br/>
              <w:t xml:space="preserve">12.83% </w:t>
            </w:r>
            <w:r>
              <w:br/>
              <w:t>per annum</w:t>
            </w:r>
          </w:p>
        </w:tc>
      </w:tr>
    </w:tbl>
    <w:p>
      <w:pPr>
        <w:pStyle w:val="yFootnotesection"/>
      </w:pPr>
      <w:r>
        <w:tab/>
        <w:t>[Schedule 7 inserted in Gazette 19 Jun 2013 p. 2400-1.]</w:t>
      </w:r>
    </w:p>
    <w:p>
      <w:pPr>
        <w:pStyle w:val="yScheduleHeading"/>
      </w:pPr>
      <w:bookmarkStart w:id="77" w:name="_Toc84424804"/>
      <w:r>
        <w:rPr>
          <w:rStyle w:val="CharSchNo"/>
        </w:rPr>
        <w:lastRenderedPageBreak/>
        <w:t>Schedule 8</w:t>
      </w:r>
      <w:r>
        <w:rPr>
          <w:rStyle w:val="CharSDivNo"/>
        </w:rPr>
        <w:t> </w:t>
      </w:r>
      <w:r>
        <w:t>—</w:t>
      </w:r>
      <w:r>
        <w:rPr>
          <w:rStyle w:val="CharSDivText"/>
        </w:rPr>
        <w:t> </w:t>
      </w:r>
      <w:r>
        <w:rPr>
          <w:rStyle w:val="CharSchText"/>
        </w:rPr>
        <w:t>Water supply charges for Government trading organisations and non</w:t>
      </w:r>
      <w:r>
        <w:rPr>
          <w:rStyle w:val="CharSchText"/>
        </w:rPr>
        <w:noBreakHyphen/>
        <w:t>commercial Government property</w:t>
      </w:r>
      <w:bookmarkEnd w:id="77"/>
    </w:p>
    <w:p>
      <w:pPr>
        <w:pStyle w:val="yShoulderClause"/>
      </w:pPr>
      <w:r>
        <w:t>[bl. 8B]</w:t>
      </w:r>
    </w:p>
    <w:p>
      <w:pPr>
        <w:pStyle w:val="yFootnoteheading"/>
        <w:spacing w:after="120"/>
      </w:pPr>
      <w:r>
        <w:tab/>
        <w:t>[Heading inserted in Gazette 19 Jun 2013 p. 2401.]</w:t>
      </w:r>
    </w:p>
    <w:tbl>
      <w:tblPr>
        <w:tblW w:w="0" w:type="auto"/>
        <w:tblInd w:w="426" w:type="dxa"/>
        <w:tblLayout w:type="fixed"/>
        <w:tblCellMar>
          <w:left w:w="284" w:type="dxa"/>
          <w:right w:w="284" w:type="dxa"/>
        </w:tblCellMar>
        <w:tblLook w:val="0000" w:firstRow="0" w:lastRow="0" w:firstColumn="0" w:lastColumn="0" w:noHBand="0" w:noVBand="0"/>
      </w:tblPr>
      <w:tblGrid>
        <w:gridCol w:w="709"/>
        <w:gridCol w:w="6099"/>
      </w:tblGrid>
      <w:tr>
        <w:trPr>
          <w:cantSplit/>
          <w:tblHeader/>
        </w:trPr>
        <w:tc>
          <w:tcPr>
            <w:tcW w:w="709" w:type="dxa"/>
          </w:tcPr>
          <w:p>
            <w:pPr>
              <w:pStyle w:val="yTableNAm"/>
              <w:ind w:right="-97"/>
              <w:rPr>
                <w:b/>
                <w:szCs w:val="22"/>
              </w:rPr>
            </w:pPr>
            <w:r>
              <w:rPr>
                <w:b/>
                <w:szCs w:val="22"/>
              </w:rPr>
              <w:t>1.</w:t>
            </w:r>
          </w:p>
        </w:tc>
        <w:tc>
          <w:tcPr>
            <w:tcW w:w="6099" w:type="dxa"/>
          </w:tcPr>
          <w:p>
            <w:pPr>
              <w:pStyle w:val="yTableNAm"/>
            </w:pPr>
            <w:r>
              <w:rPr>
                <w:b/>
              </w:rPr>
              <w:t>Annual charge (based on meter size)</w:t>
            </w:r>
          </w:p>
        </w:tc>
      </w:tr>
    </w:tbl>
    <w:p>
      <w:pPr>
        <w:pStyle w:val="yMiscellaneousBody"/>
      </w:pPr>
    </w:p>
    <w:tbl>
      <w:tblPr>
        <w:tblW w:w="0" w:type="auto"/>
        <w:tblInd w:w="426" w:type="dxa"/>
        <w:tblLayout w:type="fixed"/>
        <w:tblCellMar>
          <w:left w:w="284" w:type="dxa"/>
          <w:right w:w="284" w:type="dxa"/>
        </w:tblCellMar>
        <w:tblLook w:val="0000" w:firstRow="0" w:lastRow="0" w:firstColumn="0" w:lastColumn="0" w:noHBand="0" w:noVBand="0"/>
      </w:tblPr>
      <w:tblGrid>
        <w:gridCol w:w="3827"/>
        <w:gridCol w:w="2981"/>
      </w:tblGrid>
      <w:tr>
        <w:trPr>
          <w:cantSplit/>
          <w:tblHeader/>
        </w:trPr>
        <w:tc>
          <w:tcPr>
            <w:tcW w:w="3827" w:type="dxa"/>
            <w:tcBorders>
              <w:top w:val="single" w:sz="4" w:space="0" w:color="auto"/>
              <w:bottom w:val="single" w:sz="4" w:space="0" w:color="auto"/>
            </w:tcBorders>
          </w:tcPr>
          <w:p>
            <w:pPr>
              <w:pStyle w:val="yTableNAm"/>
              <w:jc w:val="center"/>
            </w:pPr>
            <w:r>
              <w:rPr>
                <w:b/>
                <w:bCs/>
              </w:rPr>
              <w:t>Meter size</w:t>
            </w:r>
            <w:r>
              <w:rPr>
                <w:b/>
                <w:bCs/>
              </w:rPr>
              <w:br/>
              <w:t>mm</w:t>
            </w:r>
          </w:p>
        </w:tc>
        <w:tc>
          <w:tcPr>
            <w:tcW w:w="2981" w:type="dxa"/>
            <w:tcBorders>
              <w:top w:val="single" w:sz="4" w:space="0" w:color="auto"/>
              <w:bottom w:val="single" w:sz="4" w:space="0" w:color="auto"/>
            </w:tcBorders>
          </w:tcPr>
          <w:p>
            <w:pPr>
              <w:pStyle w:val="yTableNAm"/>
              <w:jc w:val="center"/>
            </w:pPr>
            <w:r>
              <w:rPr>
                <w:b/>
                <w:bCs/>
              </w:rPr>
              <w:t>Charge</w:t>
            </w:r>
            <w:r>
              <w:rPr>
                <w:b/>
                <w:bCs/>
              </w:rPr>
              <w:br/>
              <w:t>$</w:t>
            </w:r>
          </w:p>
        </w:tc>
      </w:tr>
      <w:tr>
        <w:trPr>
          <w:cantSplit/>
        </w:trPr>
        <w:tc>
          <w:tcPr>
            <w:tcW w:w="3827" w:type="dxa"/>
          </w:tcPr>
          <w:p>
            <w:pPr>
              <w:pStyle w:val="yTableNAm"/>
              <w:jc w:val="center"/>
            </w:pPr>
            <w:r>
              <w:rPr>
                <w:spacing w:val="-2"/>
              </w:rPr>
              <w:t>20 or less</w:t>
            </w:r>
          </w:p>
        </w:tc>
        <w:tc>
          <w:tcPr>
            <w:tcW w:w="2981" w:type="dxa"/>
            <w:vAlign w:val="bottom"/>
          </w:tcPr>
          <w:p>
            <w:pPr>
              <w:pStyle w:val="yTableNAm"/>
              <w:jc w:val="center"/>
              <w:rPr>
                <w:rFonts w:ascii="Arial" w:hAnsi="Arial"/>
                <w:b/>
              </w:rPr>
            </w:pPr>
            <w:r>
              <w:rPr>
                <w:spacing w:val="-2"/>
              </w:rPr>
              <w:t>205.71</w:t>
            </w:r>
          </w:p>
        </w:tc>
      </w:tr>
      <w:tr>
        <w:trPr>
          <w:cantSplit/>
        </w:trPr>
        <w:tc>
          <w:tcPr>
            <w:tcW w:w="3827" w:type="dxa"/>
          </w:tcPr>
          <w:p>
            <w:pPr>
              <w:pStyle w:val="yTableNAm"/>
              <w:jc w:val="center"/>
              <w:rPr>
                <w:rFonts w:ascii="Arial" w:hAnsi="Arial"/>
                <w:b/>
              </w:rPr>
            </w:pPr>
            <w:r>
              <w:rPr>
                <w:spacing w:val="-2"/>
              </w:rPr>
              <w:t>25</w:t>
            </w:r>
          </w:p>
        </w:tc>
        <w:tc>
          <w:tcPr>
            <w:tcW w:w="2981" w:type="dxa"/>
            <w:vAlign w:val="bottom"/>
          </w:tcPr>
          <w:p>
            <w:pPr>
              <w:pStyle w:val="yTableNAm"/>
              <w:jc w:val="center"/>
              <w:rPr>
                <w:rFonts w:ascii="Arial" w:hAnsi="Arial"/>
                <w:b/>
              </w:rPr>
            </w:pPr>
            <w:r>
              <w:rPr>
                <w:spacing w:val="-2"/>
              </w:rPr>
              <w:t>321.42</w:t>
            </w:r>
          </w:p>
        </w:tc>
      </w:tr>
      <w:tr>
        <w:trPr>
          <w:cantSplit/>
        </w:trPr>
        <w:tc>
          <w:tcPr>
            <w:tcW w:w="3827" w:type="dxa"/>
          </w:tcPr>
          <w:p>
            <w:pPr>
              <w:pStyle w:val="yTableNAm"/>
              <w:jc w:val="center"/>
              <w:rPr>
                <w:rFonts w:ascii="Arial" w:hAnsi="Arial"/>
                <w:b/>
              </w:rPr>
            </w:pPr>
            <w:r>
              <w:rPr>
                <w:spacing w:val="-2"/>
              </w:rPr>
              <w:t>30</w:t>
            </w:r>
          </w:p>
        </w:tc>
        <w:tc>
          <w:tcPr>
            <w:tcW w:w="2981" w:type="dxa"/>
            <w:vAlign w:val="bottom"/>
          </w:tcPr>
          <w:p>
            <w:pPr>
              <w:pStyle w:val="yTableNAm"/>
              <w:jc w:val="center"/>
              <w:rPr>
                <w:rFonts w:ascii="Arial" w:hAnsi="Arial"/>
                <w:b/>
              </w:rPr>
            </w:pPr>
            <w:r>
              <w:rPr>
                <w:spacing w:val="-2"/>
              </w:rPr>
              <w:t>462.82</w:t>
            </w:r>
          </w:p>
        </w:tc>
      </w:tr>
      <w:tr>
        <w:trPr>
          <w:cantSplit/>
        </w:trPr>
        <w:tc>
          <w:tcPr>
            <w:tcW w:w="3827" w:type="dxa"/>
          </w:tcPr>
          <w:p>
            <w:pPr>
              <w:pStyle w:val="yTableNAm"/>
              <w:jc w:val="center"/>
              <w:rPr>
                <w:rFonts w:ascii="Arial" w:hAnsi="Arial"/>
                <w:b/>
              </w:rPr>
            </w:pPr>
            <w:r>
              <w:rPr>
                <w:spacing w:val="-2"/>
              </w:rPr>
              <w:t>40</w:t>
            </w:r>
          </w:p>
        </w:tc>
        <w:tc>
          <w:tcPr>
            <w:tcW w:w="2981" w:type="dxa"/>
            <w:vAlign w:val="bottom"/>
          </w:tcPr>
          <w:p>
            <w:pPr>
              <w:pStyle w:val="yTableNAm"/>
              <w:jc w:val="center"/>
              <w:rPr>
                <w:rFonts w:ascii="Arial" w:hAnsi="Arial"/>
                <w:b/>
              </w:rPr>
            </w:pPr>
            <w:r>
              <w:rPr>
                <w:spacing w:val="-2"/>
              </w:rPr>
              <w:t>822.83</w:t>
            </w:r>
          </w:p>
        </w:tc>
      </w:tr>
      <w:tr>
        <w:trPr>
          <w:cantSplit/>
        </w:trPr>
        <w:tc>
          <w:tcPr>
            <w:tcW w:w="3827" w:type="dxa"/>
          </w:tcPr>
          <w:p>
            <w:pPr>
              <w:pStyle w:val="yTableNAm"/>
              <w:jc w:val="center"/>
              <w:rPr>
                <w:rFonts w:ascii="Arial" w:hAnsi="Arial"/>
                <w:b/>
              </w:rPr>
            </w:pPr>
            <w:r>
              <w:rPr>
                <w:spacing w:val="-2"/>
              </w:rPr>
              <w:t>50</w:t>
            </w:r>
          </w:p>
        </w:tc>
        <w:tc>
          <w:tcPr>
            <w:tcW w:w="2981" w:type="dxa"/>
            <w:vAlign w:val="bottom"/>
          </w:tcPr>
          <w:p>
            <w:pPr>
              <w:pStyle w:val="yTableNAm"/>
              <w:jc w:val="center"/>
              <w:rPr>
                <w:rFonts w:ascii="Arial" w:hAnsi="Arial"/>
                <w:b/>
              </w:rPr>
            </w:pPr>
            <w:r>
              <w:rPr>
                <w:spacing w:val="-2"/>
              </w:rPr>
              <w:t>1 285.67</w:t>
            </w:r>
          </w:p>
        </w:tc>
      </w:tr>
      <w:tr>
        <w:trPr>
          <w:cantSplit/>
        </w:trPr>
        <w:tc>
          <w:tcPr>
            <w:tcW w:w="3827" w:type="dxa"/>
          </w:tcPr>
          <w:p>
            <w:pPr>
              <w:pStyle w:val="yTableNAm"/>
              <w:jc w:val="center"/>
              <w:rPr>
                <w:rFonts w:ascii="Arial" w:hAnsi="Arial"/>
                <w:b/>
              </w:rPr>
            </w:pPr>
            <w:r>
              <w:rPr>
                <w:spacing w:val="-2"/>
              </w:rPr>
              <w:t>70, 75, 80</w:t>
            </w:r>
          </w:p>
        </w:tc>
        <w:tc>
          <w:tcPr>
            <w:tcW w:w="2981" w:type="dxa"/>
            <w:vAlign w:val="bottom"/>
          </w:tcPr>
          <w:p>
            <w:pPr>
              <w:pStyle w:val="yTableNAm"/>
              <w:jc w:val="center"/>
              <w:rPr>
                <w:rFonts w:ascii="Arial" w:hAnsi="Arial"/>
                <w:b/>
              </w:rPr>
            </w:pPr>
            <w:r>
              <w:rPr>
                <w:spacing w:val="-2"/>
              </w:rPr>
              <w:t>3 291.31</w:t>
            </w:r>
          </w:p>
        </w:tc>
      </w:tr>
      <w:tr>
        <w:trPr>
          <w:cantSplit/>
        </w:trPr>
        <w:tc>
          <w:tcPr>
            <w:tcW w:w="3827" w:type="dxa"/>
          </w:tcPr>
          <w:p>
            <w:pPr>
              <w:pStyle w:val="yTableNAm"/>
              <w:jc w:val="center"/>
              <w:rPr>
                <w:rFonts w:ascii="Arial" w:hAnsi="Arial"/>
                <w:b/>
              </w:rPr>
            </w:pPr>
            <w:r>
              <w:rPr>
                <w:spacing w:val="-2"/>
              </w:rPr>
              <w:t>100</w:t>
            </w:r>
          </w:p>
        </w:tc>
        <w:tc>
          <w:tcPr>
            <w:tcW w:w="2981" w:type="dxa"/>
            <w:vAlign w:val="bottom"/>
          </w:tcPr>
          <w:p>
            <w:pPr>
              <w:pStyle w:val="yTableNAm"/>
              <w:jc w:val="center"/>
              <w:rPr>
                <w:rFonts w:ascii="Arial" w:hAnsi="Arial"/>
                <w:b/>
              </w:rPr>
            </w:pPr>
            <w:r>
              <w:rPr>
                <w:spacing w:val="-2"/>
              </w:rPr>
              <w:t>5 142.67</w:t>
            </w:r>
          </w:p>
        </w:tc>
      </w:tr>
      <w:tr>
        <w:trPr>
          <w:cantSplit/>
        </w:trPr>
        <w:tc>
          <w:tcPr>
            <w:tcW w:w="3827" w:type="dxa"/>
          </w:tcPr>
          <w:p>
            <w:pPr>
              <w:pStyle w:val="yTableNAm"/>
              <w:jc w:val="center"/>
              <w:rPr>
                <w:rFonts w:ascii="Arial" w:hAnsi="Arial"/>
                <w:b/>
              </w:rPr>
            </w:pPr>
            <w:r>
              <w:rPr>
                <w:spacing w:val="-2"/>
              </w:rPr>
              <w:t>140, 150</w:t>
            </w:r>
          </w:p>
        </w:tc>
        <w:tc>
          <w:tcPr>
            <w:tcW w:w="2981" w:type="dxa"/>
            <w:vAlign w:val="bottom"/>
          </w:tcPr>
          <w:p>
            <w:pPr>
              <w:pStyle w:val="yTableNAm"/>
              <w:jc w:val="center"/>
              <w:rPr>
                <w:rFonts w:ascii="Arial" w:hAnsi="Arial"/>
                <w:b/>
              </w:rPr>
            </w:pPr>
            <w:r>
              <w:rPr>
                <w:spacing w:val="-2"/>
              </w:rPr>
              <w:t>11 571.02</w:t>
            </w:r>
          </w:p>
        </w:tc>
      </w:tr>
      <w:tr>
        <w:trPr>
          <w:cantSplit/>
        </w:trPr>
        <w:tc>
          <w:tcPr>
            <w:tcW w:w="3827" w:type="dxa"/>
          </w:tcPr>
          <w:p>
            <w:pPr>
              <w:pStyle w:val="yTableNAm"/>
              <w:jc w:val="center"/>
              <w:rPr>
                <w:rFonts w:ascii="Arial" w:hAnsi="Arial"/>
                <w:b/>
              </w:rPr>
            </w:pPr>
            <w:r>
              <w:rPr>
                <w:spacing w:val="-2"/>
              </w:rPr>
              <w:t>200</w:t>
            </w:r>
          </w:p>
        </w:tc>
        <w:tc>
          <w:tcPr>
            <w:tcW w:w="2981" w:type="dxa"/>
            <w:vAlign w:val="bottom"/>
          </w:tcPr>
          <w:p>
            <w:pPr>
              <w:pStyle w:val="yTableNAm"/>
              <w:jc w:val="center"/>
              <w:rPr>
                <w:rFonts w:ascii="Arial" w:hAnsi="Arial"/>
                <w:b/>
              </w:rPr>
            </w:pPr>
            <w:r>
              <w:rPr>
                <w:spacing w:val="-2"/>
              </w:rPr>
              <w:t>20 570.70</w:t>
            </w:r>
          </w:p>
        </w:tc>
      </w:tr>
      <w:tr>
        <w:trPr>
          <w:cantSplit/>
        </w:trPr>
        <w:tc>
          <w:tcPr>
            <w:tcW w:w="3827" w:type="dxa"/>
          </w:tcPr>
          <w:p>
            <w:pPr>
              <w:pStyle w:val="yTableNAm"/>
              <w:jc w:val="center"/>
              <w:rPr>
                <w:rFonts w:ascii="Arial" w:hAnsi="Arial"/>
                <w:b/>
              </w:rPr>
            </w:pPr>
            <w:r>
              <w:rPr>
                <w:spacing w:val="-2"/>
              </w:rPr>
              <w:t>250</w:t>
            </w:r>
          </w:p>
        </w:tc>
        <w:tc>
          <w:tcPr>
            <w:tcW w:w="2981" w:type="dxa"/>
            <w:vAlign w:val="bottom"/>
          </w:tcPr>
          <w:p>
            <w:pPr>
              <w:pStyle w:val="yTableNAm"/>
              <w:jc w:val="center"/>
              <w:rPr>
                <w:rFonts w:ascii="Arial" w:hAnsi="Arial"/>
                <w:b/>
              </w:rPr>
            </w:pPr>
            <w:r>
              <w:rPr>
                <w:spacing w:val="-2"/>
              </w:rPr>
              <w:t>32 141.69</w:t>
            </w:r>
          </w:p>
        </w:tc>
      </w:tr>
      <w:tr>
        <w:trPr>
          <w:cantSplit/>
        </w:trPr>
        <w:tc>
          <w:tcPr>
            <w:tcW w:w="3827" w:type="dxa"/>
          </w:tcPr>
          <w:p>
            <w:pPr>
              <w:pStyle w:val="yTableNAm"/>
              <w:jc w:val="center"/>
              <w:rPr>
                <w:rFonts w:ascii="Arial" w:hAnsi="Arial"/>
                <w:b/>
              </w:rPr>
            </w:pPr>
            <w:r>
              <w:rPr>
                <w:spacing w:val="-2"/>
              </w:rPr>
              <w:t>300</w:t>
            </w:r>
          </w:p>
        </w:tc>
        <w:tc>
          <w:tcPr>
            <w:tcW w:w="2981" w:type="dxa"/>
            <w:vAlign w:val="bottom"/>
          </w:tcPr>
          <w:p>
            <w:pPr>
              <w:pStyle w:val="yTableNAm"/>
              <w:jc w:val="center"/>
              <w:rPr>
                <w:rFonts w:ascii="Arial" w:hAnsi="Arial"/>
                <w:b/>
              </w:rPr>
            </w:pPr>
            <w:r>
              <w:rPr>
                <w:spacing w:val="-2"/>
              </w:rPr>
              <w:t>46 284.07</w:t>
            </w:r>
          </w:p>
        </w:tc>
      </w:tr>
      <w:tr>
        <w:trPr>
          <w:cantSplit/>
        </w:trPr>
        <w:tc>
          <w:tcPr>
            <w:tcW w:w="3827" w:type="dxa"/>
          </w:tcPr>
          <w:p>
            <w:pPr>
              <w:pStyle w:val="yTableNAm"/>
              <w:jc w:val="center"/>
              <w:rPr>
                <w:rFonts w:ascii="Arial" w:hAnsi="Arial"/>
                <w:b/>
              </w:rPr>
            </w:pPr>
            <w:r>
              <w:rPr>
                <w:spacing w:val="-2"/>
              </w:rPr>
              <w:t>350</w:t>
            </w:r>
          </w:p>
        </w:tc>
        <w:tc>
          <w:tcPr>
            <w:tcW w:w="2981" w:type="dxa"/>
            <w:vAlign w:val="bottom"/>
          </w:tcPr>
          <w:p>
            <w:pPr>
              <w:pStyle w:val="yTableNAm"/>
              <w:jc w:val="center"/>
              <w:rPr>
                <w:rFonts w:ascii="Arial" w:hAnsi="Arial"/>
                <w:b/>
              </w:rPr>
            </w:pPr>
            <w:r>
              <w:rPr>
                <w:spacing w:val="-2"/>
              </w:rPr>
              <w:t>62 997.77</w:t>
            </w:r>
          </w:p>
        </w:tc>
      </w:tr>
      <w:tr>
        <w:tblPrEx>
          <w:tblCellMar>
            <w:left w:w="142" w:type="dxa"/>
            <w:right w:w="142" w:type="dxa"/>
          </w:tblCellMar>
        </w:tblPrEx>
        <w:trPr>
          <w:cantSplit/>
        </w:trPr>
        <w:tc>
          <w:tcPr>
            <w:tcW w:w="3827" w:type="dxa"/>
            <w:tcBorders>
              <w:bottom w:val="single" w:sz="4" w:space="0" w:color="auto"/>
            </w:tcBorders>
          </w:tcPr>
          <w:p>
            <w:pPr>
              <w:pStyle w:val="yTableNAm"/>
              <w:rPr>
                <w:rFonts w:ascii="Arial" w:hAnsi="Arial"/>
                <w:b/>
              </w:rPr>
            </w:pPr>
            <w:r>
              <w:t>subject to a minimum charge, where property is served but not metered by the Corporation, of</w:t>
            </w:r>
          </w:p>
        </w:tc>
        <w:tc>
          <w:tcPr>
            <w:tcW w:w="2981" w:type="dxa"/>
            <w:tcBorders>
              <w:bottom w:val="single" w:sz="4" w:space="0" w:color="auto"/>
            </w:tcBorders>
            <w:vAlign w:val="bottom"/>
          </w:tcPr>
          <w:p>
            <w:pPr>
              <w:pStyle w:val="yTableNAm"/>
              <w:jc w:val="center"/>
              <w:rPr>
                <w:rFonts w:ascii="Arial" w:hAnsi="Arial"/>
                <w:b/>
              </w:rPr>
            </w:pPr>
            <w:r>
              <w:rPr>
                <w:spacing w:val="-2"/>
              </w:rPr>
              <w:t>205.71</w:t>
            </w:r>
          </w:p>
        </w:tc>
      </w:tr>
    </w:tbl>
    <w:p>
      <w:pPr>
        <w:pStyle w:val="yMiscellaneousBody"/>
      </w:pPr>
    </w:p>
    <w:tbl>
      <w:tblPr>
        <w:tblW w:w="0" w:type="auto"/>
        <w:tblInd w:w="250" w:type="dxa"/>
        <w:tblLayout w:type="fixed"/>
        <w:tblLook w:val="0000" w:firstRow="0" w:lastRow="0" w:firstColumn="0" w:lastColumn="0" w:noHBand="0" w:noVBand="0"/>
      </w:tblPr>
      <w:tblGrid>
        <w:gridCol w:w="709"/>
        <w:gridCol w:w="4682"/>
        <w:gridCol w:w="1413"/>
      </w:tblGrid>
      <w:tr>
        <w:trPr>
          <w:cantSplit/>
        </w:trPr>
        <w:tc>
          <w:tcPr>
            <w:tcW w:w="709" w:type="dxa"/>
          </w:tcPr>
          <w:p>
            <w:pPr>
              <w:pStyle w:val="yTableNAm"/>
              <w:ind w:right="-97"/>
            </w:pPr>
            <w:r>
              <w:rPr>
                <w:b/>
                <w:szCs w:val="22"/>
              </w:rPr>
              <w:t>2.</w:t>
            </w:r>
          </w:p>
        </w:tc>
        <w:tc>
          <w:tcPr>
            <w:tcW w:w="6095" w:type="dxa"/>
            <w:gridSpan w:val="2"/>
          </w:tcPr>
          <w:p>
            <w:pPr>
              <w:pStyle w:val="yTableNAm"/>
              <w:ind w:right="-97"/>
              <w:rPr>
                <w:b/>
                <w:szCs w:val="22"/>
              </w:rPr>
            </w:pPr>
            <w:r>
              <w:rPr>
                <w:b/>
                <w:szCs w:val="22"/>
              </w:rPr>
              <w:t>Volume charge (c/kL)</w:t>
            </w:r>
          </w:p>
        </w:tc>
      </w:tr>
      <w:tr>
        <w:tc>
          <w:tcPr>
            <w:tcW w:w="709" w:type="dxa"/>
          </w:tcPr>
          <w:p>
            <w:pPr>
              <w:pStyle w:val="zyTableNAm"/>
              <w:tabs>
                <w:tab w:val="clear" w:pos="567"/>
                <w:tab w:val="left" w:pos="601"/>
                <w:tab w:val="right" w:leader="dot" w:pos="4253"/>
              </w:tabs>
              <w:ind w:left="601" w:hanging="601"/>
              <w:rPr>
                <w:szCs w:val="22"/>
              </w:rPr>
            </w:pPr>
          </w:p>
        </w:tc>
        <w:tc>
          <w:tcPr>
            <w:tcW w:w="4682" w:type="dxa"/>
          </w:tcPr>
          <w:p>
            <w:pPr>
              <w:pStyle w:val="yTableNAm"/>
              <w:tabs>
                <w:tab w:val="right" w:leader="dot" w:pos="4428"/>
              </w:tabs>
              <w:ind w:left="601" w:hanging="601"/>
              <w:rPr>
                <w:rFonts w:ascii="Arial" w:hAnsi="Arial"/>
                <w:b/>
              </w:rPr>
            </w:pPr>
            <w:r>
              <w:rPr>
                <w:szCs w:val="22"/>
              </w:rPr>
              <w:t>(1)</w:t>
            </w:r>
            <w:r>
              <w:rPr>
                <w:szCs w:val="22"/>
              </w:rPr>
              <w:tab/>
              <w:t xml:space="preserve">Metropolitan </w:t>
            </w:r>
            <w:r>
              <w:rPr>
                <w:szCs w:val="22"/>
              </w:rPr>
              <w:tab/>
            </w:r>
          </w:p>
        </w:tc>
        <w:tc>
          <w:tcPr>
            <w:tcW w:w="1413" w:type="dxa"/>
          </w:tcPr>
          <w:p>
            <w:pPr>
              <w:pStyle w:val="yTableNAm"/>
            </w:pPr>
            <w:r>
              <w:rPr>
                <w:szCs w:val="22"/>
              </w:rPr>
              <w:t>204.3 cents</w:t>
            </w:r>
          </w:p>
        </w:tc>
      </w:tr>
      <w:tr>
        <w:tc>
          <w:tcPr>
            <w:tcW w:w="709" w:type="dxa"/>
          </w:tcPr>
          <w:p>
            <w:pPr>
              <w:pStyle w:val="zyTableNAm"/>
              <w:keepNext/>
              <w:tabs>
                <w:tab w:val="clear" w:pos="567"/>
                <w:tab w:val="left" w:pos="601"/>
                <w:tab w:val="right" w:leader="dot" w:pos="4253"/>
              </w:tabs>
              <w:ind w:left="601" w:hanging="601"/>
              <w:rPr>
                <w:szCs w:val="22"/>
              </w:rPr>
            </w:pPr>
          </w:p>
        </w:tc>
        <w:tc>
          <w:tcPr>
            <w:tcW w:w="4682" w:type="dxa"/>
          </w:tcPr>
          <w:p>
            <w:pPr>
              <w:pStyle w:val="yTableNAm"/>
              <w:tabs>
                <w:tab w:val="right" w:leader="dot" w:pos="4428"/>
              </w:tabs>
              <w:ind w:left="601" w:hanging="601"/>
              <w:rPr>
                <w:rFonts w:ascii="Arial" w:hAnsi="Arial"/>
                <w:b/>
              </w:rPr>
            </w:pPr>
            <w:r>
              <w:rPr>
                <w:szCs w:val="22"/>
              </w:rPr>
              <w:t>(2)</w:t>
            </w:r>
            <w:r>
              <w:rPr>
                <w:szCs w:val="22"/>
              </w:rPr>
              <w:tab/>
              <w:t>Country (according to the non</w:t>
            </w:r>
            <w:r>
              <w:rPr>
                <w:szCs w:val="22"/>
              </w:rPr>
              <w:noBreakHyphen/>
              <w:t>residential classification of the town/area in which that property is situated, as set out in Schedule 10) —</w:t>
            </w:r>
          </w:p>
        </w:tc>
        <w:tc>
          <w:tcPr>
            <w:tcW w:w="1413" w:type="dxa"/>
          </w:tcPr>
          <w:p>
            <w:pPr>
              <w:pStyle w:val="yTableNAm"/>
            </w:pPr>
          </w:p>
        </w:tc>
      </w:tr>
    </w:tbl>
    <w:p>
      <w:pPr>
        <w:rPr>
          <w:sz w:val="16"/>
          <w:szCs w:val="16"/>
        </w:rPr>
      </w:pPr>
    </w:p>
    <w:tbl>
      <w:tblPr>
        <w:tblW w:w="0" w:type="auto"/>
        <w:tblInd w:w="170" w:type="dxa"/>
        <w:tblLayout w:type="fixed"/>
        <w:tblCellMar>
          <w:left w:w="28" w:type="dxa"/>
          <w:right w:w="28" w:type="dxa"/>
        </w:tblCellMar>
        <w:tblLook w:val="0000" w:firstRow="0" w:lastRow="0" w:firstColumn="0" w:lastColumn="0" w:noHBand="0" w:noVBand="0"/>
      </w:tblPr>
      <w:tblGrid>
        <w:gridCol w:w="2138"/>
        <w:gridCol w:w="4525"/>
      </w:tblGrid>
      <w:tr>
        <w:trPr>
          <w:cantSplit/>
          <w:trHeight w:val="217"/>
          <w:tblHeader/>
        </w:trPr>
        <w:tc>
          <w:tcPr>
            <w:tcW w:w="2138" w:type="dxa"/>
            <w:tcBorders>
              <w:top w:val="single" w:sz="4" w:space="0" w:color="auto"/>
              <w:bottom w:val="single" w:sz="4" w:space="0" w:color="auto"/>
            </w:tcBorders>
          </w:tcPr>
          <w:p>
            <w:pPr>
              <w:pStyle w:val="yTableNAm"/>
            </w:pPr>
            <w:r>
              <w:rPr>
                <w:b/>
                <w:bCs/>
              </w:rPr>
              <w:t>Class</w:t>
            </w:r>
          </w:p>
        </w:tc>
        <w:tc>
          <w:tcPr>
            <w:tcW w:w="4525" w:type="dxa"/>
            <w:tcBorders>
              <w:top w:val="single" w:sz="4" w:space="0" w:color="auto"/>
              <w:bottom w:val="single" w:sz="4" w:space="0" w:color="auto"/>
            </w:tcBorders>
          </w:tcPr>
          <w:p>
            <w:pPr>
              <w:pStyle w:val="yTableNAm"/>
              <w:jc w:val="center"/>
            </w:pPr>
            <w:r>
              <w:rPr>
                <w:b/>
                <w:bCs/>
              </w:rPr>
              <w:t>Charge (c/kL)</w:t>
            </w:r>
          </w:p>
        </w:tc>
      </w:tr>
      <w:tr>
        <w:tc>
          <w:tcPr>
            <w:tcW w:w="2138" w:type="dxa"/>
            <w:tcBorders>
              <w:top w:val="single" w:sz="4" w:space="0" w:color="auto"/>
            </w:tcBorders>
          </w:tcPr>
          <w:p>
            <w:pPr>
              <w:pStyle w:val="yTableNAm"/>
            </w:pPr>
            <w:r>
              <w:rPr>
                <w:bCs/>
              </w:rPr>
              <w:t xml:space="preserve">Class 1 </w:t>
            </w:r>
          </w:p>
        </w:tc>
        <w:tc>
          <w:tcPr>
            <w:tcW w:w="4525" w:type="dxa"/>
            <w:tcBorders>
              <w:top w:val="single" w:sz="4" w:space="0" w:color="auto"/>
            </w:tcBorders>
            <w:vAlign w:val="bottom"/>
          </w:tcPr>
          <w:p>
            <w:pPr>
              <w:pStyle w:val="yTableNAm"/>
              <w:jc w:val="center"/>
              <w:rPr>
                <w:rFonts w:ascii="Arial" w:hAnsi="Arial"/>
                <w:b/>
              </w:rPr>
            </w:pPr>
            <w:r>
              <w:t>196.5</w:t>
            </w:r>
          </w:p>
        </w:tc>
      </w:tr>
      <w:tr>
        <w:tc>
          <w:tcPr>
            <w:tcW w:w="2138" w:type="dxa"/>
          </w:tcPr>
          <w:p>
            <w:pPr>
              <w:pStyle w:val="yTableNAm"/>
            </w:pPr>
            <w:r>
              <w:rPr>
                <w:bCs/>
              </w:rPr>
              <w:t xml:space="preserve">Class 2 </w:t>
            </w:r>
          </w:p>
        </w:tc>
        <w:tc>
          <w:tcPr>
            <w:tcW w:w="4525" w:type="dxa"/>
            <w:vAlign w:val="bottom"/>
          </w:tcPr>
          <w:p>
            <w:pPr>
              <w:pStyle w:val="yTableNAm"/>
              <w:jc w:val="center"/>
              <w:rPr>
                <w:rFonts w:ascii="Arial" w:hAnsi="Arial"/>
                <w:b/>
              </w:rPr>
            </w:pPr>
            <w:r>
              <w:t>214.0</w:t>
            </w:r>
          </w:p>
        </w:tc>
      </w:tr>
      <w:tr>
        <w:tc>
          <w:tcPr>
            <w:tcW w:w="2138" w:type="dxa"/>
          </w:tcPr>
          <w:p>
            <w:pPr>
              <w:pStyle w:val="yTableNAm"/>
            </w:pPr>
            <w:r>
              <w:rPr>
                <w:bCs/>
              </w:rPr>
              <w:t xml:space="preserve">Class 3 </w:t>
            </w:r>
          </w:p>
        </w:tc>
        <w:tc>
          <w:tcPr>
            <w:tcW w:w="4525" w:type="dxa"/>
            <w:vAlign w:val="bottom"/>
          </w:tcPr>
          <w:p>
            <w:pPr>
              <w:pStyle w:val="yTableNAm"/>
              <w:jc w:val="center"/>
              <w:rPr>
                <w:rFonts w:ascii="Arial" w:hAnsi="Arial"/>
                <w:b/>
              </w:rPr>
            </w:pPr>
            <w:r>
              <w:t>232.8</w:t>
            </w:r>
          </w:p>
        </w:tc>
      </w:tr>
      <w:tr>
        <w:tc>
          <w:tcPr>
            <w:tcW w:w="2138" w:type="dxa"/>
          </w:tcPr>
          <w:p>
            <w:pPr>
              <w:pStyle w:val="yTableNAm"/>
            </w:pPr>
            <w:r>
              <w:rPr>
                <w:bCs/>
              </w:rPr>
              <w:t xml:space="preserve">Class 4 </w:t>
            </w:r>
          </w:p>
        </w:tc>
        <w:tc>
          <w:tcPr>
            <w:tcW w:w="4525" w:type="dxa"/>
            <w:vAlign w:val="bottom"/>
          </w:tcPr>
          <w:p>
            <w:pPr>
              <w:pStyle w:val="yTableNAm"/>
              <w:jc w:val="center"/>
              <w:rPr>
                <w:rFonts w:ascii="Arial" w:hAnsi="Arial"/>
                <w:b/>
              </w:rPr>
            </w:pPr>
            <w:r>
              <w:t>253.6</w:t>
            </w:r>
          </w:p>
        </w:tc>
      </w:tr>
      <w:tr>
        <w:tc>
          <w:tcPr>
            <w:tcW w:w="2138" w:type="dxa"/>
          </w:tcPr>
          <w:p>
            <w:pPr>
              <w:pStyle w:val="yTableNAm"/>
            </w:pPr>
            <w:r>
              <w:rPr>
                <w:bCs/>
              </w:rPr>
              <w:t xml:space="preserve">Class 5 </w:t>
            </w:r>
          </w:p>
        </w:tc>
        <w:tc>
          <w:tcPr>
            <w:tcW w:w="4525" w:type="dxa"/>
            <w:vAlign w:val="bottom"/>
          </w:tcPr>
          <w:p>
            <w:pPr>
              <w:pStyle w:val="yTableNAm"/>
              <w:jc w:val="center"/>
              <w:rPr>
                <w:rFonts w:ascii="Arial" w:hAnsi="Arial"/>
                <w:b/>
              </w:rPr>
            </w:pPr>
            <w:r>
              <w:t>276.1</w:t>
            </w:r>
          </w:p>
        </w:tc>
      </w:tr>
      <w:tr>
        <w:tc>
          <w:tcPr>
            <w:tcW w:w="2138" w:type="dxa"/>
          </w:tcPr>
          <w:p>
            <w:pPr>
              <w:pStyle w:val="yTableNAm"/>
            </w:pPr>
            <w:r>
              <w:rPr>
                <w:bCs/>
              </w:rPr>
              <w:t xml:space="preserve">Class 6 </w:t>
            </w:r>
          </w:p>
        </w:tc>
        <w:tc>
          <w:tcPr>
            <w:tcW w:w="4525" w:type="dxa"/>
            <w:vAlign w:val="bottom"/>
          </w:tcPr>
          <w:p>
            <w:pPr>
              <w:pStyle w:val="yTableNAm"/>
              <w:jc w:val="center"/>
              <w:rPr>
                <w:rFonts w:ascii="Arial" w:hAnsi="Arial"/>
                <w:b/>
              </w:rPr>
            </w:pPr>
            <w:r>
              <w:t>300.7</w:t>
            </w:r>
          </w:p>
        </w:tc>
      </w:tr>
      <w:tr>
        <w:tc>
          <w:tcPr>
            <w:tcW w:w="2138" w:type="dxa"/>
          </w:tcPr>
          <w:p>
            <w:pPr>
              <w:pStyle w:val="yTableNAm"/>
            </w:pPr>
            <w:r>
              <w:rPr>
                <w:bCs/>
              </w:rPr>
              <w:t xml:space="preserve">Class 7 </w:t>
            </w:r>
          </w:p>
        </w:tc>
        <w:tc>
          <w:tcPr>
            <w:tcW w:w="4525" w:type="dxa"/>
            <w:vAlign w:val="bottom"/>
          </w:tcPr>
          <w:p>
            <w:pPr>
              <w:pStyle w:val="yTableNAm"/>
              <w:jc w:val="center"/>
              <w:rPr>
                <w:rFonts w:ascii="Arial" w:hAnsi="Arial"/>
                <w:b/>
              </w:rPr>
            </w:pPr>
            <w:r>
              <w:t>327.5</w:t>
            </w:r>
          </w:p>
        </w:tc>
      </w:tr>
      <w:tr>
        <w:tc>
          <w:tcPr>
            <w:tcW w:w="2138" w:type="dxa"/>
          </w:tcPr>
          <w:p>
            <w:pPr>
              <w:pStyle w:val="yTableNAm"/>
            </w:pPr>
            <w:r>
              <w:rPr>
                <w:bCs/>
              </w:rPr>
              <w:t xml:space="preserve">Class 8 </w:t>
            </w:r>
          </w:p>
        </w:tc>
        <w:tc>
          <w:tcPr>
            <w:tcW w:w="4525" w:type="dxa"/>
            <w:vAlign w:val="bottom"/>
          </w:tcPr>
          <w:p>
            <w:pPr>
              <w:pStyle w:val="yTableNAm"/>
              <w:jc w:val="center"/>
              <w:rPr>
                <w:rFonts w:ascii="Arial" w:hAnsi="Arial"/>
                <w:b/>
              </w:rPr>
            </w:pPr>
            <w:r>
              <w:t>356.6</w:t>
            </w:r>
          </w:p>
        </w:tc>
      </w:tr>
      <w:tr>
        <w:tc>
          <w:tcPr>
            <w:tcW w:w="2138" w:type="dxa"/>
          </w:tcPr>
          <w:p>
            <w:pPr>
              <w:pStyle w:val="yTableNAm"/>
            </w:pPr>
            <w:r>
              <w:rPr>
                <w:bCs/>
              </w:rPr>
              <w:t xml:space="preserve">Class 9 </w:t>
            </w:r>
          </w:p>
        </w:tc>
        <w:tc>
          <w:tcPr>
            <w:tcW w:w="4525" w:type="dxa"/>
            <w:vAlign w:val="bottom"/>
          </w:tcPr>
          <w:p>
            <w:pPr>
              <w:pStyle w:val="yTableNAm"/>
              <w:jc w:val="center"/>
              <w:rPr>
                <w:rFonts w:ascii="Arial" w:hAnsi="Arial"/>
                <w:b/>
              </w:rPr>
            </w:pPr>
            <w:r>
              <w:t>388.3</w:t>
            </w:r>
          </w:p>
        </w:tc>
      </w:tr>
      <w:tr>
        <w:tc>
          <w:tcPr>
            <w:tcW w:w="2138" w:type="dxa"/>
          </w:tcPr>
          <w:p>
            <w:pPr>
              <w:pStyle w:val="yTableNAm"/>
            </w:pPr>
            <w:r>
              <w:rPr>
                <w:bCs/>
              </w:rPr>
              <w:t xml:space="preserve">Class 10 </w:t>
            </w:r>
          </w:p>
        </w:tc>
        <w:tc>
          <w:tcPr>
            <w:tcW w:w="4525" w:type="dxa"/>
            <w:vAlign w:val="bottom"/>
          </w:tcPr>
          <w:p>
            <w:pPr>
              <w:pStyle w:val="yTableNAm"/>
              <w:jc w:val="center"/>
              <w:rPr>
                <w:rFonts w:ascii="Arial" w:hAnsi="Arial"/>
                <w:b/>
              </w:rPr>
            </w:pPr>
            <w:r>
              <w:t>422.9</w:t>
            </w:r>
          </w:p>
        </w:tc>
      </w:tr>
      <w:tr>
        <w:tc>
          <w:tcPr>
            <w:tcW w:w="2138" w:type="dxa"/>
          </w:tcPr>
          <w:p>
            <w:pPr>
              <w:pStyle w:val="yTableNAm"/>
            </w:pPr>
            <w:r>
              <w:rPr>
                <w:bCs/>
              </w:rPr>
              <w:t xml:space="preserve">Class 11 </w:t>
            </w:r>
          </w:p>
        </w:tc>
        <w:tc>
          <w:tcPr>
            <w:tcW w:w="4525" w:type="dxa"/>
            <w:vAlign w:val="bottom"/>
          </w:tcPr>
          <w:p>
            <w:pPr>
              <w:pStyle w:val="yTableNAm"/>
              <w:jc w:val="center"/>
              <w:rPr>
                <w:rFonts w:ascii="Arial" w:hAnsi="Arial"/>
                <w:b/>
              </w:rPr>
            </w:pPr>
            <w:r>
              <w:t>460.4</w:t>
            </w:r>
          </w:p>
        </w:tc>
      </w:tr>
      <w:tr>
        <w:tc>
          <w:tcPr>
            <w:tcW w:w="2138" w:type="dxa"/>
          </w:tcPr>
          <w:p>
            <w:pPr>
              <w:pStyle w:val="yTableNAm"/>
            </w:pPr>
            <w:r>
              <w:rPr>
                <w:bCs/>
              </w:rPr>
              <w:t xml:space="preserve">Class 12 </w:t>
            </w:r>
          </w:p>
        </w:tc>
        <w:tc>
          <w:tcPr>
            <w:tcW w:w="4525" w:type="dxa"/>
            <w:vAlign w:val="bottom"/>
          </w:tcPr>
          <w:p>
            <w:pPr>
              <w:pStyle w:val="yTableNAm"/>
              <w:jc w:val="center"/>
              <w:rPr>
                <w:rFonts w:ascii="Arial" w:hAnsi="Arial"/>
                <w:b/>
              </w:rPr>
            </w:pPr>
            <w:r>
              <w:t>501.4</w:t>
            </w:r>
          </w:p>
        </w:tc>
      </w:tr>
      <w:tr>
        <w:tc>
          <w:tcPr>
            <w:tcW w:w="2138" w:type="dxa"/>
          </w:tcPr>
          <w:p>
            <w:pPr>
              <w:pStyle w:val="yTableNAm"/>
            </w:pPr>
            <w:r>
              <w:rPr>
                <w:bCs/>
              </w:rPr>
              <w:t xml:space="preserve">Class 13 </w:t>
            </w:r>
          </w:p>
        </w:tc>
        <w:tc>
          <w:tcPr>
            <w:tcW w:w="4525" w:type="dxa"/>
            <w:vAlign w:val="bottom"/>
          </w:tcPr>
          <w:p>
            <w:pPr>
              <w:pStyle w:val="yTableNAm"/>
              <w:jc w:val="center"/>
              <w:rPr>
                <w:rFonts w:ascii="Arial" w:hAnsi="Arial"/>
                <w:b/>
              </w:rPr>
            </w:pPr>
            <w:r>
              <w:t>546.0</w:t>
            </w:r>
          </w:p>
        </w:tc>
      </w:tr>
      <w:tr>
        <w:tc>
          <w:tcPr>
            <w:tcW w:w="2138" w:type="dxa"/>
          </w:tcPr>
          <w:p>
            <w:pPr>
              <w:pStyle w:val="yTableNAm"/>
            </w:pPr>
            <w:r>
              <w:rPr>
                <w:bCs/>
              </w:rPr>
              <w:t xml:space="preserve">Class 14 </w:t>
            </w:r>
          </w:p>
        </w:tc>
        <w:tc>
          <w:tcPr>
            <w:tcW w:w="4525" w:type="dxa"/>
            <w:vAlign w:val="bottom"/>
          </w:tcPr>
          <w:p>
            <w:pPr>
              <w:pStyle w:val="yTableNAm"/>
              <w:jc w:val="center"/>
              <w:rPr>
                <w:rFonts w:ascii="Arial" w:hAnsi="Arial"/>
                <w:b/>
              </w:rPr>
            </w:pPr>
            <w:r>
              <w:t>594.6</w:t>
            </w:r>
          </w:p>
        </w:tc>
      </w:tr>
      <w:tr>
        <w:tc>
          <w:tcPr>
            <w:tcW w:w="2138" w:type="dxa"/>
            <w:tcBorders>
              <w:bottom w:val="single" w:sz="4" w:space="0" w:color="auto"/>
            </w:tcBorders>
          </w:tcPr>
          <w:p>
            <w:pPr>
              <w:pStyle w:val="yTableNAm"/>
            </w:pPr>
            <w:r>
              <w:rPr>
                <w:bCs/>
              </w:rPr>
              <w:t xml:space="preserve">Class 15 </w:t>
            </w:r>
          </w:p>
        </w:tc>
        <w:tc>
          <w:tcPr>
            <w:tcW w:w="4525" w:type="dxa"/>
            <w:tcBorders>
              <w:bottom w:val="single" w:sz="4" w:space="0" w:color="auto"/>
            </w:tcBorders>
            <w:vAlign w:val="bottom"/>
          </w:tcPr>
          <w:p>
            <w:pPr>
              <w:pStyle w:val="yTableNAm"/>
              <w:jc w:val="center"/>
              <w:rPr>
                <w:rFonts w:ascii="Arial" w:hAnsi="Arial"/>
                <w:b/>
              </w:rPr>
            </w:pPr>
            <w:r>
              <w:t>647.4</w:t>
            </w:r>
          </w:p>
        </w:tc>
      </w:tr>
    </w:tbl>
    <w:p>
      <w:pPr>
        <w:pStyle w:val="yFootnotesection"/>
      </w:pPr>
      <w:r>
        <w:tab/>
        <w:t>[Schedule 8 inserted in Gazette 19 Jun 2013 p. 2401-2.]</w:t>
      </w:r>
    </w:p>
    <w:p>
      <w:pPr>
        <w:tabs>
          <w:tab w:val="left" w:pos="416"/>
          <w:tab w:val="left" w:pos="697"/>
          <w:tab w:val="left" w:pos="776"/>
          <w:tab w:val="left" w:pos="840"/>
          <w:tab w:val="left" w:pos="896"/>
          <w:tab w:val="left" w:pos="1016"/>
          <w:tab w:val="left" w:pos="1057"/>
          <w:tab w:val="decimal" w:pos="1172"/>
          <w:tab w:val="right" w:pos="1212"/>
          <w:tab w:val="left" w:pos="1452"/>
          <w:tab w:val="left" w:pos="1856"/>
          <w:tab w:val="left" w:leader="dot" w:pos="4212"/>
          <w:tab w:val="right" w:leader="dot" w:pos="4253"/>
          <w:tab w:val="left" w:leader="dot" w:pos="4584"/>
          <w:tab w:val="left" w:pos="5387"/>
        </w:tabs>
        <w:spacing w:before="180"/>
        <w:ind w:left="896" w:right="116" w:hanging="896"/>
        <w:rPr>
          <w:b/>
          <w:bCs/>
        </w:rPr>
        <w:sectPr>
          <w:headerReference w:type="even" r:id="rId31"/>
          <w:pgSz w:w="11907" w:h="16840" w:code="9"/>
          <w:pgMar w:top="2604" w:right="2405" w:bottom="3542" w:left="2405" w:header="706" w:footer="3380" w:gutter="0"/>
          <w:cols w:space="720"/>
          <w:noEndnote/>
          <w:docGrid w:linePitch="326"/>
        </w:sectPr>
      </w:pPr>
    </w:p>
    <w:p>
      <w:pPr>
        <w:pStyle w:val="yScheduleHeading"/>
      </w:pPr>
      <w:bookmarkStart w:id="78" w:name="_Toc84424805"/>
      <w:r>
        <w:rPr>
          <w:rStyle w:val="CharSchNo"/>
        </w:rPr>
        <w:lastRenderedPageBreak/>
        <w:t>Schedule 9</w:t>
      </w:r>
      <w:r>
        <w:rPr>
          <w:rStyle w:val="CharSDivNo"/>
        </w:rPr>
        <w:t> </w:t>
      </w:r>
      <w:r>
        <w:t>—</w:t>
      </w:r>
      <w:r>
        <w:rPr>
          <w:rStyle w:val="CharSDivText"/>
        </w:rPr>
        <w:t> </w:t>
      </w:r>
      <w:r>
        <w:rPr>
          <w:rStyle w:val="CharSchText"/>
        </w:rPr>
        <w:t>Classification of towns/areas for the purpose of determining quantity charges in the previous year</w:t>
      </w:r>
      <w:bookmarkEnd w:id="78"/>
    </w:p>
    <w:p>
      <w:pPr>
        <w:pStyle w:val="yShoulderClause"/>
      </w:pPr>
      <w:r>
        <w:t>[bl. 17D(3)]</w:t>
      </w:r>
    </w:p>
    <w:p>
      <w:pPr>
        <w:pStyle w:val="yFootnoteheading"/>
        <w:spacing w:after="120"/>
      </w:pPr>
      <w:r>
        <w:tab/>
        <w:t>[Heading inserted in Gazette 19 Jun 2013 p. 2403.]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4"/>
        <w:gridCol w:w="1800"/>
        <w:gridCol w:w="1800"/>
      </w:tblGrid>
      <w:tr>
        <w:trPr>
          <w:tblHeader/>
        </w:trPr>
        <w:tc>
          <w:tcPr>
            <w:tcW w:w="3204" w:type="dxa"/>
            <w:tcBorders>
              <w:top w:val="single" w:sz="4" w:space="0" w:color="auto"/>
              <w:left w:val="nil"/>
              <w:bottom w:val="single" w:sz="4" w:space="0" w:color="auto"/>
              <w:right w:val="nil"/>
            </w:tcBorders>
          </w:tcPr>
          <w:p>
            <w:pPr>
              <w:pStyle w:val="yTableNAm"/>
              <w:jc w:val="center"/>
            </w:pPr>
            <w:r>
              <w:rPr>
                <w:b/>
                <w:bCs/>
              </w:rPr>
              <w:t>Town/area</w:t>
            </w:r>
          </w:p>
        </w:tc>
        <w:tc>
          <w:tcPr>
            <w:tcW w:w="1800" w:type="dxa"/>
            <w:tcBorders>
              <w:top w:val="single" w:sz="4" w:space="0" w:color="auto"/>
              <w:left w:val="nil"/>
              <w:bottom w:val="single" w:sz="4" w:space="0" w:color="auto"/>
              <w:right w:val="nil"/>
            </w:tcBorders>
          </w:tcPr>
          <w:p>
            <w:pPr>
              <w:pStyle w:val="yTableNAm"/>
              <w:jc w:val="center"/>
            </w:pPr>
            <w:r>
              <w:rPr>
                <w:b/>
                <w:bCs/>
              </w:rPr>
              <w:t>Residential classification</w:t>
            </w:r>
          </w:p>
        </w:tc>
        <w:tc>
          <w:tcPr>
            <w:tcW w:w="1800" w:type="dxa"/>
            <w:tcBorders>
              <w:top w:val="single" w:sz="4" w:space="0" w:color="auto"/>
              <w:left w:val="nil"/>
              <w:bottom w:val="single" w:sz="4" w:space="0" w:color="auto"/>
              <w:right w:val="nil"/>
            </w:tcBorders>
          </w:tcPr>
          <w:p>
            <w:pPr>
              <w:pStyle w:val="yTableNAm"/>
              <w:jc w:val="center"/>
            </w:pPr>
            <w:r>
              <w:rPr>
                <w:b/>
                <w:bCs/>
              </w:rPr>
              <w:t>Non</w:t>
            </w:r>
            <w:r>
              <w:rPr>
                <w:b/>
                <w:bCs/>
              </w:rPr>
              <w:noBreakHyphen/>
              <w:t>residential classification</w:t>
            </w:r>
          </w:p>
        </w:tc>
      </w:tr>
      <w:tr>
        <w:tc>
          <w:tcPr>
            <w:tcW w:w="3204" w:type="dxa"/>
            <w:tcBorders>
              <w:top w:val="single" w:sz="4" w:space="0" w:color="auto"/>
              <w:left w:val="nil"/>
              <w:bottom w:val="nil"/>
              <w:right w:val="nil"/>
            </w:tcBorders>
            <w:vAlign w:val="center"/>
          </w:tcPr>
          <w:p>
            <w:pPr>
              <w:pStyle w:val="yTableNAm"/>
            </w:pPr>
            <w:r>
              <w:rPr>
                <w:szCs w:val="22"/>
              </w:rPr>
              <w:t>Albany</w:t>
            </w:r>
          </w:p>
        </w:tc>
        <w:tc>
          <w:tcPr>
            <w:tcW w:w="1800" w:type="dxa"/>
            <w:tcBorders>
              <w:top w:val="single" w:sz="4" w:space="0" w:color="auto"/>
              <w:left w:val="nil"/>
              <w:bottom w:val="nil"/>
              <w:right w:val="nil"/>
            </w:tcBorders>
            <w:vAlign w:val="bottom"/>
          </w:tcPr>
          <w:p>
            <w:pPr>
              <w:pStyle w:val="yTableNAm"/>
              <w:jc w:val="center"/>
              <w:rPr>
                <w:rFonts w:ascii="Arial" w:hAnsi="Arial"/>
                <w:b/>
              </w:rPr>
            </w:pPr>
            <w:r>
              <w:rPr>
                <w:szCs w:val="22"/>
              </w:rPr>
              <w:t>3</w:t>
            </w:r>
          </w:p>
        </w:tc>
        <w:tc>
          <w:tcPr>
            <w:tcW w:w="1800" w:type="dxa"/>
            <w:tcBorders>
              <w:top w:val="single" w:sz="4" w:space="0" w:color="auto"/>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Albany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Allanooka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Allanson</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Arrino</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Arrowsmith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Augusta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Australind/Eaton</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Badgingarra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Bakers Hill</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Balingup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Ballidu</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Beacon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Bencubbin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Beverley</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Bindi Bindi</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Bindoon/Chittering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Binningup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Bodallin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Boddington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Bolgart</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lastRenderedPageBreak/>
              <w:t>Borden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Boyanup</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Boyup Brook</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Bremer Bay</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Bridgetown/Hester</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Broad Arrow</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Brookton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Broome</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Broomehill</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Bruce Rock</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Brunswick/Burekup/Roelands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Bullaring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Bullfinch</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Bunjil</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Buntine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Burracoppin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Calingiri</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Camballin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Capel</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r>
              <w:rPr>
                <w:szCs w:val="22"/>
              </w:rPr>
              <w:t>Carnamah</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Carnarvon</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Caron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Cervantes</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Collie</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Collie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lastRenderedPageBreak/>
              <w:t>Condingup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Coolgardie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Coomberdale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Coorow</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Coral Bay</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N/A</w:t>
            </w:r>
          </w:p>
        </w:tc>
      </w:tr>
      <w:tr>
        <w:tc>
          <w:tcPr>
            <w:tcW w:w="3204" w:type="dxa"/>
            <w:tcBorders>
              <w:top w:val="nil"/>
              <w:left w:val="nil"/>
              <w:bottom w:val="nil"/>
              <w:right w:val="nil"/>
            </w:tcBorders>
            <w:vAlign w:val="center"/>
          </w:tcPr>
          <w:p>
            <w:pPr>
              <w:pStyle w:val="yTableNAm"/>
            </w:pPr>
            <w:r>
              <w:rPr>
                <w:szCs w:val="22"/>
              </w:rPr>
              <w:t>Corrigin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Cowaramup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Cranbrook</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Cuballing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Cue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Cunderdin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Dalwallinu</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Dalyellup</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Dandaragan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tcPr>
          <w:p>
            <w:pPr>
              <w:pStyle w:val="yTableNAm"/>
            </w:pPr>
            <w:r>
              <w:rPr>
                <w:szCs w:val="22"/>
              </w:rPr>
              <w:t>Dardanup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Darkan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Dathagnoorara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Denham (Saline)</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r>
              <w:rPr>
                <w:szCs w:val="22"/>
              </w:rPr>
              <w:t>Denmark</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Derby</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r>
              <w:rPr>
                <w:szCs w:val="22"/>
              </w:rPr>
              <w:t>Dongara/Denison</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Donnybrook</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Doodlakine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Dowerin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Dudinin/Harrismith/Jitarning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lastRenderedPageBreak/>
              <w:t>Dumbleyung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Dunsborough/Yallingup</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r>
              <w:rPr>
                <w:szCs w:val="22"/>
              </w:rPr>
              <w:t>Dwellingup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Eneabba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Eradu</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Esperance</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r>
              <w:rPr>
                <w:szCs w:val="22"/>
              </w:rPr>
              <w:t>Exmouth</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9</w:t>
            </w:r>
          </w:p>
        </w:tc>
      </w:tr>
      <w:tr>
        <w:tc>
          <w:tcPr>
            <w:tcW w:w="3204" w:type="dxa"/>
            <w:tcBorders>
              <w:top w:val="nil"/>
              <w:left w:val="nil"/>
              <w:bottom w:val="nil"/>
              <w:right w:val="nil"/>
            </w:tcBorders>
            <w:vAlign w:val="center"/>
          </w:tcPr>
          <w:p>
            <w:pPr>
              <w:pStyle w:val="yTableNAm"/>
            </w:pPr>
            <w:r>
              <w:rPr>
                <w:szCs w:val="22"/>
              </w:rPr>
              <w:t>Fitzroy Crossing</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r>
      <w:tr>
        <w:tc>
          <w:tcPr>
            <w:tcW w:w="3204" w:type="dxa"/>
            <w:tcBorders>
              <w:top w:val="nil"/>
              <w:left w:val="nil"/>
              <w:bottom w:val="nil"/>
              <w:right w:val="nil"/>
            </w:tcBorders>
            <w:vAlign w:val="center"/>
          </w:tcPr>
          <w:p>
            <w:pPr>
              <w:pStyle w:val="yTableNAm"/>
            </w:pPr>
            <w:r>
              <w:rPr>
                <w:szCs w:val="22"/>
              </w:rPr>
              <w:t>Frankland</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Gabbadah</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Gascoyne Junction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Geraldton</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Gibson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Gingin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Gnarabup</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Gnowangerup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Goomalling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Grass Patch</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Grass Valley</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Greenbushes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Greenhead</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Guilderton</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8</w:t>
            </w:r>
          </w:p>
        </w:tc>
      </w:tr>
      <w:tr>
        <w:tc>
          <w:tcPr>
            <w:tcW w:w="3204" w:type="dxa"/>
            <w:tcBorders>
              <w:top w:val="nil"/>
              <w:left w:val="nil"/>
              <w:bottom w:val="nil"/>
              <w:right w:val="nil"/>
            </w:tcBorders>
            <w:vAlign w:val="center"/>
          </w:tcPr>
          <w:p>
            <w:pPr>
              <w:pStyle w:val="yTableNAm"/>
            </w:pPr>
            <w:r>
              <w:rPr>
                <w:szCs w:val="22"/>
              </w:rPr>
              <w:t>Halls Creek</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Hamel/Waroona</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Harvey/Wokalup</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lastRenderedPageBreak/>
              <w:t>Highbury/Piesseville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Hines Hill</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Hopetoun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Horrocks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Hyden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Jerramungup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Jurien Bay</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r>
      <w:tr>
        <w:tc>
          <w:tcPr>
            <w:tcW w:w="3204" w:type="dxa"/>
            <w:tcBorders>
              <w:top w:val="nil"/>
              <w:left w:val="nil"/>
              <w:bottom w:val="nil"/>
              <w:right w:val="nil"/>
            </w:tcBorders>
            <w:vAlign w:val="center"/>
          </w:tcPr>
          <w:p>
            <w:pPr>
              <w:pStyle w:val="yTableNAm"/>
            </w:pPr>
            <w:r>
              <w:rPr>
                <w:szCs w:val="22"/>
              </w:rPr>
              <w:t>Kalannie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Kalbarri</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r>
      <w:tr>
        <w:tc>
          <w:tcPr>
            <w:tcW w:w="3204" w:type="dxa"/>
            <w:tcBorders>
              <w:top w:val="nil"/>
              <w:left w:val="nil"/>
              <w:bottom w:val="nil"/>
              <w:right w:val="nil"/>
            </w:tcBorders>
            <w:vAlign w:val="center"/>
          </w:tcPr>
          <w:p>
            <w:pPr>
              <w:pStyle w:val="yTableNAm"/>
            </w:pPr>
            <w:r>
              <w:rPr>
                <w:szCs w:val="22"/>
              </w:rPr>
              <w:t>Kalgoorlie/Boulder</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Kambalda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8</w:t>
            </w:r>
          </w:p>
        </w:tc>
      </w:tr>
      <w:tr>
        <w:tc>
          <w:tcPr>
            <w:tcW w:w="3204" w:type="dxa"/>
            <w:tcBorders>
              <w:top w:val="nil"/>
              <w:left w:val="nil"/>
              <w:bottom w:val="nil"/>
              <w:right w:val="nil"/>
            </w:tcBorders>
            <w:vAlign w:val="center"/>
          </w:tcPr>
          <w:p>
            <w:pPr>
              <w:pStyle w:val="yTableNAm"/>
            </w:pPr>
            <w:r>
              <w:rPr>
                <w:szCs w:val="22"/>
              </w:rPr>
              <w:t>Karakin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Karlgarin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Karratha</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Katanning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Katanning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Kellerberrin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Kendenup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Kendenup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Kirup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Kojonup/Muradup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Kondinin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Koorda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Kukerin/Moulyinning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Kulin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lastRenderedPageBreak/>
              <w:t>Kununoppin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tcPr>
          <w:p>
            <w:pPr>
              <w:pStyle w:val="yTableNAm"/>
            </w:pPr>
            <w:r>
              <w:rPr>
                <w:szCs w:val="22"/>
              </w:rPr>
              <w:t>Kununurra</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r>
      <w:tr>
        <w:tc>
          <w:tcPr>
            <w:tcW w:w="3204" w:type="dxa"/>
            <w:tcBorders>
              <w:top w:val="nil"/>
              <w:left w:val="nil"/>
              <w:bottom w:val="nil"/>
              <w:right w:val="nil"/>
            </w:tcBorders>
            <w:vAlign w:val="center"/>
          </w:tcPr>
          <w:p>
            <w:pPr>
              <w:pStyle w:val="yTableNAm"/>
            </w:pPr>
            <w:r>
              <w:rPr>
                <w:szCs w:val="22"/>
              </w:rPr>
              <w:t>Lake Grace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Lake King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Lancelin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Latham</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Laverton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Ledge Point</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Leeman</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Leonora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Mandurah</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r>
      <w:tr>
        <w:tc>
          <w:tcPr>
            <w:tcW w:w="3204" w:type="dxa"/>
            <w:tcBorders>
              <w:top w:val="nil"/>
              <w:left w:val="nil"/>
              <w:bottom w:val="nil"/>
              <w:right w:val="nil"/>
            </w:tcBorders>
            <w:vAlign w:val="center"/>
          </w:tcPr>
          <w:p>
            <w:pPr>
              <w:pStyle w:val="yTableNAm"/>
            </w:pPr>
            <w:r>
              <w:rPr>
                <w:szCs w:val="22"/>
              </w:rPr>
              <w:t>Manjimup</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Marble Bar</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Margaret River</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Marvel Loch</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Meckering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Meekatharra</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Menzies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Merredin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Merredin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9</w:t>
            </w:r>
          </w:p>
        </w:tc>
      </w:tr>
      <w:tr>
        <w:tc>
          <w:tcPr>
            <w:tcW w:w="3204" w:type="dxa"/>
            <w:tcBorders>
              <w:top w:val="nil"/>
              <w:left w:val="nil"/>
              <w:bottom w:val="nil"/>
              <w:right w:val="nil"/>
            </w:tcBorders>
            <w:vAlign w:val="center"/>
          </w:tcPr>
          <w:p>
            <w:pPr>
              <w:pStyle w:val="yTableNAm"/>
            </w:pPr>
            <w:r>
              <w:rPr>
                <w:szCs w:val="22"/>
              </w:rPr>
              <w:t>Miling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Mingenew</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Moora</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r>
      <w:tr>
        <w:tc>
          <w:tcPr>
            <w:tcW w:w="3204" w:type="dxa"/>
            <w:tcBorders>
              <w:top w:val="nil"/>
              <w:left w:val="nil"/>
              <w:bottom w:val="nil"/>
              <w:right w:val="nil"/>
            </w:tcBorders>
            <w:vAlign w:val="center"/>
          </w:tcPr>
          <w:p>
            <w:pPr>
              <w:pStyle w:val="yTableNAm"/>
            </w:pPr>
            <w:r>
              <w:rPr>
                <w:szCs w:val="22"/>
              </w:rPr>
              <w:t>Moorine Rock</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Morawa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lastRenderedPageBreak/>
              <w:t>Mount Barker</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Mount Magnet</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Mount Roe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Mukinbudin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Mullalyup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Mullewa</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Mullewa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Munglinup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Muntadgin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Myalup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Nabawa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Nannup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Narembeen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Narngulu</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Narrikup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Narrogin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Narrogin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8</w:t>
            </w:r>
          </w:p>
        </w:tc>
      </w:tr>
      <w:tr>
        <w:tc>
          <w:tcPr>
            <w:tcW w:w="3204" w:type="dxa"/>
            <w:tcBorders>
              <w:top w:val="nil"/>
              <w:left w:val="nil"/>
              <w:bottom w:val="nil"/>
              <w:right w:val="nil"/>
            </w:tcBorders>
            <w:vAlign w:val="center"/>
          </w:tcPr>
          <w:p>
            <w:pPr>
              <w:pStyle w:val="yTableNAm"/>
            </w:pPr>
            <w:r>
              <w:rPr>
                <w:szCs w:val="22"/>
              </w:rPr>
              <w:t>New Norcia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Newdegate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Newman</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Nilgen</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7</w:t>
            </w:r>
          </w:p>
        </w:tc>
      </w:tr>
      <w:tr>
        <w:tc>
          <w:tcPr>
            <w:tcW w:w="3204" w:type="dxa"/>
            <w:tcBorders>
              <w:top w:val="nil"/>
              <w:left w:val="nil"/>
              <w:bottom w:val="nil"/>
              <w:right w:val="nil"/>
            </w:tcBorders>
            <w:vAlign w:val="center"/>
          </w:tcPr>
          <w:p>
            <w:pPr>
              <w:pStyle w:val="yTableNAm"/>
            </w:pPr>
            <w:r>
              <w:rPr>
                <w:szCs w:val="22"/>
              </w:rPr>
              <w:t>Norseman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13</w:t>
            </w:r>
          </w:p>
        </w:tc>
      </w:tr>
      <w:tr>
        <w:tc>
          <w:tcPr>
            <w:tcW w:w="3204" w:type="dxa"/>
            <w:tcBorders>
              <w:top w:val="nil"/>
              <w:left w:val="nil"/>
              <w:bottom w:val="nil"/>
              <w:right w:val="nil"/>
            </w:tcBorders>
            <w:vAlign w:val="center"/>
          </w:tcPr>
          <w:p>
            <w:pPr>
              <w:pStyle w:val="yTableNAm"/>
            </w:pPr>
            <w:r>
              <w:rPr>
                <w:szCs w:val="22"/>
              </w:rPr>
              <w:t>North Dandalup</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9</w:t>
            </w:r>
          </w:p>
        </w:tc>
      </w:tr>
      <w:tr>
        <w:tc>
          <w:tcPr>
            <w:tcW w:w="3204" w:type="dxa"/>
            <w:tcBorders>
              <w:top w:val="nil"/>
              <w:left w:val="nil"/>
              <w:bottom w:val="nil"/>
              <w:right w:val="nil"/>
            </w:tcBorders>
            <w:vAlign w:val="center"/>
          </w:tcPr>
          <w:p>
            <w:pPr>
              <w:pStyle w:val="yTableNAm"/>
            </w:pPr>
            <w:r>
              <w:rPr>
                <w:szCs w:val="22"/>
              </w:rPr>
              <w:t>Northam</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Northam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9</w:t>
            </w:r>
          </w:p>
        </w:tc>
      </w:tr>
      <w:tr>
        <w:tc>
          <w:tcPr>
            <w:tcW w:w="3204" w:type="dxa"/>
            <w:tcBorders>
              <w:top w:val="nil"/>
              <w:left w:val="nil"/>
              <w:bottom w:val="nil"/>
              <w:right w:val="nil"/>
            </w:tcBorders>
            <w:vAlign w:val="center"/>
          </w:tcPr>
          <w:p>
            <w:pPr>
              <w:pStyle w:val="yTableNAm"/>
            </w:pPr>
            <w:r>
              <w:rPr>
                <w:szCs w:val="22"/>
              </w:rPr>
              <w:lastRenderedPageBreak/>
              <w:t>Northampton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Northcliffe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Nullagine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Nungarin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Nyabing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Ongerup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Onslow</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Ora Banda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Park Ridge</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Pemberton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Peppermint Grove Beach</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Perenjori</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Pingaring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Pingelly</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Pingrup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Pinjarra</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Pithara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Point Samson</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Popanyinning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Porongurup</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Porongurup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Port Hedland</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r>
              <w:rPr>
                <w:szCs w:val="22"/>
              </w:rPr>
              <w:t>Preston Beach</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Quairading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Quinninup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lastRenderedPageBreak/>
              <w:t>Ravensthorpe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Rocky Gully</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Roebourne</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Salmon Gums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Sandstone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Seabird</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South Hedland</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r>
              <w:rPr>
                <w:szCs w:val="22"/>
              </w:rPr>
              <w:t>Southern Cross</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9</w:t>
            </w:r>
          </w:p>
        </w:tc>
      </w:tr>
      <w:tr>
        <w:tc>
          <w:tcPr>
            <w:tcW w:w="3204" w:type="dxa"/>
            <w:tcBorders>
              <w:top w:val="nil"/>
              <w:left w:val="nil"/>
              <w:bottom w:val="nil"/>
              <w:right w:val="nil"/>
            </w:tcBorders>
            <w:vAlign w:val="center"/>
          </w:tcPr>
          <w:p>
            <w:pPr>
              <w:pStyle w:val="yTableNAm"/>
            </w:pPr>
            <w:r>
              <w:rPr>
                <w:szCs w:val="22"/>
              </w:rPr>
              <w:t>Tambellup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Tammin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Three Springs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Tincurrin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Toodyay</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Trayning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Varley</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Wagin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Walkaway</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Walpole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Wandering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Watheroo</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Wellstead</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Westonia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Wickepin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Wickham</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Widgiemooltha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lastRenderedPageBreak/>
              <w:t>Williams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Wiluna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Wongan Hills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Woodanilling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Woodridge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Wubin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Wundowie</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Wyalkatchem</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Wyndham</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Yalgoo</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Yarloop/Wagerup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Yealering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Yerecoin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York</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single" w:sz="4" w:space="0" w:color="auto"/>
              <w:right w:val="nil"/>
            </w:tcBorders>
            <w:vAlign w:val="center"/>
          </w:tcPr>
          <w:p>
            <w:pPr>
              <w:pStyle w:val="yTableNAm"/>
            </w:pPr>
            <w:r>
              <w:rPr>
                <w:szCs w:val="22"/>
              </w:rPr>
              <w:t>Yuna</w:t>
            </w:r>
          </w:p>
        </w:tc>
        <w:tc>
          <w:tcPr>
            <w:tcW w:w="1800" w:type="dxa"/>
            <w:tcBorders>
              <w:top w:val="nil"/>
              <w:left w:val="nil"/>
              <w:bottom w:val="single" w:sz="4" w:space="0" w:color="auto"/>
              <w:right w:val="nil"/>
            </w:tcBorders>
            <w:vAlign w:val="bottom"/>
          </w:tcPr>
          <w:p>
            <w:pPr>
              <w:pStyle w:val="yTableNAm"/>
              <w:jc w:val="center"/>
              <w:rPr>
                <w:rFonts w:ascii="Arial" w:hAnsi="Arial"/>
                <w:b/>
              </w:rPr>
            </w:pPr>
            <w:r>
              <w:rPr>
                <w:szCs w:val="22"/>
              </w:rPr>
              <w:t>5</w:t>
            </w:r>
          </w:p>
        </w:tc>
        <w:tc>
          <w:tcPr>
            <w:tcW w:w="1800" w:type="dxa"/>
            <w:tcBorders>
              <w:top w:val="nil"/>
              <w:left w:val="nil"/>
              <w:bottom w:val="single" w:sz="4" w:space="0" w:color="auto"/>
              <w:right w:val="nil"/>
            </w:tcBorders>
            <w:vAlign w:val="bottom"/>
          </w:tcPr>
          <w:p>
            <w:pPr>
              <w:pStyle w:val="yTableNAm"/>
              <w:jc w:val="center"/>
              <w:rPr>
                <w:rFonts w:ascii="Arial" w:hAnsi="Arial"/>
                <w:b/>
              </w:rPr>
            </w:pPr>
            <w:r>
              <w:rPr>
                <w:szCs w:val="22"/>
              </w:rPr>
              <w:t>15</w:t>
            </w:r>
          </w:p>
        </w:tc>
      </w:tr>
    </w:tbl>
    <w:p>
      <w:pPr>
        <w:pStyle w:val="yFootnotesection"/>
      </w:pPr>
      <w:r>
        <w:tab/>
        <w:t>[Schedule 9 inserted in Gazette 19 Jun 2013 p. 2403-12.]</w:t>
      </w:r>
    </w:p>
    <w:p>
      <w:pPr>
        <w:pStyle w:val="yScheduleHeading"/>
      </w:pPr>
      <w:bookmarkStart w:id="79" w:name="_Toc84424806"/>
      <w:r>
        <w:rPr>
          <w:rStyle w:val="CharSchNo"/>
        </w:rPr>
        <w:lastRenderedPageBreak/>
        <w:t>Schedule 10</w:t>
      </w:r>
      <w:r>
        <w:rPr>
          <w:rStyle w:val="CharSDivNo"/>
        </w:rPr>
        <w:t> </w:t>
      </w:r>
      <w:r>
        <w:t>—</w:t>
      </w:r>
      <w:r>
        <w:rPr>
          <w:rStyle w:val="CharSDivText"/>
        </w:rPr>
        <w:t> </w:t>
      </w:r>
      <w:r>
        <w:rPr>
          <w:rStyle w:val="CharSchText"/>
        </w:rPr>
        <w:t>Classification of towns/areas for the purpose of determining quantity charges in the current year</w:t>
      </w:r>
      <w:bookmarkEnd w:id="79"/>
    </w:p>
    <w:p>
      <w:pPr>
        <w:pStyle w:val="yShoulderClause"/>
      </w:pPr>
      <w:r>
        <w:t>[bl. 17D(3)]</w:t>
      </w:r>
    </w:p>
    <w:p>
      <w:pPr>
        <w:pStyle w:val="yFootnoteheading"/>
        <w:spacing w:after="120"/>
      </w:pPr>
      <w:r>
        <w:tab/>
        <w:t>[Heading inserted in Gazette 19 Jun 2013 p. 2412.]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4"/>
        <w:gridCol w:w="1800"/>
        <w:gridCol w:w="1800"/>
      </w:tblGrid>
      <w:tr>
        <w:trPr>
          <w:tblHeader/>
        </w:trPr>
        <w:tc>
          <w:tcPr>
            <w:tcW w:w="3204" w:type="dxa"/>
            <w:tcBorders>
              <w:top w:val="single" w:sz="4" w:space="0" w:color="auto"/>
              <w:left w:val="nil"/>
              <w:bottom w:val="single" w:sz="4" w:space="0" w:color="auto"/>
              <w:right w:val="nil"/>
            </w:tcBorders>
          </w:tcPr>
          <w:p>
            <w:pPr>
              <w:pStyle w:val="yTableNAm"/>
            </w:pPr>
            <w:r>
              <w:rPr>
                <w:b/>
                <w:bCs/>
              </w:rPr>
              <w:t>Town/area</w:t>
            </w:r>
          </w:p>
        </w:tc>
        <w:tc>
          <w:tcPr>
            <w:tcW w:w="1800" w:type="dxa"/>
            <w:tcBorders>
              <w:top w:val="single" w:sz="4" w:space="0" w:color="auto"/>
              <w:left w:val="nil"/>
              <w:bottom w:val="single" w:sz="4" w:space="0" w:color="auto"/>
              <w:right w:val="nil"/>
            </w:tcBorders>
          </w:tcPr>
          <w:p>
            <w:pPr>
              <w:pStyle w:val="yTableNAm"/>
            </w:pPr>
            <w:r>
              <w:rPr>
                <w:b/>
                <w:bCs/>
              </w:rPr>
              <w:t>Residential classification</w:t>
            </w:r>
          </w:p>
        </w:tc>
        <w:tc>
          <w:tcPr>
            <w:tcW w:w="1800" w:type="dxa"/>
            <w:tcBorders>
              <w:top w:val="single" w:sz="4" w:space="0" w:color="auto"/>
              <w:left w:val="nil"/>
              <w:bottom w:val="single" w:sz="4" w:space="0" w:color="auto"/>
              <w:right w:val="nil"/>
            </w:tcBorders>
          </w:tcPr>
          <w:p>
            <w:pPr>
              <w:pStyle w:val="yTableNAm"/>
            </w:pPr>
            <w:r>
              <w:rPr>
                <w:b/>
                <w:bCs/>
              </w:rPr>
              <w:t>Non</w:t>
            </w:r>
            <w:r>
              <w:rPr>
                <w:b/>
                <w:bCs/>
              </w:rPr>
              <w:noBreakHyphen/>
              <w:t>residential classification</w:t>
            </w:r>
          </w:p>
        </w:tc>
      </w:tr>
      <w:tr>
        <w:tc>
          <w:tcPr>
            <w:tcW w:w="3204" w:type="dxa"/>
            <w:tcBorders>
              <w:top w:val="single" w:sz="4" w:space="0" w:color="auto"/>
              <w:left w:val="nil"/>
              <w:bottom w:val="nil"/>
              <w:right w:val="nil"/>
            </w:tcBorders>
            <w:vAlign w:val="center"/>
          </w:tcPr>
          <w:p>
            <w:pPr>
              <w:pStyle w:val="yTableNAm"/>
            </w:pPr>
            <w:r>
              <w:rPr>
                <w:szCs w:val="22"/>
              </w:rPr>
              <w:t>Albany</w:t>
            </w:r>
          </w:p>
        </w:tc>
        <w:tc>
          <w:tcPr>
            <w:tcW w:w="1800" w:type="dxa"/>
            <w:tcBorders>
              <w:top w:val="single" w:sz="4" w:space="0" w:color="auto"/>
              <w:left w:val="nil"/>
              <w:bottom w:val="nil"/>
              <w:right w:val="nil"/>
            </w:tcBorders>
            <w:vAlign w:val="bottom"/>
          </w:tcPr>
          <w:p>
            <w:pPr>
              <w:pStyle w:val="yTableNAm"/>
            </w:pPr>
            <w:r>
              <w:rPr>
                <w:szCs w:val="22"/>
              </w:rPr>
              <w:t>3</w:t>
            </w:r>
          </w:p>
        </w:tc>
        <w:tc>
          <w:tcPr>
            <w:tcW w:w="1800" w:type="dxa"/>
            <w:tcBorders>
              <w:top w:val="single" w:sz="4" w:space="0" w:color="auto"/>
              <w:left w:val="nil"/>
              <w:bottom w:val="nil"/>
              <w:right w:val="nil"/>
            </w:tcBorders>
            <w:vAlign w:val="bottom"/>
          </w:tcPr>
          <w:p>
            <w:pPr>
              <w:pStyle w:val="yTableNAm"/>
            </w:pPr>
            <w:r>
              <w:rPr>
                <w:szCs w:val="22"/>
              </w:rPr>
              <w:t>6</w:t>
            </w:r>
          </w:p>
        </w:tc>
      </w:tr>
      <w:tr>
        <w:tc>
          <w:tcPr>
            <w:tcW w:w="3204" w:type="dxa"/>
            <w:tcBorders>
              <w:top w:val="nil"/>
              <w:left w:val="nil"/>
              <w:bottom w:val="nil"/>
              <w:right w:val="nil"/>
            </w:tcBorders>
            <w:vAlign w:val="center"/>
          </w:tcPr>
          <w:p>
            <w:pPr>
              <w:pStyle w:val="yTableNAm"/>
            </w:pPr>
            <w:r>
              <w:rPr>
                <w:szCs w:val="22"/>
              </w:rPr>
              <w:t>Albany Farmlands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6</w:t>
            </w:r>
          </w:p>
        </w:tc>
      </w:tr>
      <w:tr>
        <w:tc>
          <w:tcPr>
            <w:tcW w:w="3204" w:type="dxa"/>
            <w:tcBorders>
              <w:top w:val="nil"/>
              <w:left w:val="nil"/>
              <w:bottom w:val="nil"/>
              <w:right w:val="nil"/>
            </w:tcBorders>
            <w:vAlign w:val="center"/>
          </w:tcPr>
          <w:p>
            <w:pPr>
              <w:pStyle w:val="yTableNAm"/>
            </w:pPr>
            <w:r>
              <w:rPr>
                <w:szCs w:val="22"/>
              </w:rPr>
              <w:t>Allanooka Farmlands</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Allanson</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Arrino</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Arrowsmith Farmlands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Augusta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Australind/Eaton</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Badgingarra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Bakers Hill</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Balingup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Ballidu</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Beacon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Bencubbin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Beverley</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Bindi Bindi</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Bindoon/Chittering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Binningup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Bodallin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Boddington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Bolgart</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lastRenderedPageBreak/>
              <w:t>Borden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Boyanup</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Boyup Brook</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Bremer Bay</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Bridgetown/Hester</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Broad Arrow</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Brookton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Broome</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Broomehill</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Bruce Rock</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Brunswick/Burekup/Roelands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6</w:t>
            </w:r>
          </w:p>
        </w:tc>
      </w:tr>
      <w:tr>
        <w:tc>
          <w:tcPr>
            <w:tcW w:w="3204" w:type="dxa"/>
            <w:tcBorders>
              <w:top w:val="nil"/>
              <w:left w:val="nil"/>
              <w:bottom w:val="nil"/>
              <w:right w:val="nil"/>
            </w:tcBorders>
            <w:vAlign w:val="center"/>
          </w:tcPr>
          <w:p>
            <w:pPr>
              <w:pStyle w:val="yTableNAm"/>
            </w:pPr>
            <w:r>
              <w:rPr>
                <w:szCs w:val="22"/>
              </w:rPr>
              <w:t>Bullaring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Bullfinch</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Bunjil</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Buntine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Burracoppin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Calingiri</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Camballin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Capel</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Carnamah</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Carnarvon</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Caron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Cervantes</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Collie</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6</w:t>
            </w:r>
          </w:p>
        </w:tc>
      </w:tr>
      <w:tr>
        <w:tc>
          <w:tcPr>
            <w:tcW w:w="3204" w:type="dxa"/>
            <w:tcBorders>
              <w:top w:val="nil"/>
              <w:left w:val="nil"/>
              <w:bottom w:val="nil"/>
              <w:right w:val="nil"/>
            </w:tcBorders>
            <w:vAlign w:val="center"/>
          </w:tcPr>
          <w:p>
            <w:pPr>
              <w:pStyle w:val="yTableNAm"/>
            </w:pPr>
            <w:r>
              <w:rPr>
                <w:szCs w:val="22"/>
              </w:rPr>
              <w:t>Collie Farmlands</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lastRenderedPageBreak/>
              <w:t>Condingup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Coolgardie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Coomberdale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Coorow</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Coral Bay</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N/A</w:t>
            </w:r>
          </w:p>
        </w:tc>
      </w:tr>
      <w:tr>
        <w:tc>
          <w:tcPr>
            <w:tcW w:w="3204" w:type="dxa"/>
            <w:tcBorders>
              <w:top w:val="nil"/>
              <w:left w:val="nil"/>
              <w:bottom w:val="nil"/>
              <w:right w:val="nil"/>
            </w:tcBorders>
            <w:vAlign w:val="center"/>
          </w:tcPr>
          <w:p>
            <w:pPr>
              <w:pStyle w:val="yTableNAm"/>
            </w:pPr>
            <w:r>
              <w:rPr>
                <w:szCs w:val="22"/>
              </w:rPr>
              <w:t>Corrigin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Cowaramup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Cranbrook</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Cuballing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Cue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Cunderdin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Dalwallinu</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Dalyellup</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4</w:t>
            </w:r>
          </w:p>
        </w:tc>
      </w:tr>
      <w:tr>
        <w:tc>
          <w:tcPr>
            <w:tcW w:w="3204" w:type="dxa"/>
            <w:tcBorders>
              <w:top w:val="nil"/>
              <w:left w:val="nil"/>
              <w:bottom w:val="nil"/>
              <w:right w:val="nil"/>
            </w:tcBorders>
            <w:vAlign w:val="center"/>
          </w:tcPr>
          <w:p>
            <w:pPr>
              <w:pStyle w:val="yTableNAm"/>
            </w:pPr>
            <w:r>
              <w:rPr>
                <w:szCs w:val="22"/>
              </w:rPr>
              <w:t>Dandaragan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tcPr>
          <w:p>
            <w:pPr>
              <w:pStyle w:val="yTableNAm"/>
            </w:pPr>
            <w:r>
              <w:rPr>
                <w:szCs w:val="22"/>
              </w:rPr>
              <w:t>Dardanup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Darkan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Dathagnoorara Farmlands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Denham (Saline)</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Denmark</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Derby</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Dongara/Denison</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Donnybrook</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4</w:t>
            </w:r>
          </w:p>
        </w:tc>
      </w:tr>
      <w:tr>
        <w:tc>
          <w:tcPr>
            <w:tcW w:w="3204" w:type="dxa"/>
            <w:tcBorders>
              <w:top w:val="nil"/>
              <w:left w:val="nil"/>
              <w:bottom w:val="nil"/>
              <w:right w:val="nil"/>
            </w:tcBorders>
            <w:vAlign w:val="center"/>
          </w:tcPr>
          <w:p>
            <w:pPr>
              <w:pStyle w:val="yTableNAm"/>
            </w:pPr>
            <w:r>
              <w:rPr>
                <w:szCs w:val="22"/>
              </w:rPr>
              <w:t>Doodlakine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Dowerin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Dudinin/Harrismith/Jitarning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lastRenderedPageBreak/>
              <w:t>Dumbleyung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Dunsborough/Yallingup</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Dwellingup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Eneabba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Eradu</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Esperance</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Exmouth</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9</w:t>
            </w:r>
          </w:p>
        </w:tc>
      </w:tr>
      <w:tr>
        <w:tc>
          <w:tcPr>
            <w:tcW w:w="3204" w:type="dxa"/>
            <w:tcBorders>
              <w:top w:val="nil"/>
              <w:left w:val="nil"/>
              <w:bottom w:val="nil"/>
              <w:right w:val="nil"/>
            </w:tcBorders>
            <w:vAlign w:val="center"/>
          </w:tcPr>
          <w:p>
            <w:pPr>
              <w:pStyle w:val="yTableNAm"/>
            </w:pPr>
            <w:r>
              <w:rPr>
                <w:szCs w:val="22"/>
              </w:rPr>
              <w:t>Fitzroy Crossing</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Frankland</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Gabbadah</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Gascoyne Junction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Geraldton</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Gibson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Gingin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Gnarabup</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Gnowangerup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Goomalling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Grass Patch</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Grass Valley</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Greenbushes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Greenhead</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Guilderton</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8</w:t>
            </w:r>
          </w:p>
        </w:tc>
      </w:tr>
      <w:tr>
        <w:tc>
          <w:tcPr>
            <w:tcW w:w="3204" w:type="dxa"/>
            <w:tcBorders>
              <w:top w:val="nil"/>
              <w:left w:val="nil"/>
              <w:bottom w:val="nil"/>
              <w:right w:val="nil"/>
            </w:tcBorders>
            <w:vAlign w:val="center"/>
          </w:tcPr>
          <w:p>
            <w:pPr>
              <w:pStyle w:val="yTableNAm"/>
            </w:pPr>
            <w:r>
              <w:rPr>
                <w:szCs w:val="22"/>
              </w:rPr>
              <w:t>Halls Creek</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Hamel/Waroona</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4</w:t>
            </w:r>
          </w:p>
        </w:tc>
      </w:tr>
      <w:tr>
        <w:tc>
          <w:tcPr>
            <w:tcW w:w="3204" w:type="dxa"/>
            <w:tcBorders>
              <w:top w:val="nil"/>
              <w:left w:val="nil"/>
              <w:bottom w:val="nil"/>
              <w:right w:val="nil"/>
            </w:tcBorders>
            <w:vAlign w:val="center"/>
          </w:tcPr>
          <w:p>
            <w:pPr>
              <w:pStyle w:val="yTableNAm"/>
            </w:pPr>
            <w:r>
              <w:rPr>
                <w:szCs w:val="22"/>
              </w:rPr>
              <w:t>Harvey/Wokalup</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lastRenderedPageBreak/>
              <w:t>Highbury/Piesseville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Hines Hill</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Hopetoun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Horrocks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Hyden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Jerramungup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Jurien Bay</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3</w:t>
            </w:r>
          </w:p>
        </w:tc>
      </w:tr>
      <w:tr>
        <w:tc>
          <w:tcPr>
            <w:tcW w:w="3204" w:type="dxa"/>
            <w:tcBorders>
              <w:top w:val="nil"/>
              <w:left w:val="nil"/>
              <w:bottom w:val="nil"/>
              <w:right w:val="nil"/>
            </w:tcBorders>
            <w:vAlign w:val="center"/>
          </w:tcPr>
          <w:p>
            <w:pPr>
              <w:pStyle w:val="yTableNAm"/>
            </w:pPr>
            <w:r>
              <w:rPr>
                <w:szCs w:val="22"/>
              </w:rPr>
              <w:t>Kalannie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Kalbarri</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2</w:t>
            </w:r>
          </w:p>
        </w:tc>
      </w:tr>
      <w:tr>
        <w:tc>
          <w:tcPr>
            <w:tcW w:w="3204" w:type="dxa"/>
            <w:tcBorders>
              <w:top w:val="nil"/>
              <w:left w:val="nil"/>
              <w:bottom w:val="nil"/>
              <w:right w:val="nil"/>
            </w:tcBorders>
            <w:vAlign w:val="center"/>
          </w:tcPr>
          <w:p>
            <w:pPr>
              <w:pStyle w:val="yTableNAm"/>
            </w:pPr>
            <w:r>
              <w:rPr>
                <w:szCs w:val="22"/>
              </w:rPr>
              <w:t>Kalgoorlie/Boulder</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Kambalda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9</w:t>
            </w:r>
          </w:p>
        </w:tc>
      </w:tr>
      <w:tr>
        <w:tc>
          <w:tcPr>
            <w:tcW w:w="3204" w:type="dxa"/>
            <w:tcBorders>
              <w:top w:val="nil"/>
              <w:left w:val="nil"/>
              <w:bottom w:val="nil"/>
              <w:right w:val="nil"/>
            </w:tcBorders>
            <w:vAlign w:val="center"/>
          </w:tcPr>
          <w:p>
            <w:pPr>
              <w:pStyle w:val="yTableNAm"/>
            </w:pPr>
            <w:r>
              <w:rPr>
                <w:szCs w:val="22"/>
              </w:rPr>
              <w:t>Karakin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Karlgarin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Karratha</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6</w:t>
            </w:r>
          </w:p>
        </w:tc>
      </w:tr>
      <w:tr>
        <w:tc>
          <w:tcPr>
            <w:tcW w:w="3204" w:type="dxa"/>
            <w:tcBorders>
              <w:top w:val="nil"/>
              <w:left w:val="nil"/>
              <w:bottom w:val="nil"/>
              <w:right w:val="nil"/>
            </w:tcBorders>
            <w:vAlign w:val="center"/>
          </w:tcPr>
          <w:p>
            <w:pPr>
              <w:pStyle w:val="yTableNAm"/>
            </w:pPr>
            <w:r>
              <w:rPr>
                <w:szCs w:val="22"/>
              </w:rPr>
              <w:t>Katanning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Katanning Farmlands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Kellerberrin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Kendenup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Kendenup Farmlands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Kirup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Kojonup/Muradup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Kondinin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Koorda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Kukerin/Moulyinning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Kulin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lastRenderedPageBreak/>
              <w:t>Kununoppin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tcPr>
          <w:p>
            <w:pPr>
              <w:pStyle w:val="yTableNAm"/>
            </w:pPr>
            <w:r>
              <w:rPr>
                <w:szCs w:val="22"/>
              </w:rPr>
              <w:t>Kununurra</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2</w:t>
            </w:r>
          </w:p>
        </w:tc>
      </w:tr>
      <w:tr>
        <w:tc>
          <w:tcPr>
            <w:tcW w:w="3204" w:type="dxa"/>
            <w:tcBorders>
              <w:top w:val="nil"/>
              <w:left w:val="nil"/>
              <w:bottom w:val="nil"/>
              <w:right w:val="nil"/>
            </w:tcBorders>
            <w:vAlign w:val="center"/>
          </w:tcPr>
          <w:p>
            <w:pPr>
              <w:pStyle w:val="yTableNAm"/>
            </w:pPr>
            <w:r>
              <w:rPr>
                <w:szCs w:val="22"/>
              </w:rPr>
              <w:t>Lake Grace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Lake King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Lancelin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Latham</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Laverton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Ledge Point</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Leeman</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Leonora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Mandurah</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3</w:t>
            </w:r>
          </w:p>
        </w:tc>
      </w:tr>
      <w:tr>
        <w:tc>
          <w:tcPr>
            <w:tcW w:w="3204" w:type="dxa"/>
            <w:tcBorders>
              <w:top w:val="nil"/>
              <w:left w:val="nil"/>
              <w:bottom w:val="nil"/>
              <w:right w:val="nil"/>
            </w:tcBorders>
            <w:vAlign w:val="center"/>
          </w:tcPr>
          <w:p>
            <w:pPr>
              <w:pStyle w:val="yTableNAm"/>
            </w:pPr>
            <w:r>
              <w:rPr>
                <w:szCs w:val="22"/>
              </w:rPr>
              <w:t>Manjimup</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Marble Bar</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Margaret River</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Marvel Loch</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Meckering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Meekatharra</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Menzies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Merredin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Merredin Farmlands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9</w:t>
            </w:r>
          </w:p>
        </w:tc>
      </w:tr>
      <w:tr>
        <w:tc>
          <w:tcPr>
            <w:tcW w:w="3204" w:type="dxa"/>
            <w:tcBorders>
              <w:top w:val="nil"/>
              <w:left w:val="nil"/>
              <w:bottom w:val="nil"/>
              <w:right w:val="nil"/>
            </w:tcBorders>
            <w:vAlign w:val="center"/>
          </w:tcPr>
          <w:p>
            <w:pPr>
              <w:pStyle w:val="yTableNAm"/>
            </w:pPr>
            <w:r>
              <w:rPr>
                <w:szCs w:val="22"/>
              </w:rPr>
              <w:t>Miling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Mingenew</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Moora</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3</w:t>
            </w:r>
          </w:p>
        </w:tc>
      </w:tr>
      <w:tr>
        <w:tc>
          <w:tcPr>
            <w:tcW w:w="3204" w:type="dxa"/>
            <w:tcBorders>
              <w:top w:val="nil"/>
              <w:left w:val="nil"/>
              <w:bottom w:val="nil"/>
              <w:right w:val="nil"/>
            </w:tcBorders>
            <w:vAlign w:val="center"/>
          </w:tcPr>
          <w:p>
            <w:pPr>
              <w:pStyle w:val="yTableNAm"/>
            </w:pPr>
            <w:r>
              <w:rPr>
                <w:szCs w:val="22"/>
              </w:rPr>
              <w:t>Moorine Rock</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Morawa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lastRenderedPageBreak/>
              <w:t>Mount Barker</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Mount Magnet</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Mount Roe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Mukinbudin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Mullalyup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Mullewa</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Mullewa Farmlands</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Munglinup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Muntadgin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Myalup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Nabawa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Nannup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Narembeen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Narngulu</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Narrikup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Narrogin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Narrogin Farmlands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8</w:t>
            </w:r>
          </w:p>
        </w:tc>
      </w:tr>
      <w:tr>
        <w:tc>
          <w:tcPr>
            <w:tcW w:w="3204" w:type="dxa"/>
            <w:tcBorders>
              <w:top w:val="nil"/>
              <w:left w:val="nil"/>
              <w:bottom w:val="nil"/>
              <w:right w:val="nil"/>
            </w:tcBorders>
            <w:vAlign w:val="center"/>
          </w:tcPr>
          <w:p>
            <w:pPr>
              <w:pStyle w:val="yTableNAm"/>
            </w:pPr>
            <w:r>
              <w:rPr>
                <w:szCs w:val="22"/>
              </w:rPr>
              <w:t>New Norcia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Newdegate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Newman</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Nilgen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8</w:t>
            </w:r>
          </w:p>
        </w:tc>
      </w:tr>
      <w:tr>
        <w:tc>
          <w:tcPr>
            <w:tcW w:w="3204" w:type="dxa"/>
            <w:tcBorders>
              <w:top w:val="nil"/>
              <w:left w:val="nil"/>
              <w:bottom w:val="nil"/>
              <w:right w:val="nil"/>
            </w:tcBorders>
            <w:vAlign w:val="center"/>
          </w:tcPr>
          <w:p>
            <w:pPr>
              <w:pStyle w:val="yTableNAm"/>
            </w:pPr>
            <w:r>
              <w:rPr>
                <w:szCs w:val="22"/>
              </w:rPr>
              <w:t>Norseman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14</w:t>
            </w:r>
          </w:p>
        </w:tc>
      </w:tr>
      <w:tr>
        <w:tc>
          <w:tcPr>
            <w:tcW w:w="3204" w:type="dxa"/>
            <w:tcBorders>
              <w:top w:val="nil"/>
              <w:left w:val="nil"/>
              <w:bottom w:val="nil"/>
              <w:right w:val="nil"/>
            </w:tcBorders>
            <w:vAlign w:val="center"/>
          </w:tcPr>
          <w:p>
            <w:pPr>
              <w:pStyle w:val="yTableNAm"/>
            </w:pPr>
            <w:r>
              <w:rPr>
                <w:szCs w:val="22"/>
              </w:rPr>
              <w:t>North Dandalup</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9</w:t>
            </w:r>
          </w:p>
        </w:tc>
      </w:tr>
      <w:tr>
        <w:tc>
          <w:tcPr>
            <w:tcW w:w="3204" w:type="dxa"/>
            <w:tcBorders>
              <w:top w:val="nil"/>
              <w:left w:val="nil"/>
              <w:bottom w:val="nil"/>
              <w:right w:val="nil"/>
            </w:tcBorders>
            <w:vAlign w:val="center"/>
          </w:tcPr>
          <w:p>
            <w:pPr>
              <w:pStyle w:val="yTableNAm"/>
            </w:pPr>
            <w:r>
              <w:rPr>
                <w:szCs w:val="22"/>
              </w:rPr>
              <w:t>Northam</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Northam Farmlands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9</w:t>
            </w:r>
          </w:p>
        </w:tc>
      </w:tr>
      <w:tr>
        <w:tc>
          <w:tcPr>
            <w:tcW w:w="3204" w:type="dxa"/>
            <w:tcBorders>
              <w:top w:val="nil"/>
              <w:left w:val="nil"/>
              <w:bottom w:val="nil"/>
              <w:right w:val="nil"/>
            </w:tcBorders>
            <w:vAlign w:val="center"/>
          </w:tcPr>
          <w:p>
            <w:pPr>
              <w:pStyle w:val="yTableNAm"/>
            </w:pPr>
            <w:r>
              <w:rPr>
                <w:szCs w:val="22"/>
              </w:rPr>
              <w:lastRenderedPageBreak/>
              <w:t>Northampton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Northcliffe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Nullagine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Nungarin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Nyabing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Ongerup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Onslow</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Ora Banda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Park Ridge</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Pemberton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Peppermint Grove Beach</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12</w:t>
            </w:r>
          </w:p>
        </w:tc>
      </w:tr>
      <w:tr>
        <w:tc>
          <w:tcPr>
            <w:tcW w:w="3204" w:type="dxa"/>
            <w:tcBorders>
              <w:top w:val="nil"/>
              <w:left w:val="nil"/>
              <w:bottom w:val="nil"/>
              <w:right w:val="nil"/>
            </w:tcBorders>
            <w:vAlign w:val="center"/>
          </w:tcPr>
          <w:p>
            <w:pPr>
              <w:pStyle w:val="yTableNAm"/>
            </w:pPr>
            <w:r>
              <w:rPr>
                <w:szCs w:val="22"/>
              </w:rPr>
              <w:t>Perenjori</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Pingaring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Pingelly</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Pingrup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Pinjarra</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Pithara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Point Samson</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Popanyinning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Porongurup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Porongurup Farmlands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Port Hedland</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Preston Beach</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Quairading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Quinninup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lastRenderedPageBreak/>
              <w:t>Ravensthorpe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Rocky Gully</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Roebourne</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Salmon Gums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Sandstone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Seabird</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South Hedland</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Southern Cross</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Tambellup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Tammin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Three Springs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Tincurrin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Toodyay</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Trayning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Varley</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Wagin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Walkaway</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Walpole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Wandering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Watheroo</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Wellstead</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Westonia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Wickepin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Wickham</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Widgiemooltha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lastRenderedPageBreak/>
              <w:t>Williams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Wiluna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Wongan Hills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Woodanilling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Woodridge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Wubin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Wundowie</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Wyalkatchem</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Wyndham</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Yalgoo</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Yarloop/Wagerup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Yealering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Yerecoin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York</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single" w:sz="4" w:space="0" w:color="auto"/>
              <w:right w:val="nil"/>
            </w:tcBorders>
            <w:vAlign w:val="center"/>
          </w:tcPr>
          <w:p>
            <w:pPr>
              <w:pStyle w:val="yTableNAm"/>
            </w:pPr>
            <w:r>
              <w:rPr>
                <w:szCs w:val="22"/>
              </w:rPr>
              <w:t>Yuna</w:t>
            </w:r>
          </w:p>
        </w:tc>
        <w:tc>
          <w:tcPr>
            <w:tcW w:w="1800" w:type="dxa"/>
            <w:tcBorders>
              <w:top w:val="nil"/>
              <w:left w:val="nil"/>
              <w:bottom w:val="single" w:sz="4" w:space="0" w:color="auto"/>
              <w:right w:val="nil"/>
            </w:tcBorders>
            <w:vAlign w:val="bottom"/>
          </w:tcPr>
          <w:p>
            <w:pPr>
              <w:pStyle w:val="yTableNAm"/>
            </w:pPr>
            <w:r>
              <w:rPr>
                <w:szCs w:val="22"/>
              </w:rPr>
              <w:t>5</w:t>
            </w:r>
          </w:p>
        </w:tc>
        <w:tc>
          <w:tcPr>
            <w:tcW w:w="1800" w:type="dxa"/>
            <w:tcBorders>
              <w:top w:val="nil"/>
              <w:left w:val="nil"/>
              <w:bottom w:val="single" w:sz="4" w:space="0" w:color="auto"/>
              <w:right w:val="nil"/>
            </w:tcBorders>
            <w:vAlign w:val="bottom"/>
          </w:tcPr>
          <w:p>
            <w:pPr>
              <w:pStyle w:val="yTableNAm"/>
            </w:pPr>
            <w:r>
              <w:rPr>
                <w:szCs w:val="22"/>
              </w:rPr>
              <w:t>15</w:t>
            </w:r>
          </w:p>
        </w:tc>
      </w:tr>
    </w:tbl>
    <w:p>
      <w:pPr>
        <w:pStyle w:val="yFootnotesection"/>
      </w:pPr>
      <w:r>
        <w:tab/>
        <w:t>[Schedule 10 inserted in Gazette 19 Jun 2013 p. 2412-22.]</w:t>
      </w:r>
    </w:p>
    <w:p>
      <w:pPr>
        <w:tabs>
          <w:tab w:val="left" w:pos="284"/>
          <w:tab w:val="left" w:pos="372"/>
          <w:tab w:val="left" w:pos="851"/>
          <w:tab w:val="right" w:pos="939"/>
          <w:tab w:val="left" w:pos="1179"/>
          <w:tab w:val="right" w:pos="1332"/>
          <w:tab w:val="left" w:pos="1418"/>
          <w:tab w:val="left" w:pos="1616"/>
        </w:tabs>
        <w:ind w:left="1179" w:hanging="1179"/>
        <w:rPr>
          <w:b/>
        </w:r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outlineLvl w:val="0"/>
      </w:pPr>
      <w:bookmarkStart w:id="80" w:name="_Toc84424807"/>
      <w:r>
        <w:lastRenderedPageBreak/>
        <w:t>Notes</w:t>
      </w:r>
      <w:bookmarkEnd w:id="80"/>
    </w:p>
    <w:p>
      <w:pPr>
        <w:pStyle w:val="nNote"/>
        <w:rPr>
          <w:snapToGrid w:val="0"/>
        </w:rPr>
      </w:pPr>
      <w:r>
        <w:rPr>
          <w:snapToGrid w:val="0"/>
          <w:vertAlign w:val="superscript"/>
        </w:rPr>
        <w:t>1</w:t>
      </w:r>
      <w:r>
        <w:rPr>
          <w:snapToGrid w:val="0"/>
        </w:rPr>
        <w:tab/>
        <w:t xml:space="preserve">This is a compilation of the </w:t>
      </w:r>
      <w:r>
        <w:rPr>
          <w:i/>
          <w:noProof/>
          <w:snapToGrid w:val="0"/>
        </w:rPr>
        <w:t>Water Agencies (Charges) By-laws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pPr>
      <w:bookmarkStart w:id="81" w:name="_Toc84424808"/>
      <w:r>
        <w:t>Compilation table</w:t>
      </w:r>
      <w:bookmarkEnd w:id="8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rPr>
                <w:vertAlign w:val="superscript"/>
              </w:rPr>
            </w:pPr>
            <w:r>
              <w:rPr>
                <w:i/>
              </w:rPr>
              <w:t>Water Authority (Charges) By</w:t>
            </w:r>
            <w:r>
              <w:rPr>
                <w:i/>
              </w:rPr>
              <w:noBreakHyphen/>
              <w:t>laws 1987</w:t>
            </w:r>
            <w:r>
              <w:rPr>
                <w:vertAlign w:val="superscript"/>
              </w:rPr>
              <w:t> 12</w:t>
            </w:r>
          </w:p>
        </w:tc>
        <w:tc>
          <w:tcPr>
            <w:tcW w:w="1276" w:type="dxa"/>
            <w:tcBorders>
              <w:top w:val="single" w:sz="8" w:space="0" w:color="auto"/>
            </w:tcBorders>
          </w:tcPr>
          <w:p>
            <w:pPr>
              <w:pStyle w:val="nTable"/>
              <w:spacing w:after="40"/>
            </w:pPr>
            <w:r>
              <w:t>14 Jul 1987 p. 2658</w:t>
            </w:r>
            <w:r>
              <w:noBreakHyphen/>
              <w:t>72</w:t>
            </w:r>
            <w:r>
              <w:br/>
              <w:t>(errata 24 Jul 1987 p. 2841)</w:t>
            </w:r>
          </w:p>
        </w:tc>
        <w:tc>
          <w:tcPr>
            <w:tcW w:w="2693" w:type="dxa"/>
            <w:tcBorders>
              <w:top w:val="single" w:sz="8" w:space="0" w:color="auto"/>
            </w:tcBorders>
          </w:tcPr>
          <w:p>
            <w:pPr>
              <w:pStyle w:val="nTable"/>
              <w:spacing w:after="40"/>
            </w:pPr>
            <w:r>
              <w:t>14 Jul 1987</w:t>
            </w:r>
          </w:p>
        </w:tc>
      </w:tr>
      <w:tr>
        <w:trPr>
          <w:cantSplit/>
        </w:trPr>
        <w:tc>
          <w:tcPr>
            <w:tcW w:w="3118" w:type="dxa"/>
          </w:tcPr>
          <w:p>
            <w:pPr>
              <w:pStyle w:val="nTable"/>
              <w:spacing w:after="40"/>
              <w:ind w:right="113"/>
            </w:pPr>
            <w:r>
              <w:rPr>
                <w:i/>
              </w:rPr>
              <w:t>Water Authority (Charges) Amendment By</w:t>
            </w:r>
            <w:r>
              <w:rPr>
                <w:i/>
              </w:rPr>
              <w:noBreakHyphen/>
              <w:t>laws 1987</w:t>
            </w:r>
          </w:p>
        </w:tc>
        <w:tc>
          <w:tcPr>
            <w:tcW w:w="1276" w:type="dxa"/>
          </w:tcPr>
          <w:p>
            <w:pPr>
              <w:pStyle w:val="nTable"/>
              <w:spacing w:after="40"/>
            </w:pPr>
            <w:r>
              <w:t>31 Jul 1987 p. 2884</w:t>
            </w:r>
          </w:p>
        </w:tc>
        <w:tc>
          <w:tcPr>
            <w:tcW w:w="2693" w:type="dxa"/>
          </w:tcPr>
          <w:p>
            <w:pPr>
              <w:pStyle w:val="nTable"/>
              <w:spacing w:after="40"/>
            </w:pPr>
            <w:r>
              <w:t>31 Jul 1987</w:t>
            </w:r>
          </w:p>
        </w:tc>
      </w:tr>
      <w:tr>
        <w:trPr>
          <w:cantSplit/>
        </w:trPr>
        <w:tc>
          <w:tcPr>
            <w:tcW w:w="3118" w:type="dxa"/>
          </w:tcPr>
          <w:p>
            <w:pPr>
              <w:pStyle w:val="nTable"/>
              <w:spacing w:after="40"/>
              <w:ind w:right="113"/>
            </w:pPr>
            <w:r>
              <w:rPr>
                <w:i/>
              </w:rPr>
              <w:t>Water Authority (Charges) Amendment By</w:t>
            </w:r>
            <w:r>
              <w:rPr>
                <w:i/>
              </w:rPr>
              <w:noBreakHyphen/>
              <w:t>laws 1988</w:t>
            </w:r>
          </w:p>
        </w:tc>
        <w:tc>
          <w:tcPr>
            <w:tcW w:w="1276" w:type="dxa"/>
          </w:tcPr>
          <w:p>
            <w:pPr>
              <w:pStyle w:val="nTable"/>
              <w:spacing w:after="40"/>
            </w:pPr>
            <w:r>
              <w:t>29 Jun 1988 p. 2112</w:t>
            </w:r>
            <w:r>
              <w:noBreakHyphen/>
              <w:t>22</w:t>
            </w:r>
          </w:p>
        </w:tc>
        <w:tc>
          <w:tcPr>
            <w:tcW w:w="2693" w:type="dxa"/>
          </w:tcPr>
          <w:p>
            <w:pPr>
              <w:pStyle w:val="nTable"/>
              <w:spacing w:after="40"/>
            </w:pPr>
            <w:r>
              <w:t>29 Jun 1988</w:t>
            </w:r>
          </w:p>
        </w:tc>
      </w:tr>
      <w:tr>
        <w:trPr>
          <w:cantSplit/>
        </w:trPr>
        <w:tc>
          <w:tcPr>
            <w:tcW w:w="3118" w:type="dxa"/>
          </w:tcPr>
          <w:p>
            <w:pPr>
              <w:pStyle w:val="nTable"/>
              <w:spacing w:after="40"/>
              <w:ind w:right="113"/>
            </w:pPr>
            <w:r>
              <w:rPr>
                <w:i/>
              </w:rPr>
              <w:t>Water Authority (Charges) Amendment By</w:t>
            </w:r>
            <w:r>
              <w:rPr>
                <w:i/>
              </w:rPr>
              <w:noBreakHyphen/>
              <w:t>laws (No. 2) 1988</w:t>
            </w:r>
          </w:p>
        </w:tc>
        <w:tc>
          <w:tcPr>
            <w:tcW w:w="1276" w:type="dxa"/>
          </w:tcPr>
          <w:p>
            <w:pPr>
              <w:pStyle w:val="nTable"/>
              <w:spacing w:after="40"/>
            </w:pPr>
            <w:r>
              <w:t>4 Jul 1988 p. 2178</w:t>
            </w:r>
          </w:p>
        </w:tc>
        <w:tc>
          <w:tcPr>
            <w:tcW w:w="2693" w:type="dxa"/>
          </w:tcPr>
          <w:p>
            <w:pPr>
              <w:pStyle w:val="nTable"/>
              <w:spacing w:after="40"/>
            </w:pPr>
            <w:r>
              <w:t>4 Jul 1988</w:t>
            </w:r>
          </w:p>
        </w:tc>
      </w:tr>
      <w:tr>
        <w:trPr>
          <w:cantSplit/>
        </w:trPr>
        <w:tc>
          <w:tcPr>
            <w:tcW w:w="3118" w:type="dxa"/>
          </w:tcPr>
          <w:p>
            <w:pPr>
              <w:pStyle w:val="nTable"/>
              <w:spacing w:after="40"/>
              <w:ind w:right="113"/>
            </w:pPr>
            <w:r>
              <w:rPr>
                <w:i/>
              </w:rPr>
              <w:t>Water Authority (Charges) Amendment By</w:t>
            </w:r>
            <w:r>
              <w:rPr>
                <w:i/>
              </w:rPr>
              <w:noBreakHyphen/>
              <w:t>laws (No. 3) 1988</w:t>
            </w:r>
          </w:p>
        </w:tc>
        <w:tc>
          <w:tcPr>
            <w:tcW w:w="1276" w:type="dxa"/>
          </w:tcPr>
          <w:p>
            <w:pPr>
              <w:pStyle w:val="nTable"/>
              <w:spacing w:after="40"/>
            </w:pPr>
            <w:r>
              <w:t>8 Jul 1988 p. 2387</w:t>
            </w:r>
          </w:p>
        </w:tc>
        <w:tc>
          <w:tcPr>
            <w:tcW w:w="2693" w:type="dxa"/>
          </w:tcPr>
          <w:p>
            <w:pPr>
              <w:pStyle w:val="nTable"/>
              <w:spacing w:after="40"/>
            </w:pPr>
            <w:r>
              <w:t>8 Jul 1988</w:t>
            </w:r>
          </w:p>
        </w:tc>
      </w:tr>
      <w:tr>
        <w:trPr>
          <w:cantSplit/>
        </w:trPr>
        <w:tc>
          <w:tcPr>
            <w:tcW w:w="3118" w:type="dxa"/>
          </w:tcPr>
          <w:p>
            <w:pPr>
              <w:pStyle w:val="nTable"/>
              <w:spacing w:after="40"/>
              <w:ind w:right="113"/>
            </w:pPr>
            <w:r>
              <w:rPr>
                <w:i/>
              </w:rPr>
              <w:t>Water Authority (Charges) Amendment By</w:t>
            </w:r>
            <w:r>
              <w:rPr>
                <w:i/>
              </w:rPr>
              <w:noBreakHyphen/>
              <w:t>laws (No. 4) 1988</w:t>
            </w:r>
          </w:p>
        </w:tc>
        <w:tc>
          <w:tcPr>
            <w:tcW w:w="1276" w:type="dxa"/>
          </w:tcPr>
          <w:p>
            <w:pPr>
              <w:pStyle w:val="nTable"/>
              <w:spacing w:after="40"/>
            </w:pPr>
            <w:r>
              <w:t>14 Oct 1988 p. 4174</w:t>
            </w:r>
          </w:p>
        </w:tc>
        <w:tc>
          <w:tcPr>
            <w:tcW w:w="2693" w:type="dxa"/>
          </w:tcPr>
          <w:p>
            <w:pPr>
              <w:pStyle w:val="nTable"/>
              <w:spacing w:after="40"/>
            </w:pPr>
            <w:r>
              <w:t>14 Oct 1988</w:t>
            </w:r>
          </w:p>
        </w:tc>
      </w:tr>
      <w:tr>
        <w:trPr>
          <w:cantSplit/>
        </w:trPr>
        <w:tc>
          <w:tcPr>
            <w:tcW w:w="3118" w:type="dxa"/>
          </w:tcPr>
          <w:p>
            <w:pPr>
              <w:pStyle w:val="nTable"/>
              <w:spacing w:after="40"/>
              <w:ind w:right="113"/>
            </w:pPr>
            <w:r>
              <w:rPr>
                <w:i/>
              </w:rPr>
              <w:t>Water Authority (Charges) Amendment By</w:t>
            </w:r>
            <w:r>
              <w:rPr>
                <w:i/>
              </w:rPr>
              <w:noBreakHyphen/>
              <w:t>laws (No. 5) 1988</w:t>
            </w:r>
          </w:p>
        </w:tc>
        <w:tc>
          <w:tcPr>
            <w:tcW w:w="1276" w:type="dxa"/>
          </w:tcPr>
          <w:p>
            <w:pPr>
              <w:pStyle w:val="nTable"/>
              <w:spacing w:after="40"/>
            </w:pPr>
            <w:r>
              <w:t>20 Jan 1989 p. 121</w:t>
            </w:r>
          </w:p>
        </w:tc>
        <w:tc>
          <w:tcPr>
            <w:tcW w:w="2693" w:type="dxa"/>
          </w:tcPr>
          <w:p>
            <w:pPr>
              <w:pStyle w:val="nTable"/>
              <w:spacing w:after="40"/>
            </w:pPr>
            <w:r>
              <w:t>20 Jan 1989</w:t>
            </w:r>
          </w:p>
        </w:tc>
      </w:tr>
      <w:tr>
        <w:trPr>
          <w:cantSplit/>
        </w:trPr>
        <w:tc>
          <w:tcPr>
            <w:tcW w:w="3118" w:type="dxa"/>
          </w:tcPr>
          <w:p>
            <w:pPr>
              <w:pStyle w:val="nTable"/>
              <w:spacing w:after="40"/>
              <w:ind w:right="113"/>
            </w:pPr>
            <w:r>
              <w:rPr>
                <w:i/>
              </w:rPr>
              <w:t>Water Authority (Charges) Amendment By</w:t>
            </w:r>
            <w:r>
              <w:rPr>
                <w:i/>
              </w:rPr>
              <w:noBreakHyphen/>
              <w:t>laws 1989</w:t>
            </w:r>
          </w:p>
        </w:tc>
        <w:tc>
          <w:tcPr>
            <w:tcW w:w="1276" w:type="dxa"/>
          </w:tcPr>
          <w:p>
            <w:pPr>
              <w:pStyle w:val="nTable"/>
              <w:spacing w:after="40"/>
            </w:pPr>
            <w:r>
              <w:t>10 Mar 1989 p. 712</w:t>
            </w:r>
          </w:p>
        </w:tc>
        <w:tc>
          <w:tcPr>
            <w:tcW w:w="2693" w:type="dxa"/>
          </w:tcPr>
          <w:p>
            <w:pPr>
              <w:pStyle w:val="nTable"/>
              <w:spacing w:after="40"/>
            </w:pPr>
            <w:r>
              <w:t>10 Mar 1989</w:t>
            </w:r>
          </w:p>
        </w:tc>
      </w:tr>
      <w:tr>
        <w:trPr>
          <w:cantSplit/>
        </w:trPr>
        <w:tc>
          <w:tcPr>
            <w:tcW w:w="3118" w:type="dxa"/>
          </w:tcPr>
          <w:p>
            <w:pPr>
              <w:pStyle w:val="nTable"/>
              <w:spacing w:after="40"/>
              <w:ind w:right="113"/>
            </w:pPr>
            <w:r>
              <w:rPr>
                <w:i/>
              </w:rPr>
              <w:t>Water Authority (Charges) Amendment By</w:t>
            </w:r>
            <w:r>
              <w:rPr>
                <w:i/>
              </w:rPr>
              <w:noBreakHyphen/>
              <w:t>laws (No. 2) 1989</w:t>
            </w:r>
          </w:p>
        </w:tc>
        <w:tc>
          <w:tcPr>
            <w:tcW w:w="1276" w:type="dxa"/>
          </w:tcPr>
          <w:p>
            <w:pPr>
              <w:pStyle w:val="nTable"/>
              <w:spacing w:after="40"/>
            </w:pPr>
            <w:r>
              <w:t>23 Jun 1989 p. 1824</w:t>
            </w:r>
          </w:p>
        </w:tc>
        <w:tc>
          <w:tcPr>
            <w:tcW w:w="2693" w:type="dxa"/>
          </w:tcPr>
          <w:p>
            <w:pPr>
              <w:pStyle w:val="nTable"/>
              <w:spacing w:after="40"/>
            </w:pPr>
            <w:r>
              <w:t>23 Jun 1989</w:t>
            </w:r>
          </w:p>
        </w:tc>
      </w:tr>
      <w:tr>
        <w:trPr>
          <w:cantSplit/>
        </w:trPr>
        <w:tc>
          <w:tcPr>
            <w:tcW w:w="3118" w:type="dxa"/>
          </w:tcPr>
          <w:p>
            <w:pPr>
              <w:pStyle w:val="nTable"/>
              <w:spacing w:after="40"/>
              <w:ind w:right="113"/>
              <w:rPr>
                <w:vertAlign w:val="superscript"/>
              </w:rPr>
            </w:pPr>
            <w:r>
              <w:rPr>
                <w:i/>
              </w:rPr>
              <w:t>Water Authority (Charges) Amendment By</w:t>
            </w:r>
            <w:r>
              <w:rPr>
                <w:i/>
              </w:rPr>
              <w:noBreakHyphen/>
              <w:t>laws (No. 3) 1989</w:t>
            </w:r>
            <w:r>
              <w:rPr>
                <w:vertAlign w:val="superscript"/>
              </w:rPr>
              <w:t> 13</w:t>
            </w:r>
          </w:p>
        </w:tc>
        <w:tc>
          <w:tcPr>
            <w:tcW w:w="1276" w:type="dxa"/>
          </w:tcPr>
          <w:p>
            <w:pPr>
              <w:pStyle w:val="nTable"/>
              <w:spacing w:after="40"/>
            </w:pPr>
            <w:r>
              <w:t>29 Jun 1989 p. 1870</w:t>
            </w:r>
            <w:r>
              <w:noBreakHyphen/>
              <w:t>82</w:t>
            </w:r>
            <w:r>
              <w:br/>
              <w:t>(errata 7 Jul 1989 p. 2075)</w:t>
            </w:r>
          </w:p>
        </w:tc>
        <w:tc>
          <w:tcPr>
            <w:tcW w:w="2693" w:type="dxa"/>
          </w:tcPr>
          <w:p>
            <w:pPr>
              <w:pStyle w:val="nTable"/>
              <w:spacing w:after="40"/>
            </w:pPr>
            <w:r>
              <w:t>29 Jun 1989</w:t>
            </w:r>
          </w:p>
        </w:tc>
      </w:tr>
      <w:tr>
        <w:trPr>
          <w:cantSplit/>
        </w:trPr>
        <w:tc>
          <w:tcPr>
            <w:tcW w:w="3118" w:type="dxa"/>
          </w:tcPr>
          <w:p>
            <w:pPr>
              <w:pStyle w:val="nTable"/>
              <w:spacing w:after="40"/>
              <w:ind w:right="113"/>
            </w:pPr>
            <w:r>
              <w:rPr>
                <w:i/>
              </w:rPr>
              <w:t>Water Authority (Charges) Amendment By</w:t>
            </w:r>
            <w:r>
              <w:rPr>
                <w:i/>
              </w:rPr>
              <w:noBreakHyphen/>
              <w:t>laws (No. 4) 1989</w:t>
            </w:r>
          </w:p>
        </w:tc>
        <w:tc>
          <w:tcPr>
            <w:tcW w:w="1276" w:type="dxa"/>
          </w:tcPr>
          <w:p>
            <w:pPr>
              <w:pStyle w:val="nTable"/>
              <w:spacing w:after="40"/>
            </w:pPr>
            <w:r>
              <w:t>7 Jul 1989 p. 2077</w:t>
            </w:r>
          </w:p>
        </w:tc>
        <w:tc>
          <w:tcPr>
            <w:tcW w:w="2693" w:type="dxa"/>
          </w:tcPr>
          <w:p>
            <w:pPr>
              <w:pStyle w:val="nTable"/>
              <w:spacing w:after="40"/>
            </w:pPr>
            <w:r>
              <w:t>7 Jul 1989</w:t>
            </w:r>
          </w:p>
        </w:tc>
      </w:tr>
      <w:tr>
        <w:trPr>
          <w:cantSplit/>
        </w:trPr>
        <w:tc>
          <w:tcPr>
            <w:tcW w:w="3118" w:type="dxa"/>
          </w:tcPr>
          <w:p>
            <w:pPr>
              <w:pStyle w:val="nTable"/>
              <w:spacing w:after="40"/>
              <w:ind w:right="113"/>
            </w:pPr>
            <w:r>
              <w:rPr>
                <w:i/>
              </w:rPr>
              <w:t>Water Authority (Charges) Amendment By</w:t>
            </w:r>
            <w:r>
              <w:rPr>
                <w:i/>
              </w:rPr>
              <w:noBreakHyphen/>
              <w:t>laws (No. 5) 1989</w:t>
            </w:r>
          </w:p>
        </w:tc>
        <w:tc>
          <w:tcPr>
            <w:tcW w:w="1276" w:type="dxa"/>
          </w:tcPr>
          <w:p>
            <w:pPr>
              <w:pStyle w:val="nTable"/>
              <w:spacing w:after="40"/>
            </w:pPr>
            <w:r>
              <w:t>7 Jul 1989 p. 2078</w:t>
            </w:r>
          </w:p>
        </w:tc>
        <w:tc>
          <w:tcPr>
            <w:tcW w:w="2693" w:type="dxa"/>
          </w:tcPr>
          <w:p>
            <w:pPr>
              <w:pStyle w:val="nTable"/>
              <w:spacing w:after="40"/>
            </w:pPr>
            <w:r>
              <w:t>7 Jul 1989</w:t>
            </w:r>
          </w:p>
        </w:tc>
      </w:tr>
      <w:tr>
        <w:trPr>
          <w:cantSplit/>
        </w:trPr>
        <w:tc>
          <w:tcPr>
            <w:tcW w:w="3118" w:type="dxa"/>
          </w:tcPr>
          <w:p>
            <w:pPr>
              <w:pStyle w:val="nTable"/>
              <w:spacing w:after="40"/>
              <w:ind w:right="113"/>
            </w:pPr>
            <w:r>
              <w:rPr>
                <w:i/>
              </w:rPr>
              <w:t>Water Authority (Charges) Amendment By</w:t>
            </w:r>
            <w:r>
              <w:rPr>
                <w:i/>
              </w:rPr>
              <w:noBreakHyphen/>
              <w:t>laws (No. 6) 1989</w:t>
            </w:r>
          </w:p>
        </w:tc>
        <w:tc>
          <w:tcPr>
            <w:tcW w:w="1276" w:type="dxa"/>
          </w:tcPr>
          <w:p>
            <w:pPr>
              <w:pStyle w:val="nTable"/>
              <w:spacing w:after="40"/>
            </w:pPr>
            <w:r>
              <w:t>27 Oct 1989 p. 3898</w:t>
            </w:r>
            <w:r>
              <w:noBreakHyphen/>
              <w:t>9</w:t>
            </w:r>
          </w:p>
        </w:tc>
        <w:tc>
          <w:tcPr>
            <w:tcW w:w="2693" w:type="dxa"/>
          </w:tcPr>
          <w:p>
            <w:pPr>
              <w:pStyle w:val="nTable"/>
              <w:spacing w:after="40"/>
            </w:pPr>
            <w:r>
              <w:t>27 Oct 1989</w:t>
            </w:r>
          </w:p>
        </w:tc>
      </w:tr>
      <w:tr>
        <w:trPr>
          <w:cantSplit/>
        </w:trPr>
        <w:tc>
          <w:tcPr>
            <w:tcW w:w="3118" w:type="dxa"/>
          </w:tcPr>
          <w:p>
            <w:pPr>
              <w:pStyle w:val="nTable"/>
              <w:spacing w:after="40"/>
              <w:ind w:right="113"/>
            </w:pPr>
            <w:r>
              <w:rPr>
                <w:i/>
              </w:rPr>
              <w:lastRenderedPageBreak/>
              <w:t>Water Authority (Charges) Amendment By</w:t>
            </w:r>
            <w:r>
              <w:rPr>
                <w:i/>
              </w:rPr>
              <w:noBreakHyphen/>
              <w:t>laws (No. 7) 1989</w:t>
            </w:r>
          </w:p>
        </w:tc>
        <w:tc>
          <w:tcPr>
            <w:tcW w:w="1276" w:type="dxa"/>
          </w:tcPr>
          <w:p>
            <w:pPr>
              <w:pStyle w:val="nTable"/>
              <w:spacing w:after="40"/>
            </w:pPr>
            <w:r>
              <w:t>17 Nov 1989 p. 4117</w:t>
            </w:r>
          </w:p>
        </w:tc>
        <w:tc>
          <w:tcPr>
            <w:tcW w:w="2693" w:type="dxa"/>
          </w:tcPr>
          <w:p>
            <w:pPr>
              <w:pStyle w:val="nTable"/>
              <w:spacing w:after="40"/>
            </w:pPr>
            <w:r>
              <w:t>17 Nov 1989</w:t>
            </w:r>
          </w:p>
        </w:tc>
      </w:tr>
      <w:tr>
        <w:trPr>
          <w:cantSplit/>
        </w:trPr>
        <w:tc>
          <w:tcPr>
            <w:tcW w:w="3118" w:type="dxa"/>
          </w:tcPr>
          <w:p>
            <w:pPr>
              <w:pStyle w:val="nTable"/>
              <w:spacing w:after="40"/>
              <w:ind w:right="113"/>
              <w:rPr>
                <w:vertAlign w:val="superscript"/>
              </w:rPr>
            </w:pPr>
            <w:r>
              <w:rPr>
                <w:i/>
              </w:rPr>
              <w:t>Water Authority (Charges) Amendment By</w:t>
            </w:r>
            <w:r>
              <w:rPr>
                <w:i/>
              </w:rPr>
              <w:noBreakHyphen/>
              <w:t>laws 1990</w:t>
            </w:r>
            <w:r>
              <w:rPr>
                <w:vertAlign w:val="superscript"/>
              </w:rPr>
              <w:t> 14</w:t>
            </w:r>
          </w:p>
        </w:tc>
        <w:tc>
          <w:tcPr>
            <w:tcW w:w="1276" w:type="dxa"/>
          </w:tcPr>
          <w:p>
            <w:pPr>
              <w:pStyle w:val="nTable"/>
              <w:spacing w:after="40"/>
            </w:pPr>
            <w:r>
              <w:t>29 Jun 1990 p. 3226</w:t>
            </w:r>
            <w:r>
              <w:noBreakHyphen/>
              <w:t>40</w:t>
            </w:r>
            <w:r>
              <w:br/>
              <w:t>(errata 6 Jul 1990 p. 3317)</w:t>
            </w:r>
          </w:p>
        </w:tc>
        <w:tc>
          <w:tcPr>
            <w:tcW w:w="2693" w:type="dxa"/>
          </w:tcPr>
          <w:p>
            <w:pPr>
              <w:pStyle w:val="nTable"/>
              <w:spacing w:after="40"/>
            </w:pPr>
            <w:r>
              <w:t>29 Jun 1990</w:t>
            </w:r>
          </w:p>
        </w:tc>
      </w:tr>
      <w:tr>
        <w:trPr>
          <w:cantSplit/>
        </w:trPr>
        <w:tc>
          <w:tcPr>
            <w:tcW w:w="3118" w:type="dxa"/>
          </w:tcPr>
          <w:p>
            <w:pPr>
              <w:pStyle w:val="nTable"/>
              <w:spacing w:after="40"/>
              <w:ind w:right="113"/>
              <w:rPr>
                <w:vertAlign w:val="superscript"/>
              </w:rPr>
            </w:pPr>
            <w:r>
              <w:rPr>
                <w:i/>
              </w:rPr>
              <w:t>Water Authority (Charges) Amendment By</w:t>
            </w:r>
            <w:r>
              <w:rPr>
                <w:i/>
              </w:rPr>
              <w:noBreakHyphen/>
              <w:t>laws 1991</w:t>
            </w:r>
            <w:r>
              <w:rPr>
                <w:i/>
                <w:vertAlign w:val="superscript"/>
              </w:rPr>
              <w:t> </w:t>
            </w:r>
            <w:r>
              <w:rPr>
                <w:vertAlign w:val="superscript"/>
              </w:rPr>
              <w:t>15</w:t>
            </w:r>
          </w:p>
        </w:tc>
        <w:tc>
          <w:tcPr>
            <w:tcW w:w="1276" w:type="dxa"/>
          </w:tcPr>
          <w:p>
            <w:pPr>
              <w:pStyle w:val="nTable"/>
              <w:spacing w:after="40"/>
            </w:pPr>
            <w:r>
              <w:t>28 Jun 1991 p. 3267</w:t>
            </w:r>
            <w:r>
              <w:noBreakHyphen/>
              <w:t>80</w:t>
            </w:r>
            <w:r>
              <w:br/>
              <w:t>(errata 5 Jul 1991 p. 3379)</w:t>
            </w:r>
          </w:p>
        </w:tc>
        <w:tc>
          <w:tcPr>
            <w:tcW w:w="2693" w:type="dxa"/>
          </w:tcPr>
          <w:p>
            <w:pPr>
              <w:pStyle w:val="nTable"/>
              <w:spacing w:after="40"/>
            </w:pPr>
            <w:r>
              <w:t>28 Jun 1991</w:t>
            </w:r>
          </w:p>
        </w:tc>
      </w:tr>
      <w:tr>
        <w:trPr>
          <w:cantSplit/>
        </w:trPr>
        <w:tc>
          <w:tcPr>
            <w:tcW w:w="3118" w:type="dxa"/>
          </w:tcPr>
          <w:p>
            <w:pPr>
              <w:pStyle w:val="nTable"/>
              <w:spacing w:after="40"/>
              <w:ind w:right="113"/>
            </w:pPr>
            <w:r>
              <w:rPr>
                <w:i/>
              </w:rPr>
              <w:t>Water Authority (Charges) Amendment By</w:t>
            </w:r>
            <w:r>
              <w:rPr>
                <w:i/>
              </w:rPr>
              <w:noBreakHyphen/>
              <w:t>laws (No. 2) 1991</w:t>
            </w:r>
          </w:p>
        </w:tc>
        <w:tc>
          <w:tcPr>
            <w:tcW w:w="1276" w:type="dxa"/>
          </w:tcPr>
          <w:p>
            <w:pPr>
              <w:pStyle w:val="nTable"/>
              <w:spacing w:after="40"/>
            </w:pPr>
            <w:r>
              <w:t>20 Sep 1991 p. 4952</w:t>
            </w:r>
            <w:r>
              <w:noBreakHyphen/>
              <w:t>3</w:t>
            </w:r>
          </w:p>
        </w:tc>
        <w:tc>
          <w:tcPr>
            <w:tcW w:w="2693" w:type="dxa"/>
          </w:tcPr>
          <w:p>
            <w:pPr>
              <w:pStyle w:val="nTable"/>
              <w:spacing w:after="40"/>
            </w:pPr>
            <w:r>
              <w:t>20 Sep 1991</w:t>
            </w:r>
          </w:p>
        </w:tc>
      </w:tr>
      <w:tr>
        <w:trPr>
          <w:cantSplit/>
        </w:trPr>
        <w:tc>
          <w:tcPr>
            <w:tcW w:w="3118" w:type="dxa"/>
          </w:tcPr>
          <w:p>
            <w:pPr>
              <w:pStyle w:val="nTable"/>
              <w:spacing w:after="40"/>
              <w:ind w:right="113"/>
            </w:pPr>
            <w:r>
              <w:rPr>
                <w:i/>
              </w:rPr>
              <w:t>Water Authority (Charges) Amendment By</w:t>
            </w:r>
            <w:r>
              <w:rPr>
                <w:i/>
              </w:rPr>
              <w:noBreakHyphen/>
              <w:t>laws (No. 3) 1991</w:t>
            </w:r>
          </w:p>
        </w:tc>
        <w:tc>
          <w:tcPr>
            <w:tcW w:w="1276" w:type="dxa"/>
          </w:tcPr>
          <w:p>
            <w:pPr>
              <w:pStyle w:val="nTable"/>
              <w:spacing w:after="40"/>
            </w:pPr>
            <w:r>
              <w:t>20 Sep 1991 p. 4954</w:t>
            </w:r>
            <w:r>
              <w:noBreakHyphen/>
              <w:t>5</w:t>
            </w:r>
          </w:p>
        </w:tc>
        <w:tc>
          <w:tcPr>
            <w:tcW w:w="2693" w:type="dxa"/>
          </w:tcPr>
          <w:p>
            <w:pPr>
              <w:pStyle w:val="nTable"/>
              <w:spacing w:after="40"/>
            </w:pPr>
            <w:r>
              <w:t>20 Sep 1991</w:t>
            </w:r>
          </w:p>
        </w:tc>
      </w:tr>
      <w:tr>
        <w:trPr>
          <w:cantSplit/>
        </w:trPr>
        <w:tc>
          <w:tcPr>
            <w:tcW w:w="3118" w:type="dxa"/>
          </w:tcPr>
          <w:p>
            <w:pPr>
              <w:pStyle w:val="nTable"/>
              <w:spacing w:after="40"/>
              <w:ind w:right="113"/>
              <w:rPr>
                <w:vertAlign w:val="superscript"/>
              </w:rPr>
            </w:pPr>
            <w:r>
              <w:rPr>
                <w:i/>
              </w:rPr>
              <w:t>Water Authority (Charges) Amendment By</w:t>
            </w:r>
            <w:r>
              <w:rPr>
                <w:i/>
              </w:rPr>
              <w:noBreakHyphen/>
              <w:t>laws 1992</w:t>
            </w:r>
            <w:r>
              <w:rPr>
                <w:i/>
                <w:vertAlign w:val="superscript"/>
              </w:rPr>
              <w:t> </w:t>
            </w:r>
            <w:r>
              <w:rPr>
                <w:vertAlign w:val="superscript"/>
              </w:rPr>
              <w:t>16</w:t>
            </w:r>
          </w:p>
        </w:tc>
        <w:tc>
          <w:tcPr>
            <w:tcW w:w="1276" w:type="dxa"/>
          </w:tcPr>
          <w:p>
            <w:pPr>
              <w:pStyle w:val="nTable"/>
              <w:spacing w:after="40"/>
            </w:pPr>
            <w:r>
              <w:t>28 Feb 1992 p. 1024</w:t>
            </w:r>
          </w:p>
        </w:tc>
        <w:tc>
          <w:tcPr>
            <w:tcW w:w="2693" w:type="dxa"/>
          </w:tcPr>
          <w:p>
            <w:pPr>
              <w:pStyle w:val="nTable"/>
              <w:spacing w:after="40"/>
            </w:pPr>
            <w:r>
              <w:t>28 Feb 1992</w:t>
            </w:r>
          </w:p>
        </w:tc>
      </w:tr>
      <w:tr>
        <w:trPr>
          <w:cantSplit/>
        </w:trPr>
        <w:tc>
          <w:tcPr>
            <w:tcW w:w="3118" w:type="dxa"/>
          </w:tcPr>
          <w:p>
            <w:pPr>
              <w:pStyle w:val="nTable"/>
              <w:spacing w:after="40"/>
              <w:ind w:right="113"/>
            </w:pPr>
            <w:r>
              <w:rPr>
                <w:i/>
              </w:rPr>
              <w:t>Water Authority (Charges) Amendment By</w:t>
            </w:r>
            <w:r>
              <w:rPr>
                <w:i/>
              </w:rPr>
              <w:noBreakHyphen/>
              <w:t>laws (No. 2) 1992</w:t>
            </w:r>
          </w:p>
        </w:tc>
        <w:tc>
          <w:tcPr>
            <w:tcW w:w="1276" w:type="dxa"/>
          </w:tcPr>
          <w:p>
            <w:pPr>
              <w:pStyle w:val="nTable"/>
              <w:spacing w:after="40"/>
            </w:pPr>
            <w:r>
              <w:t>28 Feb 1992 p. 1025</w:t>
            </w:r>
          </w:p>
        </w:tc>
        <w:tc>
          <w:tcPr>
            <w:tcW w:w="2693" w:type="dxa"/>
          </w:tcPr>
          <w:p>
            <w:pPr>
              <w:pStyle w:val="nTable"/>
              <w:spacing w:after="40"/>
            </w:pPr>
            <w:r>
              <w:t>28 Feb 1992</w:t>
            </w:r>
          </w:p>
        </w:tc>
      </w:tr>
      <w:tr>
        <w:trPr>
          <w:cantSplit/>
        </w:trPr>
        <w:tc>
          <w:tcPr>
            <w:tcW w:w="3118" w:type="dxa"/>
          </w:tcPr>
          <w:p>
            <w:pPr>
              <w:pStyle w:val="nTable"/>
              <w:spacing w:after="40"/>
              <w:ind w:right="113"/>
            </w:pPr>
            <w:r>
              <w:rPr>
                <w:i/>
              </w:rPr>
              <w:t>Water Authority (Charges) Amendment By</w:t>
            </w:r>
            <w:r>
              <w:rPr>
                <w:i/>
              </w:rPr>
              <w:noBreakHyphen/>
              <w:t>laws (No. 3) 1992</w:t>
            </w:r>
          </w:p>
        </w:tc>
        <w:tc>
          <w:tcPr>
            <w:tcW w:w="1276" w:type="dxa"/>
          </w:tcPr>
          <w:p>
            <w:pPr>
              <w:pStyle w:val="nTable"/>
              <w:spacing w:after="40"/>
            </w:pPr>
            <w:r>
              <w:t>1 May 1992 p. 1864</w:t>
            </w:r>
          </w:p>
        </w:tc>
        <w:tc>
          <w:tcPr>
            <w:tcW w:w="2693" w:type="dxa"/>
          </w:tcPr>
          <w:p>
            <w:pPr>
              <w:pStyle w:val="nTable"/>
              <w:spacing w:after="40"/>
            </w:pPr>
            <w:r>
              <w:t>1 May 1992</w:t>
            </w:r>
          </w:p>
        </w:tc>
      </w:tr>
      <w:tr>
        <w:trPr>
          <w:cantSplit/>
        </w:trPr>
        <w:tc>
          <w:tcPr>
            <w:tcW w:w="3118" w:type="dxa"/>
          </w:tcPr>
          <w:p>
            <w:pPr>
              <w:pStyle w:val="nTable"/>
              <w:spacing w:after="40"/>
              <w:ind w:right="113"/>
              <w:rPr>
                <w:vertAlign w:val="superscript"/>
              </w:rPr>
            </w:pPr>
            <w:r>
              <w:rPr>
                <w:i/>
              </w:rPr>
              <w:t>Water Authority (Charges) Amendment By</w:t>
            </w:r>
            <w:r>
              <w:rPr>
                <w:i/>
              </w:rPr>
              <w:noBreakHyphen/>
              <w:t>laws (No. 4) 1992</w:t>
            </w:r>
            <w:r>
              <w:rPr>
                <w:vertAlign w:val="superscript"/>
              </w:rPr>
              <w:t> 17</w:t>
            </w:r>
          </w:p>
        </w:tc>
        <w:tc>
          <w:tcPr>
            <w:tcW w:w="1276" w:type="dxa"/>
          </w:tcPr>
          <w:p>
            <w:pPr>
              <w:pStyle w:val="nTable"/>
              <w:spacing w:after="40"/>
            </w:pPr>
            <w:r>
              <w:t>1 May 1992 p. 1865</w:t>
            </w:r>
          </w:p>
        </w:tc>
        <w:tc>
          <w:tcPr>
            <w:tcW w:w="2693" w:type="dxa"/>
          </w:tcPr>
          <w:p>
            <w:pPr>
              <w:pStyle w:val="nTable"/>
              <w:spacing w:after="40"/>
            </w:pPr>
            <w:r>
              <w:t>1 May 1992</w:t>
            </w:r>
          </w:p>
        </w:tc>
      </w:tr>
      <w:tr>
        <w:trPr>
          <w:cantSplit/>
        </w:trPr>
        <w:tc>
          <w:tcPr>
            <w:tcW w:w="3118" w:type="dxa"/>
          </w:tcPr>
          <w:p>
            <w:pPr>
              <w:pStyle w:val="nTable"/>
              <w:keepNext/>
              <w:keepLines/>
              <w:spacing w:after="40"/>
              <w:ind w:right="113"/>
            </w:pPr>
            <w:r>
              <w:rPr>
                <w:i/>
              </w:rPr>
              <w:t>Water Authority (Charges) Amendment By</w:t>
            </w:r>
            <w:r>
              <w:rPr>
                <w:i/>
              </w:rPr>
              <w:noBreakHyphen/>
              <w:t>laws (No. 5) 1992</w:t>
            </w:r>
          </w:p>
        </w:tc>
        <w:tc>
          <w:tcPr>
            <w:tcW w:w="1276" w:type="dxa"/>
          </w:tcPr>
          <w:p>
            <w:pPr>
              <w:pStyle w:val="nTable"/>
              <w:keepNext/>
              <w:keepLines/>
              <w:spacing w:after="40"/>
            </w:pPr>
            <w:r>
              <w:t>26 Jun 1992 p. 2812</w:t>
            </w:r>
            <w:r>
              <w:noBreakHyphen/>
              <w:t>31</w:t>
            </w:r>
          </w:p>
        </w:tc>
        <w:tc>
          <w:tcPr>
            <w:tcW w:w="2693" w:type="dxa"/>
          </w:tcPr>
          <w:p>
            <w:pPr>
              <w:pStyle w:val="nTable"/>
              <w:keepNext/>
              <w:keepLines/>
              <w:spacing w:after="40"/>
            </w:pPr>
            <w:r>
              <w:t>1 Jul 1992 (see bl. 2)</w:t>
            </w:r>
          </w:p>
        </w:tc>
      </w:tr>
      <w:tr>
        <w:trPr>
          <w:cantSplit/>
        </w:trPr>
        <w:tc>
          <w:tcPr>
            <w:tcW w:w="3118" w:type="dxa"/>
          </w:tcPr>
          <w:p>
            <w:pPr>
              <w:pStyle w:val="nTable"/>
              <w:spacing w:after="40"/>
              <w:ind w:right="113"/>
            </w:pPr>
            <w:r>
              <w:rPr>
                <w:i/>
              </w:rPr>
              <w:t>Water Authority (Charges) Amendment By</w:t>
            </w:r>
            <w:r>
              <w:rPr>
                <w:i/>
              </w:rPr>
              <w:noBreakHyphen/>
              <w:t>laws (No. 6) 1992</w:t>
            </w:r>
          </w:p>
        </w:tc>
        <w:tc>
          <w:tcPr>
            <w:tcW w:w="1276" w:type="dxa"/>
          </w:tcPr>
          <w:p>
            <w:pPr>
              <w:pStyle w:val="nTable"/>
              <w:spacing w:after="40"/>
            </w:pPr>
            <w:r>
              <w:t>26 Jun 1992 p. 2831</w:t>
            </w:r>
            <w:r>
              <w:noBreakHyphen/>
              <w:t>2</w:t>
            </w:r>
          </w:p>
        </w:tc>
        <w:tc>
          <w:tcPr>
            <w:tcW w:w="2693" w:type="dxa"/>
          </w:tcPr>
          <w:p>
            <w:pPr>
              <w:pStyle w:val="nTable"/>
              <w:spacing w:after="40"/>
            </w:pPr>
            <w:r>
              <w:t>1 Jul 1992 (see bl. 2)</w:t>
            </w:r>
          </w:p>
        </w:tc>
      </w:tr>
      <w:tr>
        <w:trPr>
          <w:cantSplit/>
        </w:trPr>
        <w:tc>
          <w:tcPr>
            <w:tcW w:w="3118" w:type="dxa"/>
          </w:tcPr>
          <w:p>
            <w:pPr>
              <w:pStyle w:val="nTable"/>
              <w:spacing w:after="40"/>
              <w:ind w:right="113"/>
            </w:pPr>
            <w:r>
              <w:rPr>
                <w:i/>
              </w:rPr>
              <w:t>Water Authority (Charges) Amendment By</w:t>
            </w:r>
            <w:r>
              <w:rPr>
                <w:i/>
              </w:rPr>
              <w:noBreakHyphen/>
              <w:t>laws (No. 7) 1992</w:t>
            </w:r>
          </w:p>
        </w:tc>
        <w:tc>
          <w:tcPr>
            <w:tcW w:w="1276" w:type="dxa"/>
          </w:tcPr>
          <w:p>
            <w:pPr>
              <w:pStyle w:val="nTable"/>
              <w:spacing w:after="40"/>
            </w:pPr>
            <w:r>
              <w:t>6 Jul 1992 p. 3079</w:t>
            </w:r>
          </w:p>
        </w:tc>
        <w:tc>
          <w:tcPr>
            <w:tcW w:w="2693" w:type="dxa"/>
          </w:tcPr>
          <w:p>
            <w:pPr>
              <w:pStyle w:val="nTable"/>
              <w:spacing w:after="40"/>
            </w:pPr>
            <w:r>
              <w:t>6 Jul 1992</w:t>
            </w:r>
          </w:p>
        </w:tc>
      </w:tr>
      <w:tr>
        <w:trPr>
          <w:cantSplit/>
        </w:trPr>
        <w:tc>
          <w:tcPr>
            <w:tcW w:w="3118" w:type="dxa"/>
          </w:tcPr>
          <w:p>
            <w:pPr>
              <w:pStyle w:val="nTable"/>
              <w:spacing w:after="40"/>
              <w:ind w:right="113"/>
            </w:pPr>
            <w:r>
              <w:rPr>
                <w:i/>
              </w:rPr>
              <w:t>Water Authority (Charges) Amendment By</w:t>
            </w:r>
            <w:r>
              <w:rPr>
                <w:i/>
              </w:rPr>
              <w:noBreakHyphen/>
              <w:t>laws (No. 8) 1992</w:t>
            </w:r>
          </w:p>
        </w:tc>
        <w:tc>
          <w:tcPr>
            <w:tcW w:w="1276" w:type="dxa"/>
          </w:tcPr>
          <w:p>
            <w:pPr>
              <w:pStyle w:val="nTable"/>
              <w:spacing w:after="40"/>
            </w:pPr>
            <w:r>
              <w:t>24 Jul 1992 p. 3660</w:t>
            </w:r>
            <w:r>
              <w:noBreakHyphen/>
              <w:t>1</w:t>
            </w:r>
          </w:p>
        </w:tc>
        <w:tc>
          <w:tcPr>
            <w:tcW w:w="2693" w:type="dxa"/>
          </w:tcPr>
          <w:p>
            <w:pPr>
              <w:pStyle w:val="nTable"/>
              <w:spacing w:after="40"/>
            </w:pPr>
            <w:r>
              <w:t>24 Jul 1992</w:t>
            </w:r>
          </w:p>
        </w:tc>
      </w:tr>
      <w:tr>
        <w:trPr>
          <w:cantSplit/>
        </w:trPr>
        <w:tc>
          <w:tcPr>
            <w:tcW w:w="3118" w:type="dxa"/>
          </w:tcPr>
          <w:p>
            <w:pPr>
              <w:pStyle w:val="nTable"/>
              <w:spacing w:after="40"/>
              <w:ind w:right="113"/>
            </w:pPr>
            <w:r>
              <w:rPr>
                <w:i/>
              </w:rPr>
              <w:t>Water Authority (Charges) Amendment By</w:t>
            </w:r>
            <w:r>
              <w:rPr>
                <w:i/>
              </w:rPr>
              <w:noBreakHyphen/>
              <w:t>laws (No. 9) 1992</w:t>
            </w:r>
          </w:p>
        </w:tc>
        <w:tc>
          <w:tcPr>
            <w:tcW w:w="1276" w:type="dxa"/>
          </w:tcPr>
          <w:p>
            <w:pPr>
              <w:pStyle w:val="nTable"/>
              <w:spacing w:after="40"/>
            </w:pPr>
            <w:r>
              <w:t>31 Dec 1992 p. 6412</w:t>
            </w:r>
            <w:r>
              <w:noBreakHyphen/>
              <w:t>13</w:t>
            </w:r>
          </w:p>
        </w:tc>
        <w:tc>
          <w:tcPr>
            <w:tcW w:w="2693" w:type="dxa"/>
          </w:tcPr>
          <w:p>
            <w:pPr>
              <w:pStyle w:val="nTable"/>
              <w:spacing w:after="40"/>
            </w:pPr>
            <w:r>
              <w:t>31 Dec 1992</w:t>
            </w:r>
          </w:p>
        </w:tc>
      </w:tr>
      <w:tr>
        <w:trPr>
          <w:cantSplit/>
        </w:trPr>
        <w:tc>
          <w:tcPr>
            <w:tcW w:w="3118" w:type="dxa"/>
          </w:tcPr>
          <w:p>
            <w:pPr>
              <w:pStyle w:val="nTable"/>
              <w:spacing w:after="40"/>
              <w:ind w:right="113"/>
            </w:pPr>
            <w:r>
              <w:rPr>
                <w:i/>
              </w:rPr>
              <w:t>Water Authority (Charges) Amendment By</w:t>
            </w:r>
            <w:r>
              <w:rPr>
                <w:i/>
              </w:rPr>
              <w:noBreakHyphen/>
              <w:t>laws 1993</w:t>
            </w:r>
          </w:p>
        </w:tc>
        <w:tc>
          <w:tcPr>
            <w:tcW w:w="1276" w:type="dxa"/>
          </w:tcPr>
          <w:p>
            <w:pPr>
              <w:pStyle w:val="nTable"/>
              <w:spacing w:after="40"/>
            </w:pPr>
            <w:r>
              <w:t>1 Jul 1993 p. 3214</w:t>
            </w:r>
            <w:r>
              <w:noBreakHyphen/>
              <w:t>36</w:t>
            </w:r>
          </w:p>
        </w:tc>
        <w:tc>
          <w:tcPr>
            <w:tcW w:w="2693" w:type="dxa"/>
          </w:tcPr>
          <w:p>
            <w:pPr>
              <w:pStyle w:val="nTable"/>
              <w:spacing w:after="40"/>
            </w:pPr>
            <w:r>
              <w:t>1 Jul 1993</w:t>
            </w:r>
          </w:p>
        </w:tc>
      </w:tr>
      <w:tr>
        <w:trPr>
          <w:cantSplit/>
        </w:trPr>
        <w:tc>
          <w:tcPr>
            <w:tcW w:w="3118" w:type="dxa"/>
          </w:tcPr>
          <w:p>
            <w:pPr>
              <w:pStyle w:val="nTable"/>
              <w:spacing w:after="40"/>
              <w:ind w:right="113"/>
            </w:pPr>
            <w:r>
              <w:rPr>
                <w:i/>
              </w:rPr>
              <w:t>Water Authority (Charges) Amendment By</w:t>
            </w:r>
            <w:r>
              <w:rPr>
                <w:i/>
              </w:rPr>
              <w:noBreakHyphen/>
              <w:t>laws (No. 2) 1993</w:t>
            </w:r>
          </w:p>
        </w:tc>
        <w:tc>
          <w:tcPr>
            <w:tcW w:w="1276" w:type="dxa"/>
          </w:tcPr>
          <w:p>
            <w:pPr>
              <w:pStyle w:val="nTable"/>
              <w:spacing w:after="40"/>
            </w:pPr>
            <w:r>
              <w:t>1 Jul 1993 p. 3236</w:t>
            </w:r>
            <w:r>
              <w:noBreakHyphen/>
              <w:t>7</w:t>
            </w:r>
          </w:p>
        </w:tc>
        <w:tc>
          <w:tcPr>
            <w:tcW w:w="2693" w:type="dxa"/>
          </w:tcPr>
          <w:p>
            <w:pPr>
              <w:pStyle w:val="nTable"/>
              <w:spacing w:after="40"/>
            </w:pPr>
            <w:r>
              <w:t>1 Jul 1993 (see bl. 2)</w:t>
            </w:r>
          </w:p>
        </w:tc>
      </w:tr>
      <w:tr>
        <w:trPr>
          <w:cantSplit/>
        </w:trPr>
        <w:tc>
          <w:tcPr>
            <w:tcW w:w="3118" w:type="dxa"/>
          </w:tcPr>
          <w:p>
            <w:pPr>
              <w:pStyle w:val="nTable"/>
              <w:spacing w:after="40"/>
              <w:ind w:right="113"/>
            </w:pPr>
            <w:r>
              <w:rPr>
                <w:i/>
              </w:rPr>
              <w:lastRenderedPageBreak/>
              <w:t>Water Authority (Charges) Amendment By</w:t>
            </w:r>
            <w:r>
              <w:rPr>
                <w:i/>
              </w:rPr>
              <w:noBreakHyphen/>
              <w:t>laws (No. 3) 1993</w:t>
            </w:r>
          </w:p>
        </w:tc>
        <w:tc>
          <w:tcPr>
            <w:tcW w:w="1276" w:type="dxa"/>
          </w:tcPr>
          <w:p>
            <w:pPr>
              <w:pStyle w:val="nTable"/>
              <w:spacing w:after="40"/>
            </w:pPr>
            <w:r>
              <w:t>27 Jul 1993 p. 4096</w:t>
            </w:r>
            <w:r>
              <w:noBreakHyphen/>
              <w:t>7</w:t>
            </w:r>
          </w:p>
        </w:tc>
        <w:tc>
          <w:tcPr>
            <w:tcW w:w="2693" w:type="dxa"/>
          </w:tcPr>
          <w:p>
            <w:pPr>
              <w:pStyle w:val="nTable"/>
              <w:spacing w:after="40"/>
            </w:pPr>
            <w:r>
              <w:t>27 Jul 1993</w:t>
            </w:r>
          </w:p>
        </w:tc>
      </w:tr>
      <w:tr>
        <w:trPr>
          <w:cantSplit/>
        </w:trPr>
        <w:tc>
          <w:tcPr>
            <w:tcW w:w="3118" w:type="dxa"/>
          </w:tcPr>
          <w:p>
            <w:pPr>
              <w:pStyle w:val="nTable"/>
              <w:spacing w:after="40"/>
              <w:ind w:right="113"/>
            </w:pPr>
            <w:r>
              <w:rPr>
                <w:i/>
              </w:rPr>
              <w:t>Water Authority (Charges) Amendment By</w:t>
            </w:r>
            <w:r>
              <w:rPr>
                <w:i/>
              </w:rPr>
              <w:noBreakHyphen/>
              <w:t>laws (No. 4) 1993</w:t>
            </w:r>
          </w:p>
        </w:tc>
        <w:tc>
          <w:tcPr>
            <w:tcW w:w="1276" w:type="dxa"/>
          </w:tcPr>
          <w:p>
            <w:pPr>
              <w:pStyle w:val="nTable"/>
              <w:spacing w:after="40"/>
            </w:pPr>
            <w:r>
              <w:t>28 Sep 1993 p. 5328</w:t>
            </w:r>
          </w:p>
        </w:tc>
        <w:tc>
          <w:tcPr>
            <w:tcW w:w="2693" w:type="dxa"/>
          </w:tcPr>
          <w:p>
            <w:pPr>
              <w:pStyle w:val="nTable"/>
              <w:spacing w:after="40"/>
            </w:pPr>
            <w:r>
              <w:t>28 Sep 1993</w:t>
            </w:r>
          </w:p>
        </w:tc>
      </w:tr>
      <w:tr>
        <w:trPr>
          <w:cantSplit/>
        </w:trPr>
        <w:tc>
          <w:tcPr>
            <w:tcW w:w="3118" w:type="dxa"/>
          </w:tcPr>
          <w:p>
            <w:pPr>
              <w:pStyle w:val="nTable"/>
              <w:spacing w:after="40"/>
              <w:ind w:right="113"/>
            </w:pPr>
            <w:r>
              <w:rPr>
                <w:i/>
              </w:rPr>
              <w:t>Water Authority (Charges) Amendment By</w:t>
            </w:r>
            <w:r>
              <w:rPr>
                <w:i/>
              </w:rPr>
              <w:noBreakHyphen/>
              <w:t>laws 1994</w:t>
            </w:r>
          </w:p>
        </w:tc>
        <w:tc>
          <w:tcPr>
            <w:tcW w:w="1276" w:type="dxa"/>
          </w:tcPr>
          <w:p>
            <w:pPr>
              <w:pStyle w:val="nTable"/>
              <w:spacing w:after="40"/>
            </w:pPr>
            <w:r>
              <w:t>4 Mar 1994 p. 900</w:t>
            </w:r>
            <w:r>
              <w:noBreakHyphen/>
              <w:t>1</w:t>
            </w:r>
          </w:p>
        </w:tc>
        <w:tc>
          <w:tcPr>
            <w:tcW w:w="2693" w:type="dxa"/>
          </w:tcPr>
          <w:p>
            <w:pPr>
              <w:pStyle w:val="nTable"/>
              <w:spacing w:after="40"/>
            </w:pPr>
            <w:r>
              <w:t>4 Mar 1994</w:t>
            </w:r>
          </w:p>
        </w:tc>
      </w:tr>
      <w:tr>
        <w:trPr>
          <w:cantSplit/>
        </w:trPr>
        <w:tc>
          <w:tcPr>
            <w:tcW w:w="3118" w:type="dxa"/>
          </w:tcPr>
          <w:p>
            <w:pPr>
              <w:pStyle w:val="nTable"/>
              <w:spacing w:after="40"/>
              <w:ind w:right="113"/>
            </w:pPr>
            <w:r>
              <w:rPr>
                <w:i/>
              </w:rPr>
              <w:t>Water Authority (Charges) Amendment By</w:t>
            </w:r>
            <w:r>
              <w:rPr>
                <w:i/>
              </w:rPr>
              <w:noBreakHyphen/>
              <w:t>laws (No. 2) 1994</w:t>
            </w:r>
          </w:p>
        </w:tc>
        <w:tc>
          <w:tcPr>
            <w:tcW w:w="1276" w:type="dxa"/>
          </w:tcPr>
          <w:p>
            <w:pPr>
              <w:pStyle w:val="nTable"/>
              <w:spacing w:after="40"/>
            </w:pPr>
            <w:r>
              <w:t>4 Mar 1994 p. 901</w:t>
            </w:r>
          </w:p>
        </w:tc>
        <w:tc>
          <w:tcPr>
            <w:tcW w:w="2693" w:type="dxa"/>
          </w:tcPr>
          <w:p>
            <w:pPr>
              <w:pStyle w:val="nTable"/>
              <w:spacing w:after="40"/>
            </w:pPr>
            <w:r>
              <w:t>4 Mar 1994</w:t>
            </w:r>
          </w:p>
        </w:tc>
      </w:tr>
      <w:tr>
        <w:trPr>
          <w:cantSplit/>
        </w:trPr>
        <w:tc>
          <w:tcPr>
            <w:tcW w:w="3118" w:type="dxa"/>
          </w:tcPr>
          <w:p>
            <w:pPr>
              <w:pStyle w:val="nTable"/>
              <w:spacing w:after="40"/>
              <w:ind w:right="113"/>
            </w:pPr>
            <w:r>
              <w:rPr>
                <w:i/>
              </w:rPr>
              <w:t>Water Authority (Charges) Amendment By</w:t>
            </w:r>
            <w:r>
              <w:rPr>
                <w:i/>
              </w:rPr>
              <w:noBreakHyphen/>
              <w:t>laws (No. 3) 1994</w:t>
            </w:r>
          </w:p>
        </w:tc>
        <w:tc>
          <w:tcPr>
            <w:tcW w:w="1276" w:type="dxa"/>
          </w:tcPr>
          <w:p>
            <w:pPr>
              <w:pStyle w:val="nTable"/>
              <w:spacing w:after="40"/>
            </w:pPr>
            <w:r>
              <w:t>4 Mar 1994 p. 902</w:t>
            </w:r>
            <w:r>
              <w:noBreakHyphen/>
              <w:t>3</w:t>
            </w:r>
          </w:p>
        </w:tc>
        <w:tc>
          <w:tcPr>
            <w:tcW w:w="2693" w:type="dxa"/>
          </w:tcPr>
          <w:p>
            <w:pPr>
              <w:pStyle w:val="nTable"/>
              <w:spacing w:after="40"/>
            </w:pPr>
            <w:r>
              <w:t>1 Jul 1994 (see bl. 2)</w:t>
            </w:r>
          </w:p>
        </w:tc>
      </w:tr>
      <w:tr>
        <w:trPr>
          <w:cantSplit/>
        </w:trPr>
        <w:tc>
          <w:tcPr>
            <w:tcW w:w="3118" w:type="dxa"/>
          </w:tcPr>
          <w:p>
            <w:pPr>
              <w:pStyle w:val="nTable"/>
              <w:spacing w:after="40"/>
              <w:ind w:right="113"/>
            </w:pPr>
            <w:r>
              <w:rPr>
                <w:i/>
              </w:rPr>
              <w:t>Water Authority (Charges) Amendment By</w:t>
            </w:r>
            <w:r>
              <w:rPr>
                <w:i/>
              </w:rPr>
              <w:noBreakHyphen/>
              <w:t>laws (No. 6) 1994</w:t>
            </w:r>
          </w:p>
        </w:tc>
        <w:tc>
          <w:tcPr>
            <w:tcW w:w="1276" w:type="dxa"/>
          </w:tcPr>
          <w:p>
            <w:pPr>
              <w:pStyle w:val="nTable"/>
              <w:spacing w:after="40"/>
            </w:pPr>
            <w:r>
              <w:t>4 Mar 1994 p. 904</w:t>
            </w:r>
          </w:p>
        </w:tc>
        <w:tc>
          <w:tcPr>
            <w:tcW w:w="2693" w:type="dxa"/>
          </w:tcPr>
          <w:p>
            <w:pPr>
              <w:pStyle w:val="nTable"/>
              <w:spacing w:after="40"/>
            </w:pPr>
            <w:r>
              <w:t>4 Mar 1994</w:t>
            </w:r>
          </w:p>
        </w:tc>
      </w:tr>
      <w:tr>
        <w:trPr>
          <w:cantSplit/>
        </w:trPr>
        <w:tc>
          <w:tcPr>
            <w:tcW w:w="3118" w:type="dxa"/>
          </w:tcPr>
          <w:p>
            <w:pPr>
              <w:pStyle w:val="nTable"/>
              <w:spacing w:after="40"/>
              <w:ind w:right="113"/>
            </w:pPr>
            <w:r>
              <w:rPr>
                <w:i/>
              </w:rPr>
              <w:t>Water Authority (Charges) Amendment By</w:t>
            </w:r>
            <w:r>
              <w:rPr>
                <w:i/>
              </w:rPr>
              <w:noBreakHyphen/>
              <w:t>laws (No. 7) 1994</w:t>
            </w:r>
          </w:p>
        </w:tc>
        <w:tc>
          <w:tcPr>
            <w:tcW w:w="1276" w:type="dxa"/>
          </w:tcPr>
          <w:p>
            <w:pPr>
              <w:pStyle w:val="nTable"/>
              <w:spacing w:after="40"/>
            </w:pPr>
            <w:r>
              <w:t>6 May 1994 p. 1934</w:t>
            </w:r>
          </w:p>
        </w:tc>
        <w:tc>
          <w:tcPr>
            <w:tcW w:w="2693" w:type="dxa"/>
          </w:tcPr>
          <w:p>
            <w:pPr>
              <w:pStyle w:val="nTable"/>
              <w:spacing w:after="40"/>
            </w:pPr>
            <w:r>
              <w:t>6 May 1994</w:t>
            </w:r>
          </w:p>
        </w:tc>
      </w:tr>
      <w:tr>
        <w:trPr>
          <w:cantSplit/>
        </w:trPr>
        <w:tc>
          <w:tcPr>
            <w:tcW w:w="3118" w:type="dxa"/>
          </w:tcPr>
          <w:p>
            <w:pPr>
              <w:pStyle w:val="nTable"/>
              <w:spacing w:after="40"/>
              <w:ind w:right="113"/>
            </w:pPr>
            <w:r>
              <w:rPr>
                <w:i/>
              </w:rPr>
              <w:t>Water Authority (Charges) Amendment By</w:t>
            </w:r>
            <w:r>
              <w:rPr>
                <w:i/>
              </w:rPr>
              <w:noBreakHyphen/>
              <w:t>laws (No. 8) 1994</w:t>
            </w:r>
          </w:p>
        </w:tc>
        <w:tc>
          <w:tcPr>
            <w:tcW w:w="1276" w:type="dxa"/>
          </w:tcPr>
          <w:p>
            <w:pPr>
              <w:pStyle w:val="nTable"/>
              <w:spacing w:after="40"/>
            </w:pPr>
            <w:r>
              <w:t>29 Jun 1994 p. 3171</w:t>
            </w:r>
            <w:r>
              <w:noBreakHyphen/>
              <w:t>200</w:t>
            </w:r>
          </w:p>
        </w:tc>
        <w:tc>
          <w:tcPr>
            <w:tcW w:w="2693" w:type="dxa"/>
          </w:tcPr>
          <w:p>
            <w:pPr>
              <w:pStyle w:val="nTable"/>
              <w:spacing w:after="40"/>
            </w:pPr>
            <w:r>
              <w:t>1 Jul 1994 (see bl. 2)</w:t>
            </w:r>
          </w:p>
        </w:tc>
      </w:tr>
      <w:tr>
        <w:trPr>
          <w:cantSplit/>
        </w:trPr>
        <w:tc>
          <w:tcPr>
            <w:tcW w:w="3118" w:type="dxa"/>
          </w:tcPr>
          <w:p>
            <w:pPr>
              <w:pStyle w:val="nTable"/>
              <w:spacing w:after="40"/>
              <w:ind w:right="113"/>
            </w:pPr>
            <w:r>
              <w:rPr>
                <w:i/>
              </w:rPr>
              <w:t>Water Authority (Charges) Amendment By</w:t>
            </w:r>
            <w:r>
              <w:rPr>
                <w:i/>
              </w:rPr>
              <w:noBreakHyphen/>
              <w:t>laws (No. 9) 1994</w:t>
            </w:r>
          </w:p>
        </w:tc>
        <w:tc>
          <w:tcPr>
            <w:tcW w:w="1276" w:type="dxa"/>
          </w:tcPr>
          <w:p>
            <w:pPr>
              <w:pStyle w:val="nTable"/>
              <w:spacing w:after="40"/>
            </w:pPr>
            <w:r>
              <w:t>16 Sep 1994 p. 4806</w:t>
            </w:r>
            <w:r>
              <w:noBreakHyphen/>
              <w:t>7</w:t>
            </w:r>
          </w:p>
        </w:tc>
        <w:tc>
          <w:tcPr>
            <w:tcW w:w="2693" w:type="dxa"/>
          </w:tcPr>
          <w:p>
            <w:pPr>
              <w:pStyle w:val="nTable"/>
              <w:spacing w:after="40"/>
            </w:pPr>
            <w:r>
              <w:t>16 Sep 1994</w:t>
            </w:r>
          </w:p>
        </w:tc>
      </w:tr>
      <w:tr>
        <w:trPr>
          <w:cantSplit/>
        </w:trPr>
        <w:tc>
          <w:tcPr>
            <w:tcW w:w="3118" w:type="dxa"/>
          </w:tcPr>
          <w:p>
            <w:pPr>
              <w:pStyle w:val="nTable"/>
              <w:spacing w:after="40"/>
              <w:ind w:right="113"/>
            </w:pPr>
            <w:r>
              <w:rPr>
                <w:i/>
              </w:rPr>
              <w:t>Water Authority (Charges) Amendment By</w:t>
            </w:r>
            <w:r>
              <w:rPr>
                <w:i/>
              </w:rPr>
              <w:noBreakHyphen/>
              <w:t>laws (No. 10) 1994</w:t>
            </w:r>
          </w:p>
        </w:tc>
        <w:tc>
          <w:tcPr>
            <w:tcW w:w="1276" w:type="dxa"/>
          </w:tcPr>
          <w:p>
            <w:pPr>
              <w:pStyle w:val="nTable"/>
              <w:spacing w:after="40"/>
            </w:pPr>
            <w:r>
              <w:t>28 Oct 1994 p. 5556</w:t>
            </w:r>
            <w:r>
              <w:noBreakHyphen/>
              <w:t>7</w:t>
            </w:r>
          </w:p>
        </w:tc>
        <w:tc>
          <w:tcPr>
            <w:tcW w:w="2693" w:type="dxa"/>
          </w:tcPr>
          <w:p>
            <w:pPr>
              <w:pStyle w:val="nTable"/>
              <w:spacing w:after="40"/>
            </w:pPr>
            <w:r>
              <w:t>28 Oct 1994</w:t>
            </w:r>
          </w:p>
        </w:tc>
      </w:tr>
      <w:tr>
        <w:trPr>
          <w:cantSplit/>
        </w:trPr>
        <w:tc>
          <w:tcPr>
            <w:tcW w:w="3118" w:type="dxa"/>
          </w:tcPr>
          <w:p>
            <w:pPr>
              <w:pStyle w:val="nTable"/>
              <w:spacing w:after="40"/>
              <w:ind w:right="113"/>
            </w:pPr>
            <w:r>
              <w:rPr>
                <w:i/>
              </w:rPr>
              <w:t>Water Authority (Charges) Amendment By</w:t>
            </w:r>
            <w:r>
              <w:rPr>
                <w:i/>
              </w:rPr>
              <w:noBreakHyphen/>
              <w:t>laws (No. 11) 1994</w:t>
            </w:r>
          </w:p>
        </w:tc>
        <w:tc>
          <w:tcPr>
            <w:tcW w:w="1276" w:type="dxa"/>
          </w:tcPr>
          <w:p>
            <w:pPr>
              <w:pStyle w:val="nTable"/>
              <w:spacing w:after="40"/>
            </w:pPr>
            <w:r>
              <w:t>30 Dec 1994 p. 7351</w:t>
            </w:r>
            <w:r>
              <w:noBreakHyphen/>
              <w:t>3</w:t>
            </w:r>
          </w:p>
        </w:tc>
        <w:tc>
          <w:tcPr>
            <w:tcW w:w="2693" w:type="dxa"/>
          </w:tcPr>
          <w:p>
            <w:pPr>
              <w:pStyle w:val="nTable"/>
              <w:spacing w:after="40"/>
            </w:pPr>
            <w:r>
              <w:t>30 Dec 1994</w:t>
            </w:r>
          </w:p>
        </w:tc>
      </w:tr>
      <w:tr>
        <w:trPr>
          <w:cantSplit/>
        </w:trPr>
        <w:tc>
          <w:tcPr>
            <w:tcW w:w="3118" w:type="dxa"/>
          </w:tcPr>
          <w:p>
            <w:pPr>
              <w:pStyle w:val="nTable"/>
              <w:spacing w:after="40"/>
              <w:ind w:right="113"/>
            </w:pPr>
            <w:r>
              <w:rPr>
                <w:i/>
              </w:rPr>
              <w:t>Water Authority (Charges) Amendment By</w:t>
            </w:r>
            <w:r>
              <w:rPr>
                <w:i/>
              </w:rPr>
              <w:noBreakHyphen/>
              <w:t>Laws 1995</w:t>
            </w:r>
          </w:p>
        </w:tc>
        <w:tc>
          <w:tcPr>
            <w:tcW w:w="1276" w:type="dxa"/>
          </w:tcPr>
          <w:p>
            <w:pPr>
              <w:pStyle w:val="nTable"/>
              <w:spacing w:after="40"/>
            </w:pPr>
            <w:r>
              <w:t>2 Jun 1995 p. 2215</w:t>
            </w:r>
          </w:p>
        </w:tc>
        <w:tc>
          <w:tcPr>
            <w:tcW w:w="2693" w:type="dxa"/>
          </w:tcPr>
          <w:p>
            <w:pPr>
              <w:pStyle w:val="nTable"/>
              <w:spacing w:after="40"/>
            </w:pPr>
            <w:r>
              <w:t>2 Jun 1995</w:t>
            </w:r>
          </w:p>
        </w:tc>
      </w:tr>
      <w:tr>
        <w:trPr>
          <w:cantSplit/>
        </w:trPr>
        <w:tc>
          <w:tcPr>
            <w:tcW w:w="3118" w:type="dxa"/>
          </w:tcPr>
          <w:p>
            <w:pPr>
              <w:pStyle w:val="nTable"/>
              <w:spacing w:after="40"/>
              <w:ind w:right="113"/>
            </w:pPr>
            <w:r>
              <w:rPr>
                <w:i/>
              </w:rPr>
              <w:t>Water Authority (Charges) Amendment By</w:t>
            </w:r>
            <w:r>
              <w:rPr>
                <w:i/>
              </w:rPr>
              <w:noBreakHyphen/>
              <w:t>laws (No. 2) 1995</w:t>
            </w:r>
          </w:p>
        </w:tc>
        <w:tc>
          <w:tcPr>
            <w:tcW w:w="1276" w:type="dxa"/>
          </w:tcPr>
          <w:p>
            <w:pPr>
              <w:pStyle w:val="nTable"/>
              <w:spacing w:after="40"/>
            </w:pPr>
            <w:r>
              <w:t>30 Jun 1995 p. 2735</w:t>
            </w:r>
            <w:r>
              <w:noBreakHyphen/>
              <w:t>66</w:t>
            </w:r>
          </w:p>
        </w:tc>
        <w:tc>
          <w:tcPr>
            <w:tcW w:w="2693" w:type="dxa"/>
          </w:tcPr>
          <w:p>
            <w:pPr>
              <w:pStyle w:val="nTable"/>
              <w:spacing w:after="40"/>
            </w:pPr>
            <w:r>
              <w:t>1 Jul 1995 (see bl. 2)</w:t>
            </w:r>
          </w:p>
        </w:tc>
      </w:tr>
      <w:tr>
        <w:trPr>
          <w:cantSplit/>
        </w:trPr>
        <w:tc>
          <w:tcPr>
            <w:tcW w:w="3118" w:type="dxa"/>
          </w:tcPr>
          <w:p>
            <w:pPr>
              <w:pStyle w:val="nTable"/>
              <w:spacing w:after="40"/>
              <w:ind w:right="113"/>
            </w:pPr>
            <w:r>
              <w:rPr>
                <w:i/>
              </w:rPr>
              <w:t>Water Authority (Charges) Amendment By</w:t>
            </w:r>
            <w:r>
              <w:rPr>
                <w:i/>
              </w:rPr>
              <w:noBreakHyphen/>
              <w:t>laws (No. 3) 1995</w:t>
            </w:r>
          </w:p>
        </w:tc>
        <w:tc>
          <w:tcPr>
            <w:tcW w:w="1276" w:type="dxa"/>
          </w:tcPr>
          <w:p>
            <w:pPr>
              <w:pStyle w:val="nTable"/>
              <w:spacing w:after="40"/>
            </w:pPr>
            <w:r>
              <w:t>17 Nov 1995 p. 5344</w:t>
            </w:r>
            <w:r>
              <w:noBreakHyphen/>
              <w:t>5</w:t>
            </w:r>
          </w:p>
        </w:tc>
        <w:tc>
          <w:tcPr>
            <w:tcW w:w="2693" w:type="dxa"/>
          </w:tcPr>
          <w:p>
            <w:pPr>
              <w:pStyle w:val="nTable"/>
              <w:spacing w:after="40"/>
            </w:pPr>
            <w:r>
              <w:t>17 Nov 1995</w:t>
            </w:r>
          </w:p>
        </w:tc>
      </w:tr>
      <w:tr>
        <w:trPr>
          <w:cantSplit/>
        </w:trPr>
        <w:tc>
          <w:tcPr>
            <w:tcW w:w="3118" w:type="dxa"/>
          </w:tcPr>
          <w:p>
            <w:pPr>
              <w:pStyle w:val="nTable"/>
              <w:spacing w:after="40"/>
              <w:ind w:right="113"/>
            </w:pPr>
            <w:r>
              <w:rPr>
                <w:i/>
              </w:rPr>
              <w:t>Water Authority (Charges) Amendment By</w:t>
            </w:r>
            <w:r>
              <w:rPr>
                <w:i/>
              </w:rPr>
              <w:noBreakHyphen/>
              <w:t>laws (No. 4) 1995</w:t>
            </w:r>
          </w:p>
        </w:tc>
        <w:tc>
          <w:tcPr>
            <w:tcW w:w="1276" w:type="dxa"/>
          </w:tcPr>
          <w:p>
            <w:pPr>
              <w:pStyle w:val="nTable"/>
              <w:spacing w:after="40"/>
            </w:pPr>
            <w:r>
              <w:t>17 Nov 1995 p. 5345</w:t>
            </w:r>
            <w:r>
              <w:noBreakHyphen/>
              <w:t>6</w:t>
            </w:r>
          </w:p>
        </w:tc>
        <w:tc>
          <w:tcPr>
            <w:tcW w:w="2693" w:type="dxa"/>
          </w:tcPr>
          <w:p>
            <w:pPr>
              <w:pStyle w:val="nTable"/>
              <w:spacing w:after="40"/>
            </w:pPr>
            <w:r>
              <w:t>17 Nov 1995</w:t>
            </w:r>
          </w:p>
        </w:tc>
      </w:tr>
      <w:tr>
        <w:trPr>
          <w:cantSplit/>
        </w:trPr>
        <w:tc>
          <w:tcPr>
            <w:tcW w:w="3118" w:type="dxa"/>
          </w:tcPr>
          <w:p>
            <w:pPr>
              <w:pStyle w:val="nTable"/>
              <w:spacing w:after="40"/>
              <w:ind w:right="113"/>
            </w:pPr>
            <w:r>
              <w:rPr>
                <w:i/>
              </w:rPr>
              <w:t>Water Authority (Charges) Amendment By</w:t>
            </w:r>
            <w:r>
              <w:rPr>
                <w:i/>
              </w:rPr>
              <w:noBreakHyphen/>
              <w:t>laws (No. 5) 1995</w:t>
            </w:r>
          </w:p>
        </w:tc>
        <w:tc>
          <w:tcPr>
            <w:tcW w:w="1276" w:type="dxa"/>
          </w:tcPr>
          <w:p>
            <w:pPr>
              <w:pStyle w:val="nTable"/>
              <w:spacing w:after="40"/>
            </w:pPr>
            <w:r>
              <w:t>17 Nov 1995 p. 5346</w:t>
            </w:r>
          </w:p>
        </w:tc>
        <w:tc>
          <w:tcPr>
            <w:tcW w:w="2693" w:type="dxa"/>
          </w:tcPr>
          <w:p>
            <w:pPr>
              <w:pStyle w:val="nTable"/>
              <w:spacing w:after="40"/>
            </w:pPr>
            <w:r>
              <w:t>17 Nov 1995</w:t>
            </w:r>
          </w:p>
        </w:tc>
      </w:tr>
      <w:tr>
        <w:trPr>
          <w:cantSplit/>
        </w:trPr>
        <w:tc>
          <w:tcPr>
            <w:tcW w:w="3118" w:type="dxa"/>
          </w:tcPr>
          <w:p>
            <w:pPr>
              <w:pStyle w:val="nTable"/>
              <w:spacing w:after="40"/>
              <w:ind w:right="113"/>
              <w:rPr>
                <w:i/>
              </w:rPr>
            </w:pPr>
            <w:r>
              <w:rPr>
                <w:i/>
              </w:rPr>
              <w:t>Water Agencies (Amendment and Repeal) By</w:t>
            </w:r>
            <w:r>
              <w:rPr>
                <w:i/>
              </w:rPr>
              <w:noBreakHyphen/>
              <w:t xml:space="preserve">laws 1995 </w:t>
            </w:r>
            <w:r>
              <w:t>Pt. 11</w:t>
            </w:r>
          </w:p>
        </w:tc>
        <w:tc>
          <w:tcPr>
            <w:tcW w:w="1276" w:type="dxa"/>
          </w:tcPr>
          <w:p>
            <w:pPr>
              <w:pStyle w:val="nTable"/>
              <w:spacing w:after="40"/>
              <w:ind w:right="113"/>
            </w:pPr>
            <w:r>
              <w:t>29 Dec 1995 p. 6305-32</w:t>
            </w:r>
          </w:p>
        </w:tc>
        <w:tc>
          <w:tcPr>
            <w:tcW w:w="2693" w:type="dxa"/>
          </w:tcPr>
          <w:p>
            <w:pPr>
              <w:pStyle w:val="nTable"/>
              <w:spacing w:after="40"/>
              <w:ind w:right="113"/>
            </w:pPr>
            <w:r>
              <w:t xml:space="preserve">1 Jan 1996 (see bl. 2 and </w:t>
            </w:r>
            <w:r>
              <w:rPr>
                <w:i/>
              </w:rPr>
              <w:t>Gazette</w:t>
            </w:r>
            <w:r>
              <w:t xml:space="preserve"> 29 Dec 1995 p. 6291)</w:t>
            </w:r>
          </w:p>
        </w:tc>
      </w:tr>
      <w:tr>
        <w:trPr>
          <w:cantSplit/>
        </w:trPr>
        <w:tc>
          <w:tcPr>
            <w:tcW w:w="3118" w:type="dxa"/>
          </w:tcPr>
          <w:p>
            <w:pPr>
              <w:pStyle w:val="nTable"/>
              <w:spacing w:after="40"/>
              <w:ind w:right="113"/>
            </w:pPr>
            <w:r>
              <w:rPr>
                <w:i/>
              </w:rPr>
              <w:t>Water Agencies (Charges) Amendment By</w:t>
            </w:r>
            <w:r>
              <w:rPr>
                <w:i/>
              </w:rPr>
              <w:noBreakHyphen/>
              <w:t>laws 1996</w:t>
            </w:r>
          </w:p>
        </w:tc>
        <w:tc>
          <w:tcPr>
            <w:tcW w:w="1276" w:type="dxa"/>
          </w:tcPr>
          <w:p>
            <w:pPr>
              <w:pStyle w:val="nTable"/>
              <w:spacing w:after="40"/>
            </w:pPr>
            <w:r>
              <w:t>21 May 1996 p. 2139</w:t>
            </w:r>
          </w:p>
        </w:tc>
        <w:tc>
          <w:tcPr>
            <w:tcW w:w="2693" w:type="dxa"/>
          </w:tcPr>
          <w:p>
            <w:pPr>
              <w:pStyle w:val="nTable"/>
              <w:spacing w:after="40"/>
            </w:pPr>
            <w:r>
              <w:t xml:space="preserve">21 May 1996 (see bl. 2 and </w:t>
            </w:r>
            <w:r>
              <w:rPr>
                <w:i/>
              </w:rPr>
              <w:t>Gazette</w:t>
            </w:r>
            <w:r>
              <w:t xml:space="preserve"> 21 May 1996 p. 2140)</w:t>
            </w:r>
          </w:p>
        </w:tc>
      </w:tr>
      <w:tr>
        <w:trPr>
          <w:cantSplit/>
        </w:trPr>
        <w:tc>
          <w:tcPr>
            <w:tcW w:w="3118" w:type="dxa"/>
          </w:tcPr>
          <w:p>
            <w:pPr>
              <w:pStyle w:val="nTable"/>
              <w:keepNext/>
              <w:spacing w:after="40"/>
              <w:ind w:right="113"/>
            </w:pPr>
            <w:r>
              <w:rPr>
                <w:i/>
              </w:rPr>
              <w:lastRenderedPageBreak/>
              <w:t>Water Agencies (Charges) Amendment By</w:t>
            </w:r>
            <w:r>
              <w:rPr>
                <w:i/>
              </w:rPr>
              <w:noBreakHyphen/>
              <w:t>laws (No. 2) 1996</w:t>
            </w:r>
          </w:p>
        </w:tc>
        <w:tc>
          <w:tcPr>
            <w:tcW w:w="1276" w:type="dxa"/>
          </w:tcPr>
          <w:p>
            <w:pPr>
              <w:pStyle w:val="nTable"/>
              <w:keepNext/>
              <w:spacing w:after="40"/>
            </w:pPr>
            <w:r>
              <w:t>28 Jun 1996 p. 3103</w:t>
            </w:r>
            <w:r>
              <w:noBreakHyphen/>
              <w:t>30</w:t>
            </w:r>
            <w:r>
              <w:br/>
              <w:t>(correction 9 Jul 1996 p. 3281)</w:t>
            </w:r>
          </w:p>
        </w:tc>
        <w:tc>
          <w:tcPr>
            <w:tcW w:w="2693" w:type="dxa"/>
          </w:tcPr>
          <w:p>
            <w:pPr>
              <w:pStyle w:val="nTable"/>
              <w:keepNext/>
              <w:spacing w:after="40"/>
            </w:pPr>
            <w:r>
              <w:t>1 Jul 1996 (see bl. 2)</w:t>
            </w:r>
          </w:p>
        </w:tc>
      </w:tr>
      <w:tr>
        <w:trPr>
          <w:cantSplit/>
        </w:trPr>
        <w:tc>
          <w:tcPr>
            <w:tcW w:w="3118" w:type="dxa"/>
          </w:tcPr>
          <w:p>
            <w:pPr>
              <w:pStyle w:val="nTable"/>
              <w:spacing w:after="40"/>
              <w:ind w:right="113"/>
            </w:pPr>
            <w:r>
              <w:rPr>
                <w:i/>
              </w:rPr>
              <w:t>Water Agencies (Charges) Amendment By</w:t>
            </w:r>
            <w:r>
              <w:rPr>
                <w:i/>
              </w:rPr>
              <w:noBreakHyphen/>
              <w:t>laws (No. 3) 1996</w:t>
            </w:r>
          </w:p>
        </w:tc>
        <w:tc>
          <w:tcPr>
            <w:tcW w:w="1276" w:type="dxa"/>
          </w:tcPr>
          <w:p>
            <w:pPr>
              <w:pStyle w:val="nTable"/>
              <w:spacing w:after="40"/>
            </w:pPr>
            <w:r>
              <w:t>5 Jul 1996 p. 3255</w:t>
            </w:r>
          </w:p>
        </w:tc>
        <w:tc>
          <w:tcPr>
            <w:tcW w:w="2693" w:type="dxa"/>
          </w:tcPr>
          <w:p>
            <w:pPr>
              <w:pStyle w:val="nTable"/>
              <w:spacing w:after="40"/>
            </w:pPr>
            <w:r>
              <w:t>5 Jul 1996</w:t>
            </w:r>
          </w:p>
        </w:tc>
      </w:tr>
      <w:tr>
        <w:trPr>
          <w:cantSplit/>
        </w:trPr>
        <w:tc>
          <w:tcPr>
            <w:tcW w:w="3118" w:type="dxa"/>
          </w:tcPr>
          <w:p>
            <w:pPr>
              <w:pStyle w:val="nTable"/>
              <w:spacing w:after="40"/>
              <w:ind w:right="113"/>
            </w:pPr>
            <w:r>
              <w:rPr>
                <w:i/>
              </w:rPr>
              <w:t>Water Agencies (Charges) Amendment By</w:t>
            </w:r>
            <w:r>
              <w:rPr>
                <w:i/>
              </w:rPr>
              <w:noBreakHyphen/>
              <w:t>laws (No. 4) 1996</w:t>
            </w:r>
          </w:p>
        </w:tc>
        <w:tc>
          <w:tcPr>
            <w:tcW w:w="1276" w:type="dxa"/>
          </w:tcPr>
          <w:p>
            <w:pPr>
              <w:pStyle w:val="nTable"/>
              <w:spacing w:after="40"/>
            </w:pPr>
            <w:r>
              <w:t>19 Jul 1996 p. 3489</w:t>
            </w:r>
            <w:r>
              <w:noBreakHyphen/>
              <w:t>90</w:t>
            </w:r>
          </w:p>
        </w:tc>
        <w:tc>
          <w:tcPr>
            <w:tcW w:w="2693" w:type="dxa"/>
          </w:tcPr>
          <w:p>
            <w:pPr>
              <w:pStyle w:val="nTable"/>
              <w:spacing w:after="40"/>
            </w:pPr>
            <w:r>
              <w:t>19 Jul 1996</w:t>
            </w:r>
          </w:p>
        </w:tc>
      </w:tr>
      <w:tr>
        <w:trPr>
          <w:cantSplit/>
        </w:trPr>
        <w:tc>
          <w:tcPr>
            <w:tcW w:w="3118" w:type="dxa"/>
          </w:tcPr>
          <w:p>
            <w:pPr>
              <w:pStyle w:val="nTable"/>
              <w:spacing w:after="40"/>
              <w:ind w:right="113"/>
            </w:pPr>
            <w:r>
              <w:rPr>
                <w:i/>
              </w:rPr>
              <w:t>Water Agencies (Charges) Amendment By</w:t>
            </w:r>
            <w:r>
              <w:rPr>
                <w:i/>
              </w:rPr>
              <w:noBreakHyphen/>
              <w:t>laws (No. 5) 1996</w:t>
            </w:r>
          </w:p>
        </w:tc>
        <w:tc>
          <w:tcPr>
            <w:tcW w:w="1276" w:type="dxa"/>
          </w:tcPr>
          <w:p>
            <w:pPr>
              <w:pStyle w:val="nTable"/>
              <w:spacing w:after="40"/>
            </w:pPr>
            <w:r>
              <w:t>23 Aug 1996 p. 4128</w:t>
            </w:r>
            <w:r>
              <w:noBreakHyphen/>
              <w:t>9</w:t>
            </w:r>
          </w:p>
        </w:tc>
        <w:tc>
          <w:tcPr>
            <w:tcW w:w="2693" w:type="dxa"/>
          </w:tcPr>
          <w:p>
            <w:pPr>
              <w:pStyle w:val="nTable"/>
              <w:spacing w:after="40"/>
            </w:pPr>
            <w:r>
              <w:t>23 Aug 1996</w:t>
            </w:r>
          </w:p>
        </w:tc>
      </w:tr>
      <w:tr>
        <w:trPr>
          <w:cantSplit/>
        </w:trPr>
        <w:tc>
          <w:tcPr>
            <w:tcW w:w="3118" w:type="dxa"/>
          </w:tcPr>
          <w:p>
            <w:pPr>
              <w:pStyle w:val="nTable"/>
              <w:spacing w:after="40"/>
              <w:ind w:right="113"/>
            </w:pPr>
            <w:r>
              <w:rPr>
                <w:i/>
              </w:rPr>
              <w:t>Water Agencies (Charges) Amendment By</w:t>
            </w:r>
            <w:r>
              <w:rPr>
                <w:i/>
              </w:rPr>
              <w:noBreakHyphen/>
              <w:t>laws (No. 6) 1996</w:t>
            </w:r>
          </w:p>
        </w:tc>
        <w:tc>
          <w:tcPr>
            <w:tcW w:w="1276" w:type="dxa"/>
          </w:tcPr>
          <w:p>
            <w:pPr>
              <w:pStyle w:val="nTable"/>
              <w:spacing w:after="40"/>
            </w:pPr>
            <w:r>
              <w:t>13 Sep 1996 p. 4606</w:t>
            </w:r>
          </w:p>
        </w:tc>
        <w:tc>
          <w:tcPr>
            <w:tcW w:w="2693" w:type="dxa"/>
          </w:tcPr>
          <w:p>
            <w:pPr>
              <w:pStyle w:val="nTable"/>
              <w:spacing w:after="40"/>
            </w:pPr>
            <w:r>
              <w:t>13 Sep 1996</w:t>
            </w:r>
          </w:p>
        </w:tc>
      </w:tr>
      <w:tr>
        <w:trPr>
          <w:cantSplit/>
        </w:trPr>
        <w:tc>
          <w:tcPr>
            <w:tcW w:w="3118" w:type="dxa"/>
          </w:tcPr>
          <w:p>
            <w:pPr>
              <w:pStyle w:val="nTable"/>
              <w:spacing w:after="40"/>
              <w:ind w:right="113"/>
            </w:pPr>
            <w:r>
              <w:rPr>
                <w:i/>
              </w:rPr>
              <w:t>Water Agencies (Charges) Amendment By</w:t>
            </w:r>
            <w:r>
              <w:rPr>
                <w:i/>
              </w:rPr>
              <w:noBreakHyphen/>
              <w:t>laws (No. 7) 1996</w:t>
            </w:r>
          </w:p>
        </w:tc>
        <w:tc>
          <w:tcPr>
            <w:tcW w:w="1276" w:type="dxa"/>
          </w:tcPr>
          <w:p>
            <w:pPr>
              <w:pStyle w:val="nTable"/>
              <w:spacing w:after="40"/>
            </w:pPr>
            <w:r>
              <w:t>7 Jan 1997 p. 63</w:t>
            </w:r>
          </w:p>
        </w:tc>
        <w:tc>
          <w:tcPr>
            <w:tcW w:w="2693" w:type="dxa"/>
          </w:tcPr>
          <w:p>
            <w:pPr>
              <w:pStyle w:val="nTable"/>
              <w:spacing w:after="40"/>
            </w:pPr>
            <w:r>
              <w:t>7 Jan 1997</w:t>
            </w:r>
          </w:p>
        </w:tc>
      </w:tr>
      <w:tr>
        <w:trPr>
          <w:cantSplit/>
        </w:trPr>
        <w:tc>
          <w:tcPr>
            <w:tcW w:w="3118" w:type="dxa"/>
          </w:tcPr>
          <w:p>
            <w:pPr>
              <w:pStyle w:val="nTable"/>
              <w:spacing w:after="40"/>
              <w:ind w:right="113"/>
            </w:pPr>
            <w:r>
              <w:rPr>
                <w:i/>
              </w:rPr>
              <w:t>Water Agencies (Charges) Amendment By</w:t>
            </w:r>
            <w:r>
              <w:rPr>
                <w:i/>
              </w:rPr>
              <w:noBreakHyphen/>
              <w:t>laws 1997</w:t>
            </w:r>
          </w:p>
        </w:tc>
        <w:tc>
          <w:tcPr>
            <w:tcW w:w="1276" w:type="dxa"/>
          </w:tcPr>
          <w:p>
            <w:pPr>
              <w:pStyle w:val="nTable"/>
              <w:spacing w:after="40"/>
            </w:pPr>
            <w:r>
              <w:t>7 Feb 1997 p. 779</w:t>
            </w:r>
          </w:p>
        </w:tc>
        <w:tc>
          <w:tcPr>
            <w:tcW w:w="2693" w:type="dxa"/>
          </w:tcPr>
          <w:p>
            <w:pPr>
              <w:pStyle w:val="nTable"/>
              <w:spacing w:after="40"/>
            </w:pPr>
            <w:r>
              <w:t>7 Feb 1997</w:t>
            </w:r>
          </w:p>
        </w:tc>
      </w:tr>
      <w:tr>
        <w:trPr>
          <w:cantSplit/>
        </w:trPr>
        <w:tc>
          <w:tcPr>
            <w:tcW w:w="3118" w:type="dxa"/>
          </w:tcPr>
          <w:p>
            <w:pPr>
              <w:pStyle w:val="nTable"/>
              <w:spacing w:after="40"/>
              <w:ind w:right="113"/>
            </w:pPr>
            <w:r>
              <w:rPr>
                <w:i/>
              </w:rPr>
              <w:t>Water Agencies (Charges) Amendment By</w:t>
            </w:r>
            <w:r>
              <w:rPr>
                <w:i/>
              </w:rPr>
              <w:noBreakHyphen/>
              <w:t>laws (No. 2) 1997</w:t>
            </w:r>
          </w:p>
        </w:tc>
        <w:tc>
          <w:tcPr>
            <w:tcW w:w="1276" w:type="dxa"/>
          </w:tcPr>
          <w:p>
            <w:pPr>
              <w:pStyle w:val="nTable"/>
              <w:spacing w:after="40"/>
            </w:pPr>
            <w:r>
              <w:t>13 May 1997 p. 2350</w:t>
            </w:r>
            <w:r>
              <w:noBreakHyphen/>
              <w:t>3</w:t>
            </w:r>
          </w:p>
        </w:tc>
        <w:tc>
          <w:tcPr>
            <w:tcW w:w="2693" w:type="dxa"/>
          </w:tcPr>
          <w:p>
            <w:pPr>
              <w:pStyle w:val="nTable"/>
              <w:spacing w:after="40"/>
            </w:pPr>
            <w:r>
              <w:t>13 May 1997</w:t>
            </w:r>
          </w:p>
        </w:tc>
      </w:tr>
      <w:tr>
        <w:trPr>
          <w:cantSplit/>
        </w:trPr>
        <w:tc>
          <w:tcPr>
            <w:tcW w:w="3118" w:type="dxa"/>
          </w:tcPr>
          <w:p>
            <w:pPr>
              <w:pStyle w:val="nTable"/>
              <w:spacing w:after="40"/>
              <w:ind w:right="113"/>
            </w:pPr>
            <w:r>
              <w:rPr>
                <w:i/>
              </w:rPr>
              <w:t>Water Agencies (Charges) Amendment By</w:t>
            </w:r>
            <w:r>
              <w:rPr>
                <w:i/>
              </w:rPr>
              <w:noBreakHyphen/>
              <w:t>laws (No. 4) 1997</w:t>
            </w:r>
          </w:p>
        </w:tc>
        <w:tc>
          <w:tcPr>
            <w:tcW w:w="1276" w:type="dxa"/>
          </w:tcPr>
          <w:p>
            <w:pPr>
              <w:pStyle w:val="nTable"/>
              <w:spacing w:after="40"/>
            </w:pPr>
            <w:r>
              <w:t>10 Jun 1997 p. 2669</w:t>
            </w:r>
            <w:r>
              <w:noBreakHyphen/>
              <w:t>70</w:t>
            </w:r>
          </w:p>
        </w:tc>
        <w:tc>
          <w:tcPr>
            <w:tcW w:w="2693" w:type="dxa"/>
          </w:tcPr>
          <w:p>
            <w:pPr>
              <w:pStyle w:val="nTable"/>
              <w:spacing w:after="40"/>
            </w:pPr>
            <w:r>
              <w:t>10 Jun 1997</w:t>
            </w:r>
          </w:p>
        </w:tc>
      </w:tr>
      <w:tr>
        <w:trPr>
          <w:cantSplit/>
        </w:trPr>
        <w:tc>
          <w:tcPr>
            <w:tcW w:w="3118" w:type="dxa"/>
          </w:tcPr>
          <w:p>
            <w:pPr>
              <w:pStyle w:val="nTable"/>
              <w:spacing w:after="40"/>
              <w:ind w:right="113"/>
            </w:pPr>
            <w:r>
              <w:rPr>
                <w:i/>
              </w:rPr>
              <w:t>Water Agencies (Charges) Amendment By</w:t>
            </w:r>
            <w:r>
              <w:rPr>
                <w:i/>
              </w:rPr>
              <w:noBreakHyphen/>
              <w:t>laws (No. 3) 1997</w:t>
            </w:r>
          </w:p>
        </w:tc>
        <w:tc>
          <w:tcPr>
            <w:tcW w:w="1276" w:type="dxa"/>
          </w:tcPr>
          <w:p>
            <w:pPr>
              <w:pStyle w:val="nTable"/>
              <w:spacing w:after="40"/>
            </w:pPr>
            <w:r>
              <w:t>27 Jun 1997 p. 3175</w:t>
            </w:r>
            <w:r>
              <w:noBreakHyphen/>
              <w:t>203</w:t>
            </w:r>
          </w:p>
        </w:tc>
        <w:tc>
          <w:tcPr>
            <w:tcW w:w="2693" w:type="dxa"/>
          </w:tcPr>
          <w:p>
            <w:pPr>
              <w:pStyle w:val="nTable"/>
              <w:spacing w:after="40"/>
            </w:pPr>
            <w:r>
              <w:t>1 Jul 1997 (see bl. 2)</w:t>
            </w:r>
          </w:p>
        </w:tc>
      </w:tr>
      <w:tr>
        <w:trPr>
          <w:cantSplit/>
        </w:trPr>
        <w:tc>
          <w:tcPr>
            <w:tcW w:w="7087" w:type="dxa"/>
            <w:gridSpan w:val="3"/>
          </w:tcPr>
          <w:p>
            <w:pPr>
              <w:pStyle w:val="nTable"/>
              <w:spacing w:after="40"/>
            </w:pPr>
            <w:r>
              <w:rPr>
                <w:b/>
              </w:rPr>
              <w:t xml:space="preserve">Reprint of the </w:t>
            </w:r>
            <w:r>
              <w:rPr>
                <w:b/>
                <w:i/>
              </w:rPr>
              <w:t>Water Agencies (Charges) By</w:t>
            </w:r>
            <w:r>
              <w:rPr>
                <w:b/>
                <w:bCs/>
                <w:i/>
              </w:rPr>
              <w:noBreakHyphen/>
            </w:r>
            <w:r>
              <w:rPr>
                <w:b/>
                <w:i/>
              </w:rPr>
              <w:t>laws 1987</w:t>
            </w:r>
            <w:r>
              <w:rPr>
                <w:b/>
              </w:rPr>
              <w:t xml:space="preserve"> as at 25 Aug 1997</w:t>
            </w:r>
            <w:r>
              <w:t xml:space="preserve"> </w:t>
            </w:r>
            <w:r>
              <w:br/>
              <w:t>(includes amendments listed above)</w:t>
            </w:r>
          </w:p>
        </w:tc>
      </w:tr>
      <w:tr>
        <w:trPr>
          <w:cantSplit/>
        </w:trPr>
        <w:tc>
          <w:tcPr>
            <w:tcW w:w="3118" w:type="dxa"/>
          </w:tcPr>
          <w:p>
            <w:pPr>
              <w:pStyle w:val="nTable"/>
              <w:spacing w:after="40"/>
              <w:ind w:right="113"/>
              <w:rPr>
                <w:vertAlign w:val="superscript"/>
              </w:rPr>
            </w:pPr>
            <w:r>
              <w:rPr>
                <w:i/>
              </w:rPr>
              <w:t>Water Agencies (Charges) Amendment By</w:t>
            </w:r>
            <w:r>
              <w:rPr>
                <w:i/>
              </w:rPr>
              <w:noBreakHyphen/>
              <w:t>laws (No. 5) 1997</w:t>
            </w:r>
            <w:r>
              <w:rPr>
                <w:i/>
                <w:vertAlign w:val="superscript"/>
              </w:rPr>
              <w:t xml:space="preserve"> </w:t>
            </w:r>
            <w:r>
              <w:rPr>
                <w:vertAlign w:val="superscript"/>
              </w:rPr>
              <w:t>18</w:t>
            </w:r>
          </w:p>
        </w:tc>
        <w:tc>
          <w:tcPr>
            <w:tcW w:w="1276" w:type="dxa"/>
          </w:tcPr>
          <w:p>
            <w:pPr>
              <w:pStyle w:val="nTable"/>
              <w:spacing w:after="40"/>
            </w:pPr>
            <w:r>
              <w:t>6 Jan 1998 p. 39</w:t>
            </w:r>
            <w:r>
              <w:noBreakHyphen/>
              <w:t>41</w:t>
            </w:r>
          </w:p>
        </w:tc>
        <w:tc>
          <w:tcPr>
            <w:tcW w:w="2693" w:type="dxa"/>
          </w:tcPr>
          <w:p>
            <w:pPr>
              <w:pStyle w:val="nTable"/>
              <w:spacing w:after="40"/>
            </w:pPr>
            <w:r>
              <w:t>6 Jan 1998</w:t>
            </w:r>
          </w:p>
        </w:tc>
      </w:tr>
      <w:tr>
        <w:trPr>
          <w:cantSplit/>
        </w:trPr>
        <w:tc>
          <w:tcPr>
            <w:tcW w:w="3118" w:type="dxa"/>
          </w:tcPr>
          <w:p>
            <w:pPr>
              <w:pStyle w:val="nTable"/>
              <w:spacing w:after="40"/>
              <w:ind w:right="113"/>
            </w:pPr>
            <w:r>
              <w:rPr>
                <w:i/>
              </w:rPr>
              <w:t>Water Agencies (Charges) Amendment By</w:t>
            </w:r>
            <w:r>
              <w:rPr>
                <w:i/>
              </w:rPr>
              <w:noBreakHyphen/>
              <w:t>laws 1998</w:t>
            </w:r>
          </w:p>
        </w:tc>
        <w:tc>
          <w:tcPr>
            <w:tcW w:w="1276" w:type="dxa"/>
          </w:tcPr>
          <w:p>
            <w:pPr>
              <w:pStyle w:val="nTable"/>
              <w:spacing w:after="40"/>
            </w:pPr>
            <w:r>
              <w:t>9 Apr 1998 p. 2035</w:t>
            </w:r>
          </w:p>
        </w:tc>
        <w:tc>
          <w:tcPr>
            <w:tcW w:w="2693" w:type="dxa"/>
          </w:tcPr>
          <w:p>
            <w:pPr>
              <w:pStyle w:val="nTable"/>
              <w:spacing w:after="40"/>
            </w:pPr>
            <w:r>
              <w:t>14 Apr 1998 (see bl. 2)</w:t>
            </w:r>
          </w:p>
        </w:tc>
      </w:tr>
      <w:tr>
        <w:trPr>
          <w:cantSplit/>
        </w:trPr>
        <w:tc>
          <w:tcPr>
            <w:tcW w:w="3118" w:type="dxa"/>
          </w:tcPr>
          <w:p>
            <w:pPr>
              <w:pStyle w:val="nTable"/>
              <w:keepNext/>
              <w:spacing w:after="40"/>
              <w:ind w:right="113"/>
            </w:pPr>
            <w:r>
              <w:rPr>
                <w:i/>
              </w:rPr>
              <w:t>Water Agencies (Charges) Amendment By</w:t>
            </w:r>
            <w:r>
              <w:rPr>
                <w:i/>
              </w:rPr>
              <w:noBreakHyphen/>
              <w:t>laws (No. 2) 1998</w:t>
            </w:r>
          </w:p>
        </w:tc>
        <w:tc>
          <w:tcPr>
            <w:tcW w:w="1276" w:type="dxa"/>
          </w:tcPr>
          <w:p>
            <w:pPr>
              <w:pStyle w:val="nTable"/>
              <w:keepNext/>
              <w:spacing w:after="40"/>
            </w:pPr>
            <w:r>
              <w:t>26 Jun 1998 p. 3399</w:t>
            </w:r>
            <w:r>
              <w:noBreakHyphen/>
              <w:t>415</w:t>
            </w:r>
          </w:p>
        </w:tc>
        <w:tc>
          <w:tcPr>
            <w:tcW w:w="2693" w:type="dxa"/>
          </w:tcPr>
          <w:p>
            <w:pPr>
              <w:pStyle w:val="nTable"/>
              <w:keepNext/>
              <w:spacing w:after="40"/>
            </w:pPr>
            <w:r>
              <w:t xml:space="preserve">1 Jul 1998 (see bl. 2) </w:t>
            </w:r>
          </w:p>
        </w:tc>
      </w:tr>
      <w:tr>
        <w:trPr>
          <w:cantSplit/>
        </w:trPr>
        <w:tc>
          <w:tcPr>
            <w:tcW w:w="3118" w:type="dxa"/>
          </w:tcPr>
          <w:p>
            <w:pPr>
              <w:pStyle w:val="nTable"/>
              <w:spacing w:after="40"/>
              <w:ind w:right="113"/>
            </w:pPr>
            <w:r>
              <w:rPr>
                <w:i/>
              </w:rPr>
              <w:t>Water Agencies (Charges) Amendment By</w:t>
            </w:r>
            <w:r>
              <w:rPr>
                <w:i/>
              </w:rPr>
              <w:noBreakHyphen/>
              <w:t>laws (No. 3) 1998</w:t>
            </w:r>
          </w:p>
        </w:tc>
        <w:tc>
          <w:tcPr>
            <w:tcW w:w="1276" w:type="dxa"/>
          </w:tcPr>
          <w:p>
            <w:pPr>
              <w:pStyle w:val="nTable"/>
              <w:spacing w:after="40"/>
            </w:pPr>
            <w:r>
              <w:t>26 Jun 1998 p. 3415</w:t>
            </w:r>
            <w:r>
              <w:noBreakHyphen/>
              <w:t>16</w:t>
            </w:r>
          </w:p>
        </w:tc>
        <w:tc>
          <w:tcPr>
            <w:tcW w:w="2693" w:type="dxa"/>
          </w:tcPr>
          <w:p>
            <w:pPr>
              <w:pStyle w:val="nTable"/>
              <w:spacing w:after="40"/>
            </w:pPr>
            <w:r>
              <w:t>26 Jun 1998</w:t>
            </w:r>
          </w:p>
        </w:tc>
      </w:tr>
      <w:tr>
        <w:trPr>
          <w:cantSplit/>
        </w:trPr>
        <w:tc>
          <w:tcPr>
            <w:tcW w:w="3118" w:type="dxa"/>
          </w:tcPr>
          <w:p>
            <w:pPr>
              <w:pStyle w:val="nTable"/>
              <w:spacing w:after="40"/>
              <w:ind w:right="113"/>
            </w:pPr>
            <w:r>
              <w:rPr>
                <w:i/>
              </w:rPr>
              <w:t>Water Agencies (Charges) Amendment By</w:t>
            </w:r>
            <w:r>
              <w:rPr>
                <w:i/>
              </w:rPr>
              <w:noBreakHyphen/>
              <w:t>laws (No. 4) 1998</w:t>
            </w:r>
          </w:p>
        </w:tc>
        <w:tc>
          <w:tcPr>
            <w:tcW w:w="1276" w:type="dxa"/>
          </w:tcPr>
          <w:p>
            <w:pPr>
              <w:pStyle w:val="nTable"/>
              <w:spacing w:after="40"/>
            </w:pPr>
            <w:r>
              <w:t>1 Jul 1998 p. 3561</w:t>
            </w:r>
          </w:p>
        </w:tc>
        <w:tc>
          <w:tcPr>
            <w:tcW w:w="2693" w:type="dxa"/>
          </w:tcPr>
          <w:p>
            <w:pPr>
              <w:pStyle w:val="nTable"/>
              <w:spacing w:after="40"/>
            </w:pPr>
            <w:r>
              <w:t xml:space="preserve">1 Jul 1998 (see bl. 2 and </w:t>
            </w:r>
            <w:r>
              <w:rPr>
                <w:i/>
              </w:rPr>
              <w:t>Gazette</w:t>
            </w:r>
            <w:r>
              <w:t xml:space="preserve"> 26 Jun 1998 p. 3399)</w:t>
            </w:r>
          </w:p>
        </w:tc>
      </w:tr>
      <w:tr>
        <w:trPr>
          <w:cantSplit/>
        </w:trPr>
        <w:tc>
          <w:tcPr>
            <w:tcW w:w="3118" w:type="dxa"/>
          </w:tcPr>
          <w:p>
            <w:pPr>
              <w:pStyle w:val="nTable"/>
              <w:spacing w:after="40"/>
              <w:ind w:right="113"/>
              <w:rPr>
                <w:i/>
              </w:rPr>
            </w:pPr>
            <w:r>
              <w:rPr>
                <w:i/>
              </w:rPr>
              <w:t>Water Agencies (Charges) Amendment By</w:t>
            </w:r>
            <w:r>
              <w:rPr>
                <w:i/>
              </w:rPr>
              <w:noBreakHyphen/>
              <w:t>laws (No. 5) 1998</w:t>
            </w:r>
          </w:p>
        </w:tc>
        <w:tc>
          <w:tcPr>
            <w:tcW w:w="1276" w:type="dxa"/>
          </w:tcPr>
          <w:p>
            <w:pPr>
              <w:pStyle w:val="nTable"/>
              <w:spacing w:after="40"/>
            </w:pPr>
            <w:r>
              <w:t>30 Oct 1998 p. 6017</w:t>
            </w:r>
            <w:r>
              <w:noBreakHyphen/>
              <w:t>18</w:t>
            </w:r>
          </w:p>
        </w:tc>
        <w:tc>
          <w:tcPr>
            <w:tcW w:w="2693" w:type="dxa"/>
          </w:tcPr>
          <w:p>
            <w:pPr>
              <w:pStyle w:val="nTable"/>
              <w:spacing w:after="40"/>
            </w:pPr>
            <w:r>
              <w:t>30 Oct 1998</w:t>
            </w:r>
          </w:p>
        </w:tc>
      </w:tr>
      <w:tr>
        <w:trPr>
          <w:cantSplit/>
        </w:trPr>
        <w:tc>
          <w:tcPr>
            <w:tcW w:w="3118" w:type="dxa"/>
          </w:tcPr>
          <w:p>
            <w:pPr>
              <w:pStyle w:val="nTable"/>
              <w:spacing w:after="40"/>
              <w:ind w:right="113"/>
              <w:rPr>
                <w:i/>
              </w:rPr>
            </w:pPr>
            <w:r>
              <w:rPr>
                <w:i/>
              </w:rPr>
              <w:t>Water Agencies (Charges) Amendment By</w:t>
            </w:r>
            <w:r>
              <w:rPr>
                <w:i/>
              </w:rPr>
              <w:noBreakHyphen/>
              <w:t>laws 1999</w:t>
            </w:r>
          </w:p>
        </w:tc>
        <w:tc>
          <w:tcPr>
            <w:tcW w:w="1276" w:type="dxa"/>
          </w:tcPr>
          <w:p>
            <w:pPr>
              <w:pStyle w:val="nTable"/>
              <w:spacing w:after="40"/>
            </w:pPr>
            <w:r>
              <w:t>7 May 1999 p. 1859</w:t>
            </w:r>
            <w:r>
              <w:noBreakHyphen/>
              <w:t>61</w:t>
            </w:r>
          </w:p>
        </w:tc>
        <w:tc>
          <w:tcPr>
            <w:tcW w:w="2693" w:type="dxa"/>
          </w:tcPr>
          <w:p>
            <w:pPr>
              <w:pStyle w:val="nTable"/>
              <w:spacing w:after="40"/>
            </w:pPr>
            <w:r>
              <w:t>7 May 1999</w:t>
            </w:r>
          </w:p>
        </w:tc>
      </w:tr>
      <w:tr>
        <w:trPr>
          <w:cantSplit/>
        </w:trPr>
        <w:tc>
          <w:tcPr>
            <w:tcW w:w="3118" w:type="dxa"/>
          </w:tcPr>
          <w:p>
            <w:pPr>
              <w:pStyle w:val="nTable"/>
              <w:spacing w:after="40"/>
              <w:ind w:right="113"/>
              <w:rPr>
                <w:i/>
              </w:rPr>
            </w:pPr>
            <w:r>
              <w:rPr>
                <w:i/>
              </w:rPr>
              <w:lastRenderedPageBreak/>
              <w:t>Water Agencies (Charges) Amendment By</w:t>
            </w:r>
            <w:r>
              <w:rPr>
                <w:i/>
              </w:rPr>
              <w:noBreakHyphen/>
              <w:t>laws (No. 3) 1999</w:t>
            </w:r>
          </w:p>
        </w:tc>
        <w:tc>
          <w:tcPr>
            <w:tcW w:w="1276" w:type="dxa"/>
          </w:tcPr>
          <w:p>
            <w:pPr>
              <w:pStyle w:val="nTable"/>
              <w:spacing w:after="40"/>
            </w:pPr>
            <w:r>
              <w:t>25 Jun 1999 p. 2742</w:t>
            </w:r>
          </w:p>
        </w:tc>
        <w:tc>
          <w:tcPr>
            <w:tcW w:w="2693" w:type="dxa"/>
          </w:tcPr>
          <w:p>
            <w:pPr>
              <w:pStyle w:val="nTable"/>
              <w:spacing w:after="40"/>
            </w:pPr>
            <w:r>
              <w:t>25 Jun 1999</w:t>
            </w:r>
          </w:p>
        </w:tc>
      </w:tr>
      <w:tr>
        <w:trPr>
          <w:cantSplit/>
        </w:trPr>
        <w:tc>
          <w:tcPr>
            <w:tcW w:w="3118" w:type="dxa"/>
          </w:tcPr>
          <w:p>
            <w:pPr>
              <w:pStyle w:val="nTable"/>
              <w:spacing w:after="40"/>
              <w:ind w:right="113"/>
              <w:rPr>
                <w:vertAlign w:val="superscript"/>
              </w:rPr>
            </w:pPr>
            <w:r>
              <w:rPr>
                <w:i/>
              </w:rPr>
              <w:t>Water Agencies (Charges) Amendment By</w:t>
            </w:r>
            <w:r>
              <w:rPr>
                <w:i/>
              </w:rPr>
              <w:noBreakHyphen/>
              <w:t>laws (No. 2) 1999</w:t>
            </w:r>
            <w:r>
              <w:rPr>
                <w:vertAlign w:val="superscript"/>
              </w:rPr>
              <w:t> 19</w:t>
            </w:r>
          </w:p>
        </w:tc>
        <w:tc>
          <w:tcPr>
            <w:tcW w:w="1276" w:type="dxa"/>
          </w:tcPr>
          <w:p>
            <w:pPr>
              <w:pStyle w:val="nTable"/>
              <w:spacing w:after="40"/>
            </w:pPr>
            <w:r>
              <w:t>29 Jun 1999 p. 2789</w:t>
            </w:r>
            <w:r>
              <w:noBreakHyphen/>
              <w:t>828</w:t>
            </w:r>
          </w:p>
        </w:tc>
        <w:tc>
          <w:tcPr>
            <w:tcW w:w="2693" w:type="dxa"/>
          </w:tcPr>
          <w:p>
            <w:pPr>
              <w:pStyle w:val="nTable"/>
              <w:spacing w:after="40"/>
            </w:pPr>
            <w:r>
              <w:t>1 Jul 1999 (see bl. 2)</w:t>
            </w:r>
          </w:p>
        </w:tc>
      </w:tr>
      <w:tr>
        <w:trPr>
          <w:cantSplit/>
        </w:trPr>
        <w:tc>
          <w:tcPr>
            <w:tcW w:w="3118" w:type="dxa"/>
          </w:tcPr>
          <w:p>
            <w:pPr>
              <w:pStyle w:val="nTable"/>
              <w:spacing w:after="40"/>
              <w:ind w:right="113"/>
              <w:rPr>
                <w:i/>
              </w:rPr>
            </w:pPr>
            <w:r>
              <w:rPr>
                <w:i/>
              </w:rPr>
              <w:t>Water Agencies (Charges) Amendment By</w:t>
            </w:r>
            <w:r>
              <w:rPr>
                <w:i/>
              </w:rPr>
              <w:noBreakHyphen/>
              <w:t>laws (No. 4) 1999</w:t>
            </w:r>
          </w:p>
        </w:tc>
        <w:tc>
          <w:tcPr>
            <w:tcW w:w="1276" w:type="dxa"/>
          </w:tcPr>
          <w:p>
            <w:pPr>
              <w:pStyle w:val="nTable"/>
              <w:spacing w:after="40"/>
            </w:pPr>
            <w:r>
              <w:t xml:space="preserve">1 Jul 1999 </w:t>
            </w:r>
            <w:r>
              <w:br/>
              <w:t>p. 2907</w:t>
            </w:r>
          </w:p>
        </w:tc>
        <w:tc>
          <w:tcPr>
            <w:tcW w:w="2693" w:type="dxa"/>
          </w:tcPr>
          <w:p>
            <w:pPr>
              <w:pStyle w:val="nTable"/>
              <w:spacing w:after="40"/>
            </w:pPr>
            <w:r>
              <w:t>1 Jul 1999 (see bl. 2)</w:t>
            </w:r>
          </w:p>
        </w:tc>
      </w:tr>
      <w:tr>
        <w:trPr>
          <w:cantSplit/>
        </w:trPr>
        <w:tc>
          <w:tcPr>
            <w:tcW w:w="3118" w:type="dxa"/>
          </w:tcPr>
          <w:p>
            <w:pPr>
              <w:pStyle w:val="nTable"/>
              <w:spacing w:after="40"/>
              <w:ind w:right="113"/>
              <w:rPr>
                <w:i/>
              </w:rPr>
            </w:pPr>
            <w:r>
              <w:rPr>
                <w:i/>
              </w:rPr>
              <w:t>Water Agencies (Charges) Amendment By</w:t>
            </w:r>
            <w:r>
              <w:rPr>
                <w:i/>
              </w:rPr>
              <w:noBreakHyphen/>
              <w:t>laws 2000</w:t>
            </w:r>
          </w:p>
        </w:tc>
        <w:tc>
          <w:tcPr>
            <w:tcW w:w="1276" w:type="dxa"/>
          </w:tcPr>
          <w:p>
            <w:pPr>
              <w:pStyle w:val="nTable"/>
              <w:spacing w:after="40"/>
            </w:pPr>
            <w:r>
              <w:t>15 Feb 2000 p. 524</w:t>
            </w:r>
            <w:r>
              <w:noBreakHyphen/>
              <w:t>5</w:t>
            </w:r>
          </w:p>
        </w:tc>
        <w:tc>
          <w:tcPr>
            <w:tcW w:w="2693" w:type="dxa"/>
          </w:tcPr>
          <w:p>
            <w:pPr>
              <w:pStyle w:val="nTable"/>
              <w:spacing w:after="40"/>
            </w:pPr>
            <w:r>
              <w:t>15 Feb 2000</w:t>
            </w:r>
          </w:p>
        </w:tc>
      </w:tr>
      <w:tr>
        <w:trPr>
          <w:cantSplit/>
        </w:trPr>
        <w:tc>
          <w:tcPr>
            <w:tcW w:w="3118" w:type="dxa"/>
          </w:tcPr>
          <w:p>
            <w:pPr>
              <w:pStyle w:val="nTable"/>
              <w:spacing w:after="40"/>
              <w:ind w:right="113"/>
              <w:rPr>
                <w:i/>
              </w:rPr>
            </w:pPr>
            <w:r>
              <w:rPr>
                <w:i/>
              </w:rPr>
              <w:t>Water Agencies (Charges) Amendment By</w:t>
            </w:r>
            <w:r>
              <w:rPr>
                <w:i/>
              </w:rPr>
              <w:noBreakHyphen/>
              <w:t>laws (No. 2) 2000</w:t>
            </w:r>
          </w:p>
        </w:tc>
        <w:tc>
          <w:tcPr>
            <w:tcW w:w="1276" w:type="dxa"/>
          </w:tcPr>
          <w:p>
            <w:pPr>
              <w:pStyle w:val="nTable"/>
              <w:spacing w:after="40"/>
            </w:pPr>
            <w:r>
              <w:t>29 Jun 2000 p. 3323</w:t>
            </w:r>
            <w:r>
              <w:noBreakHyphen/>
              <w:t>63</w:t>
            </w:r>
          </w:p>
        </w:tc>
        <w:tc>
          <w:tcPr>
            <w:tcW w:w="2693" w:type="dxa"/>
          </w:tcPr>
          <w:p>
            <w:pPr>
              <w:pStyle w:val="nTable"/>
              <w:spacing w:after="40"/>
            </w:pPr>
            <w:r>
              <w:t>1 Jul 2000 (see bl. 2)</w:t>
            </w:r>
          </w:p>
        </w:tc>
      </w:tr>
      <w:tr>
        <w:trPr>
          <w:cantSplit/>
        </w:trPr>
        <w:tc>
          <w:tcPr>
            <w:tcW w:w="3118" w:type="dxa"/>
          </w:tcPr>
          <w:p>
            <w:pPr>
              <w:pStyle w:val="nTable"/>
              <w:spacing w:after="40"/>
              <w:ind w:right="113"/>
              <w:rPr>
                <w:i/>
              </w:rPr>
            </w:pPr>
            <w:r>
              <w:rPr>
                <w:i/>
              </w:rPr>
              <w:t>Water Agencies (Charges) Amendment By</w:t>
            </w:r>
            <w:r>
              <w:rPr>
                <w:i/>
              </w:rPr>
              <w:noBreakHyphen/>
              <w:t>laws 2001</w:t>
            </w:r>
          </w:p>
        </w:tc>
        <w:tc>
          <w:tcPr>
            <w:tcW w:w="1276" w:type="dxa"/>
          </w:tcPr>
          <w:p>
            <w:pPr>
              <w:pStyle w:val="nTable"/>
              <w:spacing w:after="40"/>
            </w:pPr>
            <w:r>
              <w:t>13 Feb 2001 p. 892</w:t>
            </w:r>
          </w:p>
        </w:tc>
        <w:tc>
          <w:tcPr>
            <w:tcW w:w="2693" w:type="dxa"/>
          </w:tcPr>
          <w:p>
            <w:pPr>
              <w:pStyle w:val="nTable"/>
              <w:spacing w:after="40"/>
            </w:pPr>
            <w:r>
              <w:t>13 Feb 2001</w:t>
            </w:r>
          </w:p>
        </w:tc>
      </w:tr>
      <w:tr>
        <w:trPr>
          <w:cantSplit/>
        </w:trPr>
        <w:tc>
          <w:tcPr>
            <w:tcW w:w="7087" w:type="dxa"/>
            <w:gridSpan w:val="3"/>
          </w:tcPr>
          <w:p>
            <w:pPr>
              <w:pStyle w:val="nTable"/>
              <w:spacing w:after="40"/>
            </w:pPr>
            <w:r>
              <w:rPr>
                <w:b/>
              </w:rPr>
              <w:t xml:space="preserve">Reprint of the </w:t>
            </w:r>
            <w:r>
              <w:rPr>
                <w:b/>
                <w:i/>
              </w:rPr>
              <w:t>Water Agencies (Charges) By</w:t>
            </w:r>
            <w:r>
              <w:rPr>
                <w:b/>
                <w:bCs/>
                <w:i/>
              </w:rPr>
              <w:noBreakHyphen/>
            </w:r>
            <w:r>
              <w:rPr>
                <w:b/>
                <w:i/>
              </w:rPr>
              <w:t>laws 1987</w:t>
            </w:r>
            <w:r>
              <w:rPr>
                <w:b/>
              </w:rPr>
              <w:t xml:space="preserve"> as at 16 Feb 2001</w:t>
            </w:r>
            <w:r>
              <w:rPr>
                <w:b/>
              </w:rPr>
              <w:br/>
            </w:r>
            <w:r>
              <w:t>(includes amendments listed above)</w:t>
            </w:r>
          </w:p>
        </w:tc>
      </w:tr>
      <w:tr>
        <w:trPr>
          <w:cantSplit/>
        </w:trPr>
        <w:tc>
          <w:tcPr>
            <w:tcW w:w="3118" w:type="dxa"/>
          </w:tcPr>
          <w:p>
            <w:pPr>
              <w:pStyle w:val="nTable"/>
              <w:spacing w:after="40"/>
              <w:ind w:right="113"/>
              <w:rPr>
                <w:i/>
              </w:rPr>
            </w:pPr>
            <w:r>
              <w:rPr>
                <w:i/>
              </w:rPr>
              <w:t>Water Agencies (Charges) Amendment By</w:t>
            </w:r>
            <w:r>
              <w:rPr>
                <w:i/>
              </w:rPr>
              <w:noBreakHyphen/>
              <w:t>laws (No. 2) 2001</w:t>
            </w:r>
          </w:p>
        </w:tc>
        <w:tc>
          <w:tcPr>
            <w:tcW w:w="1276" w:type="dxa"/>
          </w:tcPr>
          <w:p>
            <w:pPr>
              <w:pStyle w:val="nTable"/>
              <w:spacing w:after="40"/>
            </w:pPr>
            <w:r>
              <w:t>29 Jun 2001 p. 3187</w:t>
            </w:r>
            <w:r>
              <w:noBreakHyphen/>
              <w:t>229</w:t>
            </w:r>
          </w:p>
        </w:tc>
        <w:tc>
          <w:tcPr>
            <w:tcW w:w="2693" w:type="dxa"/>
          </w:tcPr>
          <w:p>
            <w:pPr>
              <w:pStyle w:val="nTable"/>
              <w:spacing w:after="40"/>
            </w:pPr>
            <w:r>
              <w:t>1 Jul 2001 (see bl. 2)</w:t>
            </w:r>
          </w:p>
        </w:tc>
      </w:tr>
      <w:tr>
        <w:trPr>
          <w:cantSplit/>
        </w:trPr>
        <w:tc>
          <w:tcPr>
            <w:tcW w:w="3118" w:type="dxa"/>
          </w:tcPr>
          <w:p>
            <w:pPr>
              <w:pStyle w:val="nTable"/>
              <w:spacing w:after="40"/>
              <w:ind w:right="113"/>
              <w:rPr>
                <w:i/>
              </w:rPr>
            </w:pPr>
            <w:r>
              <w:rPr>
                <w:i/>
              </w:rPr>
              <w:t>Water Agencies (Charges) Amendment By</w:t>
            </w:r>
            <w:r>
              <w:rPr>
                <w:i/>
              </w:rPr>
              <w:noBreakHyphen/>
              <w:t>laws (No. 3) 2001</w:t>
            </w:r>
          </w:p>
        </w:tc>
        <w:tc>
          <w:tcPr>
            <w:tcW w:w="1276" w:type="dxa"/>
          </w:tcPr>
          <w:p>
            <w:pPr>
              <w:pStyle w:val="nTable"/>
              <w:spacing w:after="40"/>
            </w:pPr>
            <w:r>
              <w:t>7 Aug 2001 p. 4037</w:t>
            </w:r>
            <w:r>
              <w:noBreakHyphen/>
              <w:t>8</w:t>
            </w:r>
          </w:p>
        </w:tc>
        <w:tc>
          <w:tcPr>
            <w:tcW w:w="2693" w:type="dxa"/>
          </w:tcPr>
          <w:p>
            <w:pPr>
              <w:pStyle w:val="nTable"/>
              <w:spacing w:after="40"/>
            </w:pPr>
            <w:r>
              <w:t>7 Aug 2001</w:t>
            </w:r>
          </w:p>
        </w:tc>
      </w:tr>
      <w:tr>
        <w:trPr>
          <w:cantSplit/>
        </w:trPr>
        <w:tc>
          <w:tcPr>
            <w:tcW w:w="3118" w:type="dxa"/>
          </w:tcPr>
          <w:p>
            <w:pPr>
              <w:pStyle w:val="nTable"/>
              <w:spacing w:after="40"/>
              <w:ind w:right="113"/>
              <w:rPr>
                <w:i/>
              </w:rPr>
            </w:pPr>
            <w:r>
              <w:rPr>
                <w:i/>
              </w:rPr>
              <w:t>Water Agencies (Charges) Amendment By</w:t>
            </w:r>
            <w:r>
              <w:rPr>
                <w:i/>
              </w:rPr>
              <w:noBreakHyphen/>
              <w:t>laws (No. 4) 2001</w:t>
            </w:r>
          </w:p>
        </w:tc>
        <w:tc>
          <w:tcPr>
            <w:tcW w:w="1276" w:type="dxa"/>
          </w:tcPr>
          <w:p>
            <w:pPr>
              <w:pStyle w:val="nTable"/>
              <w:spacing w:after="40"/>
            </w:pPr>
            <w:r>
              <w:t>5 Oct 2001 p. 5478</w:t>
            </w:r>
            <w:r>
              <w:noBreakHyphen/>
              <w:t>9</w:t>
            </w:r>
          </w:p>
        </w:tc>
        <w:tc>
          <w:tcPr>
            <w:tcW w:w="2693" w:type="dxa"/>
          </w:tcPr>
          <w:p>
            <w:pPr>
              <w:pStyle w:val="nTable"/>
              <w:spacing w:after="40"/>
            </w:pPr>
            <w:r>
              <w:t>5 Oct 2001</w:t>
            </w:r>
          </w:p>
        </w:tc>
      </w:tr>
      <w:tr>
        <w:trPr>
          <w:cantSplit/>
        </w:trPr>
        <w:tc>
          <w:tcPr>
            <w:tcW w:w="3118" w:type="dxa"/>
          </w:tcPr>
          <w:p>
            <w:pPr>
              <w:pStyle w:val="nTable"/>
              <w:spacing w:after="40"/>
              <w:ind w:right="113"/>
              <w:rPr>
                <w:vertAlign w:val="superscript"/>
              </w:rPr>
            </w:pPr>
            <w:r>
              <w:rPr>
                <w:i/>
              </w:rPr>
              <w:t>Water Agencies (Charges) Amendment By</w:t>
            </w:r>
            <w:r>
              <w:rPr>
                <w:i/>
              </w:rPr>
              <w:noBreakHyphen/>
              <w:t>Laws (No. 5) 2001</w:t>
            </w:r>
            <w:r>
              <w:rPr>
                <w:vertAlign w:val="superscript"/>
              </w:rPr>
              <w:t> 20</w:t>
            </w:r>
          </w:p>
        </w:tc>
        <w:tc>
          <w:tcPr>
            <w:tcW w:w="1276" w:type="dxa"/>
          </w:tcPr>
          <w:p>
            <w:pPr>
              <w:pStyle w:val="nTable"/>
              <w:spacing w:after="40"/>
            </w:pPr>
            <w:r>
              <w:t>22 Feb 2002 p. 767</w:t>
            </w:r>
            <w:r>
              <w:noBreakHyphen/>
              <w:t>9</w:t>
            </w:r>
          </w:p>
        </w:tc>
        <w:tc>
          <w:tcPr>
            <w:tcW w:w="2693" w:type="dxa"/>
          </w:tcPr>
          <w:p>
            <w:pPr>
              <w:pStyle w:val="nTable"/>
              <w:spacing w:after="40"/>
            </w:pPr>
            <w:r>
              <w:t>22 Feb 2002</w:t>
            </w:r>
          </w:p>
        </w:tc>
      </w:tr>
      <w:tr>
        <w:trPr>
          <w:cantSplit/>
        </w:trPr>
        <w:tc>
          <w:tcPr>
            <w:tcW w:w="3118" w:type="dxa"/>
          </w:tcPr>
          <w:p>
            <w:pPr>
              <w:pStyle w:val="nTable"/>
              <w:spacing w:after="40"/>
              <w:ind w:right="113"/>
              <w:rPr>
                <w:vertAlign w:val="superscript"/>
              </w:rPr>
            </w:pPr>
            <w:r>
              <w:rPr>
                <w:i/>
              </w:rPr>
              <w:t>Water Agencies (Charges) Amendment By</w:t>
            </w:r>
            <w:r>
              <w:rPr>
                <w:i/>
              </w:rPr>
              <w:noBreakHyphen/>
              <w:t>laws 2002</w:t>
            </w:r>
            <w:r>
              <w:rPr>
                <w:vertAlign w:val="superscript"/>
              </w:rPr>
              <w:t> 21</w:t>
            </w:r>
          </w:p>
        </w:tc>
        <w:tc>
          <w:tcPr>
            <w:tcW w:w="1276" w:type="dxa"/>
          </w:tcPr>
          <w:p>
            <w:pPr>
              <w:pStyle w:val="nTable"/>
              <w:spacing w:after="40"/>
            </w:pPr>
            <w:r>
              <w:t>1 Mar 2002 p. 869</w:t>
            </w:r>
            <w:r>
              <w:noBreakHyphen/>
              <w:t>70</w:t>
            </w:r>
          </w:p>
        </w:tc>
        <w:tc>
          <w:tcPr>
            <w:tcW w:w="2693" w:type="dxa"/>
          </w:tcPr>
          <w:p>
            <w:pPr>
              <w:pStyle w:val="nTable"/>
              <w:spacing w:after="40"/>
            </w:pPr>
            <w:r>
              <w:t>1 Mar 2002</w:t>
            </w:r>
          </w:p>
        </w:tc>
      </w:tr>
      <w:tr>
        <w:trPr>
          <w:cantSplit/>
        </w:trPr>
        <w:tc>
          <w:tcPr>
            <w:tcW w:w="3118" w:type="dxa"/>
          </w:tcPr>
          <w:p>
            <w:pPr>
              <w:pStyle w:val="nTable"/>
              <w:spacing w:after="40"/>
              <w:ind w:right="113"/>
              <w:rPr>
                <w:i/>
              </w:rPr>
            </w:pPr>
            <w:r>
              <w:rPr>
                <w:i/>
              </w:rPr>
              <w:t>Water Agencies (Charges) Amendment By</w:t>
            </w:r>
            <w:r>
              <w:rPr>
                <w:i/>
              </w:rPr>
              <w:noBreakHyphen/>
              <w:t>laws (No. 2) 2002</w:t>
            </w:r>
          </w:p>
        </w:tc>
        <w:tc>
          <w:tcPr>
            <w:tcW w:w="1276" w:type="dxa"/>
          </w:tcPr>
          <w:p>
            <w:pPr>
              <w:pStyle w:val="nTable"/>
              <w:spacing w:after="40"/>
            </w:pPr>
            <w:r>
              <w:t>1 Mar 2002 p. 870</w:t>
            </w:r>
          </w:p>
        </w:tc>
        <w:tc>
          <w:tcPr>
            <w:tcW w:w="2693" w:type="dxa"/>
          </w:tcPr>
          <w:p>
            <w:pPr>
              <w:pStyle w:val="nTable"/>
              <w:spacing w:after="40"/>
            </w:pPr>
            <w:r>
              <w:t xml:space="preserve">1 Mar 2002 </w:t>
            </w:r>
          </w:p>
        </w:tc>
      </w:tr>
      <w:tr>
        <w:trPr>
          <w:cantSplit/>
        </w:trPr>
        <w:tc>
          <w:tcPr>
            <w:tcW w:w="3118" w:type="dxa"/>
          </w:tcPr>
          <w:p>
            <w:pPr>
              <w:pStyle w:val="nTable"/>
              <w:spacing w:after="40"/>
              <w:ind w:right="113"/>
              <w:rPr>
                <w:i/>
              </w:rPr>
            </w:pPr>
            <w:r>
              <w:rPr>
                <w:i/>
              </w:rPr>
              <w:t>Water Agencies (Charges) Amendment By</w:t>
            </w:r>
            <w:r>
              <w:rPr>
                <w:i/>
              </w:rPr>
              <w:noBreakHyphen/>
              <w:t>laws (No. 3) 2002</w:t>
            </w:r>
          </w:p>
        </w:tc>
        <w:tc>
          <w:tcPr>
            <w:tcW w:w="1276" w:type="dxa"/>
          </w:tcPr>
          <w:p>
            <w:pPr>
              <w:pStyle w:val="nTable"/>
              <w:spacing w:after="40"/>
            </w:pPr>
            <w:r>
              <w:t>1 Jul 2002 p. 3155</w:t>
            </w:r>
            <w:r>
              <w:noBreakHyphen/>
              <w:t>201</w:t>
            </w:r>
          </w:p>
        </w:tc>
        <w:tc>
          <w:tcPr>
            <w:tcW w:w="2693" w:type="dxa"/>
          </w:tcPr>
          <w:p>
            <w:pPr>
              <w:pStyle w:val="nTable"/>
              <w:spacing w:after="40"/>
            </w:pPr>
            <w:r>
              <w:t>1 Jul 2002</w:t>
            </w:r>
          </w:p>
        </w:tc>
      </w:tr>
      <w:tr>
        <w:trPr>
          <w:cantSplit/>
        </w:trPr>
        <w:tc>
          <w:tcPr>
            <w:tcW w:w="3118" w:type="dxa"/>
          </w:tcPr>
          <w:p>
            <w:pPr>
              <w:pStyle w:val="nTable"/>
              <w:spacing w:after="40"/>
              <w:ind w:right="113"/>
              <w:rPr>
                <w:i/>
              </w:rPr>
            </w:pPr>
            <w:r>
              <w:rPr>
                <w:i/>
              </w:rPr>
              <w:t>Water Agencies (Charges) Amendment By</w:t>
            </w:r>
            <w:r>
              <w:rPr>
                <w:i/>
              </w:rPr>
              <w:noBreakHyphen/>
              <w:t>laws 2003</w:t>
            </w:r>
          </w:p>
        </w:tc>
        <w:tc>
          <w:tcPr>
            <w:tcW w:w="1276" w:type="dxa"/>
          </w:tcPr>
          <w:p>
            <w:pPr>
              <w:pStyle w:val="nTable"/>
              <w:spacing w:after="40"/>
            </w:pPr>
            <w:r>
              <w:t>29 Apr 2003 p. 1293-4</w:t>
            </w:r>
          </w:p>
        </w:tc>
        <w:tc>
          <w:tcPr>
            <w:tcW w:w="2693" w:type="dxa"/>
          </w:tcPr>
          <w:p>
            <w:pPr>
              <w:pStyle w:val="nTable"/>
              <w:spacing w:after="40"/>
            </w:pPr>
            <w:r>
              <w:t>29 Apr 2003</w:t>
            </w:r>
          </w:p>
        </w:tc>
      </w:tr>
      <w:tr>
        <w:trPr>
          <w:cantSplit/>
        </w:trPr>
        <w:tc>
          <w:tcPr>
            <w:tcW w:w="7087" w:type="dxa"/>
            <w:gridSpan w:val="3"/>
          </w:tcPr>
          <w:p>
            <w:pPr>
              <w:pStyle w:val="nTable"/>
              <w:spacing w:after="40"/>
            </w:pPr>
            <w:r>
              <w:rPr>
                <w:b/>
              </w:rPr>
              <w:t xml:space="preserve">Reprint 3:  The </w:t>
            </w:r>
            <w:r>
              <w:rPr>
                <w:b/>
                <w:i/>
              </w:rPr>
              <w:t>Water Agencies (Charges) By</w:t>
            </w:r>
            <w:r>
              <w:rPr>
                <w:b/>
                <w:bCs/>
                <w:i/>
              </w:rPr>
              <w:noBreakHyphen/>
            </w:r>
            <w:r>
              <w:rPr>
                <w:b/>
                <w:i/>
              </w:rPr>
              <w:t>laws 1987</w:t>
            </w:r>
            <w:r>
              <w:rPr>
                <w:b/>
              </w:rPr>
              <w:t xml:space="preserve"> as at 9 May 2003 </w:t>
            </w:r>
            <w:r>
              <w:t>(includes amendments listed above)</w:t>
            </w:r>
          </w:p>
        </w:tc>
      </w:tr>
      <w:tr>
        <w:trPr>
          <w:cantSplit/>
        </w:trPr>
        <w:tc>
          <w:tcPr>
            <w:tcW w:w="3118" w:type="dxa"/>
          </w:tcPr>
          <w:p>
            <w:pPr>
              <w:pStyle w:val="nTable"/>
              <w:spacing w:after="40"/>
              <w:ind w:right="113"/>
              <w:rPr>
                <w:i/>
              </w:rPr>
            </w:pPr>
            <w:r>
              <w:rPr>
                <w:i/>
              </w:rPr>
              <w:t>Water Agencies (Charges) Amendment By</w:t>
            </w:r>
            <w:r>
              <w:rPr>
                <w:i/>
              </w:rPr>
              <w:noBreakHyphen/>
              <w:t>laws (No. 2) 2003</w:t>
            </w:r>
          </w:p>
        </w:tc>
        <w:tc>
          <w:tcPr>
            <w:tcW w:w="1276" w:type="dxa"/>
          </w:tcPr>
          <w:p>
            <w:pPr>
              <w:pStyle w:val="nTable"/>
              <w:spacing w:after="40"/>
            </w:pPr>
            <w:r>
              <w:t>24 Jun 2003 p. 2273</w:t>
            </w:r>
          </w:p>
        </w:tc>
        <w:tc>
          <w:tcPr>
            <w:tcW w:w="2693" w:type="dxa"/>
          </w:tcPr>
          <w:p>
            <w:pPr>
              <w:pStyle w:val="nTable"/>
              <w:spacing w:after="40"/>
            </w:pPr>
            <w:r>
              <w:t>24 Jun 2003</w:t>
            </w:r>
          </w:p>
        </w:tc>
      </w:tr>
      <w:tr>
        <w:trPr>
          <w:cantSplit/>
        </w:trPr>
        <w:tc>
          <w:tcPr>
            <w:tcW w:w="3118" w:type="dxa"/>
          </w:tcPr>
          <w:p>
            <w:pPr>
              <w:pStyle w:val="nTable"/>
              <w:spacing w:after="40"/>
              <w:ind w:right="113"/>
              <w:rPr>
                <w:i/>
              </w:rPr>
            </w:pPr>
            <w:r>
              <w:rPr>
                <w:i/>
              </w:rPr>
              <w:t>Water Agencies (Charges) Amendment By</w:t>
            </w:r>
            <w:r>
              <w:rPr>
                <w:i/>
              </w:rPr>
              <w:noBreakHyphen/>
              <w:t>laws (No. 3) 2003</w:t>
            </w:r>
          </w:p>
        </w:tc>
        <w:tc>
          <w:tcPr>
            <w:tcW w:w="1276" w:type="dxa"/>
          </w:tcPr>
          <w:p>
            <w:pPr>
              <w:pStyle w:val="nTable"/>
              <w:spacing w:after="40"/>
            </w:pPr>
            <w:r>
              <w:t>27 Jun 2003 p. 2283-340</w:t>
            </w:r>
          </w:p>
        </w:tc>
        <w:tc>
          <w:tcPr>
            <w:tcW w:w="2693" w:type="dxa"/>
          </w:tcPr>
          <w:p>
            <w:pPr>
              <w:pStyle w:val="nTable"/>
              <w:spacing w:after="40"/>
            </w:pPr>
            <w:r>
              <w:t>1 Jul 2003 (see bl. 2)</w:t>
            </w:r>
          </w:p>
        </w:tc>
      </w:tr>
      <w:tr>
        <w:trPr>
          <w:cantSplit/>
        </w:trPr>
        <w:tc>
          <w:tcPr>
            <w:tcW w:w="3118" w:type="dxa"/>
          </w:tcPr>
          <w:p>
            <w:pPr>
              <w:pStyle w:val="nTable"/>
              <w:spacing w:after="40"/>
              <w:ind w:right="113"/>
              <w:rPr>
                <w:i/>
              </w:rPr>
            </w:pPr>
            <w:r>
              <w:rPr>
                <w:i/>
              </w:rPr>
              <w:t>Water Agencies (Charges) Amendment By</w:t>
            </w:r>
            <w:r>
              <w:rPr>
                <w:i/>
              </w:rPr>
              <w:noBreakHyphen/>
              <w:t>laws (No. 4) 2003</w:t>
            </w:r>
          </w:p>
        </w:tc>
        <w:tc>
          <w:tcPr>
            <w:tcW w:w="1276" w:type="dxa"/>
          </w:tcPr>
          <w:p>
            <w:pPr>
              <w:pStyle w:val="nTable"/>
              <w:spacing w:after="40"/>
            </w:pPr>
            <w:r>
              <w:t>9 Dec 2003 p. 5007-8</w:t>
            </w:r>
          </w:p>
        </w:tc>
        <w:tc>
          <w:tcPr>
            <w:tcW w:w="2693" w:type="dxa"/>
          </w:tcPr>
          <w:p>
            <w:pPr>
              <w:pStyle w:val="nTable"/>
              <w:spacing w:after="40"/>
            </w:pPr>
            <w:r>
              <w:t>9 Dec 2003</w:t>
            </w:r>
          </w:p>
        </w:tc>
      </w:tr>
      <w:tr>
        <w:trPr>
          <w:cantSplit/>
        </w:trPr>
        <w:tc>
          <w:tcPr>
            <w:tcW w:w="3118" w:type="dxa"/>
          </w:tcPr>
          <w:p>
            <w:pPr>
              <w:pStyle w:val="nTable"/>
              <w:spacing w:after="40"/>
              <w:ind w:right="113"/>
              <w:rPr>
                <w:i/>
              </w:rPr>
            </w:pPr>
            <w:r>
              <w:rPr>
                <w:i/>
              </w:rPr>
              <w:lastRenderedPageBreak/>
              <w:t>Water Agencies (Charges) Amendment By</w:t>
            </w:r>
            <w:r>
              <w:rPr>
                <w:i/>
              </w:rPr>
              <w:noBreakHyphen/>
              <w:t>laws 2004</w:t>
            </w:r>
          </w:p>
        </w:tc>
        <w:tc>
          <w:tcPr>
            <w:tcW w:w="1276" w:type="dxa"/>
          </w:tcPr>
          <w:p>
            <w:pPr>
              <w:pStyle w:val="nTable"/>
              <w:spacing w:after="40"/>
            </w:pPr>
            <w:r>
              <w:t>29 Jun 2004 p. 2467-96</w:t>
            </w:r>
          </w:p>
        </w:tc>
        <w:tc>
          <w:tcPr>
            <w:tcW w:w="2693" w:type="dxa"/>
          </w:tcPr>
          <w:p>
            <w:pPr>
              <w:pStyle w:val="nTable"/>
              <w:spacing w:after="40"/>
            </w:pPr>
            <w:r>
              <w:t>1 Jul 2004 (see bl. 2)</w:t>
            </w:r>
          </w:p>
        </w:tc>
      </w:tr>
      <w:tr>
        <w:trPr>
          <w:cantSplit/>
        </w:trPr>
        <w:tc>
          <w:tcPr>
            <w:tcW w:w="3118" w:type="dxa"/>
          </w:tcPr>
          <w:p>
            <w:pPr>
              <w:pStyle w:val="nTable"/>
              <w:spacing w:after="40"/>
              <w:ind w:right="113"/>
              <w:rPr>
                <w:i/>
              </w:rPr>
            </w:pPr>
            <w:r>
              <w:rPr>
                <w:i/>
              </w:rPr>
              <w:t>Water Agencies (Charges) Amendment By</w:t>
            </w:r>
            <w:r>
              <w:rPr>
                <w:i/>
              </w:rPr>
              <w:noBreakHyphen/>
              <w:t>laws (No. 2) 2004</w:t>
            </w:r>
          </w:p>
        </w:tc>
        <w:tc>
          <w:tcPr>
            <w:tcW w:w="1276" w:type="dxa"/>
          </w:tcPr>
          <w:p>
            <w:pPr>
              <w:pStyle w:val="nTable"/>
              <w:spacing w:after="40"/>
            </w:pPr>
            <w:r>
              <w:t>24 Dec 2004 p. 6157-8</w:t>
            </w:r>
          </w:p>
        </w:tc>
        <w:tc>
          <w:tcPr>
            <w:tcW w:w="2693" w:type="dxa"/>
          </w:tcPr>
          <w:p>
            <w:pPr>
              <w:pStyle w:val="nTable"/>
              <w:spacing w:after="40"/>
            </w:pPr>
            <w:r>
              <w:t>24 Dec 2004</w:t>
            </w:r>
          </w:p>
        </w:tc>
      </w:tr>
      <w:tr>
        <w:trPr>
          <w:cantSplit/>
        </w:trPr>
        <w:tc>
          <w:tcPr>
            <w:tcW w:w="3118" w:type="dxa"/>
          </w:tcPr>
          <w:p>
            <w:pPr>
              <w:pStyle w:val="nTable"/>
              <w:spacing w:after="40"/>
              <w:ind w:right="113"/>
              <w:rPr>
                <w:i/>
              </w:rPr>
            </w:pPr>
            <w:r>
              <w:rPr>
                <w:i/>
              </w:rPr>
              <w:t>Water Agencies (Charges) Amendment By</w:t>
            </w:r>
            <w:r>
              <w:rPr>
                <w:i/>
              </w:rPr>
              <w:noBreakHyphen/>
              <w:t>laws 2005</w:t>
            </w:r>
          </w:p>
        </w:tc>
        <w:tc>
          <w:tcPr>
            <w:tcW w:w="1276" w:type="dxa"/>
          </w:tcPr>
          <w:p>
            <w:pPr>
              <w:pStyle w:val="nTable"/>
              <w:spacing w:after="40"/>
            </w:pPr>
            <w:r>
              <w:t>13 May 2005 p. 2088</w:t>
            </w:r>
          </w:p>
        </w:tc>
        <w:tc>
          <w:tcPr>
            <w:tcW w:w="2693" w:type="dxa"/>
          </w:tcPr>
          <w:p>
            <w:pPr>
              <w:pStyle w:val="nTable"/>
              <w:spacing w:after="40"/>
            </w:pPr>
            <w:r>
              <w:t>13 May 2005</w:t>
            </w:r>
          </w:p>
        </w:tc>
      </w:tr>
      <w:tr>
        <w:trPr>
          <w:cantSplit/>
        </w:trPr>
        <w:tc>
          <w:tcPr>
            <w:tcW w:w="3118" w:type="dxa"/>
          </w:tcPr>
          <w:p>
            <w:pPr>
              <w:pStyle w:val="nTable"/>
              <w:spacing w:after="40"/>
              <w:ind w:right="113"/>
              <w:rPr>
                <w:i/>
              </w:rPr>
            </w:pPr>
            <w:r>
              <w:rPr>
                <w:i/>
              </w:rPr>
              <w:t>Water Agencies (Charges) Amendment By</w:t>
            </w:r>
            <w:r>
              <w:rPr>
                <w:i/>
              </w:rPr>
              <w:noBreakHyphen/>
              <w:t>laws (No. 3) 2005</w:t>
            </w:r>
          </w:p>
        </w:tc>
        <w:tc>
          <w:tcPr>
            <w:tcW w:w="1276" w:type="dxa"/>
          </w:tcPr>
          <w:p>
            <w:pPr>
              <w:pStyle w:val="nTable"/>
              <w:spacing w:after="40"/>
            </w:pPr>
            <w:r>
              <w:t>1 Jul 2005 p. 3008-9</w:t>
            </w:r>
          </w:p>
        </w:tc>
        <w:tc>
          <w:tcPr>
            <w:tcW w:w="2693" w:type="dxa"/>
          </w:tcPr>
          <w:p>
            <w:pPr>
              <w:pStyle w:val="nTable"/>
              <w:spacing w:after="40"/>
            </w:pPr>
            <w:r>
              <w:t>1 Jul 2005 (see bl. 2)</w:t>
            </w:r>
          </w:p>
        </w:tc>
      </w:tr>
      <w:tr>
        <w:trPr>
          <w:cantSplit/>
        </w:trPr>
        <w:tc>
          <w:tcPr>
            <w:tcW w:w="3118" w:type="dxa"/>
          </w:tcPr>
          <w:p>
            <w:pPr>
              <w:pStyle w:val="nTable"/>
              <w:spacing w:after="40"/>
              <w:ind w:right="113"/>
              <w:rPr>
                <w:i/>
              </w:rPr>
            </w:pPr>
            <w:r>
              <w:rPr>
                <w:i/>
              </w:rPr>
              <w:t>Water Agencies (Charges) Amendment By</w:t>
            </w:r>
            <w:r>
              <w:rPr>
                <w:i/>
              </w:rPr>
              <w:noBreakHyphen/>
              <w:t>laws (No. 2) 2005</w:t>
            </w:r>
          </w:p>
        </w:tc>
        <w:tc>
          <w:tcPr>
            <w:tcW w:w="1276" w:type="dxa"/>
          </w:tcPr>
          <w:p>
            <w:pPr>
              <w:pStyle w:val="nTable"/>
              <w:spacing w:after="40"/>
            </w:pPr>
            <w:r>
              <w:t>1 Jul 2005 p. 3031-78</w:t>
            </w:r>
          </w:p>
        </w:tc>
        <w:tc>
          <w:tcPr>
            <w:tcW w:w="2693" w:type="dxa"/>
          </w:tcPr>
          <w:p>
            <w:pPr>
              <w:pStyle w:val="nTable"/>
              <w:spacing w:after="40"/>
            </w:pPr>
            <w:r>
              <w:t>1 Jul 2005 (see bl. 2)</w:t>
            </w:r>
          </w:p>
        </w:tc>
      </w:tr>
      <w:tr>
        <w:trPr>
          <w:cantSplit/>
        </w:trPr>
        <w:tc>
          <w:tcPr>
            <w:tcW w:w="3118" w:type="dxa"/>
          </w:tcPr>
          <w:p>
            <w:pPr>
              <w:pStyle w:val="nTable"/>
              <w:spacing w:after="40"/>
              <w:ind w:right="113"/>
              <w:rPr>
                <w:i/>
              </w:rPr>
            </w:pPr>
            <w:r>
              <w:rPr>
                <w:i/>
              </w:rPr>
              <w:t>Water Agencies (Charges) Amendment By</w:t>
            </w:r>
            <w:r>
              <w:rPr>
                <w:i/>
              </w:rPr>
              <w:noBreakHyphen/>
              <w:t>laws (No. 4) 2005</w:t>
            </w:r>
          </w:p>
        </w:tc>
        <w:tc>
          <w:tcPr>
            <w:tcW w:w="1276" w:type="dxa"/>
          </w:tcPr>
          <w:p>
            <w:pPr>
              <w:pStyle w:val="nTable"/>
              <w:spacing w:after="40"/>
            </w:pPr>
            <w:r>
              <w:t>4 Nov 2005 p. 5321</w:t>
            </w:r>
          </w:p>
        </w:tc>
        <w:tc>
          <w:tcPr>
            <w:tcW w:w="2693" w:type="dxa"/>
          </w:tcPr>
          <w:p>
            <w:pPr>
              <w:pStyle w:val="nTable"/>
              <w:spacing w:after="40"/>
            </w:pPr>
            <w:r>
              <w:t>4 Nov 2005</w:t>
            </w:r>
          </w:p>
        </w:tc>
      </w:tr>
      <w:tr>
        <w:trPr>
          <w:cantSplit/>
        </w:trPr>
        <w:tc>
          <w:tcPr>
            <w:tcW w:w="7087" w:type="dxa"/>
            <w:gridSpan w:val="3"/>
          </w:tcPr>
          <w:p>
            <w:pPr>
              <w:pStyle w:val="nTable"/>
              <w:spacing w:after="40"/>
            </w:pPr>
            <w:r>
              <w:rPr>
                <w:b/>
              </w:rPr>
              <w:t xml:space="preserve">Reprint 4:  The </w:t>
            </w:r>
            <w:r>
              <w:rPr>
                <w:b/>
                <w:i/>
              </w:rPr>
              <w:t>Water Agencies (Charges) By</w:t>
            </w:r>
            <w:r>
              <w:rPr>
                <w:b/>
                <w:bCs/>
                <w:i/>
              </w:rPr>
              <w:noBreakHyphen/>
            </w:r>
            <w:r>
              <w:rPr>
                <w:b/>
                <w:i/>
              </w:rPr>
              <w:t>laws 1987</w:t>
            </w:r>
            <w:r>
              <w:rPr>
                <w:b/>
              </w:rPr>
              <w:t xml:space="preserve"> as at 31 Mar 2006 </w:t>
            </w:r>
            <w:r>
              <w:t>(includes amendments listed above)</w:t>
            </w:r>
          </w:p>
        </w:tc>
      </w:tr>
      <w:tr>
        <w:trPr>
          <w:cantSplit/>
        </w:trPr>
        <w:tc>
          <w:tcPr>
            <w:tcW w:w="3118" w:type="dxa"/>
          </w:tcPr>
          <w:p>
            <w:pPr>
              <w:pStyle w:val="nTable"/>
              <w:spacing w:after="40"/>
              <w:ind w:right="113"/>
            </w:pPr>
            <w:r>
              <w:rPr>
                <w:i/>
              </w:rPr>
              <w:t>Electricity Corporations (Consequential Amendments) Regulations 2006</w:t>
            </w:r>
            <w:r>
              <w:t xml:space="preserve"> r. 89</w:t>
            </w:r>
          </w:p>
        </w:tc>
        <w:tc>
          <w:tcPr>
            <w:tcW w:w="1276" w:type="dxa"/>
          </w:tcPr>
          <w:p>
            <w:pPr>
              <w:pStyle w:val="nTable"/>
              <w:spacing w:after="40"/>
            </w:pPr>
            <w:r>
              <w:t>31 Mar 2006 p. 1299-357</w:t>
            </w:r>
          </w:p>
        </w:tc>
        <w:tc>
          <w:tcPr>
            <w:tcW w:w="2693" w:type="dxa"/>
          </w:tcPr>
          <w:p>
            <w:pPr>
              <w:pStyle w:val="nTable"/>
              <w:spacing w:after="40"/>
            </w:pPr>
            <w:r>
              <w:t>1 Apr 2006 (see r. 2)</w:t>
            </w:r>
          </w:p>
        </w:tc>
      </w:tr>
      <w:tr>
        <w:trPr>
          <w:cantSplit/>
        </w:trPr>
        <w:tc>
          <w:tcPr>
            <w:tcW w:w="3118" w:type="dxa"/>
          </w:tcPr>
          <w:p>
            <w:pPr>
              <w:pStyle w:val="nTable"/>
              <w:spacing w:after="40"/>
              <w:ind w:right="113"/>
              <w:rPr>
                <w:i/>
              </w:rPr>
            </w:pPr>
            <w:r>
              <w:rPr>
                <w:i/>
              </w:rPr>
              <w:t>Water Agencies (Charges) Amendment By</w:t>
            </w:r>
            <w:r>
              <w:rPr>
                <w:i/>
              </w:rPr>
              <w:noBreakHyphen/>
              <w:t xml:space="preserve">laws 2006 </w:t>
            </w:r>
          </w:p>
        </w:tc>
        <w:tc>
          <w:tcPr>
            <w:tcW w:w="1276" w:type="dxa"/>
          </w:tcPr>
          <w:p>
            <w:pPr>
              <w:pStyle w:val="nTable"/>
              <w:spacing w:after="40"/>
            </w:pPr>
            <w:r>
              <w:t>30 Jun 2006 p. 2413</w:t>
            </w:r>
            <w:r>
              <w:noBreakHyphen/>
              <w:t>61</w:t>
            </w:r>
          </w:p>
        </w:tc>
        <w:tc>
          <w:tcPr>
            <w:tcW w:w="2693" w:type="dxa"/>
          </w:tcPr>
          <w:p>
            <w:pPr>
              <w:pStyle w:val="nTable"/>
              <w:spacing w:after="40"/>
            </w:pPr>
            <w:r>
              <w:t>1 Jul 2006 (see bl. 2)</w:t>
            </w:r>
          </w:p>
        </w:tc>
      </w:tr>
      <w:tr>
        <w:trPr>
          <w:cantSplit/>
        </w:trPr>
        <w:tc>
          <w:tcPr>
            <w:tcW w:w="3118" w:type="dxa"/>
          </w:tcPr>
          <w:p>
            <w:pPr>
              <w:pStyle w:val="nTable"/>
              <w:spacing w:after="40"/>
              <w:ind w:right="113"/>
              <w:rPr>
                <w:i/>
              </w:rPr>
            </w:pPr>
            <w:r>
              <w:rPr>
                <w:i/>
              </w:rPr>
              <w:t>Water Agencies (Charges) Amendment By</w:t>
            </w:r>
            <w:r>
              <w:rPr>
                <w:i/>
              </w:rPr>
              <w:noBreakHyphen/>
              <w:t>laws (No. 3) 2006</w:t>
            </w:r>
          </w:p>
        </w:tc>
        <w:tc>
          <w:tcPr>
            <w:tcW w:w="1276" w:type="dxa"/>
          </w:tcPr>
          <w:p>
            <w:pPr>
              <w:pStyle w:val="nTable"/>
              <w:spacing w:after="40"/>
            </w:pPr>
            <w:r>
              <w:t>14 Nov 2006 p. 4738</w:t>
            </w:r>
          </w:p>
        </w:tc>
        <w:tc>
          <w:tcPr>
            <w:tcW w:w="2693" w:type="dxa"/>
          </w:tcPr>
          <w:p>
            <w:pPr>
              <w:pStyle w:val="nTable"/>
              <w:spacing w:after="40"/>
            </w:pPr>
            <w:r>
              <w:t>14 Nov 2006</w:t>
            </w:r>
          </w:p>
        </w:tc>
      </w:tr>
      <w:tr>
        <w:trPr>
          <w:cantSplit/>
        </w:trPr>
        <w:tc>
          <w:tcPr>
            <w:tcW w:w="3118" w:type="dxa"/>
          </w:tcPr>
          <w:p>
            <w:pPr>
              <w:pStyle w:val="nTable"/>
              <w:spacing w:after="40"/>
              <w:ind w:right="113"/>
              <w:rPr>
                <w:i/>
              </w:rPr>
            </w:pPr>
            <w:r>
              <w:rPr>
                <w:i/>
              </w:rPr>
              <w:t>Water Agencies (Charges) Amendment By</w:t>
            </w:r>
            <w:r>
              <w:rPr>
                <w:i/>
              </w:rPr>
              <w:noBreakHyphen/>
              <w:t>laws 2007</w:t>
            </w:r>
          </w:p>
        </w:tc>
        <w:tc>
          <w:tcPr>
            <w:tcW w:w="1276" w:type="dxa"/>
          </w:tcPr>
          <w:p>
            <w:pPr>
              <w:pStyle w:val="nTable"/>
              <w:spacing w:after="40"/>
            </w:pPr>
            <w:r>
              <w:t>13 Apr 2007 p. 1686-8</w:t>
            </w:r>
          </w:p>
        </w:tc>
        <w:tc>
          <w:tcPr>
            <w:tcW w:w="2693" w:type="dxa"/>
          </w:tcPr>
          <w:p>
            <w:pPr>
              <w:pStyle w:val="nTable"/>
              <w:spacing w:after="40"/>
            </w:pPr>
            <w:r>
              <w:t>13 Apr 2007</w:t>
            </w:r>
          </w:p>
        </w:tc>
      </w:tr>
      <w:tr>
        <w:trPr>
          <w:cantSplit/>
        </w:trPr>
        <w:tc>
          <w:tcPr>
            <w:tcW w:w="3118" w:type="dxa"/>
          </w:tcPr>
          <w:p>
            <w:pPr>
              <w:pStyle w:val="nTable"/>
              <w:spacing w:after="40"/>
              <w:ind w:right="113"/>
              <w:rPr>
                <w:i/>
              </w:rPr>
            </w:pPr>
            <w:r>
              <w:rPr>
                <w:i/>
              </w:rPr>
              <w:t>Water Agencies (Charges) Amendment By</w:t>
            </w:r>
            <w:r>
              <w:rPr>
                <w:i/>
              </w:rPr>
              <w:noBreakHyphen/>
              <w:t>laws (No. 2) 2007</w:t>
            </w:r>
          </w:p>
        </w:tc>
        <w:tc>
          <w:tcPr>
            <w:tcW w:w="1276" w:type="dxa"/>
          </w:tcPr>
          <w:p>
            <w:pPr>
              <w:pStyle w:val="nTable"/>
              <w:spacing w:after="40"/>
            </w:pPr>
            <w:r>
              <w:t>29 Jun 2007 p. 3245-88</w:t>
            </w:r>
          </w:p>
        </w:tc>
        <w:tc>
          <w:tcPr>
            <w:tcW w:w="2693" w:type="dxa"/>
          </w:tcPr>
          <w:p>
            <w:pPr>
              <w:pStyle w:val="nTable"/>
              <w:spacing w:after="40"/>
            </w:pPr>
            <w:r>
              <w:t>bl. 1 and 2: 29 Jun 2007 (see bl. 2(a));</w:t>
            </w:r>
            <w:r>
              <w:br/>
              <w:t>By-laws other than bl. 1 and 2: 1 Jul 2007 (see bl. 2(b))</w:t>
            </w:r>
          </w:p>
        </w:tc>
      </w:tr>
      <w:tr>
        <w:trPr>
          <w:cantSplit/>
        </w:trPr>
        <w:tc>
          <w:tcPr>
            <w:tcW w:w="7087" w:type="dxa"/>
            <w:gridSpan w:val="3"/>
          </w:tcPr>
          <w:p>
            <w:pPr>
              <w:pStyle w:val="nTable"/>
              <w:spacing w:after="40"/>
            </w:pPr>
            <w:r>
              <w:rPr>
                <w:b/>
              </w:rPr>
              <w:t xml:space="preserve">Reprint 5:  The </w:t>
            </w:r>
            <w:r>
              <w:rPr>
                <w:b/>
                <w:i/>
              </w:rPr>
              <w:t>Water Agencies (Charges) By</w:t>
            </w:r>
            <w:r>
              <w:rPr>
                <w:b/>
                <w:bCs/>
                <w:i/>
              </w:rPr>
              <w:noBreakHyphen/>
            </w:r>
            <w:r>
              <w:rPr>
                <w:b/>
                <w:i/>
              </w:rPr>
              <w:t>laws 1987</w:t>
            </w:r>
            <w:r>
              <w:rPr>
                <w:b/>
              </w:rPr>
              <w:t xml:space="preserve"> as at 5 Oct 2007 </w:t>
            </w:r>
            <w:r>
              <w:t>(includes amendments listed above)</w:t>
            </w:r>
          </w:p>
        </w:tc>
      </w:tr>
      <w:tr>
        <w:trPr>
          <w:cantSplit/>
        </w:trPr>
        <w:tc>
          <w:tcPr>
            <w:tcW w:w="3118" w:type="dxa"/>
          </w:tcPr>
          <w:p>
            <w:pPr>
              <w:pStyle w:val="nTable"/>
              <w:spacing w:after="40"/>
              <w:ind w:right="113"/>
              <w:rPr>
                <w:i/>
              </w:rPr>
            </w:pPr>
            <w:r>
              <w:rPr>
                <w:i/>
              </w:rPr>
              <w:t>Water Agencies (Charges) Amendment By</w:t>
            </w:r>
            <w:r>
              <w:rPr>
                <w:i/>
              </w:rPr>
              <w:noBreakHyphen/>
              <w:t>laws (No. 4) 2007</w:t>
            </w:r>
          </w:p>
        </w:tc>
        <w:tc>
          <w:tcPr>
            <w:tcW w:w="1276" w:type="dxa"/>
          </w:tcPr>
          <w:p>
            <w:pPr>
              <w:pStyle w:val="nTable"/>
              <w:spacing w:after="40"/>
            </w:pPr>
            <w:r>
              <w:t>21 Dec 2007 p. 6349</w:t>
            </w:r>
          </w:p>
        </w:tc>
        <w:tc>
          <w:tcPr>
            <w:tcW w:w="2693" w:type="dxa"/>
          </w:tcPr>
          <w:p>
            <w:pPr>
              <w:pStyle w:val="nTable"/>
              <w:spacing w:after="40"/>
            </w:pPr>
            <w:r>
              <w:t>bl. 1 and 2: 21 Dec 2007 (see bl. 2(a));</w:t>
            </w:r>
            <w:r>
              <w:br/>
              <w:t>By-laws other than bl. 1 and 2: 22 Dec 2007 (see bl. 2(b))</w:t>
            </w:r>
          </w:p>
        </w:tc>
      </w:tr>
      <w:tr>
        <w:trPr>
          <w:cantSplit/>
        </w:trPr>
        <w:tc>
          <w:tcPr>
            <w:tcW w:w="3118" w:type="dxa"/>
          </w:tcPr>
          <w:p>
            <w:pPr>
              <w:pStyle w:val="nTable"/>
              <w:spacing w:after="40"/>
              <w:ind w:right="113"/>
              <w:rPr>
                <w:i/>
              </w:rPr>
            </w:pPr>
            <w:r>
              <w:rPr>
                <w:i/>
              </w:rPr>
              <w:t>Water Agencies (Charges) Amendment By</w:t>
            </w:r>
            <w:r>
              <w:rPr>
                <w:i/>
              </w:rPr>
              <w:noBreakHyphen/>
              <w:t>laws 2008</w:t>
            </w:r>
          </w:p>
        </w:tc>
        <w:tc>
          <w:tcPr>
            <w:tcW w:w="1276" w:type="dxa"/>
          </w:tcPr>
          <w:p>
            <w:pPr>
              <w:pStyle w:val="nTable"/>
              <w:spacing w:after="40"/>
            </w:pPr>
            <w:r>
              <w:t>27 Jun 2008 p. 2981</w:t>
            </w:r>
            <w:r>
              <w:noBreakHyphen/>
              <w:t>3048</w:t>
            </w:r>
          </w:p>
        </w:tc>
        <w:tc>
          <w:tcPr>
            <w:tcW w:w="2693" w:type="dxa"/>
          </w:tcPr>
          <w:p>
            <w:pPr>
              <w:pStyle w:val="nTable"/>
              <w:spacing w:after="40"/>
            </w:pPr>
            <w:r>
              <w:t>bl. 1 and 2: 27 Jun 2008 (see bl. 2(a));</w:t>
            </w:r>
            <w:r>
              <w:br/>
              <w:t>By-laws other than bl. 1 and 2: 1 Jul 2008 (see bl. 2(b))</w:t>
            </w:r>
          </w:p>
        </w:tc>
      </w:tr>
      <w:tr>
        <w:trPr>
          <w:cantSplit/>
        </w:trPr>
        <w:tc>
          <w:tcPr>
            <w:tcW w:w="3118" w:type="dxa"/>
          </w:tcPr>
          <w:p>
            <w:pPr>
              <w:pStyle w:val="nTable"/>
              <w:spacing w:after="40"/>
              <w:ind w:right="113"/>
              <w:rPr>
                <w:i/>
              </w:rPr>
            </w:pPr>
            <w:r>
              <w:rPr>
                <w:i/>
              </w:rPr>
              <w:lastRenderedPageBreak/>
              <w:t>Water Agencies (Charges) Amendment By</w:t>
            </w:r>
            <w:r>
              <w:rPr>
                <w:i/>
              </w:rPr>
              <w:noBreakHyphen/>
              <w:t>laws 2009</w:t>
            </w:r>
          </w:p>
        </w:tc>
        <w:tc>
          <w:tcPr>
            <w:tcW w:w="1276" w:type="dxa"/>
          </w:tcPr>
          <w:p>
            <w:pPr>
              <w:pStyle w:val="nTable"/>
              <w:spacing w:after="40"/>
            </w:pPr>
            <w:r>
              <w:t>19 Jun 2009 p. 2319-92</w:t>
            </w:r>
          </w:p>
        </w:tc>
        <w:tc>
          <w:tcPr>
            <w:tcW w:w="2693" w:type="dxa"/>
          </w:tcPr>
          <w:p>
            <w:pPr>
              <w:pStyle w:val="nTable"/>
              <w:spacing w:after="40"/>
            </w:pPr>
            <w:r>
              <w:t>bl. 1 and 2: 19 Jun 2009 (see bl. 2(a));</w:t>
            </w:r>
            <w:r>
              <w:br/>
              <w:t>By-laws other than bl. 1 and 2: 1 Jul 2009 (see bl. 2(b))</w:t>
            </w:r>
          </w:p>
        </w:tc>
      </w:tr>
      <w:tr>
        <w:trPr>
          <w:cantSplit/>
        </w:trPr>
        <w:tc>
          <w:tcPr>
            <w:tcW w:w="7087" w:type="dxa"/>
            <w:gridSpan w:val="3"/>
          </w:tcPr>
          <w:p>
            <w:pPr>
              <w:pStyle w:val="nTable"/>
              <w:spacing w:before="0" w:after="40"/>
            </w:pPr>
            <w:r>
              <w:rPr>
                <w:b/>
              </w:rPr>
              <w:t xml:space="preserve">Reprint 6:  The </w:t>
            </w:r>
            <w:r>
              <w:rPr>
                <w:b/>
                <w:i/>
              </w:rPr>
              <w:t>Water Agencies (Charges) By</w:t>
            </w:r>
            <w:r>
              <w:rPr>
                <w:b/>
                <w:bCs/>
                <w:i/>
              </w:rPr>
              <w:noBreakHyphen/>
            </w:r>
            <w:r>
              <w:rPr>
                <w:b/>
                <w:i/>
              </w:rPr>
              <w:t>laws 1987</w:t>
            </w:r>
            <w:r>
              <w:rPr>
                <w:b/>
              </w:rPr>
              <w:t xml:space="preserve"> as at 7 Aug 2009 </w:t>
            </w:r>
            <w:r>
              <w:t>(includes amendments listed above)</w:t>
            </w:r>
          </w:p>
        </w:tc>
      </w:tr>
      <w:tr>
        <w:trPr>
          <w:cantSplit/>
        </w:trPr>
        <w:tc>
          <w:tcPr>
            <w:tcW w:w="3118" w:type="dxa"/>
          </w:tcPr>
          <w:p>
            <w:pPr>
              <w:pStyle w:val="nTable"/>
              <w:spacing w:after="40"/>
              <w:ind w:right="113"/>
              <w:rPr>
                <w:i/>
              </w:rPr>
            </w:pPr>
            <w:r>
              <w:rPr>
                <w:i/>
              </w:rPr>
              <w:t>Water Agencies (Charges) Amendment By</w:t>
            </w:r>
            <w:r>
              <w:rPr>
                <w:i/>
              </w:rPr>
              <w:noBreakHyphen/>
              <w:t>laws 2010</w:t>
            </w:r>
          </w:p>
        </w:tc>
        <w:tc>
          <w:tcPr>
            <w:tcW w:w="1276" w:type="dxa"/>
          </w:tcPr>
          <w:p>
            <w:pPr>
              <w:pStyle w:val="nTable"/>
              <w:spacing w:after="40"/>
            </w:pPr>
            <w:r>
              <w:t>25 Jun 2010 p. 2901</w:t>
            </w:r>
            <w:r>
              <w:noBreakHyphen/>
              <w:t>81</w:t>
            </w:r>
          </w:p>
        </w:tc>
        <w:tc>
          <w:tcPr>
            <w:tcW w:w="2693" w:type="dxa"/>
          </w:tcPr>
          <w:p>
            <w:pPr>
              <w:pStyle w:val="nTable"/>
              <w:spacing w:after="40"/>
            </w:pPr>
            <w:r>
              <w:t>bl. 1 and 2: 25 Jun 2010 (see bl. 2(a));</w:t>
            </w:r>
            <w:r>
              <w:br/>
              <w:t>By-laws other than bl. 1 and 2: 1 Jul 2010 (see bl. 2(b))</w:t>
            </w:r>
          </w:p>
        </w:tc>
      </w:tr>
      <w:tr>
        <w:trPr>
          <w:cantSplit/>
        </w:trPr>
        <w:tc>
          <w:tcPr>
            <w:tcW w:w="3118" w:type="dxa"/>
          </w:tcPr>
          <w:p>
            <w:pPr>
              <w:pStyle w:val="nTable"/>
              <w:spacing w:after="40"/>
              <w:ind w:right="113"/>
              <w:rPr>
                <w:i/>
              </w:rPr>
            </w:pPr>
            <w:r>
              <w:rPr>
                <w:i/>
              </w:rPr>
              <w:t>Water Agencies (Charges) Amendment By</w:t>
            </w:r>
            <w:r>
              <w:rPr>
                <w:i/>
              </w:rPr>
              <w:noBreakHyphen/>
              <w:t>laws (No. 2) 2010</w:t>
            </w:r>
          </w:p>
        </w:tc>
        <w:tc>
          <w:tcPr>
            <w:tcW w:w="1276" w:type="dxa"/>
          </w:tcPr>
          <w:p>
            <w:pPr>
              <w:pStyle w:val="nTable"/>
              <w:spacing w:after="40"/>
            </w:pPr>
            <w:r>
              <w:t>10 Sep 2010 p. 4350-1</w:t>
            </w:r>
          </w:p>
        </w:tc>
        <w:tc>
          <w:tcPr>
            <w:tcW w:w="2693" w:type="dxa"/>
          </w:tcPr>
          <w:p>
            <w:pPr>
              <w:pStyle w:val="nTable"/>
              <w:spacing w:after="40"/>
            </w:pPr>
            <w:r>
              <w:t>bl. 1 and 2: 10 Sep 2010 (see bl. 2(a));</w:t>
            </w:r>
            <w:r>
              <w:br/>
              <w:t>By-laws other than bl. 1 and 2: 11 Sep 2010 (see bl. 2(b))</w:t>
            </w:r>
          </w:p>
        </w:tc>
      </w:tr>
      <w:tr>
        <w:trPr>
          <w:cantSplit/>
        </w:trPr>
        <w:tc>
          <w:tcPr>
            <w:tcW w:w="3118" w:type="dxa"/>
          </w:tcPr>
          <w:p>
            <w:pPr>
              <w:pStyle w:val="nTable"/>
              <w:spacing w:after="40"/>
              <w:ind w:right="113"/>
              <w:rPr>
                <w:i/>
              </w:rPr>
            </w:pPr>
            <w:r>
              <w:rPr>
                <w:i/>
              </w:rPr>
              <w:t>Water Agencies (Charges) Amendment By</w:t>
            </w:r>
            <w:r>
              <w:rPr>
                <w:i/>
              </w:rPr>
              <w:noBreakHyphen/>
              <w:t>laws 2011</w:t>
            </w:r>
          </w:p>
        </w:tc>
        <w:tc>
          <w:tcPr>
            <w:tcW w:w="1276" w:type="dxa"/>
          </w:tcPr>
          <w:p>
            <w:pPr>
              <w:pStyle w:val="nTable"/>
              <w:spacing w:after="40"/>
            </w:pPr>
            <w:r>
              <w:t>23 Jun 2011 p. 2417-93</w:t>
            </w:r>
          </w:p>
        </w:tc>
        <w:tc>
          <w:tcPr>
            <w:tcW w:w="2693" w:type="dxa"/>
          </w:tcPr>
          <w:p>
            <w:pPr>
              <w:pStyle w:val="nTable"/>
              <w:spacing w:after="40"/>
            </w:pPr>
            <w:r>
              <w:t>bl. 1 and 2: 23 Jun 2011 (see bl. 2(a));</w:t>
            </w:r>
            <w:r>
              <w:br/>
              <w:t>By-laws other than bl. 1 and 2: 1 Jul 2011 (see bl. 2(b))</w:t>
            </w:r>
          </w:p>
        </w:tc>
      </w:tr>
      <w:tr>
        <w:trPr>
          <w:cantSplit/>
        </w:trPr>
        <w:tc>
          <w:tcPr>
            <w:tcW w:w="3118" w:type="dxa"/>
          </w:tcPr>
          <w:p>
            <w:pPr>
              <w:pStyle w:val="nTable"/>
              <w:spacing w:after="40"/>
              <w:ind w:right="113"/>
              <w:rPr>
                <w:i/>
              </w:rPr>
            </w:pPr>
            <w:r>
              <w:rPr>
                <w:i/>
              </w:rPr>
              <w:t>Water Agencies (Charges) Amendment By</w:t>
            </w:r>
            <w:r>
              <w:rPr>
                <w:i/>
              </w:rPr>
              <w:noBreakHyphen/>
              <w:t>laws 2012</w:t>
            </w:r>
          </w:p>
        </w:tc>
        <w:tc>
          <w:tcPr>
            <w:tcW w:w="1276" w:type="dxa"/>
          </w:tcPr>
          <w:p>
            <w:pPr>
              <w:pStyle w:val="nTable"/>
              <w:spacing w:after="40"/>
            </w:pPr>
            <w:r>
              <w:t>20 Jun 2012 p. 2693</w:t>
            </w:r>
            <w:r>
              <w:noBreakHyphen/>
              <w:t>774</w:t>
            </w:r>
          </w:p>
        </w:tc>
        <w:tc>
          <w:tcPr>
            <w:tcW w:w="2693" w:type="dxa"/>
          </w:tcPr>
          <w:p>
            <w:pPr>
              <w:pStyle w:val="nTable"/>
              <w:spacing w:after="40"/>
            </w:pPr>
            <w:r>
              <w:t>bl. 1 and 2: 20 Jun 2012 (see bl. 2(a));</w:t>
            </w:r>
            <w:r>
              <w:br/>
              <w:t>By-laws other than bl. 1 and 2: 1 Jul 2012 (see bl. 2(b))</w:t>
            </w:r>
          </w:p>
        </w:tc>
      </w:tr>
      <w:tr>
        <w:trPr>
          <w:cantSplit/>
        </w:trPr>
        <w:tc>
          <w:tcPr>
            <w:tcW w:w="3118" w:type="dxa"/>
            <w:tcBorders>
              <w:bottom w:val="single" w:sz="4" w:space="0" w:color="auto"/>
            </w:tcBorders>
          </w:tcPr>
          <w:p>
            <w:pPr>
              <w:pStyle w:val="nTable"/>
              <w:spacing w:after="40"/>
              <w:ind w:right="113"/>
              <w:rPr>
                <w:i/>
              </w:rPr>
            </w:pPr>
            <w:r>
              <w:rPr>
                <w:i/>
              </w:rPr>
              <w:t>Water Agencies (Charges) Amendment By</w:t>
            </w:r>
            <w:r>
              <w:rPr>
                <w:i/>
              </w:rPr>
              <w:noBreakHyphen/>
              <w:t>laws 2013</w:t>
            </w:r>
          </w:p>
        </w:tc>
        <w:tc>
          <w:tcPr>
            <w:tcW w:w="1276" w:type="dxa"/>
            <w:tcBorders>
              <w:bottom w:val="single" w:sz="4" w:space="0" w:color="auto"/>
            </w:tcBorders>
          </w:tcPr>
          <w:p>
            <w:pPr>
              <w:pStyle w:val="nTable"/>
              <w:spacing w:after="40"/>
            </w:pPr>
            <w:r>
              <w:t>19 Jun 2013 p. 2347-422</w:t>
            </w:r>
          </w:p>
        </w:tc>
        <w:tc>
          <w:tcPr>
            <w:tcW w:w="2693" w:type="dxa"/>
            <w:tcBorders>
              <w:bottom w:val="single" w:sz="4" w:space="0" w:color="auto"/>
            </w:tcBorders>
          </w:tcPr>
          <w:p>
            <w:pPr>
              <w:pStyle w:val="nTable"/>
              <w:spacing w:after="40"/>
              <w:rPr>
                <w:b/>
                <w:snapToGrid w:val="0"/>
                <w:spacing w:val="-2"/>
              </w:rPr>
            </w:pPr>
            <w:r>
              <w:t>bl. 1 and 2: 19 Jun 2013 (see bl. 2(a));</w:t>
            </w:r>
            <w:r>
              <w:br/>
              <w:t>By-laws other than bl. 1 and 2: 1 Jul 2013 (see bl. 2(b))</w:t>
            </w:r>
          </w:p>
        </w:tc>
      </w:tr>
    </w:tbl>
    <w:p>
      <w:pPr>
        <w:pStyle w:val="nNote"/>
        <w:tabs>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2" w:name="_Toc84424809"/>
      <w:r>
        <w:t>Provisions that have not come into operation</w:t>
      </w:r>
      <w:bookmarkEnd w:id="82"/>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c>
          <w:tcPr>
            <w:tcW w:w="2319"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319" w:type="dxa"/>
          </w:tcPr>
          <w:p>
            <w:pPr>
              <w:pStyle w:val="nTable"/>
              <w:spacing w:after="40"/>
              <w:rPr>
                <w:snapToGrid w:val="0"/>
              </w:rPr>
            </w:pPr>
            <w:r>
              <w:rPr>
                <w:i/>
                <w:snapToGrid w:val="0"/>
              </w:rPr>
              <w:t>Water Services Legislation Amendment and Repeal Act 2012</w:t>
            </w:r>
            <w:r>
              <w:rPr>
                <w:snapToGrid w:val="0"/>
              </w:rPr>
              <w:t xml:space="preserve"> s. 202(b)</w:t>
            </w:r>
            <w:r>
              <w:rPr>
                <w:snapToGrid w:val="0"/>
                <w:vertAlign w:val="superscript"/>
              </w:rPr>
              <w:t> 22</w:t>
            </w:r>
          </w:p>
        </w:tc>
        <w:tc>
          <w:tcPr>
            <w:tcW w:w="1118"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To be proclaimed (see s. 2(b))</w:t>
            </w:r>
          </w:p>
        </w:tc>
      </w:tr>
    </w:tbl>
    <w:p>
      <w:pPr>
        <w:pStyle w:val="nNote"/>
        <w:rPr>
          <w:snapToGrid w:val="0"/>
          <w:vertAlign w:val="superscript"/>
        </w:rPr>
      </w:pPr>
    </w:p>
    <w:p>
      <w:pPr>
        <w:pStyle w:val="nNote"/>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Note"/>
        <w:rPr>
          <w:snapToGrid w:val="0"/>
        </w:rPr>
      </w:pPr>
      <w:r>
        <w:rPr>
          <w:snapToGrid w:val="0"/>
          <w:vertAlign w:val="superscript"/>
        </w:rPr>
        <w:lastRenderedPageBreak/>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Note"/>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Note"/>
        <w:spacing w:before="60"/>
        <w:rPr>
          <w:snapToGrid w:val="0"/>
        </w:rPr>
      </w:pPr>
      <w:r>
        <w:rPr>
          <w:snapToGrid w:val="0"/>
          <w:vertAlign w:val="superscript"/>
        </w:rPr>
        <w:t>5</w:t>
      </w:r>
      <w:r>
        <w:rPr>
          <w:snapToGrid w:val="0"/>
        </w:rPr>
        <w:tab/>
        <w:t xml:space="preserve">Repealed by the </w:t>
      </w:r>
      <w:r>
        <w:rPr>
          <w:i/>
          <w:snapToGrid w:val="0"/>
        </w:rPr>
        <w:t>Western Australian Land Authority Act 1992</w:t>
      </w:r>
      <w:r>
        <w:rPr>
          <w:snapToGrid w:val="0"/>
        </w:rPr>
        <w:t>.</w:t>
      </w:r>
    </w:p>
    <w:p>
      <w:pPr>
        <w:pStyle w:val="nNote"/>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Note"/>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Note"/>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Note"/>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Note"/>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Note"/>
        <w:rPr>
          <w:snapToGrid w:val="0"/>
        </w:rPr>
      </w:pPr>
      <w:r>
        <w:rPr>
          <w:snapToGrid w:val="0"/>
          <w:vertAlign w:val="superscript"/>
        </w:rPr>
        <w:t>11</w:t>
      </w:r>
      <w:r>
        <w:rPr>
          <w:snapToGrid w:val="0"/>
        </w:rPr>
        <w:tab/>
        <w:t xml:space="preserve">Repealed by the </w:t>
      </w:r>
      <w:r>
        <w:rPr>
          <w:i/>
          <w:color w:val="000000"/>
        </w:rPr>
        <w:t>Racing and Gambling Legislation Amendment and Repeal Act 2003</w:t>
      </w:r>
      <w:r>
        <w:rPr>
          <w:snapToGrid w:val="0"/>
        </w:rPr>
        <w:t>.</w:t>
      </w:r>
    </w:p>
    <w:p>
      <w:pPr>
        <w:pStyle w:val="nNote"/>
        <w:spacing w:before="60"/>
        <w:rPr>
          <w:snapToGrid w:val="0"/>
        </w:rPr>
      </w:pPr>
      <w:r>
        <w:rPr>
          <w:snapToGrid w:val="0"/>
          <w:vertAlign w:val="superscript"/>
        </w:rPr>
        <w:t>12</w:t>
      </w:r>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Note"/>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Note"/>
        <w:rPr>
          <w:snapToGrid w:val="0"/>
        </w:rPr>
      </w:pPr>
      <w:r>
        <w:rPr>
          <w:snapToGrid w:val="0"/>
          <w:vertAlign w:val="superscript"/>
        </w:rPr>
        <w:t>14</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Note"/>
      </w:pPr>
      <w:r>
        <w:rPr>
          <w:vertAlign w:val="superscript"/>
        </w:rPr>
        <w:t>15</w:t>
      </w:r>
      <w:r>
        <w:tab/>
        <w:t xml:space="preserve">The </w:t>
      </w:r>
      <w:r>
        <w:rPr>
          <w:i/>
        </w:rPr>
        <w:t>Water Authority (Charges) Amendment By</w:t>
      </w:r>
      <w:r>
        <w:rPr>
          <w:i/>
        </w:rPr>
        <w:noBreakHyphen/>
        <w:t>laws 1991</w:t>
      </w:r>
      <w:r>
        <w:t xml:space="preserve"> bl. 3 and 7 are application provisions that are of no further effect.</w:t>
      </w:r>
    </w:p>
    <w:p>
      <w:pPr>
        <w:pStyle w:val="nNote"/>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Note"/>
        <w:rPr>
          <w:snapToGrid w:val="0"/>
        </w:rPr>
      </w:pPr>
      <w:r>
        <w:rPr>
          <w:snapToGrid w:val="0"/>
          <w:vertAlign w:val="superscript"/>
        </w:rPr>
        <w:t>17</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Note"/>
        <w:keepNext/>
        <w:rPr>
          <w:snapToGrid w:val="0"/>
        </w:rPr>
      </w:pPr>
      <w:r>
        <w:rPr>
          <w:snapToGrid w:val="0"/>
          <w:vertAlign w:val="superscript"/>
        </w:rPr>
        <w:t>18</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Note"/>
      </w:pPr>
      <w:r>
        <w:rPr>
          <w:vertAlign w:val="superscript"/>
        </w:rPr>
        <w:t>19</w:t>
      </w:r>
      <w:r>
        <w:tab/>
        <w:t xml:space="preserve">The </w:t>
      </w:r>
      <w:r>
        <w:rPr>
          <w:i/>
        </w:rPr>
        <w:t>Water Agencies (Charges) Amendment By</w:t>
      </w:r>
      <w:r>
        <w:rPr>
          <w:i/>
        </w:rPr>
        <w:noBreakHyphen/>
        <w:t>laws (No. 2) 1999</w:t>
      </w:r>
      <w:r>
        <w:t xml:space="preserve"> bl. 32(2) is a transitional provision that is of no further effect.</w:t>
      </w:r>
    </w:p>
    <w:p>
      <w:pPr>
        <w:pStyle w:val="nNote"/>
        <w:rPr>
          <w:snapToGrid w:val="0"/>
        </w:rPr>
      </w:pPr>
      <w:r>
        <w:rPr>
          <w:vertAlign w:val="superscript"/>
        </w:rPr>
        <w:t>20</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Note"/>
        <w:keepNext/>
        <w:keepLines/>
      </w:pPr>
      <w:r>
        <w:rPr>
          <w:vertAlign w:val="superscript"/>
        </w:rPr>
        <w:lastRenderedPageBreak/>
        <w:t>21</w:t>
      </w:r>
      <w:r>
        <w:tab/>
        <w:t xml:space="preserve">The </w:t>
      </w:r>
      <w:r>
        <w:rPr>
          <w:i/>
        </w:rPr>
        <w:t>Water Agencies (Charges) Amendment By</w:t>
      </w:r>
      <w:r>
        <w:rPr>
          <w:i/>
        </w:rPr>
        <w:noBreakHyphen/>
        <w:t xml:space="preserve">laws 2002 </w:t>
      </w:r>
      <w:r>
        <w:t>bl. 3</w:t>
      </w:r>
      <w:r>
        <w:rPr>
          <w:i/>
        </w:rPr>
        <w:t xml:space="preserve"> </w:t>
      </w:r>
      <w:r>
        <w:t>reads as follows:</w:t>
      </w:r>
    </w:p>
    <w:p>
      <w:pPr>
        <w:pStyle w:val="BlankOpen"/>
      </w:pP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BlankClose"/>
        <w:rPr>
          <w:snapToGrid w:val="0"/>
        </w:rPr>
      </w:pPr>
    </w:p>
    <w:p>
      <w:pPr>
        <w:pStyle w:val="nNote"/>
        <w:rPr>
          <w:snapToGrid w:val="0"/>
        </w:rPr>
      </w:pPr>
      <w:r>
        <w:rPr>
          <w:snapToGrid w:val="0"/>
          <w:vertAlign w:val="superscript"/>
        </w:rPr>
        <w:t>22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202(b) had not come into operation.  It reads as follows:</w:t>
      </w:r>
    </w:p>
    <w:p>
      <w:pPr>
        <w:pStyle w:val="BlankOpen"/>
      </w:pPr>
    </w:p>
    <w:p>
      <w:pPr>
        <w:pStyle w:val="nzHeading5"/>
      </w:pPr>
      <w:r>
        <w:rPr>
          <w:rStyle w:val="CharSectno"/>
        </w:rPr>
        <w:t>202</w:t>
      </w:r>
      <w:r>
        <w:t>.</w:t>
      </w:r>
      <w:r>
        <w:tab/>
        <w:t>Other legislation repealed</w:t>
      </w:r>
    </w:p>
    <w:p>
      <w:pPr>
        <w:pStyle w:val="nzSubsection"/>
      </w:pPr>
      <w:r>
        <w:tab/>
      </w:r>
      <w:r>
        <w:tab/>
        <w:t>These written laws are repealed:</w:t>
      </w:r>
    </w:p>
    <w:p>
      <w:pPr>
        <w:pStyle w:val="nzIndenta"/>
      </w:pPr>
      <w:r>
        <w:tab/>
        <w:t>(b)</w:t>
      </w:r>
      <w:r>
        <w:tab/>
        <w:t xml:space="preserve">the </w:t>
      </w:r>
      <w:r>
        <w:rPr>
          <w:i/>
        </w:rPr>
        <w:t>Water Agencies (Charges) By</w:t>
      </w:r>
      <w:r>
        <w:rPr>
          <w:i/>
        </w:rPr>
        <w:noBreakHyphen/>
        <w:t>laws 1987</w:t>
      </w:r>
      <w:r>
        <w:t>;</w:t>
      </w:r>
    </w:p>
    <w:p>
      <w:pPr>
        <w:pStyle w:val="BlankClose"/>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83" w:name="_Toc84424810"/>
      <w:r>
        <w:rPr>
          <w:sz w:val="28"/>
        </w:rPr>
        <w:lastRenderedPageBreak/>
        <w:t>Defined Terms</w:t>
      </w:r>
      <w:bookmarkEnd w:id="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4" w:name="DefinedTerms"/>
      <w:bookmarkEnd w:id="84"/>
      <w:r>
        <w:t>&gt;</w:t>
      </w:r>
      <w:r>
        <w:tab/>
        <w:t>2(3)</w:t>
      </w:r>
    </w:p>
    <w:p>
      <w:pPr>
        <w:pStyle w:val="DefinedTerms"/>
      </w:pPr>
      <w:r>
        <w:t>≤</w:t>
      </w:r>
      <w:r>
        <w:tab/>
        <w:t>2(3)</w:t>
      </w:r>
    </w:p>
    <w:p>
      <w:pPr>
        <w:pStyle w:val="DefinedTerms"/>
      </w:pPr>
      <w:r>
        <w:t>aged home</w:t>
      </w:r>
      <w:r>
        <w:tab/>
        <w:t>2(1)</w:t>
      </w:r>
    </w:p>
    <w:p>
      <w:pPr>
        <w:pStyle w:val="DefinedTerms"/>
      </w:pPr>
      <w:r>
        <w:t>AGRV</w:t>
      </w:r>
      <w:r>
        <w:tab/>
        <w:t>14(2), 24(2)</w:t>
      </w:r>
    </w:p>
    <w:p>
      <w:pPr>
        <w:pStyle w:val="DefinedTerms"/>
      </w:pPr>
      <w:r>
        <w:t>caravan bay</w:t>
      </w:r>
      <w:r>
        <w:tab/>
        <w:t>2(1)</w:t>
      </w:r>
    </w:p>
    <w:p>
      <w:pPr>
        <w:pStyle w:val="DefinedTerms"/>
      </w:pPr>
      <w:r>
        <w:t>charge</w:t>
      </w:r>
      <w:r>
        <w:tab/>
        <w:t>7(1)</w:t>
      </w:r>
    </w:p>
    <w:p>
      <w:pPr>
        <w:pStyle w:val="DefinedTerms"/>
      </w:pPr>
      <w:r>
        <w:t>charitable purposes</w:t>
      </w:r>
      <w:r>
        <w:tab/>
        <w:t>4(3)</w:t>
      </w:r>
    </w:p>
    <w:p>
      <w:pPr>
        <w:pStyle w:val="DefinedTerms"/>
      </w:pPr>
      <w:r>
        <w:t>consumption year</w:t>
      </w:r>
      <w:r>
        <w:tab/>
        <w:t>2(1)</w:t>
      </w:r>
    </w:p>
    <w:p>
      <w:pPr>
        <w:pStyle w:val="DefinedTerms"/>
      </w:pPr>
      <w:r>
        <w:t>country non</w:t>
      </w:r>
      <w:r>
        <w:noBreakHyphen/>
        <w:t>residential or commercial residential property</w:t>
      </w:r>
      <w:r>
        <w:tab/>
        <w:t>21A</w:t>
      </w:r>
    </w:p>
    <w:p>
      <w:pPr>
        <w:pStyle w:val="DefinedTerms"/>
      </w:pPr>
      <w:r>
        <w:t>country sewerage area</w:t>
      </w:r>
      <w:r>
        <w:tab/>
        <w:t>2(1)</w:t>
      </w:r>
    </w:p>
    <w:p>
      <w:pPr>
        <w:pStyle w:val="DefinedTerms"/>
      </w:pPr>
      <w:r>
        <w:t>current year</w:t>
      </w:r>
      <w:r>
        <w:tab/>
        <w:t>2(1)</w:t>
      </w:r>
    </w:p>
    <w:p>
      <w:pPr>
        <w:pStyle w:val="DefinedTerms"/>
      </w:pPr>
      <w:r>
        <w:t>customer</w:t>
      </w:r>
      <w:r>
        <w:tab/>
        <w:t>33(1)</w:t>
      </w:r>
    </w:p>
    <w:p>
      <w:pPr>
        <w:pStyle w:val="DefinedTerms"/>
      </w:pPr>
      <w:r>
        <w:t>development</w:t>
      </w:r>
      <w:r>
        <w:tab/>
        <w:t>28(3)</w:t>
      </w:r>
    </w:p>
    <w:p>
      <w:pPr>
        <w:pStyle w:val="DefinedTerms"/>
      </w:pPr>
      <w:r>
        <w:t>discharge charge</w:t>
      </w:r>
      <w:r>
        <w:tab/>
        <w:t>2(1)</w:t>
      </w:r>
    </w:p>
    <w:p>
      <w:pPr>
        <w:pStyle w:val="DefinedTerms"/>
      </w:pPr>
      <w:r>
        <w:t>discharge factor</w:t>
      </w:r>
      <w:r>
        <w:tab/>
        <w:t>2(1)</w:t>
      </w:r>
    </w:p>
    <w:p>
      <w:pPr>
        <w:pStyle w:val="DefinedTerms"/>
      </w:pPr>
      <w:r>
        <w:t>discharge period</w:t>
      </w:r>
      <w:r>
        <w:tab/>
        <w:t>2(1)</w:t>
      </w:r>
    </w:p>
    <w:p>
      <w:pPr>
        <w:pStyle w:val="DefinedTerms"/>
      </w:pPr>
      <w:r>
        <w:t>discharge volume</w:t>
      </w:r>
      <w:r>
        <w:tab/>
        <w:t>2(1)</w:t>
      </w:r>
    </w:p>
    <w:p>
      <w:pPr>
        <w:pStyle w:val="DefinedTerms"/>
      </w:pPr>
      <w:r>
        <w:t>eligible pensioner</w:t>
      </w:r>
      <w:r>
        <w:tab/>
        <w:t>18(1), 18A(1), 18B(1)</w:t>
      </w:r>
    </w:p>
    <w:p>
      <w:pPr>
        <w:pStyle w:val="DefinedTerms"/>
      </w:pPr>
      <w:r>
        <w:t>exempt land</w:t>
      </w:r>
      <w:r>
        <w:tab/>
        <w:t>5A</w:t>
      </w:r>
    </w:p>
    <w:p>
      <w:pPr>
        <w:pStyle w:val="DefinedTerms"/>
      </w:pPr>
      <w:r>
        <w:t>formula</w:t>
      </w:r>
      <w:r>
        <w:tab/>
        <w:t>21A</w:t>
      </w:r>
    </w:p>
    <w:p>
      <w:pPr>
        <w:pStyle w:val="DefinedTerms"/>
      </w:pPr>
      <w:r>
        <w:t>Government trading organisation</w:t>
      </w:r>
      <w:r>
        <w:tab/>
        <w:t>2(1)</w:t>
      </w:r>
    </w:p>
    <w:p>
      <w:pPr>
        <w:pStyle w:val="DefinedTerms"/>
      </w:pPr>
      <w:r>
        <w:t>GRV</w:t>
      </w:r>
      <w:r>
        <w:tab/>
        <w:t>2(1)</w:t>
      </w:r>
    </w:p>
    <w:p>
      <w:pPr>
        <w:pStyle w:val="DefinedTerms"/>
      </w:pPr>
      <w:r>
        <w:t>holiday accommodation</w:t>
      </w:r>
      <w:r>
        <w:tab/>
        <w:t>2(1)</w:t>
      </w:r>
    </w:p>
    <w:p>
      <w:pPr>
        <w:pStyle w:val="DefinedTerms"/>
      </w:pPr>
      <w:r>
        <w:t>irrigation district</w:t>
      </w:r>
      <w:r>
        <w:tab/>
        <w:t>2(1)</w:t>
      </w:r>
    </w:p>
    <w:p>
      <w:pPr>
        <w:pStyle w:val="DefinedTerms"/>
      </w:pPr>
      <w:r>
        <w:t>land</w:t>
      </w:r>
      <w:r>
        <w:tab/>
        <w:t>19A(1)</w:t>
      </w:r>
    </w:p>
    <w:p>
      <w:pPr>
        <w:pStyle w:val="DefinedTerms"/>
      </w:pPr>
      <w:r>
        <w:t>long term residential caravan bay</w:t>
      </w:r>
      <w:r>
        <w:tab/>
        <w:t>2(1)</w:t>
      </w:r>
    </w:p>
    <w:p>
      <w:pPr>
        <w:pStyle w:val="DefinedTerms"/>
      </w:pPr>
      <w:r>
        <w:t>lot</w:t>
      </w:r>
      <w:r>
        <w:tab/>
        <w:t>28(3)</w:t>
      </w:r>
    </w:p>
    <w:p>
      <w:pPr>
        <w:pStyle w:val="DefinedTerms"/>
      </w:pPr>
      <w:r>
        <w:t>major fixture</w:t>
      </w:r>
      <w:r>
        <w:tab/>
        <w:t>2(1)</w:t>
      </w:r>
    </w:p>
    <w:p>
      <w:pPr>
        <w:pStyle w:val="DefinedTerms"/>
      </w:pPr>
      <w:r>
        <w:t>metropolitan area</w:t>
      </w:r>
      <w:r>
        <w:tab/>
        <w:t>2(1)</w:t>
      </w:r>
    </w:p>
    <w:p>
      <w:pPr>
        <w:pStyle w:val="DefinedTerms"/>
      </w:pPr>
      <w:r>
        <w:t>metropolitan non</w:t>
      </w:r>
      <w:r>
        <w:noBreakHyphen/>
        <w:t>residential property</w:t>
      </w:r>
      <w:r>
        <w:tab/>
        <w:t>21A</w:t>
      </w:r>
    </w:p>
    <w:p>
      <w:pPr>
        <w:pStyle w:val="DefinedTerms"/>
      </w:pPr>
      <w:r>
        <w:t>non</w:t>
      </w:r>
      <w:r>
        <w:noBreakHyphen/>
        <w:t>commercial Government property</w:t>
      </w:r>
      <w:r>
        <w:tab/>
        <w:t>2(1)</w:t>
      </w:r>
    </w:p>
    <w:p>
      <w:pPr>
        <w:pStyle w:val="DefinedTerms"/>
      </w:pPr>
      <w:r>
        <w:t>option A</w:t>
      </w:r>
      <w:r>
        <w:tab/>
        <w:t>33(2)(a)</w:t>
      </w:r>
    </w:p>
    <w:p>
      <w:pPr>
        <w:pStyle w:val="DefinedTerms"/>
      </w:pPr>
      <w:r>
        <w:t>option B</w:t>
      </w:r>
      <w:r>
        <w:tab/>
        <w:t>33(2)(b)</w:t>
      </w:r>
    </w:p>
    <w:p>
      <w:pPr>
        <w:pStyle w:val="DefinedTerms"/>
      </w:pPr>
      <w:r>
        <w:t>P</w:t>
      </w:r>
      <w:r>
        <w:tab/>
        <w:t>Sch. 3 cl. 18 and 36</w:t>
      </w:r>
    </w:p>
    <w:p>
      <w:pPr>
        <w:pStyle w:val="DefinedTerms"/>
      </w:pPr>
      <w:r>
        <w:t>previous year</w:t>
      </w:r>
      <w:r>
        <w:tab/>
        <w:t>2(1)</w:t>
      </w:r>
    </w:p>
    <w:p>
      <w:pPr>
        <w:pStyle w:val="DefinedTerms"/>
      </w:pPr>
      <w:r>
        <w:t>Q</w:t>
      </w:r>
      <w:r>
        <w:tab/>
        <w:t>Sch. 3 cl. 19 and 37</w:t>
      </w:r>
    </w:p>
    <w:p>
      <w:pPr>
        <w:pStyle w:val="DefinedTerms"/>
      </w:pPr>
      <w:r>
        <w:t>quantity charge</w:t>
      </w:r>
      <w:r>
        <w:tab/>
        <w:t>2(1)</w:t>
      </w:r>
    </w:p>
    <w:p>
      <w:pPr>
        <w:pStyle w:val="DefinedTerms"/>
      </w:pPr>
      <w:r>
        <w:t>R</w:t>
      </w:r>
      <w:r>
        <w:tab/>
        <w:t>Sch. 3 cl. 35</w:t>
      </w:r>
    </w:p>
    <w:p>
      <w:pPr>
        <w:pStyle w:val="DefinedTerms"/>
      </w:pPr>
      <w:r>
        <w:t>registered</w:t>
      </w:r>
      <w:r>
        <w:tab/>
        <w:t>18B(1)</w:t>
      </w:r>
    </w:p>
    <w:p>
      <w:pPr>
        <w:pStyle w:val="DefinedTerms"/>
      </w:pPr>
      <w:r>
        <w:lastRenderedPageBreak/>
        <w:t>relevant general valuation</w:t>
      </w:r>
      <w:r>
        <w:tab/>
        <w:t>Sch. 6 cl. 1</w:t>
      </w:r>
    </w:p>
    <w:p>
      <w:pPr>
        <w:pStyle w:val="DefinedTerms"/>
      </w:pPr>
      <w:r>
        <w:t>residence</w:t>
      </w:r>
      <w:r>
        <w:tab/>
        <w:t>2(1)</w:t>
      </w:r>
    </w:p>
    <w:p>
      <w:pPr>
        <w:pStyle w:val="DefinedTerms"/>
      </w:pPr>
      <w:r>
        <w:t>residential property</w:t>
      </w:r>
      <w:r>
        <w:tab/>
        <w:t>2(1)</w:t>
      </w:r>
    </w:p>
    <w:p>
      <w:pPr>
        <w:pStyle w:val="DefinedTerms"/>
      </w:pPr>
      <w:r>
        <w:t>retirement village</w:t>
      </w:r>
      <w:r>
        <w:tab/>
        <w:t>8A(3)</w:t>
      </w:r>
    </w:p>
    <w:p>
      <w:pPr>
        <w:pStyle w:val="DefinedTerms"/>
      </w:pPr>
      <w:r>
        <w:t>rural land</w:t>
      </w:r>
      <w:r>
        <w:tab/>
        <w:t>28(3)</w:t>
      </w:r>
    </w:p>
    <w:p>
      <w:pPr>
        <w:pStyle w:val="DefinedTerms"/>
      </w:pPr>
      <w:r>
        <w:t>single capital infrastructure charge</w:t>
      </w:r>
      <w:r>
        <w:tab/>
        <w:t>2(1)</w:t>
      </w:r>
    </w:p>
    <w:p>
      <w:pPr>
        <w:pStyle w:val="DefinedTerms"/>
      </w:pPr>
      <w:r>
        <w:t>site</w:t>
      </w:r>
      <w:r>
        <w:tab/>
        <w:t>2(1)</w:t>
      </w:r>
    </w:p>
    <w:p>
      <w:pPr>
        <w:pStyle w:val="DefinedTerms"/>
      </w:pPr>
      <w:r>
        <w:t>Table</w:t>
      </w:r>
      <w:r>
        <w:tab/>
        <w:t>21A</w:t>
      </w:r>
    </w:p>
    <w:p>
      <w:pPr>
        <w:pStyle w:val="DefinedTerms"/>
      </w:pPr>
      <w:r>
        <w:t>UV</w:t>
      </w:r>
      <w:r>
        <w:tab/>
        <w:t>2(1)</w:t>
      </w:r>
    </w:p>
    <w:p>
      <w:pPr>
        <w:pStyle w:val="DefinedTerms"/>
      </w:pPr>
      <w:r>
        <w:t>water supply</w:t>
      </w:r>
      <w:r>
        <w:tab/>
        <w:t>2(1)</w:t>
      </w:r>
    </w:p>
    <w:p>
      <w:pPr>
        <w:pStyle w:val="DefinedTerms"/>
      </w:pPr>
      <w:r>
        <w:t>water supply connection</w:t>
      </w:r>
      <w:r>
        <w:tab/>
        <w:t>12(1)</w:t>
      </w:r>
    </w:p>
    <w:p>
      <w:pPr>
        <w:pStyle w:val="DefinedTerms"/>
      </w:pPr>
      <w:r>
        <w:t>year</w:t>
      </w:r>
      <w:r>
        <w:tab/>
        <w:t>2(1)</w:t>
      </w:r>
    </w:p>
    <w:p/>
    <w:p>
      <w:pPr>
        <w:sectPr>
          <w:headerReference w:type="even" r:id="rId37"/>
          <w:headerReference w:type="default" r:id="rId38"/>
          <w:headerReference w:type="first" r:id="rId39"/>
          <w:pgSz w:w="11907" w:h="16840" w:code="9"/>
          <w:pgMar w:top="2376" w:right="2404" w:bottom="3544" w:left="2404" w:header="720" w:footer="3380" w:gutter="0"/>
          <w:cols w:space="720"/>
          <w:noEndnote/>
          <w:docGrid w:linePitch="326"/>
        </w:sectPr>
      </w:pPr>
    </w:p>
    <w:p/>
    <w:sectPr>
      <w:headerReference w:type="even" r:id="rId40"/>
      <w:headerReference w:type="default" r:id="rId41"/>
      <w:type w:val="continuous"/>
      <w:pgSz w:w="11907" w:h="16840"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06-g0-02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06-g0-02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iv</w:t>
    </w:r>
    <w:r>
      <w:rP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06-g0-02</w:t>
    </w:r>
    <w:r>
      <w:rPr>
        <w:rFonts w:ascii="Arial" w:hAnsi="Arial" w:cs="Arial"/>
        <w:sz w:val="20"/>
      </w:rPr>
      <w:fldChar w:fldCharType="end"/>
    </w:r>
    <w:r>
      <w:rPr>
        <w:rFonts w:ascii="Arial" w:hAnsi="Arial" w:cs="Arial"/>
        <w:sz w:val="20"/>
      </w:rPr>
      <w:tab/>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v</w:t>
    </w:r>
    <w:r>
      <w:rP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06-g0-02</w:t>
    </w:r>
    <w:r>
      <w:rPr>
        <w:rFonts w:ascii="Arial" w:hAnsi="Arial" w:cs="Arial"/>
        <w:sz w:val="20"/>
      </w:rPr>
      <w:fldChar w:fldCharType="end"/>
    </w:r>
    <w:r>
      <w:rPr>
        <w:rFonts w:ascii="Arial" w:hAnsi="Arial" w:cs="Arial"/>
        <w:sz w:val="20"/>
      </w:rPr>
      <w:tab/>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i</w:t>
    </w:r>
    <w:r>
      <w:rP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06-g0-02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06-g0-02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fldSimple w:instr=" Styleref &quot;Name of Act/Reg&quot; ">
              <w:r>
                <w:rPr>
                  <w:noProof/>
                </w:rPr>
                <w:t>Water Agencies (Charges) By-laws 1987</w:t>
              </w:r>
            </w:fldSimple>
          </w:p>
        </w:tc>
      </w:tr>
      <w:tr>
        <w:tc>
          <w:tcPr>
            <w:tcW w:w="1548" w:type="dxa"/>
          </w:tcPr>
          <w:p/>
        </w:tc>
        <w:tc>
          <w:tcPr>
            <w:tcW w:w="5715" w:type="dxa"/>
          </w:tcPr>
          <w:p/>
        </w:tc>
      </w:tr>
      <w:tr>
        <w:tc>
          <w:tcPr>
            <w:tcW w:w="1548" w:type="dxa"/>
          </w:tcPr>
          <w:p/>
        </w:tc>
        <w:tc>
          <w:tcPr>
            <w:tcW w:w="5715" w:type="dxa"/>
          </w:tcPr>
          <w:p/>
        </w:tc>
      </w:tr>
      <w:tr>
        <w:trPr>
          <w:cantSplit/>
        </w:trPr>
        <w:tc>
          <w:tcPr>
            <w:tcW w:w="7263" w:type="dxa"/>
            <w:gridSpan w:val="2"/>
          </w:tcPr>
          <w:p>
            <w:pPr>
              <w:ind w:right="17"/>
            </w:pPr>
            <w:r>
              <w:t>Defined Terms</w:t>
            </w: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ind w:right="17"/>
            </w:pPr>
            <w:fldSimple w:instr=" Styleref &quot;Name of Act/Reg&quot; ">
              <w:r>
                <w:rPr>
                  <w:noProof/>
                </w:rPr>
                <w:t>Water Agencies (Charges) By-laws 1987</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63" w:type="dxa"/>
            <w:gridSpan w:val="2"/>
          </w:tcPr>
          <w:p>
            <w:pPr>
              <w:ind w:right="17"/>
            </w:pPr>
            <w:r>
              <w:t>Defined Terms</w:t>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1632"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680" w:type="dxa"/>
        </w:tcPr>
        <w:p>
          <w:pPr>
            <w:pStyle w:val="Header"/>
            <w:spacing w:before="40"/>
          </w:pPr>
          <w:r>
            <w:fldChar w:fldCharType="begin"/>
          </w:r>
          <w:r>
            <w:instrText xml:space="preserve"> styleref CharPartText </w:instrText>
          </w:r>
          <w:r>
            <w:fldChar w:fldCharType="end"/>
          </w:r>
        </w:p>
      </w:tc>
    </w:tr>
    <w:tr>
      <w:tc>
        <w:tcPr>
          <w:tcW w:w="1632"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680"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60"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60"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302" w:type="dxa"/>
          <w:gridSpan w:val="2"/>
        </w:tcPr>
        <w:p>
          <w:pPr>
            <w:pStyle w:val="Header"/>
            <w:spacing w:before="40"/>
            <w:ind w:right="17"/>
            <w:jc w:val="right"/>
          </w:pPr>
          <w:r>
            <w:rPr>
              <w:b/>
            </w:rPr>
            <w:t xml:space="preserve">bl.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bCs/>
            </w:rPr>
            <w:fldChar w:fldCharType="begin"/>
          </w:r>
          <w:r>
            <w:rPr>
              <w:b/>
              <w:bCs/>
            </w:rPr>
            <w:instrText xml:space="preserve"> STYLEREF CharSDivNo \* charformat</w:instrText>
          </w:r>
          <w:r>
            <w:rPr>
              <w:b/>
              <w:bCs/>
            </w:rPr>
            <w:fldChar w:fldCharType="separate"/>
          </w:r>
          <w:r>
            <w:rPr>
              <w:b/>
              <w:bCs/>
            </w:rPr>
            <w:t>Division 1</w:t>
          </w:r>
          <w:r>
            <w:rPr>
              <w:b/>
              <w:bCs/>
            </w:rPr>
            <w:fldChar w:fldCharType="end"/>
          </w:r>
        </w:p>
      </w:tc>
      <w:tc>
        <w:tcPr>
          <w:tcW w:w="5715" w:type="dxa"/>
        </w:tcPr>
        <w:p>
          <w:pPr>
            <w:pStyle w:val="Header"/>
            <w:spacing w:before="40"/>
          </w:pPr>
          <w:r>
            <w:fldChar w:fldCharType="begin"/>
          </w:r>
          <w:r>
            <w:instrText>styleref CharSDivText</w:instrText>
          </w:r>
          <w:r>
            <w:fldChar w:fldCharType="separate"/>
          </w:r>
          <w:r>
            <w:t>Fixed charges</w:t>
          </w:r>
          <w:r>
            <w:fldChar w:fldCharType="end"/>
          </w:r>
          <w:r>
            <w:tab/>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Charges for irrigation for 2013/2014</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rPr>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Charges for irrigation for 2013/2014</w:t>
          </w:r>
          <w:r>
            <w:fldChar w:fldCharType="end"/>
          </w:r>
        </w:p>
      </w:tc>
    </w:tr>
    <w:tr>
      <w:tc>
        <w:tcPr>
          <w:tcW w:w="1548" w:type="dxa"/>
        </w:tcPr>
        <w:p>
          <w:pPr>
            <w:pStyle w:val="Header"/>
            <w:spacing w:before="40"/>
          </w:pPr>
          <w:r>
            <w:rPr>
              <w:b/>
              <w:bCs/>
            </w:rPr>
            <w:fldChar w:fldCharType="begin"/>
          </w:r>
          <w:r>
            <w:rPr>
              <w:b/>
              <w:bCs/>
            </w:rPr>
            <w:instrText xml:space="preserve"> STYLEREF CharSDivNo \* charformat</w:instrText>
          </w:r>
          <w:r>
            <w:rPr>
              <w:b/>
              <w:bCs/>
            </w:rPr>
            <w:fldChar w:fldCharType="end"/>
          </w:r>
        </w:p>
      </w:tc>
      <w:tc>
        <w:tcPr>
          <w:tcW w:w="5715" w:type="dxa"/>
        </w:tcPr>
        <w:p>
          <w:pPr>
            <w:pStyle w:val="Header"/>
            <w:spacing w:before="40"/>
          </w:pPr>
          <w:r>
            <w:fldChar w:fldCharType="begin"/>
          </w:r>
          <w:r>
            <w:instrText xml:space="preserve"> styleref CharSDivText </w:instrText>
          </w:r>
          <w:r>
            <w:fldChar w:fldCharType="end"/>
          </w:r>
          <w:r>
            <w:tab/>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8</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8</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Water supply charges for Government trading organisations and non-commercial Government property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Water supply charges for Government trading organisations and non-commercial Government property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8</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8</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(Charges) By-laws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1"/>
  </w:num>
  <w:num w:numId="15">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06145550"/>
    <w:docVar w:name="WAFER_20211006145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6145550_GUID" w:val="bc4e149b-03dd-4dc6-aedd-14c13c0ead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5:docId w15:val="{7E467C1D-6567-4A72-A765-673C0CF91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3.wmf"/><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76DCF9-80CE-4388-8357-09A9319DC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26990</Words>
  <Characters>124966</Characters>
  <Application>Microsoft Office Word</Application>
  <DocSecurity>0</DocSecurity>
  <Lines>6942</Lines>
  <Paragraphs>5239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1987 - 06-g0-02</dc:title>
  <dc:subject/>
  <dc:creator/>
  <cp:keywords/>
  <dc:description/>
  <cp:lastModifiedBy>Master Repository Process</cp:lastModifiedBy>
  <cp:revision>4</cp:revision>
  <cp:lastPrinted>2009-08-27T02:26:00Z</cp:lastPrinted>
  <dcterms:created xsi:type="dcterms:W3CDTF">2021-11-03T01:45:00Z</dcterms:created>
  <dcterms:modified xsi:type="dcterms:W3CDTF">2021-11-03T01:46:00Z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4852</vt:i4>
  </property>
  <property fmtid="{D5CDD505-2E9C-101B-9397-08002B2CF9AE}" pid="6" name="ReprintNo">
    <vt:lpwstr>6</vt:lpwstr>
  </property>
  <property fmtid="{D5CDD505-2E9C-101B-9397-08002B2CF9AE}" pid="7" name="AsAtDate">
    <vt:lpwstr>01 Jul 2013</vt:lpwstr>
  </property>
  <property fmtid="{D5CDD505-2E9C-101B-9397-08002B2CF9AE}" pid="8" name="Suffix">
    <vt:lpwstr>06-g0-02</vt:lpwstr>
  </property>
</Properties>
</file>