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0.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Residential Tenancies Act 1987</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_Toc360457439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_Toc360457440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 in this Act</w:t>
      </w:r>
      <w:r>
        <w:tab/>
      </w:r>
      <w:r>
        <w:fldChar w:fldCharType="begin"/>
      </w:r>
      <w:r>
        <w:instrText xml:space="preserve"> PAGEREF _Toc360457441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Position of Crown</w:t>
      </w:r>
      <w:r>
        <w:tab/>
      </w:r>
      <w:r>
        <w:fldChar w:fldCharType="begin"/>
      </w:r>
      <w:r>
        <w:instrText xml:space="preserve"> PAGEREF _Toc360457442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Application of Act</w:t>
      </w:r>
      <w:r>
        <w:tab/>
      </w:r>
      <w:r>
        <w:fldChar w:fldCharType="begin"/>
      </w:r>
      <w:r>
        <w:instrText xml:space="preserve"> PAGEREF _Toc360457443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Modification of application of Act by regulation</w:t>
      </w:r>
      <w:r>
        <w:tab/>
      </w:r>
      <w:r>
        <w:fldChar w:fldCharType="begin"/>
      </w:r>
      <w:r>
        <w:instrText xml:space="preserve"> PAGEREF _Toc360457444 \h </w:instrText>
      </w:r>
      <w:r>
        <w:fldChar w:fldCharType="separate"/>
      </w:r>
      <w:r>
        <w:t>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r>
      <w:r>
        <w:rPr>
          <w:bCs/>
        </w:rPr>
        <w:t>Transitional provisions relating to the commencement of this Act</w:t>
      </w:r>
      <w:r>
        <w:tab/>
      </w:r>
      <w:r>
        <w:fldChar w:fldCharType="begin"/>
      </w:r>
      <w:r>
        <w:instrText xml:space="preserve"> PAGEREF _Toc360457445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 — Administration</w:t>
      </w:r>
    </w:p>
    <w:p>
      <w:pPr>
        <w:pStyle w:val="TOC8"/>
        <w:rPr>
          <w:rFonts w:asciiTheme="minorHAnsi" w:eastAsiaTheme="minorEastAsia" w:hAnsiTheme="minorHAnsi" w:cstheme="minorBidi"/>
          <w:szCs w:val="22"/>
          <w:lang w:eastAsia="en-AU"/>
        </w:rPr>
      </w:pPr>
      <w:r>
        <w:t>7A.</w:t>
      </w:r>
      <w:r>
        <w:tab/>
        <w:t>Commissioner</w:t>
      </w:r>
      <w:r>
        <w:tab/>
      </w:r>
      <w:r>
        <w:fldChar w:fldCharType="begin"/>
      </w:r>
      <w:r>
        <w:instrText xml:space="preserve"> PAGEREF _Toc360457447 \h </w:instrText>
      </w:r>
      <w:r>
        <w:fldChar w:fldCharType="separate"/>
      </w:r>
      <w:r>
        <w:t>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Functions of the Commissioner</w:t>
      </w:r>
      <w:r>
        <w:tab/>
      </w:r>
      <w:r>
        <w:fldChar w:fldCharType="begin"/>
      </w:r>
      <w:r>
        <w:instrText xml:space="preserve"> PAGEREF _Toc360457448 \h </w:instrText>
      </w:r>
      <w:r>
        <w:fldChar w:fldCharType="separate"/>
      </w:r>
      <w:r>
        <w:t>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Commissioner may institute or defend proceedings for party</w:t>
      </w:r>
      <w:r>
        <w:tab/>
      </w:r>
      <w:r>
        <w:fldChar w:fldCharType="begin"/>
      </w:r>
      <w:r>
        <w:instrText xml:space="preserve"> PAGEREF _Toc360457449 \h </w:instrText>
      </w:r>
      <w:r>
        <w:fldChar w:fldCharType="separate"/>
      </w:r>
      <w:r>
        <w:t>10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Delegation by Commissioner</w:t>
      </w:r>
      <w:r>
        <w:tab/>
      </w:r>
      <w:r>
        <w:fldChar w:fldCharType="begin"/>
      </w:r>
      <w:r>
        <w:instrText xml:space="preserve"> PAGEREF _Toc360457450 \h </w:instrText>
      </w:r>
      <w:r>
        <w:fldChar w:fldCharType="separate"/>
      </w:r>
      <w:r>
        <w:t>13</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Protection of officers</w:t>
      </w:r>
      <w:r>
        <w:tab/>
      </w:r>
      <w:r>
        <w:fldChar w:fldCharType="begin"/>
      </w:r>
      <w:r>
        <w:instrText xml:space="preserve"> PAGEREF _Toc360457451 \h </w:instrText>
      </w:r>
      <w:r>
        <w:fldChar w:fldCharType="separate"/>
      </w:r>
      <w:r>
        <w:t>13</w:t>
      </w:r>
      <w:r>
        <w:fldChar w:fldCharType="end"/>
      </w:r>
    </w:p>
    <w:p>
      <w:pPr>
        <w:pStyle w:val="TOC8"/>
        <w:rPr>
          <w:rFonts w:asciiTheme="minorHAnsi" w:eastAsiaTheme="minorEastAsia" w:hAnsiTheme="minorHAnsi" w:cstheme="minorBidi"/>
          <w:szCs w:val="22"/>
          <w:lang w:eastAsia="en-AU"/>
        </w:rPr>
      </w:pPr>
      <w:r>
        <w:t>11A.</w:t>
      </w:r>
      <w:r>
        <w:tab/>
        <w:t>Information officially obtained to be confidential</w:t>
      </w:r>
      <w:r>
        <w:tab/>
      </w:r>
      <w:r>
        <w:fldChar w:fldCharType="begin"/>
      </w:r>
      <w:r>
        <w:instrText xml:space="preserve"> PAGEREF _Toc360457452 \h </w:instrText>
      </w:r>
      <w:r>
        <w:fldChar w:fldCharType="separate"/>
      </w:r>
      <w:r>
        <w:t>14</w:t>
      </w:r>
      <w:r>
        <w:fldChar w:fldCharType="end"/>
      </w:r>
    </w:p>
    <w:p>
      <w:pPr>
        <w:pStyle w:val="TOC8"/>
        <w:rPr>
          <w:rFonts w:asciiTheme="minorHAnsi" w:eastAsiaTheme="minorEastAsia" w:hAnsiTheme="minorHAnsi" w:cstheme="minorBidi"/>
          <w:szCs w:val="22"/>
          <w:lang w:eastAsia="en-AU"/>
        </w:rPr>
      </w:pPr>
      <w:r>
        <w:t>11B.</w:t>
      </w:r>
      <w:r>
        <w:tab/>
        <w:t>Powers of investigation</w:t>
      </w:r>
      <w:r>
        <w:tab/>
      </w:r>
      <w:r>
        <w:fldChar w:fldCharType="begin"/>
      </w:r>
      <w:r>
        <w:instrText xml:space="preserve"> PAGEREF _Toc360457453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 — Determination of disputes</w:t>
      </w:r>
    </w:p>
    <w:p>
      <w:pPr>
        <w:pStyle w:val="TOC8"/>
        <w:rPr>
          <w:rFonts w:asciiTheme="minorHAnsi" w:eastAsiaTheme="minorEastAsia" w:hAnsiTheme="minorHAnsi" w:cstheme="minorBidi"/>
          <w:szCs w:val="22"/>
          <w:lang w:eastAsia="en-AU"/>
        </w:rPr>
      </w:pPr>
      <w:r>
        <w:t>12.</w:t>
      </w:r>
      <w:r>
        <w:tab/>
        <w:t>Terms used in this Part</w:t>
      </w:r>
      <w:r>
        <w:tab/>
      </w:r>
      <w:r>
        <w:fldChar w:fldCharType="begin"/>
      </w:r>
      <w:r>
        <w:instrText xml:space="preserve"> PAGEREF _Toc360457455 \h </w:instrText>
      </w:r>
      <w:r>
        <w:fldChar w:fldCharType="separate"/>
      </w:r>
      <w:r>
        <w:t>15</w:t>
      </w:r>
      <w:r>
        <w:fldChar w:fldCharType="end"/>
      </w:r>
    </w:p>
    <w:p>
      <w:pPr>
        <w:pStyle w:val="TOC8"/>
        <w:rPr>
          <w:rFonts w:asciiTheme="minorHAnsi" w:eastAsiaTheme="minorEastAsia" w:hAnsiTheme="minorHAnsi" w:cstheme="minorBidi"/>
          <w:szCs w:val="22"/>
          <w:lang w:eastAsia="en-AU"/>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_Toc360457456 \h </w:instrText>
      </w:r>
      <w:r>
        <w:fldChar w:fldCharType="separate"/>
      </w:r>
      <w:r>
        <w:t>15</w:t>
      </w:r>
      <w:r>
        <w:fldChar w:fldCharType="end"/>
      </w:r>
    </w:p>
    <w:p>
      <w:pPr>
        <w:pStyle w:val="TOC8"/>
        <w:rPr>
          <w:rFonts w:asciiTheme="minorHAnsi" w:eastAsiaTheme="minorEastAsia" w:hAnsiTheme="minorHAnsi" w:cstheme="minorBidi"/>
          <w:szCs w:val="22"/>
          <w:lang w:eastAsia="en-AU"/>
        </w:rPr>
      </w:pPr>
      <w:r>
        <w:t>13.</w:t>
      </w:r>
      <w:r>
        <w:tab/>
        <w:t>Jurisdiction over other disputes</w:t>
      </w:r>
      <w:r>
        <w:tab/>
      </w:r>
      <w:r>
        <w:fldChar w:fldCharType="begin"/>
      </w:r>
      <w:r>
        <w:instrText xml:space="preserve"> PAGEREF _Toc360457457 \h </w:instrText>
      </w:r>
      <w:r>
        <w:fldChar w:fldCharType="separate"/>
      </w:r>
      <w:r>
        <w:t>15</w:t>
      </w:r>
      <w:r>
        <w:fldChar w:fldCharType="end"/>
      </w:r>
    </w:p>
    <w:p>
      <w:pPr>
        <w:pStyle w:val="TOC8"/>
        <w:rPr>
          <w:rFonts w:asciiTheme="minorHAnsi" w:eastAsiaTheme="minorEastAsia" w:hAnsiTheme="minorHAnsi" w:cstheme="minorBidi"/>
          <w:szCs w:val="22"/>
          <w:lang w:eastAsia="en-AU"/>
        </w:rPr>
      </w:pPr>
      <w:r>
        <w:t>13A.</w:t>
      </w:r>
      <w:r>
        <w:tab/>
      </w:r>
      <w:r>
        <w:rPr>
          <w:snapToGrid w:val="0"/>
        </w:rPr>
        <w:t>Magistrates</w:t>
      </w:r>
      <w:r>
        <w:t xml:space="preserve"> Court’s jurisdiction</w:t>
      </w:r>
      <w:r>
        <w:tab/>
      </w:r>
      <w:r>
        <w:fldChar w:fldCharType="begin"/>
      </w:r>
      <w:r>
        <w:instrText xml:space="preserve"> PAGEREF _Toc360457458 \h </w:instrText>
      </w:r>
      <w:r>
        <w:fldChar w:fldCharType="separate"/>
      </w:r>
      <w:r>
        <w:t>16</w:t>
      </w:r>
      <w:r>
        <w:fldChar w:fldCharType="end"/>
      </w:r>
    </w:p>
    <w:p>
      <w:pPr>
        <w:pStyle w:val="TOC8"/>
        <w:rPr>
          <w:rFonts w:asciiTheme="minorHAnsi" w:eastAsiaTheme="minorEastAsia" w:hAnsiTheme="minorHAnsi" w:cstheme="minorBidi"/>
          <w:szCs w:val="22"/>
          <w:lang w:eastAsia="en-AU"/>
        </w:rPr>
      </w:pPr>
      <w:r>
        <w:t>13B.</w:t>
      </w:r>
      <w:r>
        <w:tab/>
        <w:t>Appeals from decisions of a registrar</w:t>
      </w:r>
      <w:r>
        <w:tab/>
      </w:r>
      <w:r>
        <w:fldChar w:fldCharType="begin"/>
      </w:r>
      <w:r>
        <w:instrText xml:space="preserve"> PAGEREF _Toc360457459 \h </w:instrText>
      </w:r>
      <w:r>
        <w:fldChar w:fldCharType="separate"/>
      </w:r>
      <w:r>
        <w:t>17</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Time for determination of proceedings</w:t>
      </w:r>
      <w:r>
        <w:tab/>
      </w:r>
      <w:r>
        <w:fldChar w:fldCharType="begin"/>
      </w:r>
      <w:r>
        <w:instrText xml:space="preserve"> PAGEREF _Toc360457460 \h </w:instrText>
      </w:r>
      <w:r>
        <w:fldChar w:fldCharType="separate"/>
      </w:r>
      <w:r>
        <w:t>17</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Applications for relief and orders thereon</w:t>
      </w:r>
      <w:r>
        <w:tab/>
      </w:r>
      <w:r>
        <w:fldChar w:fldCharType="begin"/>
      </w:r>
      <w:r>
        <w:instrText xml:space="preserve"> PAGEREF _Toc360457461 \h </w:instrText>
      </w:r>
      <w:r>
        <w:fldChar w:fldCharType="separate"/>
      </w:r>
      <w:r>
        <w:t>17</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Enforcement</w:t>
      </w:r>
      <w:r>
        <w:tab/>
      </w:r>
      <w:r>
        <w:fldChar w:fldCharType="begin"/>
      </w:r>
      <w:r>
        <w:instrText xml:space="preserve"> PAGEREF _Toc360457462 \h </w:instrText>
      </w:r>
      <w:r>
        <w:fldChar w:fldCharType="separate"/>
      </w:r>
      <w:r>
        <w:t>19</w:t>
      </w:r>
      <w:r>
        <w:fldChar w:fldCharType="end"/>
      </w:r>
    </w:p>
    <w:p>
      <w:pPr>
        <w:pStyle w:val="TOC8"/>
        <w:rPr>
          <w:rFonts w:asciiTheme="minorHAnsi" w:eastAsiaTheme="minorEastAsia" w:hAnsiTheme="minorHAnsi" w:cstheme="minorBidi"/>
          <w:szCs w:val="22"/>
          <w:lang w:eastAsia="en-AU"/>
        </w:rPr>
      </w:pPr>
      <w:r>
        <w:t>17A.</w:t>
      </w:r>
      <w:r>
        <w:tab/>
        <w:t>Disputes between tenants</w:t>
      </w:r>
      <w:r>
        <w:tab/>
      </w:r>
      <w:r>
        <w:fldChar w:fldCharType="begin"/>
      </w:r>
      <w:r>
        <w:instrText xml:space="preserve"> PAGEREF _Toc360457463 \h </w:instrText>
      </w:r>
      <w:r>
        <w:fldChar w:fldCharType="separate"/>
      </w:r>
      <w:r>
        <w:t>19</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Application to vary or set aside order</w:t>
      </w:r>
      <w:r>
        <w:tab/>
      </w:r>
      <w:r>
        <w:fldChar w:fldCharType="begin"/>
      </w:r>
      <w:r>
        <w:instrText xml:space="preserve"> PAGEREF _Toc360457464 \h </w:instrText>
      </w:r>
      <w:r>
        <w:fldChar w:fldCharType="separate"/>
      </w:r>
      <w:r>
        <w:t>20</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Form of applications and notice of hearing</w:t>
      </w:r>
      <w:r>
        <w:tab/>
      </w:r>
      <w:r>
        <w:fldChar w:fldCharType="begin"/>
      </w:r>
      <w:r>
        <w:instrText xml:space="preserve"> PAGEREF _Toc360457465 \h </w:instrText>
      </w:r>
      <w:r>
        <w:fldChar w:fldCharType="separate"/>
      </w:r>
      <w:r>
        <w:t>20</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Witnesses and inspection of documents</w:t>
      </w:r>
      <w:r>
        <w:tab/>
      </w:r>
      <w:r>
        <w:fldChar w:fldCharType="begin"/>
      </w:r>
      <w:r>
        <w:instrText xml:space="preserve"> PAGEREF _Toc360457466 \h </w:instrText>
      </w:r>
      <w:r>
        <w:fldChar w:fldCharType="separate"/>
      </w:r>
      <w:r>
        <w:t>20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General powers in proceedings</w:t>
      </w:r>
      <w:r>
        <w:tab/>
      </w:r>
      <w:r>
        <w:fldChar w:fldCharType="begin"/>
      </w:r>
      <w:r>
        <w:instrText xml:space="preserve"> PAGEREF _Toc360457467 \h </w:instrText>
      </w:r>
      <w:r>
        <w:fldChar w:fldCharType="separate"/>
      </w:r>
      <w:r>
        <w:t>21</w:t>
      </w:r>
      <w:r>
        <w:fldChar w:fldCharType="end"/>
      </w:r>
    </w:p>
    <w:p>
      <w:pPr>
        <w:pStyle w:val="TOC8"/>
        <w:rPr>
          <w:rFonts w:asciiTheme="minorHAnsi" w:eastAsiaTheme="minorEastAsia" w:hAnsiTheme="minorHAnsi" w:cstheme="minorBidi"/>
          <w:szCs w:val="22"/>
          <w:lang w:eastAsia="en-AU"/>
        </w:rPr>
      </w:pPr>
      <w:r>
        <w:t>21.</w:t>
      </w:r>
      <w:r>
        <w:tab/>
        <w:t>Evidence</w:t>
      </w:r>
      <w:r>
        <w:tab/>
      </w:r>
      <w:r>
        <w:fldChar w:fldCharType="begin"/>
      </w:r>
      <w:r>
        <w:instrText xml:space="preserve"> PAGEREF _Toc360457468 \h </w:instrText>
      </w:r>
      <w:r>
        <w:fldChar w:fldCharType="separate"/>
      </w:r>
      <w:r>
        <w:t>23</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Presentation of cases</w:t>
      </w:r>
      <w:r>
        <w:tab/>
      </w:r>
      <w:r>
        <w:fldChar w:fldCharType="begin"/>
      </w:r>
      <w:r>
        <w:instrText xml:space="preserve"> PAGEREF _Toc360457469 \h </w:instrText>
      </w:r>
      <w:r>
        <w:fldChar w:fldCharType="separate"/>
      </w:r>
      <w:r>
        <w:t>23</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Settlement by conciliation</w:t>
      </w:r>
      <w:r>
        <w:tab/>
      </w:r>
      <w:r>
        <w:fldChar w:fldCharType="begin"/>
      </w:r>
      <w:r>
        <w:instrText xml:space="preserve"> PAGEREF _Toc360457470 \h </w:instrText>
      </w:r>
      <w:r>
        <w:fldChar w:fldCharType="separate"/>
      </w:r>
      <w:r>
        <w:t>25</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Costs</w:t>
      </w:r>
      <w:r>
        <w:tab/>
      </w:r>
      <w:r>
        <w:fldChar w:fldCharType="begin"/>
      </w:r>
      <w:r>
        <w:instrText xml:space="preserve"> PAGEREF _Toc360457471 \h </w:instrText>
      </w:r>
      <w:r>
        <w:fldChar w:fldCharType="separate"/>
      </w:r>
      <w:r>
        <w:t>26</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Reservation of question of law</w:t>
      </w:r>
      <w:r>
        <w:tab/>
      </w:r>
      <w:r>
        <w:fldChar w:fldCharType="begin"/>
      </w:r>
      <w:r>
        <w:instrText xml:space="preserve"> PAGEREF _Toc360457472 \h </w:instrText>
      </w:r>
      <w:r>
        <w:fldChar w:fldCharType="separate"/>
      </w:r>
      <w:r>
        <w:t>26</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Finality of proceedings</w:t>
      </w:r>
      <w:r>
        <w:tab/>
      </w:r>
      <w:r>
        <w:fldChar w:fldCharType="begin"/>
      </w:r>
      <w:r>
        <w:instrText xml:space="preserve"> PAGEREF _Toc360457473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 — Residential tenancy agreements</w:t>
      </w:r>
    </w:p>
    <w:p>
      <w:pPr>
        <w:pStyle w:val="TOC4"/>
        <w:tabs>
          <w:tab w:val="right" w:leader="dot" w:pos="7086"/>
        </w:tabs>
        <w:rPr>
          <w:rFonts w:asciiTheme="minorHAnsi" w:eastAsiaTheme="minorEastAsia" w:hAnsiTheme="minorHAnsi" w:cstheme="minorBidi"/>
          <w:b w:val="0"/>
          <w:szCs w:val="22"/>
          <w:lang w:eastAsia="en-AU"/>
        </w:rPr>
      </w:pPr>
      <w:r>
        <w:t>Division 1A — Form of residential tenancy agreement and associated documents</w:t>
      </w:r>
    </w:p>
    <w:p>
      <w:pPr>
        <w:pStyle w:val="TOC8"/>
        <w:rPr>
          <w:rFonts w:asciiTheme="minorHAnsi" w:eastAsiaTheme="minorEastAsia" w:hAnsiTheme="minorHAnsi" w:cstheme="minorBidi"/>
          <w:szCs w:val="22"/>
          <w:lang w:eastAsia="en-AU"/>
        </w:rPr>
      </w:pPr>
      <w:r>
        <w:t>27A.</w:t>
      </w:r>
      <w:r>
        <w:tab/>
        <w:t>Written residential tenancy agreement to be in prescribed form</w:t>
      </w:r>
      <w:r>
        <w:tab/>
      </w:r>
      <w:r>
        <w:fldChar w:fldCharType="begin"/>
      </w:r>
      <w:r>
        <w:instrText xml:space="preserve"> PAGEREF _Toc360457476 \h </w:instrText>
      </w:r>
      <w:r>
        <w:fldChar w:fldCharType="separate"/>
      </w:r>
      <w:r>
        <w:t>28</w:t>
      </w:r>
      <w:r>
        <w:fldChar w:fldCharType="end"/>
      </w:r>
    </w:p>
    <w:p>
      <w:pPr>
        <w:pStyle w:val="TOC8"/>
        <w:rPr>
          <w:rFonts w:asciiTheme="minorHAnsi" w:eastAsiaTheme="minorEastAsia" w:hAnsiTheme="minorHAnsi" w:cstheme="minorBidi"/>
          <w:szCs w:val="22"/>
          <w:lang w:eastAsia="en-AU"/>
        </w:rPr>
      </w:pPr>
      <w:r>
        <w:t>27B.</w:t>
      </w:r>
      <w:r>
        <w:tab/>
        <w:t>Information to be given to tenant by lessor</w:t>
      </w:r>
      <w:r>
        <w:tab/>
      </w:r>
      <w:r>
        <w:fldChar w:fldCharType="begin"/>
      </w:r>
      <w:r>
        <w:instrText xml:space="preserve"> PAGEREF _Toc360457477 \h </w:instrText>
      </w:r>
      <w:r>
        <w:fldChar w:fldCharType="separate"/>
      </w:r>
      <w:r>
        <w:t>28</w:t>
      </w:r>
      <w:r>
        <w:fldChar w:fldCharType="end"/>
      </w:r>
    </w:p>
    <w:p>
      <w:pPr>
        <w:pStyle w:val="TOC8"/>
        <w:rPr>
          <w:rFonts w:asciiTheme="minorHAnsi" w:eastAsiaTheme="minorEastAsia" w:hAnsiTheme="minorHAnsi" w:cstheme="minorBidi"/>
          <w:szCs w:val="22"/>
          <w:lang w:eastAsia="en-AU"/>
        </w:rPr>
      </w:pPr>
      <w:r>
        <w:t>27C.</w:t>
      </w:r>
      <w:r>
        <w:tab/>
      </w:r>
      <w:r>
        <w:rPr>
          <w:snapToGrid w:val="0"/>
        </w:rPr>
        <w:t>Property condition report at start and end of tenancy</w:t>
      </w:r>
      <w:r>
        <w:tab/>
      </w:r>
      <w:r>
        <w:fldChar w:fldCharType="begin"/>
      </w:r>
      <w:r>
        <w:instrText xml:space="preserve"> PAGEREF _Toc360457478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Rent and security bonds</w:t>
      </w:r>
    </w:p>
    <w:p>
      <w:pPr>
        <w:pStyle w:val="TOC8"/>
        <w:rPr>
          <w:rFonts w:asciiTheme="minorHAnsi" w:eastAsiaTheme="minorEastAsia" w:hAnsiTheme="minorHAnsi" w:cstheme="minorBidi"/>
          <w:szCs w:val="22"/>
          <w:lang w:eastAsia="en-AU"/>
        </w:rPr>
      </w:pPr>
      <w:r>
        <w:t>27</w:t>
      </w:r>
      <w:r>
        <w:rPr>
          <w:snapToGrid w:val="0"/>
        </w:rPr>
        <w:t>.</w:t>
      </w:r>
      <w:r>
        <w:rPr>
          <w:snapToGrid w:val="0"/>
        </w:rPr>
        <w:tab/>
        <w:t>Restriction on consideration for tenancy agreement</w:t>
      </w:r>
      <w:r>
        <w:tab/>
      </w:r>
      <w:r>
        <w:fldChar w:fldCharType="begin"/>
      </w:r>
      <w:r>
        <w:instrText xml:space="preserve"> PAGEREF _Toc360457480 \h </w:instrText>
      </w:r>
      <w:r>
        <w:fldChar w:fldCharType="separate"/>
      </w:r>
      <w:r>
        <w:t>29</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Rent in advance</w:t>
      </w:r>
      <w:r>
        <w:tab/>
      </w:r>
      <w:r>
        <w:fldChar w:fldCharType="begin"/>
      </w:r>
      <w:r>
        <w:instrText xml:space="preserve"> PAGEREF _Toc360457481 \h </w:instrText>
      </w:r>
      <w:r>
        <w:fldChar w:fldCharType="separate"/>
      </w:r>
      <w:r>
        <w:t>30</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Security bonds</w:t>
      </w:r>
      <w:r>
        <w:tab/>
      </w:r>
      <w:r>
        <w:fldChar w:fldCharType="begin"/>
      </w:r>
      <w:r>
        <w:instrText xml:space="preserve"> PAGEREF _Toc360457482 \h </w:instrText>
      </w:r>
      <w:r>
        <w:fldChar w:fldCharType="separate"/>
      </w:r>
      <w:r>
        <w:t>31</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Variation of rent (except where calculated by reference to tenant’s income)</w:t>
      </w:r>
      <w:r>
        <w:tab/>
      </w:r>
      <w:r>
        <w:fldChar w:fldCharType="begin"/>
      </w:r>
      <w:r>
        <w:instrText xml:space="preserve"> PAGEREF _Toc360457483 \h </w:instrText>
      </w:r>
      <w:r>
        <w:fldChar w:fldCharType="separate"/>
      </w:r>
      <w:r>
        <w:t>33</w:t>
      </w:r>
      <w:r>
        <w:fldChar w:fldCharType="end"/>
      </w:r>
    </w:p>
    <w:p>
      <w:pPr>
        <w:pStyle w:val="TOC8"/>
        <w:rPr>
          <w:rFonts w:asciiTheme="minorHAnsi" w:eastAsiaTheme="minorEastAsia" w:hAnsiTheme="minorHAnsi" w:cstheme="minorBidi"/>
          <w:szCs w:val="22"/>
          <w:lang w:eastAsia="en-AU"/>
        </w:rPr>
      </w:pPr>
      <w:r>
        <w:t>31A.</w:t>
      </w:r>
      <w:r>
        <w:tab/>
        <w:t>Variation of rent where calculated by reference to tenant’s income</w:t>
      </w:r>
      <w:r>
        <w:tab/>
      </w:r>
      <w:r>
        <w:fldChar w:fldCharType="begin"/>
      </w:r>
      <w:r>
        <w:instrText xml:space="preserve"> PAGEREF _Toc360457484 \h </w:instrText>
      </w:r>
      <w:r>
        <w:fldChar w:fldCharType="separate"/>
      </w:r>
      <w:r>
        <w:t>34</w:t>
      </w:r>
      <w:r>
        <w:fldChar w:fldCharType="end"/>
      </w:r>
    </w:p>
    <w:p>
      <w:pPr>
        <w:pStyle w:val="TOC8"/>
        <w:rPr>
          <w:rFonts w:asciiTheme="minorHAnsi" w:eastAsiaTheme="minorEastAsia" w:hAnsiTheme="minorHAnsi" w:cstheme="minorBidi"/>
          <w:szCs w:val="22"/>
          <w:lang w:eastAsia="en-AU"/>
        </w:rPr>
      </w:pPr>
      <w:r>
        <w:t>31B.</w:t>
      </w:r>
      <w:r>
        <w:tab/>
        <w:t>Increase in rent after renegotiating lease</w:t>
      </w:r>
      <w:r>
        <w:tab/>
      </w:r>
      <w:r>
        <w:fldChar w:fldCharType="begin"/>
      </w:r>
      <w:r>
        <w:instrText xml:space="preserve"> PAGEREF _Toc360457485 \h </w:instrText>
      </w:r>
      <w:r>
        <w:fldChar w:fldCharType="separate"/>
      </w:r>
      <w:r>
        <w:t>34</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Increase in security bond</w:t>
      </w:r>
      <w:r>
        <w:tab/>
      </w:r>
      <w:r>
        <w:fldChar w:fldCharType="begin"/>
      </w:r>
      <w:r>
        <w:instrText xml:space="preserve"> PAGEREF _Toc360457486 \h </w:instrText>
      </w:r>
      <w:r>
        <w:fldChar w:fldCharType="separate"/>
      </w:r>
      <w:r>
        <w:t>35</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Limitation of excessive rents in certain circumstances</w:t>
      </w:r>
      <w:r>
        <w:tab/>
      </w:r>
      <w:r>
        <w:fldChar w:fldCharType="begin"/>
      </w:r>
      <w:r>
        <w:instrText xml:space="preserve"> PAGEREF _Toc360457487 \h </w:instrText>
      </w:r>
      <w:r>
        <w:fldChar w:fldCharType="separate"/>
      </w:r>
      <w:r>
        <w:t>36</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Duty to give receipt for rent</w:t>
      </w:r>
      <w:r>
        <w:tab/>
      </w:r>
      <w:r>
        <w:fldChar w:fldCharType="begin"/>
      </w:r>
      <w:r>
        <w:instrText xml:space="preserve"> PAGEREF _Toc360457488 \h </w:instrText>
      </w:r>
      <w:r>
        <w:fldChar w:fldCharType="separate"/>
      </w:r>
      <w:r>
        <w:t>38</w:t>
      </w:r>
      <w:r>
        <w:fldChar w:fldCharType="end"/>
      </w:r>
    </w:p>
    <w:p>
      <w:pPr>
        <w:pStyle w:val="TOC8"/>
        <w:rPr>
          <w:rFonts w:asciiTheme="minorHAnsi" w:eastAsiaTheme="minorEastAsia" w:hAnsiTheme="minorHAnsi" w:cstheme="minorBidi"/>
          <w:szCs w:val="22"/>
          <w:lang w:eastAsia="en-AU"/>
        </w:rPr>
      </w:pPr>
      <w:r>
        <w:t>34A.</w:t>
      </w:r>
      <w:r>
        <w:tab/>
        <w:t>Manner of payment of rent</w:t>
      </w:r>
      <w:r>
        <w:tab/>
      </w:r>
      <w:r>
        <w:fldChar w:fldCharType="begin"/>
      </w:r>
      <w:r>
        <w:instrText xml:space="preserve"> PAGEREF _Toc360457489 \h </w:instrText>
      </w:r>
      <w:r>
        <w:fldChar w:fldCharType="separate"/>
      </w:r>
      <w:r>
        <w:t>38</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Proper records of rent to be kept</w:t>
      </w:r>
      <w:r>
        <w:tab/>
      </w:r>
      <w:r>
        <w:fldChar w:fldCharType="begin"/>
      </w:r>
      <w:r>
        <w:instrText xml:space="preserve"> PAGEREF _Toc360457490 \h </w:instrText>
      </w:r>
      <w:r>
        <w:fldChar w:fldCharType="separate"/>
      </w:r>
      <w:r>
        <w:t>38</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_Toc360457491 \h </w:instrText>
      </w:r>
      <w:r>
        <w:fldChar w:fldCharType="separate"/>
      </w:r>
      <w:r>
        <w:t>39</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Apportionment of rent</w:t>
      </w:r>
      <w:r>
        <w:tab/>
      </w:r>
      <w:r>
        <w:fldChar w:fldCharType="begin"/>
      </w:r>
      <w:r>
        <w:instrText xml:space="preserve"> PAGEREF _Toc360457492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Standard terms</w:t>
      </w:r>
    </w:p>
    <w:p>
      <w:pPr>
        <w:pStyle w:val="TOC8"/>
        <w:rPr>
          <w:rFonts w:asciiTheme="minorHAnsi" w:eastAsiaTheme="minorEastAsia" w:hAnsiTheme="minorHAnsi" w:cstheme="minorBidi"/>
          <w:szCs w:val="22"/>
          <w:lang w:eastAsia="en-AU"/>
        </w:rPr>
      </w:pPr>
      <w:r>
        <w:t>38</w:t>
      </w:r>
      <w:r>
        <w:rPr>
          <w:snapToGrid w:val="0"/>
        </w:rPr>
        <w:t>.</w:t>
      </w:r>
      <w:r>
        <w:rPr>
          <w:snapToGrid w:val="0"/>
        </w:rPr>
        <w:tab/>
        <w:t>Tenant’s responsibility for cleanliness and damage</w:t>
      </w:r>
      <w:r>
        <w:tab/>
      </w:r>
      <w:r>
        <w:fldChar w:fldCharType="begin"/>
      </w:r>
      <w:r>
        <w:instrText xml:space="preserve"> PAGEREF _Toc360457494 \h </w:instrText>
      </w:r>
      <w:r>
        <w:fldChar w:fldCharType="separate"/>
      </w:r>
      <w:r>
        <w:t>40</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Tenant’s conduct on premises</w:t>
      </w:r>
      <w:r>
        <w:tab/>
      </w:r>
      <w:r>
        <w:fldChar w:fldCharType="begin"/>
      </w:r>
      <w:r>
        <w:instrText xml:space="preserve"> PAGEREF _Toc360457495 \h </w:instrText>
      </w:r>
      <w:r>
        <w:fldChar w:fldCharType="separate"/>
      </w:r>
      <w:r>
        <w:t>40</w:t>
      </w:r>
      <w:r>
        <w:fldChar w:fldCharType="end"/>
      </w:r>
    </w:p>
    <w:p>
      <w:pPr>
        <w:pStyle w:val="TOC8"/>
        <w:rPr>
          <w:rFonts w:asciiTheme="minorHAnsi" w:eastAsiaTheme="minorEastAsia" w:hAnsiTheme="minorHAnsi" w:cstheme="minorBidi"/>
          <w:szCs w:val="22"/>
          <w:lang w:eastAsia="en-AU"/>
        </w:rPr>
      </w:pPr>
      <w:r>
        <w:t>40.</w:t>
      </w:r>
      <w:r>
        <w:tab/>
        <w:t>Vacant possession</w:t>
      </w:r>
      <w:r>
        <w:tab/>
      </w:r>
      <w:r>
        <w:fldChar w:fldCharType="begin"/>
      </w:r>
      <w:r>
        <w:instrText xml:space="preserve"> PAGEREF _Toc360457496 \h </w:instrText>
      </w:r>
      <w:r>
        <w:fldChar w:fldCharType="separate"/>
      </w:r>
      <w:r>
        <w:t>40</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Legal impediments to occupation as residence</w:t>
      </w:r>
      <w:r>
        <w:tab/>
      </w:r>
      <w:r>
        <w:fldChar w:fldCharType="begin"/>
      </w:r>
      <w:r>
        <w:instrText xml:space="preserve"> PAGEREF _Toc360457497 \h </w:instrText>
      </w:r>
      <w:r>
        <w:fldChar w:fldCharType="separate"/>
      </w:r>
      <w:r>
        <w:t>41</w:t>
      </w:r>
      <w:r>
        <w:fldChar w:fldCharType="end"/>
      </w:r>
    </w:p>
    <w:p>
      <w:pPr>
        <w:pStyle w:val="TOC8"/>
        <w:rPr>
          <w:rFonts w:asciiTheme="minorHAnsi" w:eastAsiaTheme="minorEastAsia" w:hAnsiTheme="minorHAnsi" w:cstheme="minorBidi"/>
          <w:szCs w:val="22"/>
          <w:lang w:eastAsia="en-AU"/>
        </w:rPr>
      </w:pPr>
      <w:r>
        <w:t>42.</w:t>
      </w:r>
      <w:r>
        <w:tab/>
        <w:t>Lessor’s responsibility for cleanliness and repairs</w:t>
      </w:r>
      <w:r>
        <w:tab/>
      </w:r>
      <w:r>
        <w:fldChar w:fldCharType="begin"/>
      </w:r>
      <w:r>
        <w:instrText xml:space="preserve"> PAGEREF _Toc360457498 \h </w:instrText>
      </w:r>
      <w:r>
        <w:fldChar w:fldCharType="separate"/>
      </w:r>
      <w:r>
        <w:t>41</w:t>
      </w:r>
      <w:r>
        <w:fldChar w:fldCharType="end"/>
      </w:r>
    </w:p>
    <w:p>
      <w:pPr>
        <w:pStyle w:val="TOC8"/>
        <w:rPr>
          <w:rFonts w:asciiTheme="minorHAnsi" w:eastAsiaTheme="minorEastAsia" w:hAnsiTheme="minorHAnsi" w:cstheme="minorBidi"/>
          <w:szCs w:val="22"/>
          <w:lang w:eastAsia="en-AU"/>
        </w:rPr>
      </w:pPr>
      <w:r>
        <w:t>43.</w:t>
      </w:r>
      <w:r>
        <w:tab/>
        <w:t>Urgent repairs</w:t>
      </w:r>
      <w:r>
        <w:tab/>
      </w:r>
      <w:r>
        <w:fldChar w:fldCharType="begin"/>
      </w:r>
      <w:r>
        <w:instrText xml:space="preserve"> PAGEREF _Toc360457499 \h </w:instrText>
      </w:r>
      <w:r>
        <w:fldChar w:fldCharType="separate"/>
      </w:r>
      <w:r>
        <w:t>42</w:t>
      </w:r>
      <w:r>
        <w:fldChar w:fldCharType="end"/>
      </w:r>
    </w:p>
    <w:p>
      <w:pPr>
        <w:pStyle w:val="TOC8"/>
        <w:rPr>
          <w:rFonts w:asciiTheme="minorHAnsi" w:eastAsiaTheme="minorEastAsia" w:hAnsiTheme="minorHAnsi" w:cstheme="minorBidi"/>
          <w:szCs w:val="22"/>
          <w:lang w:eastAsia="en-AU"/>
        </w:rPr>
      </w:pPr>
      <w:r>
        <w:t>44.</w:t>
      </w:r>
      <w:r>
        <w:tab/>
        <w:t>Quiet enjoyment</w:t>
      </w:r>
      <w:r>
        <w:tab/>
      </w:r>
      <w:r>
        <w:fldChar w:fldCharType="begin"/>
      </w:r>
      <w:r>
        <w:instrText xml:space="preserve"> PAGEREF _Toc360457500 \h </w:instrText>
      </w:r>
      <w:r>
        <w:fldChar w:fldCharType="separate"/>
      </w:r>
      <w:r>
        <w:t>43</w:t>
      </w:r>
      <w:r>
        <w:fldChar w:fldCharType="end"/>
      </w:r>
    </w:p>
    <w:p>
      <w:pPr>
        <w:pStyle w:val="TOC8"/>
        <w:rPr>
          <w:rFonts w:asciiTheme="minorHAnsi" w:eastAsiaTheme="minorEastAsia" w:hAnsiTheme="minorHAnsi" w:cstheme="minorBidi"/>
          <w:szCs w:val="22"/>
          <w:lang w:eastAsia="en-AU"/>
        </w:rPr>
      </w:pPr>
      <w:r>
        <w:t>45.</w:t>
      </w:r>
      <w:r>
        <w:tab/>
        <w:t>Securing premises</w:t>
      </w:r>
      <w:r>
        <w:tab/>
      </w:r>
      <w:r>
        <w:fldChar w:fldCharType="begin"/>
      </w:r>
      <w:r>
        <w:instrText xml:space="preserve"> PAGEREF _Toc360457501 \h </w:instrText>
      </w:r>
      <w:r>
        <w:fldChar w:fldCharType="separate"/>
      </w:r>
      <w:r>
        <w:t>44</w:t>
      </w:r>
      <w:r>
        <w:fldChar w:fldCharType="end"/>
      </w:r>
    </w:p>
    <w:p>
      <w:pPr>
        <w:pStyle w:val="TOC8"/>
        <w:rPr>
          <w:rFonts w:asciiTheme="minorHAnsi" w:eastAsiaTheme="minorEastAsia" w:hAnsiTheme="minorHAnsi" w:cstheme="minorBidi"/>
          <w:szCs w:val="22"/>
          <w:lang w:eastAsia="en-AU"/>
        </w:rPr>
      </w:pPr>
      <w:r>
        <w:t>46.</w:t>
      </w:r>
      <w:r>
        <w:tab/>
        <w:t>Lessor’s right of entry</w:t>
      </w:r>
      <w:r>
        <w:tab/>
      </w:r>
      <w:r>
        <w:fldChar w:fldCharType="begin"/>
      </w:r>
      <w:r>
        <w:instrText xml:space="preserve"> PAGEREF _Toc360457502 \h </w:instrText>
      </w:r>
      <w:r>
        <w:fldChar w:fldCharType="separate"/>
      </w:r>
      <w:r>
        <w:t>44</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Right of tenant to affix and remove fixtures etc.</w:t>
      </w:r>
      <w:r>
        <w:tab/>
      </w:r>
      <w:r>
        <w:fldChar w:fldCharType="begin"/>
      </w:r>
      <w:r>
        <w:instrText xml:space="preserve"> PAGEREF _Toc360457503 \h </w:instrText>
      </w:r>
      <w:r>
        <w:fldChar w:fldCharType="separate"/>
      </w:r>
      <w:r>
        <w:t>47</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Lessor to bear outgoings in respect of premises</w:t>
      </w:r>
      <w:r>
        <w:tab/>
      </w:r>
      <w:r>
        <w:fldChar w:fldCharType="begin"/>
      </w:r>
      <w:r>
        <w:instrText xml:space="preserve"> PAGEREF _Toc360457504 \h </w:instrText>
      </w:r>
      <w:r>
        <w:fldChar w:fldCharType="separate"/>
      </w:r>
      <w:r>
        <w:t>47</w:t>
      </w:r>
      <w:r>
        <w:fldChar w:fldCharType="end"/>
      </w:r>
    </w:p>
    <w:p>
      <w:pPr>
        <w:pStyle w:val="TOC8"/>
        <w:rPr>
          <w:rFonts w:asciiTheme="minorHAnsi" w:eastAsiaTheme="minorEastAsia" w:hAnsiTheme="minorHAnsi" w:cstheme="minorBidi"/>
          <w:szCs w:val="22"/>
          <w:lang w:eastAsia="en-AU"/>
        </w:rPr>
      </w:pPr>
      <w:r>
        <w:t>49A.</w:t>
      </w:r>
      <w:r>
        <w:tab/>
        <w:t>Lessor’s and tenant’s responsibilities in respect of public utility services</w:t>
      </w:r>
      <w:r>
        <w:tab/>
      </w:r>
      <w:r>
        <w:fldChar w:fldCharType="begin"/>
      </w:r>
      <w:r>
        <w:instrText xml:space="preserve"> PAGEREF _Toc360457505 \h </w:instrText>
      </w:r>
      <w:r>
        <w:fldChar w:fldCharType="separate"/>
      </w:r>
      <w:r>
        <w:t>48</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_Toc360457506 \h </w:instrText>
      </w:r>
      <w:r>
        <w:fldChar w:fldCharType="separate"/>
      </w:r>
      <w:r>
        <w:t>49</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Vicarious responsibility of tenant for breach by other person lawfully on premises</w:t>
      </w:r>
      <w:r>
        <w:tab/>
      </w:r>
      <w:r>
        <w:fldChar w:fldCharType="begin"/>
      </w:r>
      <w:r>
        <w:instrText xml:space="preserve"> PAGEREF _Toc360457507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General</w:t>
      </w:r>
    </w:p>
    <w:p>
      <w:pPr>
        <w:pStyle w:val="TOC8"/>
        <w:rPr>
          <w:rFonts w:asciiTheme="minorHAnsi" w:eastAsiaTheme="minorEastAsia" w:hAnsiTheme="minorHAnsi" w:cstheme="minorBidi"/>
          <w:szCs w:val="22"/>
          <w:lang w:eastAsia="en-AU"/>
        </w:rPr>
      </w:pPr>
      <w:r>
        <w:t>51.</w:t>
      </w:r>
      <w:r>
        <w:tab/>
        <w:t>Tenant to be notified of lessor’s name and address</w:t>
      </w:r>
      <w:r>
        <w:tab/>
      </w:r>
      <w:r>
        <w:fldChar w:fldCharType="begin"/>
      </w:r>
      <w:r>
        <w:instrText xml:space="preserve"> PAGEREF _Toc360457509 \h </w:instrText>
      </w:r>
      <w:r>
        <w:fldChar w:fldCharType="separate"/>
      </w:r>
      <w:r>
        <w:t>50</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Failure to pay rent with intention it be recovered from security bond</w:t>
      </w:r>
      <w:r>
        <w:tab/>
      </w:r>
      <w:r>
        <w:fldChar w:fldCharType="begin"/>
      </w:r>
      <w:r>
        <w:instrText xml:space="preserve"> PAGEREF _Toc360457510 \h </w:instrText>
      </w:r>
      <w:r>
        <w:fldChar w:fldCharType="separate"/>
      </w:r>
      <w:r>
        <w:t>51</w:t>
      </w:r>
      <w:r>
        <w:fldChar w:fldCharType="end"/>
      </w:r>
    </w:p>
    <w:p>
      <w:pPr>
        <w:pStyle w:val="TOC8"/>
        <w:rPr>
          <w:rFonts w:asciiTheme="minorHAnsi" w:eastAsiaTheme="minorEastAsia" w:hAnsiTheme="minorHAnsi" w:cstheme="minorBidi"/>
          <w:szCs w:val="22"/>
          <w:lang w:eastAsia="en-AU"/>
        </w:rPr>
      </w:pPr>
      <w:r>
        <w:t>53.</w:t>
      </w:r>
      <w:r>
        <w:tab/>
        <w:t>Tenant’s name, place of employment and forwarding address</w:t>
      </w:r>
      <w:r>
        <w:tab/>
      </w:r>
      <w:r>
        <w:fldChar w:fldCharType="begin"/>
      </w:r>
      <w:r>
        <w:instrText xml:space="preserve"> PAGEREF _Toc360457511 \h </w:instrText>
      </w:r>
      <w:r>
        <w:fldChar w:fldCharType="separate"/>
      </w:r>
      <w:r>
        <w:t>52</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Lessor to deliver copy of agreement to tenant</w:t>
      </w:r>
      <w:r>
        <w:tab/>
      </w:r>
      <w:r>
        <w:fldChar w:fldCharType="begin"/>
      </w:r>
      <w:r>
        <w:instrText xml:space="preserve"> PAGEREF _Toc360457512 \h </w:instrText>
      </w:r>
      <w:r>
        <w:fldChar w:fldCharType="separate"/>
      </w:r>
      <w:r>
        <w:t>52</w:t>
      </w:r>
      <w:r>
        <w:fldChar w:fldCharType="end"/>
      </w:r>
    </w:p>
    <w:p>
      <w:pPr>
        <w:pStyle w:val="TOC8"/>
        <w:rPr>
          <w:rFonts w:asciiTheme="minorHAnsi" w:eastAsiaTheme="minorEastAsia" w:hAnsiTheme="minorHAnsi" w:cstheme="minorBidi"/>
          <w:szCs w:val="22"/>
          <w:lang w:eastAsia="en-AU"/>
        </w:rPr>
      </w:pPr>
      <w:r>
        <w:t>55.</w:t>
      </w:r>
      <w:r>
        <w:tab/>
        <w:t>Cost of written agreement to be borne by lessor</w:t>
      </w:r>
      <w:r>
        <w:tab/>
      </w:r>
      <w:r>
        <w:fldChar w:fldCharType="begin"/>
      </w:r>
      <w:r>
        <w:instrText xml:space="preserve"> PAGEREF _Toc360457513 \h </w:instrText>
      </w:r>
      <w:r>
        <w:fldChar w:fldCharType="separate"/>
      </w:r>
      <w:r>
        <w:t>53</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Discrimination against tenants with children</w:t>
      </w:r>
      <w:r>
        <w:tab/>
      </w:r>
      <w:r>
        <w:fldChar w:fldCharType="begin"/>
      </w:r>
      <w:r>
        <w:instrText xml:space="preserve"> PAGEREF _Toc360457514 \h </w:instrText>
      </w:r>
      <w:r>
        <w:fldChar w:fldCharType="separate"/>
      </w:r>
      <w:r>
        <w:t>53</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Accelerated rent and liquidated damages prohibited</w:t>
      </w:r>
      <w:r>
        <w:tab/>
      </w:r>
      <w:r>
        <w:fldChar w:fldCharType="begin"/>
      </w:r>
      <w:r>
        <w:instrText xml:space="preserve"> PAGEREF _Toc360457515 \h </w:instrText>
      </w:r>
      <w:r>
        <w:fldChar w:fldCharType="separate"/>
      </w:r>
      <w:r>
        <w:t>54</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Duty of mitigation</w:t>
      </w:r>
      <w:r>
        <w:tab/>
      </w:r>
      <w:r>
        <w:fldChar w:fldCharType="begin"/>
      </w:r>
      <w:r>
        <w:instrText xml:space="preserve"> PAGEREF _Toc360457516 \h </w:instrText>
      </w:r>
      <w:r>
        <w:fldChar w:fldCharType="separate"/>
      </w:r>
      <w:r>
        <w:t>54</w:t>
      </w:r>
      <w:r>
        <w:fldChar w:fldCharType="end"/>
      </w:r>
    </w:p>
    <w:p>
      <w:pPr>
        <w:pStyle w:val="TOC8"/>
        <w:rPr>
          <w:rFonts w:asciiTheme="minorHAnsi" w:eastAsiaTheme="minorEastAsia" w:hAnsiTheme="minorHAnsi" w:cstheme="minorBidi"/>
          <w:szCs w:val="22"/>
          <w:lang w:eastAsia="en-AU"/>
        </w:rPr>
      </w:pPr>
      <w:r>
        <w:t>59A.</w:t>
      </w:r>
      <w:r>
        <w:tab/>
        <w:t>Minors</w:t>
      </w:r>
      <w:r>
        <w:tab/>
      </w:r>
      <w:r>
        <w:fldChar w:fldCharType="begin"/>
      </w:r>
      <w:r>
        <w:instrText xml:space="preserve"> PAGEREF _Toc360457517 \h </w:instrText>
      </w:r>
      <w:r>
        <w:fldChar w:fldCharType="separate"/>
      </w:r>
      <w:r>
        <w:t>54</w:t>
      </w:r>
      <w:r>
        <w:fldChar w:fldCharType="end"/>
      </w:r>
    </w:p>
    <w:p>
      <w:pPr>
        <w:pStyle w:val="TOC8"/>
        <w:rPr>
          <w:rFonts w:asciiTheme="minorHAnsi" w:eastAsiaTheme="minorEastAsia" w:hAnsiTheme="minorHAnsi" w:cstheme="minorBidi"/>
          <w:szCs w:val="22"/>
          <w:lang w:eastAsia="en-AU"/>
        </w:rPr>
      </w:pPr>
      <w:r>
        <w:t>59B.</w:t>
      </w:r>
      <w:r>
        <w:tab/>
        <w:t>Death of one of 2 or more tenants</w:t>
      </w:r>
      <w:r>
        <w:tab/>
      </w:r>
      <w:r>
        <w:fldChar w:fldCharType="begin"/>
      </w:r>
      <w:r>
        <w:instrText xml:space="preserve"> PAGEREF _Toc360457518 \h </w:instrText>
      </w:r>
      <w:r>
        <w:fldChar w:fldCharType="separate"/>
      </w:r>
      <w:r>
        <w:t>55</w:t>
      </w:r>
      <w:r>
        <w:fldChar w:fldCharType="end"/>
      </w:r>
    </w:p>
    <w:p>
      <w:pPr>
        <w:pStyle w:val="TOC8"/>
        <w:rPr>
          <w:rFonts w:asciiTheme="minorHAnsi" w:eastAsiaTheme="minorEastAsia" w:hAnsiTheme="minorHAnsi" w:cstheme="minorBidi"/>
          <w:szCs w:val="22"/>
          <w:lang w:eastAsia="en-AU"/>
        </w:rPr>
      </w:pPr>
      <w:r>
        <w:t>59C.</w:t>
      </w:r>
      <w:r>
        <w:tab/>
        <w:t>Recognition of certain persons as tenants</w:t>
      </w:r>
      <w:r>
        <w:tab/>
      </w:r>
      <w:r>
        <w:fldChar w:fldCharType="begin"/>
      </w:r>
      <w:r>
        <w:instrText xml:space="preserve"> PAGEREF _Toc360457519 \h </w:instrText>
      </w:r>
      <w:r>
        <w:fldChar w:fldCharType="separate"/>
      </w:r>
      <w:r>
        <w:t>56</w:t>
      </w:r>
      <w:r>
        <w:fldChar w:fldCharType="end"/>
      </w:r>
    </w:p>
    <w:p>
      <w:pPr>
        <w:pStyle w:val="TOC8"/>
        <w:rPr>
          <w:rFonts w:asciiTheme="minorHAnsi" w:eastAsiaTheme="minorEastAsia" w:hAnsiTheme="minorHAnsi" w:cstheme="minorBidi"/>
          <w:szCs w:val="22"/>
          <w:lang w:eastAsia="en-AU"/>
        </w:rPr>
      </w:pPr>
      <w:r>
        <w:t>59D.</w:t>
      </w:r>
      <w:r>
        <w:tab/>
        <w:t>Tenant compensation bonds</w:t>
      </w:r>
      <w:r>
        <w:tab/>
      </w:r>
      <w:r>
        <w:fldChar w:fldCharType="begin"/>
      </w:r>
      <w:r>
        <w:instrText xml:space="preserve"> PAGEREF _Toc360457520 \h </w:instrText>
      </w:r>
      <w:r>
        <w:fldChar w:fldCharType="separate"/>
      </w:r>
      <w:r>
        <w:t>56</w:t>
      </w:r>
      <w:r>
        <w:fldChar w:fldCharType="end"/>
      </w:r>
    </w:p>
    <w:p>
      <w:pPr>
        <w:pStyle w:val="TOC8"/>
        <w:rPr>
          <w:rFonts w:asciiTheme="minorHAnsi" w:eastAsiaTheme="minorEastAsia" w:hAnsiTheme="minorHAnsi" w:cstheme="minorBidi"/>
          <w:szCs w:val="22"/>
          <w:lang w:eastAsia="en-AU"/>
        </w:rPr>
      </w:pPr>
      <w:r>
        <w:t>59E.</w:t>
      </w:r>
      <w:r>
        <w:tab/>
      </w:r>
      <w:r>
        <w:rPr>
          <w:snapToGrid w:val="0"/>
        </w:rPr>
        <w:t>Interference with quiet enjoyment</w:t>
      </w:r>
      <w:r>
        <w:tab/>
      </w:r>
      <w:r>
        <w:fldChar w:fldCharType="begin"/>
      </w:r>
      <w:r>
        <w:instrText xml:space="preserve"> PAGEREF _Toc360457521 \h </w:instrText>
      </w:r>
      <w:r>
        <w:fldChar w:fldCharType="separate"/>
      </w:r>
      <w:r>
        <w:t>57</w:t>
      </w:r>
      <w:r>
        <w:fldChar w:fldCharType="end"/>
      </w:r>
    </w:p>
    <w:p>
      <w:pPr>
        <w:pStyle w:val="TOC8"/>
        <w:rPr>
          <w:rFonts w:asciiTheme="minorHAnsi" w:eastAsiaTheme="minorEastAsia" w:hAnsiTheme="minorHAnsi" w:cstheme="minorBidi"/>
          <w:szCs w:val="22"/>
          <w:lang w:eastAsia="en-AU"/>
        </w:rPr>
      </w:pPr>
      <w:r>
        <w:t>59F.</w:t>
      </w:r>
      <w:r>
        <w:tab/>
      </w:r>
      <w:r>
        <w:rPr>
          <w:snapToGrid w:val="0"/>
        </w:rPr>
        <w:t>Offences relating to security of residential premises</w:t>
      </w:r>
      <w:r>
        <w:tab/>
      </w:r>
      <w:r>
        <w:fldChar w:fldCharType="begin"/>
      </w:r>
      <w:r>
        <w:instrText xml:space="preserve"> PAGEREF _Toc360457522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 — Termination of residential tenancy agreements</w:t>
      </w:r>
    </w:p>
    <w:p>
      <w:pPr>
        <w:pStyle w:val="TOC4"/>
        <w:tabs>
          <w:tab w:val="right" w:leader="dot" w:pos="7086"/>
        </w:tabs>
        <w:rPr>
          <w:rFonts w:asciiTheme="minorHAnsi" w:eastAsiaTheme="minorEastAsia" w:hAnsiTheme="minorHAnsi" w:cstheme="minorBidi"/>
          <w:b w:val="0"/>
          <w:szCs w:val="22"/>
          <w:lang w:eastAsia="en-AU"/>
        </w:rPr>
      </w:pPr>
      <w:r>
        <w:t>Division 1 — How residential tenancy agreements are terminated</w:t>
      </w:r>
    </w:p>
    <w:p>
      <w:pPr>
        <w:pStyle w:val="TOC8"/>
        <w:rPr>
          <w:rFonts w:asciiTheme="minorHAnsi" w:eastAsiaTheme="minorEastAsia" w:hAnsiTheme="minorHAnsi" w:cstheme="minorBidi"/>
          <w:szCs w:val="22"/>
          <w:lang w:eastAsia="en-AU"/>
        </w:rPr>
      </w:pPr>
      <w:r>
        <w:t>60</w:t>
      </w:r>
      <w:r>
        <w:rPr>
          <w:snapToGrid w:val="0"/>
        </w:rPr>
        <w:t>.</w:t>
      </w:r>
      <w:r>
        <w:rPr>
          <w:snapToGrid w:val="0"/>
        </w:rPr>
        <w:tab/>
        <w:t>How residential tenancy agreements are terminated</w:t>
      </w:r>
      <w:r>
        <w:tab/>
      </w:r>
      <w:r>
        <w:fldChar w:fldCharType="begin"/>
      </w:r>
      <w:r>
        <w:instrText xml:space="preserve"> PAGEREF _Toc360457525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Notices of termination</w:t>
      </w:r>
    </w:p>
    <w:p>
      <w:pPr>
        <w:pStyle w:val="TOC8"/>
        <w:rPr>
          <w:rFonts w:asciiTheme="minorHAnsi" w:eastAsiaTheme="minorEastAsia" w:hAnsiTheme="minorHAnsi" w:cstheme="minorBidi"/>
          <w:szCs w:val="22"/>
          <w:lang w:eastAsia="en-AU"/>
        </w:rPr>
      </w:pPr>
      <w:r>
        <w:t>61.</w:t>
      </w:r>
      <w:r>
        <w:tab/>
        <w:t>Form of notice of termination by lessor</w:t>
      </w:r>
      <w:r>
        <w:tab/>
      </w:r>
      <w:r>
        <w:fldChar w:fldCharType="begin"/>
      </w:r>
      <w:r>
        <w:instrText xml:space="preserve"> PAGEREF _Toc360457527 \h </w:instrText>
      </w:r>
      <w:r>
        <w:fldChar w:fldCharType="separate"/>
      </w:r>
      <w:r>
        <w:t>60</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Notice of termination by lessor upon ground of breach of term of agreement</w:t>
      </w:r>
      <w:r>
        <w:tab/>
      </w:r>
      <w:r>
        <w:fldChar w:fldCharType="begin"/>
      </w:r>
      <w:r>
        <w:instrText xml:space="preserve"> PAGEREF _Toc360457528 \h </w:instrText>
      </w:r>
      <w:r>
        <w:fldChar w:fldCharType="separate"/>
      </w:r>
      <w:r>
        <w:t>61</w:t>
      </w:r>
      <w:r>
        <w:fldChar w:fldCharType="end"/>
      </w:r>
    </w:p>
    <w:p>
      <w:pPr>
        <w:pStyle w:val="TOC8"/>
        <w:rPr>
          <w:rFonts w:asciiTheme="minorHAnsi" w:eastAsiaTheme="minorEastAsia" w:hAnsiTheme="minorHAnsi" w:cstheme="minorBidi"/>
          <w:szCs w:val="22"/>
          <w:lang w:eastAsia="en-AU"/>
        </w:rPr>
      </w:pPr>
      <w:r>
        <w:t>63.</w:t>
      </w:r>
      <w:r>
        <w:tab/>
        <w:t>Notice of termination by lessor who has entered into contract of sale</w:t>
      </w:r>
      <w:r>
        <w:tab/>
      </w:r>
      <w:r>
        <w:fldChar w:fldCharType="begin"/>
      </w:r>
      <w:r>
        <w:instrText xml:space="preserve"> PAGEREF _Toc360457529 \h </w:instrText>
      </w:r>
      <w:r>
        <w:fldChar w:fldCharType="separate"/>
      </w:r>
      <w:r>
        <w:t>62</w:t>
      </w:r>
      <w:r>
        <w:fldChar w:fldCharType="end"/>
      </w:r>
    </w:p>
    <w:p>
      <w:pPr>
        <w:pStyle w:val="TOC8"/>
        <w:rPr>
          <w:rFonts w:asciiTheme="minorHAnsi" w:eastAsiaTheme="minorEastAsia" w:hAnsiTheme="minorHAnsi" w:cstheme="minorBidi"/>
          <w:szCs w:val="22"/>
          <w:lang w:eastAsia="en-AU"/>
        </w:rPr>
      </w:pPr>
      <w:r>
        <w:t>64.</w:t>
      </w:r>
      <w:r>
        <w:tab/>
        <w:t>Notice of termination by lessor without any ground</w:t>
      </w:r>
      <w:r>
        <w:tab/>
      </w:r>
      <w:r>
        <w:fldChar w:fldCharType="begin"/>
      </w:r>
      <w:r>
        <w:instrText xml:space="preserve"> PAGEREF _Toc360457530 \h </w:instrText>
      </w:r>
      <w:r>
        <w:fldChar w:fldCharType="separate"/>
      </w:r>
      <w:r>
        <w:t>63</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Termination by lessor where section 32 invoked</w:t>
      </w:r>
      <w:r>
        <w:tab/>
      </w:r>
      <w:r>
        <w:fldChar w:fldCharType="begin"/>
      </w:r>
      <w:r>
        <w:instrText xml:space="preserve"> PAGEREF _Toc360457531 \h </w:instrText>
      </w:r>
      <w:r>
        <w:fldChar w:fldCharType="separate"/>
      </w:r>
      <w:r>
        <w:t>64</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Notice by lessor not waived by acceptance of rent</w:t>
      </w:r>
      <w:r>
        <w:tab/>
      </w:r>
      <w:r>
        <w:fldChar w:fldCharType="begin"/>
      </w:r>
      <w:r>
        <w:instrText xml:space="preserve"> PAGEREF _Toc360457532 \h </w:instrText>
      </w:r>
      <w:r>
        <w:fldChar w:fldCharType="separate"/>
      </w:r>
      <w:r>
        <w:t>65</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Form of notice of termination by tenant</w:t>
      </w:r>
      <w:r>
        <w:tab/>
      </w:r>
      <w:r>
        <w:fldChar w:fldCharType="begin"/>
      </w:r>
      <w:r>
        <w:instrText xml:space="preserve"> PAGEREF _Toc360457533 \h </w:instrText>
      </w:r>
      <w:r>
        <w:fldChar w:fldCharType="separate"/>
      </w:r>
      <w:r>
        <w:t>65</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Notice of termination by tenant</w:t>
      </w:r>
      <w:r>
        <w:tab/>
      </w:r>
      <w:r>
        <w:fldChar w:fldCharType="begin"/>
      </w:r>
      <w:r>
        <w:instrText xml:space="preserve"> PAGEREF _Toc360457534 \h </w:instrText>
      </w:r>
      <w:r>
        <w:fldChar w:fldCharType="separate"/>
      </w:r>
      <w:r>
        <w:t>65</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Notice of termination by lessor or tenant where agreement frustrated</w:t>
      </w:r>
      <w:r>
        <w:tab/>
      </w:r>
      <w:r>
        <w:fldChar w:fldCharType="begin"/>
      </w:r>
      <w:r>
        <w:instrText xml:space="preserve"> PAGEREF _Toc360457535 \h </w:instrText>
      </w:r>
      <w:r>
        <w:fldChar w:fldCharType="separate"/>
      </w:r>
      <w:r>
        <w:t>66</w:t>
      </w:r>
      <w:r>
        <w:fldChar w:fldCharType="end"/>
      </w:r>
    </w:p>
    <w:p>
      <w:pPr>
        <w:pStyle w:val="TOC8"/>
        <w:rPr>
          <w:rFonts w:asciiTheme="minorHAnsi" w:eastAsiaTheme="minorEastAsia" w:hAnsiTheme="minorHAnsi" w:cstheme="minorBidi"/>
          <w:szCs w:val="22"/>
          <w:lang w:eastAsia="en-AU"/>
        </w:rPr>
      </w:pPr>
      <w:r>
        <w:t>70A.</w:t>
      </w:r>
      <w:r>
        <w:tab/>
        <w:t>Notice of termination by lessor or tenant at end of fixed term tenancy</w:t>
      </w:r>
      <w:r>
        <w:tab/>
      </w:r>
      <w:r>
        <w:fldChar w:fldCharType="begin"/>
      </w:r>
      <w:r>
        <w:instrText xml:space="preserve"> PAGEREF _Toc360457536 \h </w:instrText>
      </w:r>
      <w:r>
        <w:fldChar w:fldCharType="separate"/>
      </w:r>
      <w:r>
        <w:t>66</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Effect of notice of termination of periodic tenancy</w:t>
      </w:r>
      <w:r>
        <w:tab/>
      </w:r>
      <w:r>
        <w:fldChar w:fldCharType="begin"/>
      </w:r>
      <w:r>
        <w:instrText xml:space="preserve"> PAGEREF _Toc360457537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Special provisions about terminating social housing tenancy agreements</w:t>
      </w:r>
    </w:p>
    <w:p>
      <w:pPr>
        <w:pStyle w:val="TOC6"/>
        <w:tabs>
          <w:tab w:val="right" w:leader="dot" w:pos="7086"/>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71A.</w:t>
      </w:r>
      <w:r>
        <w:tab/>
        <w:t>Terms used</w:t>
      </w:r>
      <w:r>
        <w:tab/>
      </w:r>
      <w:r>
        <w:fldChar w:fldCharType="begin"/>
      </w:r>
      <w:r>
        <w:instrText xml:space="preserve"> PAGEREF _Toc360457540 \h </w:instrText>
      </w:r>
      <w:r>
        <w:fldChar w:fldCharType="separate"/>
      </w:r>
      <w:r>
        <w:t>68</w:t>
      </w:r>
      <w:r>
        <w:fldChar w:fldCharType="end"/>
      </w:r>
    </w:p>
    <w:p>
      <w:pPr>
        <w:pStyle w:val="TOC8"/>
        <w:rPr>
          <w:rFonts w:asciiTheme="minorHAnsi" w:eastAsiaTheme="minorEastAsia" w:hAnsiTheme="minorHAnsi" w:cstheme="minorBidi"/>
          <w:szCs w:val="22"/>
          <w:lang w:eastAsia="en-AU"/>
        </w:rPr>
      </w:pPr>
      <w:r>
        <w:t>71B.</w:t>
      </w:r>
      <w:r>
        <w:tab/>
        <w:t>Application of Division</w:t>
      </w:r>
      <w:r>
        <w:tab/>
      </w:r>
      <w:r>
        <w:fldChar w:fldCharType="begin"/>
      </w:r>
      <w:r>
        <w:instrText xml:space="preserve"> PAGEREF _Toc360457541 \h </w:instrText>
      </w:r>
      <w:r>
        <w:fldChar w:fldCharType="separate"/>
      </w:r>
      <w:r>
        <w:t>69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Notice of termination where tenant not eligible for social housing premises</w:t>
      </w:r>
    </w:p>
    <w:p>
      <w:pPr>
        <w:pStyle w:val="TOC8"/>
        <w:rPr>
          <w:rFonts w:asciiTheme="minorHAnsi" w:eastAsiaTheme="minorEastAsia" w:hAnsiTheme="minorHAnsi" w:cstheme="minorBidi"/>
          <w:szCs w:val="22"/>
          <w:lang w:eastAsia="en-AU"/>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_Toc360457543 \h </w:instrText>
      </w:r>
      <w:r>
        <w:fldChar w:fldCharType="separate"/>
      </w:r>
      <w:r>
        <w:t>69</w:t>
      </w:r>
      <w:r>
        <w:fldChar w:fldCharType="end"/>
      </w:r>
    </w:p>
    <w:p>
      <w:pPr>
        <w:pStyle w:val="TOC8"/>
        <w:rPr>
          <w:rFonts w:asciiTheme="minorHAnsi" w:eastAsiaTheme="minorEastAsia" w:hAnsiTheme="minorHAnsi" w:cstheme="minorBidi"/>
          <w:szCs w:val="22"/>
          <w:lang w:eastAsia="en-AU"/>
        </w:rPr>
      </w:pPr>
      <w:r>
        <w:t>71D.</w:t>
      </w:r>
      <w:r>
        <w:tab/>
        <w:t>Assessment of tenants eligibility for social housing premises</w:t>
      </w:r>
      <w:r>
        <w:tab/>
      </w:r>
      <w:r>
        <w:fldChar w:fldCharType="begin"/>
      </w:r>
      <w:r>
        <w:instrText xml:space="preserve"> PAGEREF _Toc360457544 \h </w:instrText>
      </w:r>
      <w:r>
        <w:fldChar w:fldCharType="separate"/>
      </w:r>
      <w:r>
        <w:t>69</w:t>
      </w:r>
      <w:r>
        <w:fldChar w:fldCharType="end"/>
      </w:r>
    </w:p>
    <w:p>
      <w:pPr>
        <w:pStyle w:val="TOC8"/>
        <w:rPr>
          <w:rFonts w:asciiTheme="minorHAnsi" w:eastAsiaTheme="minorEastAsia" w:hAnsiTheme="minorHAnsi" w:cstheme="minorBidi"/>
          <w:szCs w:val="22"/>
          <w:lang w:eastAsia="en-AU"/>
        </w:rPr>
      </w:pPr>
      <w:r>
        <w:t>71E.</w:t>
      </w:r>
      <w:r>
        <w:tab/>
        <w:t>Criteria for assessing eligibility of tenants for social housing premises under section 71D</w:t>
      </w:r>
      <w:r>
        <w:tab/>
      </w:r>
      <w:r>
        <w:fldChar w:fldCharType="begin"/>
      </w:r>
      <w:r>
        <w:instrText xml:space="preserve"> PAGEREF _Toc360457545 \h </w:instrText>
      </w:r>
      <w:r>
        <w:fldChar w:fldCharType="separate"/>
      </w:r>
      <w:r>
        <w:t>70</w:t>
      </w:r>
      <w:r>
        <w:fldChar w:fldCharType="end"/>
      </w:r>
    </w:p>
    <w:p>
      <w:pPr>
        <w:pStyle w:val="TOC8"/>
        <w:rPr>
          <w:rFonts w:asciiTheme="minorHAnsi" w:eastAsiaTheme="minorEastAsia" w:hAnsiTheme="minorHAnsi" w:cstheme="minorBidi"/>
          <w:szCs w:val="22"/>
          <w:lang w:eastAsia="en-AU"/>
        </w:rPr>
      </w:pPr>
      <w:r>
        <w:t>71F.</w:t>
      </w:r>
      <w:r>
        <w:tab/>
        <w:t>Review of decision to give notice on ground that tenant not eligible for social housing premises</w:t>
      </w:r>
      <w:r>
        <w:tab/>
      </w:r>
      <w:r>
        <w:fldChar w:fldCharType="begin"/>
      </w:r>
      <w:r>
        <w:instrText xml:space="preserve"> PAGEREF _Toc360457546 \h </w:instrText>
      </w:r>
      <w:r>
        <w:fldChar w:fldCharType="separate"/>
      </w:r>
      <w:r>
        <w:t>71</w:t>
      </w:r>
      <w:r>
        <w:fldChar w:fldCharType="end"/>
      </w:r>
    </w:p>
    <w:p>
      <w:pPr>
        <w:pStyle w:val="TOC8"/>
        <w:rPr>
          <w:rFonts w:asciiTheme="minorHAnsi" w:eastAsiaTheme="minorEastAsia" w:hAnsiTheme="minorHAnsi" w:cstheme="minorBidi"/>
          <w:szCs w:val="22"/>
          <w:lang w:eastAsia="en-AU"/>
        </w:rPr>
      </w:pPr>
      <w:r>
        <w:t>71G.</w:t>
      </w:r>
      <w:r>
        <w:tab/>
        <w:t xml:space="preserve">Time </w:t>
      </w:r>
      <w:r>
        <w:rPr>
          <w:snapToGrid w:val="0"/>
        </w:rPr>
        <w:t>periods to be observed where notice of termination given under this Subdivision</w:t>
      </w:r>
      <w:r>
        <w:tab/>
      </w:r>
      <w:r>
        <w:fldChar w:fldCharType="begin"/>
      </w:r>
      <w:r>
        <w:instrText xml:space="preserve"> PAGEREF _Toc360457547 \h </w:instrText>
      </w:r>
      <w:r>
        <w:fldChar w:fldCharType="separate"/>
      </w:r>
      <w:r>
        <w:t>72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Notice of termination where tenant offered alternative social housing premises</w:t>
      </w:r>
    </w:p>
    <w:p>
      <w:pPr>
        <w:pStyle w:val="TOC8"/>
        <w:rPr>
          <w:rFonts w:asciiTheme="minorHAnsi" w:eastAsiaTheme="minorEastAsia" w:hAnsiTheme="minorHAnsi" w:cstheme="minorBidi"/>
          <w:szCs w:val="22"/>
          <w:lang w:eastAsia="en-AU"/>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_Toc360457549 \h </w:instrText>
      </w:r>
      <w:r>
        <w:fldChar w:fldCharType="separate"/>
      </w:r>
      <w:r>
        <w:t>72</w:t>
      </w:r>
      <w:r>
        <w:fldChar w:fldCharType="end"/>
      </w:r>
    </w:p>
    <w:p>
      <w:pPr>
        <w:pStyle w:val="TOC8"/>
        <w:rPr>
          <w:rFonts w:asciiTheme="minorHAnsi" w:eastAsiaTheme="minorEastAsia" w:hAnsiTheme="minorHAnsi" w:cstheme="minorBidi"/>
          <w:szCs w:val="22"/>
          <w:lang w:eastAsia="en-AU"/>
        </w:rPr>
      </w:pPr>
      <w:r>
        <w:t>71I.</w:t>
      </w:r>
      <w:r>
        <w:tab/>
        <w:t>Review of decision to give notice on ground that tenant offered alternative social housing premises</w:t>
      </w:r>
      <w:r>
        <w:tab/>
      </w:r>
      <w:r>
        <w:fldChar w:fldCharType="begin"/>
      </w:r>
      <w:r>
        <w:instrText xml:space="preserve"> PAGEREF _Toc360457550 \h </w:instrText>
      </w:r>
      <w:r>
        <w:fldChar w:fldCharType="separate"/>
      </w:r>
      <w:r>
        <w:t>73</w:t>
      </w:r>
      <w:r>
        <w:fldChar w:fldCharType="end"/>
      </w:r>
    </w:p>
    <w:p>
      <w:pPr>
        <w:pStyle w:val="TOC8"/>
        <w:rPr>
          <w:rFonts w:asciiTheme="minorHAnsi" w:eastAsiaTheme="minorEastAsia" w:hAnsiTheme="minorHAnsi" w:cstheme="minorBidi"/>
          <w:szCs w:val="22"/>
          <w:lang w:eastAsia="en-AU"/>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_Toc360457551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Orders for termination of residential tenancy agreement</w:t>
      </w:r>
    </w:p>
    <w:p>
      <w:pPr>
        <w:pStyle w:val="TOC8"/>
        <w:rPr>
          <w:rFonts w:asciiTheme="minorHAnsi" w:eastAsiaTheme="minorEastAsia" w:hAnsiTheme="minorHAnsi" w:cstheme="minorBidi"/>
          <w:szCs w:val="22"/>
          <w:lang w:eastAsia="en-AU"/>
        </w:rPr>
      </w:pPr>
      <w:r>
        <w:t>71</w:t>
      </w:r>
      <w:r>
        <w:rPr>
          <w:snapToGrid w:val="0"/>
        </w:rPr>
        <w:t>.</w:t>
      </w:r>
      <w:r>
        <w:rPr>
          <w:snapToGrid w:val="0"/>
        </w:rPr>
        <w:tab/>
      </w:r>
      <w:r>
        <w:rPr>
          <w:snapToGrid w:val="0"/>
          <w:spacing w:val="-4"/>
        </w:rPr>
        <w:t>Application by lessor for termination and order for possession</w:t>
      </w:r>
      <w:r>
        <w:tab/>
      </w:r>
      <w:r>
        <w:fldChar w:fldCharType="begin"/>
      </w:r>
      <w:r>
        <w:instrText xml:space="preserve"> PAGEREF _Toc360457553 \h </w:instrText>
      </w:r>
      <w:r>
        <w:fldChar w:fldCharType="separate"/>
      </w:r>
      <w:r>
        <w:t>75</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_Toc360457554 \h </w:instrText>
      </w:r>
      <w:r>
        <w:fldChar w:fldCharType="separate"/>
      </w:r>
      <w:r>
        <w:t>79</w:t>
      </w:r>
      <w:r>
        <w:fldChar w:fldCharType="end"/>
      </w:r>
    </w:p>
    <w:p>
      <w:pPr>
        <w:pStyle w:val="TOC8"/>
        <w:rPr>
          <w:rFonts w:asciiTheme="minorHAnsi" w:eastAsiaTheme="minorEastAsia" w:hAnsiTheme="minorHAnsi" w:cstheme="minorBidi"/>
          <w:szCs w:val="22"/>
          <w:lang w:eastAsia="en-AU"/>
        </w:rPr>
      </w:pPr>
      <w:r>
        <w:t>73A.</w:t>
      </w:r>
      <w:r>
        <w:tab/>
        <w:t>Notice of termination not required in certain cases</w:t>
      </w:r>
      <w:r>
        <w:tab/>
      </w:r>
      <w:r>
        <w:fldChar w:fldCharType="begin"/>
      </w:r>
      <w:r>
        <w:instrText xml:space="preserve"> PAGEREF _Toc360457555 \h </w:instrText>
      </w:r>
      <w:r>
        <w:fldChar w:fldCharType="separate"/>
      </w:r>
      <w:r>
        <w:t>80</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Termination of agreement where tenant causing serious damage or injury</w:t>
      </w:r>
      <w:r>
        <w:tab/>
      </w:r>
      <w:r>
        <w:fldChar w:fldCharType="begin"/>
      </w:r>
      <w:r>
        <w:instrText xml:space="preserve"> PAGEREF _Toc360457556 \h </w:instrText>
      </w:r>
      <w:r>
        <w:fldChar w:fldCharType="separate"/>
      </w:r>
      <w:r>
        <w:t>80</w:t>
      </w:r>
      <w:r>
        <w:fldChar w:fldCharType="end"/>
      </w:r>
    </w:p>
    <w:p>
      <w:pPr>
        <w:pStyle w:val="TOC8"/>
        <w:rPr>
          <w:rFonts w:asciiTheme="minorHAnsi" w:eastAsiaTheme="minorEastAsia" w:hAnsiTheme="minorHAnsi" w:cstheme="minorBidi"/>
          <w:szCs w:val="22"/>
          <w:lang w:eastAsia="en-AU"/>
        </w:rPr>
      </w:pPr>
      <w:r>
        <w:t>74</w:t>
      </w:r>
      <w:r>
        <w:rPr>
          <w:snapToGrid w:val="0"/>
        </w:rPr>
        <w:t>.</w:t>
      </w:r>
      <w:r>
        <w:rPr>
          <w:snapToGrid w:val="0"/>
        </w:rPr>
        <w:tab/>
        <w:t>Termination of agreement where lessor or tenant would otherwise suffer undue hardship</w:t>
      </w:r>
      <w:r>
        <w:tab/>
      </w:r>
      <w:r>
        <w:fldChar w:fldCharType="begin"/>
      </w:r>
      <w:r>
        <w:instrText xml:space="preserve"> PAGEREF _Toc360457557 \h </w:instrText>
      </w:r>
      <w:r>
        <w:fldChar w:fldCharType="separate"/>
      </w:r>
      <w:r>
        <w:t>81</w:t>
      </w:r>
      <w:r>
        <w:fldChar w:fldCharType="end"/>
      </w:r>
    </w:p>
    <w:p>
      <w:pPr>
        <w:pStyle w:val="TOC8"/>
        <w:rPr>
          <w:rFonts w:asciiTheme="minorHAnsi" w:eastAsiaTheme="minorEastAsia" w:hAnsiTheme="minorHAnsi" w:cstheme="minorBidi"/>
          <w:szCs w:val="22"/>
          <w:lang w:eastAsia="en-AU"/>
        </w:rPr>
      </w:pPr>
      <w:r>
        <w:t>75A.</w:t>
      </w:r>
      <w:r>
        <w:tab/>
        <w:t>Termination of social housing tenancy agreement due to objectionable behaviour</w:t>
      </w:r>
      <w:r>
        <w:tab/>
      </w:r>
      <w:r>
        <w:fldChar w:fldCharType="begin"/>
      </w:r>
      <w:r>
        <w:instrText xml:space="preserve"> PAGEREF _Toc360457558 \h </w:instrText>
      </w:r>
      <w:r>
        <w:fldChar w:fldCharType="separate"/>
      </w:r>
      <w:r>
        <w:t>82</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Termination of agreement for breach by lessor</w:t>
      </w:r>
      <w:r>
        <w:tab/>
      </w:r>
      <w:r>
        <w:fldChar w:fldCharType="begin"/>
      </w:r>
      <w:r>
        <w:instrText xml:space="preserve"> PAGEREF _Toc360457559 \h </w:instrText>
      </w:r>
      <w:r>
        <w:fldChar w:fldCharType="separate"/>
      </w:r>
      <w:r>
        <w:t>83</w:t>
      </w:r>
      <w:r>
        <w:fldChar w:fldCharType="end"/>
      </w:r>
    </w:p>
    <w:p>
      <w:pPr>
        <w:pStyle w:val="TOC8"/>
        <w:rPr>
          <w:rFonts w:asciiTheme="minorHAnsi" w:eastAsiaTheme="minorEastAsia" w:hAnsiTheme="minorHAnsi" w:cstheme="minorBidi"/>
          <w:szCs w:val="22"/>
          <w:lang w:eastAsia="en-AU"/>
        </w:rPr>
      </w:pPr>
      <w:r>
        <w:t>76A.</w:t>
      </w:r>
      <w:r>
        <w:tab/>
        <w:t>Termination of agreement by lessor if premises abandoned</w:t>
      </w:r>
      <w:r>
        <w:tab/>
      </w:r>
      <w:r>
        <w:fldChar w:fldCharType="begin"/>
      </w:r>
      <w:r>
        <w:instrText xml:space="preserve"> PAGEREF _Toc360457560 \h </w:instrText>
      </w:r>
      <w:r>
        <w:fldChar w:fldCharType="separate"/>
      </w:r>
      <w:r>
        <w:t>83</w:t>
      </w:r>
      <w:r>
        <w:fldChar w:fldCharType="end"/>
      </w:r>
    </w:p>
    <w:p>
      <w:pPr>
        <w:pStyle w:val="TOC8"/>
        <w:rPr>
          <w:rFonts w:asciiTheme="minorHAnsi" w:eastAsiaTheme="minorEastAsia" w:hAnsiTheme="minorHAnsi" w:cstheme="minorBidi"/>
          <w:szCs w:val="22"/>
          <w:lang w:eastAsia="en-AU"/>
        </w:rPr>
      </w:pPr>
      <w:r>
        <w:t>76B.</w:t>
      </w:r>
      <w:r>
        <w:tab/>
        <w:t>Dispute about s. 76A notice</w:t>
      </w:r>
      <w:r>
        <w:tab/>
      </w:r>
      <w:r>
        <w:fldChar w:fldCharType="begin"/>
      </w:r>
      <w:r>
        <w:instrText xml:space="preserve"> PAGEREF _Toc360457561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General</w:t>
      </w:r>
    </w:p>
    <w:p>
      <w:pPr>
        <w:pStyle w:val="TOC8"/>
        <w:rPr>
          <w:rFonts w:asciiTheme="minorHAnsi" w:eastAsiaTheme="minorEastAsia" w:hAnsiTheme="minorHAnsi" w:cstheme="minorBidi"/>
          <w:szCs w:val="22"/>
          <w:lang w:eastAsia="en-AU"/>
        </w:rPr>
      </w:pPr>
      <w:r>
        <w:t>76C.</w:t>
      </w:r>
      <w:r>
        <w:tab/>
        <w:t>Fixed term tenancies continued as periodic tenancies</w:t>
      </w:r>
      <w:r>
        <w:tab/>
      </w:r>
      <w:r>
        <w:fldChar w:fldCharType="begin"/>
      </w:r>
      <w:r>
        <w:instrText xml:space="preserve"> PAGEREF _Toc360457563 \h </w:instrText>
      </w:r>
      <w:r>
        <w:fldChar w:fldCharType="separate"/>
      </w:r>
      <w:r>
        <w:t>84</w:t>
      </w:r>
      <w:r>
        <w:fldChar w:fldCharType="end"/>
      </w:r>
    </w:p>
    <w:p>
      <w:pPr>
        <w:pStyle w:val="TOC8"/>
        <w:rPr>
          <w:rFonts w:asciiTheme="minorHAnsi" w:eastAsiaTheme="minorEastAsia" w:hAnsiTheme="minorHAnsi" w:cstheme="minorBidi"/>
          <w:szCs w:val="22"/>
          <w:lang w:eastAsia="en-AU"/>
        </w:rPr>
      </w:pPr>
      <w:r>
        <w:t>76</w:t>
      </w:r>
      <w:r>
        <w:rPr>
          <w:snapToGrid w:val="0"/>
        </w:rPr>
        <w:t>.</w:t>
      </w:r>
      <w:r>
        <w:rPr>
          <w:snapToGrid w:val="0"/>
        </w:rPr>
        <w:tab/>
        <w:t>Compensation to lessor for holding over</w:t>
      </w:r>
      <w:r>
        <w:tab/>
      </w:r>
      <w:r>
        <w:fldChar w:fldCharType="begin"/>
      </w:r>
      <w:r>
        <w:instrText xml:space="preserve"> PAGEREF _Toc360457564 \h </w:instrText>
      </w:r>
      <w:r>
        <w:fldChar w:fldCharType="separate"/>
      </w:r>
      <w:r>
        <w:t>85</w:t>
      </w:r>
      <w:r>
        <w:fldChar w:fldCharType="end"/>
      </w:r>
    </w:p>
    <w:p>
      <w:pPr>
        <w:pStyle w:val="TOC8"/>
        <w:rPr>
          <w:rFonts w:asciiTheme="minorHAnsi" w:eastAsiaTheme="minorEastAsia" w:hAnsiTheme="minorHAnsi" w:cstheme="minorBidi"/>
          <w:szCs w:val="22"/>
          <w:lang w:eastAsia="en-AU"/>
        </w:rPr>
      </w:pPr>
      <w:r>
        <w:t>77.</w:t>
      </w:r>
      <w:r>
        <w:tab/>
        <w:t>Abandonment of premises</w:t>
      </w:r>
      <w:r>
        <w:tab/>
      </w:r>
      <w:r>
        <w:fldChar w:fldCharType="begin"/>
      </w:r>
      <w:r>
        <w:instrText xml:space="preserve"> PAGEREF _Toc360457565 \h </w:instrText>
      </w:r>
      <w:r>
        <w:fldChar w:fldCharType="separate"/>
      </w:r>
      <w:r>
        <w:t>85</w:t>
      </w:r>
      <w:r>
        <w:fldChar w:fldCharType="end"/>
      </w:r>
    </w:p>
    <w:p>
      <w:pPr>
        <w:pStyle w:val="TOC8"/>
        <w:rPr>
          <w:rFonts w:asciiTheme="minorHAnsi" w:eastAsiaTheme="minorEastAsia" w:hAnsiTheme="minorHAnsi" w:cstheme="minorBidi"/>
          <w:szCs w:val="22"/>
          <w:lang w:eastAsia="en-AU"/>
        </w:rPr>
      </w:pPr>
      <w:r>
        <w:t>78A.</w:t>
      </w:r>
      <w:r>
        <w:tab/>
        <w:t>Order about abandonment</w:t>
      </w:r>
      <w:r>
        <w:tab/>
      </w:r>
      <w:r>
        <w:fldChar w:fldCharType="begin"/>
      </w:r>
      <w:r>
        <w:instrText xml:space="preserve"> PAGEREF _Toc360457566 \h </w:instrText>
      </w:r>
      <w:r>
        <w:fldChar w:fldCharType="separate"/>
      </w:r>
      <w:r>
        <w:t>86</w:t>
      </w:r>
      <w:r>
        <w:fldChar w:fldCharType="end"/>
      </w:r>
    </w:p>
    <w:p>
      <w:pPr>
        <w:pStyle w:val="TOC8"/>
        <w:rPr>
          <w:rFonts w:asciiTheme="minorHAnsi" w:eastAsiaTheme="minorEastAsia" w:hAnsiTheme="minorHAnsi" w:cstheme="minorBidi"/>
          <w:szCs w:val="22"/>
          <w:lang w:eastAsia="en-AU"/>
        </w:rPr>
      </w:pPr>
      <w:r>
        <w:t>78B.</w:t>
      </w:r>
      <w:r>
        <w:tab/>
        <w:t>Review of abandonment order</w:t>
      </w:r>
      <w:r>
        <w:tab/>
      </w:r>
      <w:r>
        <w:fldChar w:fldCharType="begin"/>
      </w:r>
      <w:r>
        <w:instrText xml:space="preserve"> PAGEREF _Toc360457567 \h </w:instrText>
      </w:r>
      <w:r>
        <w:fldChar w:fldCharType="separate"/>
      </w:r>
      <w:r>
        <w:t>86</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r>
      <w:r>
        <w:rPr>
          <w:bCs/>
        </w:rPr>
        <w:t>Right of lessor to compensation where tenant abandons premises</w:t>
      </w:r>
      <w:r>
        <w:tab/>
      </w:r>
      <w:r>
        <w:fldChar w:fldCharType="begin"/>
      </w:r>
      <w:r>
        <w:instrText xml:space="preserve"> PAGEREF _Toc360457568 \h </w:instrText>
      </w:r>
      <w:r>
        <w:fldChar w:fldCharType="separate"/>
      </w:r>
      <w:r>
        <w:t>87</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Abandoned goods</w:t>
      </w:r>
      <w:r>
        <w:tab/>
      </w:r>
      <w:r>
        <w:fldChar w:fldCharType="begin"/>
      </w:r>
      <w:r>
        <w:instrText xml:space="preserve"> PAGEREF _Toc360457569 \h </w:instrText>
      </w:r>
      <w:r>
        <w:fldChar w:fldCharType="separate"/>
      </w:r>
      <w:r>
        <w:t>87</w:t>
      </w:r>
      <w:r>
        <w:fldChar w:fldCharType="end"/>
      </w:r>
    </w:p>
    <w:p>
      <w:pPr>
        <w:pStyle w:val="TOC8"/>
        <w:rPr>
          <w:rFonts w:asciiTheme="minorHAnsi" w:eastAsiaTheme="minorEastAsia" w:hAnsiTheme="minorHAnsi" w:cstheme="minorBidi"/>
          <w:szCs w:val="22"/>
          <w:lang w:eastAsia="en-AU"/>
        </w:rPr>
      </w:pPr>
      <w:r>
        <w:t>80A.</w:t>
      </w:r>
      <w:r>
        <w:tab/>
        <w:t>Abandoned documents</w:t>
      </w:r>
      <w:r>
        <w:tab/>
      </w:r>
      <w:r>
        <w:fldChar w:fldCharType="begin"/>
      </w:r>
      <w:r>
        <w:instrText xml:space="preserve"> PAGEREF _Toc360457570 \h </w:instrText>
      </w:r>
      <w:r>
        <w:fldChar w:fldCharType="separate"/>
      </w:r>
      <w:r>
        <w:t>91</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Recovery of possession of premises prohibited except by court order</w:t>
      </w:r>
      <w:r>
        <w:tab/>
      </w:r>
      <w:r>
        <w:fldChar w:fldCharType="begin"/>
      </w:r>
      <w:r>
        <w:instrText xml:space="preserve"> PAGEREF _Toc360457571 \h </w:instrText>
      </w:r>
      <w:r>
        <w:fldChar w:fldCharType="separate"/>
      </w:r>
      <w:r>
        <w:t>92</w:t>
      </w:r>
      <w:r>
        <w:fldChar w:fldCharType="end"/>
      </w:r>
    </w:p>
    <w:p>
      <w:pPr>
        <w:pStyle w:val="TOC8"/>
        <w:rPr>
          <w:rFonts w:asciiTheme="minorHAnsi" w:eastAsiaTheme="minorEastAsia" w:hAnsiTheme="minorHAnsi" w:cstheme="minorBidi"/>
          <w:szCs w:val="22"/>
          <w:lang w:eastAsia="en-AU"/>
        </w:rPr>
      </w:pPr>
      <w:r>
        <w:t>81A.</w:t>
      </w:r>
      <w:r>
        <w:tab/>
        <w:t>Mortgagee repossessions of rented properties</w:t>
      </w:r>
      <w:r>
        <w:tab/>
      </w:r>
      <w:r>
        <w:fldChar w:fldCharType="begin"/>
      </w:r>
      <w:r>
        <w:instrText xml:space="preserve"> PAGEREF _Toc360457572 \h </w:instrText>
      </w:r>
      <w:r>
        <w:fldChar w:fldCharType="separate"/>
      </w:r>
      <w:r>
        <w:t>93</w:t>
      </w:r>
      <w:r>
        <w:fldChar w:fldCharType="end"/>
      </w:r>
    </w:p>
    <w:p>
      <w:pPr>
        <w:pStyle w:val="TOC8"/>
        <w:rPr>
          <w:rFonts w:asciiTheme="minorHAnsi" w:eastAsiaTheme="minorEastAsia" w:hAnsiTheme="minorHAnsi" w:cstheme="minorBidi"/>
          <w:szCs w:val="22"/>
          <w:lang w:eastAsia="en-AU"/>
        </w:rPr>
      </w:pPr>
      <w:r>
        <w:t>81B.</w:t>
      </w:r>
      <w:r>
        <w:tab/>
        <w:t>Notice of proposed recovery of premises by person with superior title</w:t>
      </w:r>
      <w:r>
        <w:tab/>
      </w:r>
      <w:r>
        <w:fldChar w:fldCharType="begin"/>
      </w:r>
      <w:r>
        <w:instrText xml:space="preserve"> PAGEREF _Toc360457573 \h </w:instrText>
      </w:r>
      <w:r>
        <w:fldChar w:fldCharType="separate"/>
      </w:r>
      <w:r>
        <w:t>94</w:t>
      </w:r>
      <w:r>
        <w:fldChar w:fldCharType="end"/>
      </w:r>
    </w:p>
    <w:p>
      <w:pPr>
        <w:pStyle w:val="TOC8"/>
        <w:rPr>
          <w:rFonts w:asciiTheme="minorHAnsi" w:eastAsiaTheme="minorEastAsia" w:hAnsiTheme="minorHAnsi" w:cstheme="minorBidi"/>
          <w:szCs w:val="22"/>
          <w:lang w:eastAsia="en-AU"/>
        </w:rPr>
      </w:pPr>
      <w:r>
        <w:t>81.</w:t>
      </w:r>
      <w:r>
        <w:tab/>
        <w:t>Order for tenancy against person with superior title</w:t>
      </w:r>
      <w:r>
        <w:tab/>
      </w:r>
      <w:r>
        <w:fldChar w:fldCharType="begin"/>
      </w:r>
      <w:r>
        <w:instrText xml:space="preserve"> PAGEREF _Toc360457574 \h </w:instrText>
      </w:r>
      <w:r>
        <w:fldChar w:fldCharType="separate"/>
      </w:r>
      <w:r>
        <w:t>95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VIA — Residential tenancy databases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rPr>
          <w:spacing w:val="-6"/>
        </w:rPr>
        <w:t>82A</w:t>
      </w:r>
      <w:r>
        <w:t>.</w:t>
      </w:r>
      <w:r>
        <w:tab/>
        <w:t>Terms used</w:t>
      </w:r>
      <w:r>
        <w:tab/>
      </w:r>
      <w:r>
        <w:fldChar w:fldCharType="begin"/>
      </w:r>
      <w:r>
        <w:instrText xml:space="preserve"> PAGEREF _Toc360457577 \h </w:instrText>
      </w:r>
      <w:r>
        <w:fldChar w:fldCharType="separate"/>
      </w:r>
      <w:r>
        <w:t>97</w:t>
      </w:r>
      <w:r>
        <w:fldChar w:fldCharType="end"/>
      </w:r>
    </w:p>
    <w:p>
      <w:pPr>
        <w:pStyle w:val="TOC8"/>
        <w:rPr>
          <w:rFonts w:asciiTheme="minorHAnsi" w:eastAsiaTheme="minorEastAsia" w:hAnsiTheme="minorHAnsi" w:cstheme="minorBidi"/>
          <w:szCs w:val="22"/>
          <w:lang w:eastAsia="en-AU"/>
        </w:rPr>
      </w:pPr>
      <w:r>
        <w:rPr>
          <w:spacing w:val="-6"/>
        </w:rPr>
        <w:t>82B</w:t>
      </w:r>
      <w:r>
        <w:t>.</w:t>
      </w:r>
      <w:r>
        <w:tab/>
        <w:t>Application of Part</w:t>
      </w:r>
      <w:r>
        <w:tab/>
      </w:r>
      <w:r>
        <w:fldChar w:fldCharType="begin"/>
      </w:r>
      <w:r>
        <w:instrText xml:space="preserve"> PAGEREF _Toc360457578 \h </w:instrText>
      </w:r>
      <w:r>
        <w:fldChar w:fldCharType="separate"/>
      </w:r>
      <w:r>
        <w:t>99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Tenancy database information</w:t>
      </w:r>
    </w:p>
    <w:p>
      <w:pPr>
        <w:pStyle w:val="TOC8"/>
        <w:rPr>
          <w:rFonts w:asciiTheme="minorHAnsi" w:eastAsiaTheme="minorEastAsia" w:hAnsiTheme="minorHAnsi" w:cstheme="minorBidi"/>
          <w:szCs w:val="22"/>
          <w:lang w:eastAsia="en-AU"/>
        </w:rPr>
      </w:pPr>
      <w:r>
        <w:rPr>
          <w:spacing w:val="-6"/>
        </w:rPr>
        <w:t>82C</w:t>
      </w:r>
      <w:r>
        <w:t>.</w:t>
      </w:r>
      <w:r>
        <w:tab/>
        <w:t>Notice of usual use of database</w:t>
      </w:r>
      <w:r>
        <w:tab/>
      </w:r>
      <w:r>
        <w:fldChar w:fldCharType="begin"/>
      </w:r>
      <w:r>
        <w:instrText xml:space="preserve"> PAGEREF _Toc360457580 \h </w:instrText>
      </w:r>
      <w:r>
        <w:fldChar w:fldCharType="separate"/>
      </w:r>
      <w:r>
        <w:t>99</w:t>
      </w:r>
      <w:r>
        <w:fldChar w:fldCharType="end"/>
      </w:r>
    </w:p>
    <w:p>
      <w:pPr>
        <w:pStyle w:val="TOC8"/>
        <w:rPr>
          <w:rFonts w:asciiTheme="minorHAnsi" w:eastAsiaTheme="minorEastAsia" w:hAnsiTheme="minorHAnsi" w:cstheme="minorBidi"/>
          <w:szCs w:val="22"/>
          <w:lang w:eastAsia="en-AU"/>
        </w:rPr>
      </w:pPr>
      <w:r>
        <w:rPr>
          <w:spacing w:val="-6"/>
        </w:rPr>
        <w:t>82D</w:t>
      </w:r>
      <w:r>
        <w:t>.</w:t>
      </w:r>
      <w:r>
        <w:tab/>
        <w:t>Notice of listing if database used</w:t>
      </w:r>
      <w:r>
        <w:tab/>
      </w:r>
      <w:r>
        <w:fldChar w:fldCharType="begin"/>
      </w:r>
      <w:r>
        <w:instrText xml:space="preserve"> PAGEREF _Toc360457581 \h </w:instrText>
      </w:r>
      <w:r>
        <w:fldChar w:fldCharType="separate"/>
      </w:r>
      <w:r>
        <w:t>100</w:t>
      </w:r>
      <w:r>
        <w:fldChar w:fldCharType="end"/>
      </w:r>
    </w:p>
    <w:p>
      <w:pPr>
        <w:pStyle w:val="TOC8"/>
        <w:rPr>
          <w:rFonts w:asciiTheme="minorHAnsi" w:eastAsiaTheme="minorEastAsia" w:hAnsiTheme="minorHAnsi" w:cstheme="minorBidi"/>
          <w:szCs w:val="22"/>
          <w:lang w:eastAsia="en-AU"/>
        </w:rPr>
      </w:pPr>
      <w:r>
        <w:rPr>
          <w:spacing w:val="-6"/>
        </w:rPr>
        <w:t>82E</w:t>
      </w:r>
      <w:r>
        <w:t>.</w:t>
      </w:r>
      <w:r>
        <w:tab/>
        <w:t>Listing can be made only for particular breaches by particular persons</w:t>
      </w:r>
      <w:r>
        <w:tab/>
      </w:r>
      <w:r>
        <w:fldChar w:fldCharType="begin"/>
      </w:r>
      <w:r>
        <w:instrText xml:space="preserve"> PAGEREF _Toc360457582 \h </w:instrText>
      </w:r>
      <w:r>
        <w:fldChar w:fldCharType="separate"/>
      </w:r>
      <w:r>
        <w:t>101</w:t>
      </w:r>
      <w:r>
        <w:fldChar w:fldCharType="end"/>
      </w:r>
    </w:p>
    <w:p>
      <w:pPr>
        <w:pStyle w:val="TOC8"/>
        <w:rPr>
          <w:rFonts w:asciiTheme="minorHAnsi" w:eastAsiaTheme="minorEastAsia" w:hAnsiTheme="minorHAnsi" w:cstheme="minorBidi"/>
          <w:szCs w:val="22"/>
          <w:lang w:eastAsia="en-AU"/>
        </w:rPr>
      </w:pPr>
      <w:r>
        <w:rPr>
          <w:spacing w:val="-6"/>
        </w:rPr>
        <w:t>82F</w:t>
      </w:r>
      <w:r>
        <w:t>.</w:t>
      </w:r>
      <w:r>
        <w:tab/>
        <w:t>Further restriction on listing</w:t>
      </w:r>
      <w:r>
        <w:tab/>
      </w:r>
      <w:r>
        <w:fldChar w:fldCharType="begin"/>
      </w:r>
      <w:r>
        <w:instrText xml:space="preserve"> PAGEREF _Toc360457583 \h </w:instrText>
      </w:r>
      <w:r>
        <w:fldChar w:fldCharType="separate"/>
      </w:r>
      <w:r>
        <w:t>102</w:t>
      </w:r>
      <w:r>
        <w:fldChar w:fldCharType="end"/>
      </w:r>
    </w:p>
    <w:p>
      <w:pPr>
        <w:pStyle w:val="TOC8"/>
        <w:rPr>
          <w:rFonts w:asciiTheme="minorHAnsi" w:eastAsiaTheme="minorEastAsia" w:hAnsiTheme="minorHAnsi" w:cstheme="minorBidi"/>
          <w:szCs w:val="22"/>
          <w:lang w:eastAsia="en-AU"/>
        </w:rPr>
      </w:pPr>
      <w:r>
        <w:rPr>
          <w:spacing w:val="-6"/>
        </w:rPr>
        <w:t>82G</w:t>
      </w:r>
      <w:r>
        <w:t>.</w:t>
      </w:r>
      <w:r>
        <w:tab/>
        <w:t>Ensuring quality of listing — lessor’s or agent’s obligation</w:t>
      </w:r>
      <w:r>
        <w:tab/>
      </w:r>
      <w:r>
        <w:fldChar w:fldCharType="begin"/>
      </w:r>
      <w:r>
        <w:instrText xml:space="preserve"> PAGEREF _Toc360457584 \h </w:instrText>
      </w:r>
      <w:r>
        <w:fldChar w:fldCharType="separate"/>
      </w:r>
      <w:r>
        <w:t>103</w:t>
      </w:r>
      <w:r>
        <w:fldChar w:fldCharType="end"/>
      </w:r>
    </w:p>
    <w:p>
      <w:pPr>
        <w:pStyle w:val="TOC8"/>
        <w:rPr>
          <w:rFonts w:asciiTheme="minorHAnsi" w:eastAsiaTheme="minorEastAsia" w:hAnsiTheme="minorHAnsi" w:cstheme="minorBidi"/>
          <w:szCs w:val="22"/>
          <w:lang w:eastAsia="en-AU"/>
        </w:rPr>
      </w:pPr>
      <w:r>
        <w:rPr>
          <w:spacing w:val="-6"/>
        </w:rPr>
        <w:t>82H</w:t>
      </w:r>
      <w:r>
        <w:t>.</w:t>
      </w:r>
      <w:r>
        <w:tab/>
        <w:t>Ensuring quality of listing — database operator’s obligation</w:t>
      </w:r>
      <w:r>
        <w:tab/>
      </w:r>
      <w:r>
        <w:fldChar w:fldCharType="begin"/>
      </w:r>
      <w:r>
        <w:instrText xml:space="preserve"> PAGEREF _Toc360457585 \h </w:instrText>
      </w:r>
      <w:r>
        <w:fldChar w:fldCharType="separate"/>
      </w:r>
      <w:r>
        <w:t>103</w:t>
      </w:r>
      <w:r>
        <w:fldChar w:fldCharType="end"/>
      </w:r>
    </w:p>
    <w:p>
      <w:pPr>
        <w:pStyle w:val="TOC8"/>
        <w:rPr>
          <w:rFonts w:asciiTheme="minorHAnsi" w:eastAsiaTheme="minorEastAsia" w:hAnsiTheme="minorHAnsi" w:cstheme="minorBidi"/>
          <w:szCs w:val="22"/>
          <w:lang w:eastAsia="en-AU"/>
        </w:rPr>
      </w:pPr>
      <w:r>
        <w:rPr>
          <w:spacing w:val="-6"/>
        </w:rPr>
        <w:t>82I</w:t>
      </w:r>
      <w:r>
        <w:t>.</w:t>
      </w:r>
      <w:r>
        <w:tab/>
        <w:t>Providing copy of personal information listed</w:t>
      </w:r>
      <w:r>
        <w:tab/>
      </w:r>
      <w:r>
        <w:fldChar w:fldCharType="begin"/>
      </w:r>
      <w:r>
        <w:instrText xml:space="preserve"> PAGEREF _Toc360457586 \h </w:instrText>
      </w:r>
      <w:r>
        <w:fldChar w:fldCharType="separate"/>
      </w:r>
      <w:r>
        <w:t>104</w:t>
      </w:r>
      <w:r>
        <w:fldChar w:fldCharType="end"/>
      </w:r>
    </w:p>
    <w:p>
      <w:pPr>
        <w:pStyle w:val="TOC8"/>
        <w:rPr>
          <w:rFonts w:asciiTheme="minorHAnsi" w:eastAsiaTheme="minorEastAsia" w:hAnsiTheme="minorHAnsi" w:cstheme="minorBidi"/>
          <w:szCs w:val="22"/>
          <w:lang w:eastAsia="en-AU"/>
        </w:rPr>
      </w:pPr>
      <w:r>
        <w:t>82J.</w:t>
      </w:r>
      <w:r>
        <w:tab/>
        <w:t>Disputes about listings</w:t>
      </w:r>
      <w:r>
        <w:tab/>
      </w:r>
      <w:r>
        <w:fldChar w:fldCharType="begin"/>
      </w:r>
      <w:r>
        <w:instrText xml:space="preserve"> PAGEREF _Toc360457587 \h </w:instrText>
      </w:r>
      <w:r>
        <w:fldChar w:fldCharType="separate"/>
      </w:r>
      <w:r>
        <w:t>105</w:t>
      </w:r>
      <w:r>
        <w:fldChar w:fldCharType="end"/>
      </w:r>
    </w:p>
    <w:p>
      <w:pPr>
        <w:pStyle w:val="TOC8"/>
        <w:rPr>
          <w:rFonts w:asciiTheme="minorHAnsi" w:eastAsiaTheme="minorEastAsia" w:hAnsiTheme="minorHAnsi" w:cstheme="minorBidi"/>
          <w:szCs w:val="22"/>
          <w:lang w:eastAsia="en-AU"/>
        </w:rPr>
      </w:pPr>
      <w:r>
        <w:rPr>
          <w:spacing w:val="-6"/>
        </w:rPr>
        <w:t>82K</w:t>
      </w:r>
      <w:r>
        <w:t>.</w:t>
      </w:r>
      <w:r>
        <w:tab/>
        <w:t>Keeping personal information listed</w:t>
      </w:r>
      <w:r>
        <w:tab/>
      </w:r>
      <w:r>
        <w:fldChar w:fldCharType="begin"/>
      </w:r>
      <w:r>
        <w:instrText xml:space="preserve"> PAGEREF _Toc360457588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 — Miscellaneous</w:t>
      </w:r>
    </w:p>
    <w:p>
      <w:pPr>
        <w:pStyle w:val="TOC8"/>
        <w:rPr>
          <w:rFonts w:asciiTheme="minorHAnsi" w:eastAsiaTheme="minorEastAsia" w:hAnsiTheme="minorHAnsi" w:cstheme="minorBidi"/>
          <w:szCs w:val="22"/>
          <w:lang w:eastAsia="en-AU"/>
        </w:rPr>
      </w:pPr>
      <w:r>
        <w:t>82</w:t>
      </w:r>
      <w:r>
        <w:rPr>
          <w:snapToGrid w:val="0"/>
        </w:rPr>
        <w:t>.</w:t>
      </w:r>
      <w:r>
        <w:rPr>
          <w:snapToGrid w:val="0"/>
        </w:rPr>
        <w:tab/>
        <w:t>Contracting out</w:t>
      </w:r>
      <w:r>
        <w:tab/>
      </w:r>
      <w:r>
        <w:fldChar w:fldCharType="begin"/>
      </w:r>
      <w:r>
        <w:instrText xml:space="preserve"> PAGEREF _Toc360457590 \h </w:instrText>
      </w:r>
      <w:r>
        <w:fldChar w:fldCharType="separate"/>
      </w:r>
      <w:r>
        <w:t>107</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Recovery of amounts paid under mistake of law or fact</w:t>
      </w:r>
      <w:r>
        <w:tab/>
      </w:r>
      <w:r>
        <w:fldChar w:fldCharType="begin"/>
      </w:r>
      <w:r>
        <w:instrText xml:space="preserve"> PAGEREF _Toc360457591 \h </w:instrText>
      </w:r>
      <w:r>
        <w:fldChar w:fldCharType="separate"/>
      </w:r>
      <w:r>
        <w:t>107</w:t>
      </w:r>
      <w:r>
        <w:fldChar w:fldCharType="end"/>
      </w:r>
    </w:p>
    <w:p>
      <w:pPr>
        <w:pStyle w:val="TOC8"/>
        <w:rPr>
          <w:rFonts w:asciiTheme="minorHAnsi" w:eastAsiaTheme="minorEastAsia" w:hAnsiTheme="minorHAnsi" w:cstheme="minorBidi"/>
          <w:szCs w:val="22"/>
          <w:lang w:eastAsia="en-AU"/>
        </w:rPr>
      </w:pPr>
      <w:r>
        <w:t>84</w:t>
      </w:r>
      <w:r>
        <w:rPr>
          <w:snapToGrid w:val="0"/>
        </w:rPr>
        <w:t>.</w:t>
      </w:r>
      <w:r>
        <w:rPr>
          <w:snapToGrid w:val="0"/>
        </w:rPr>
        <w:tab/>
        <w:t>Exemption of tenancy agreement or premises from provision of Act</w:t>
      </w:r>
      <w:r>
        <w:tab/>
      </w:r>
      <w:r>
        <w:fldChar w:fldCharType="begin"/>
      </w:r>
      <w:r>
        <w:instrText xml:space="preserve"> PAGEREF _Toc360457592 \h </w:instrText>
      </w:r>
      <w:r>
        <w:fldChar w:fldCharType="separate"/>
      </w:r>
      <w:r>
        <w:t>107</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Service</w:t>
      </w:r>
      <w:r>
        <w:tab/>
      </w:r>
      <w:r>
        <w:fldChar w:fldCharType="begin"/>
      </w:r>
      <w:r>
        <w:instrText xml:space="preserve"> PAGEREF _Toc360457593 \h </w:instrText>
      </w:r>
      <w:r>
        <w:fldChar w:fldCharType="separate"/>
      </w:r>
      <w:r>
        <w:t>108</w:t>
      </w:r>
      <w:r>
        <w:fldChar w:fldCharType="end"/>
      </w:r>
    </w:p>
    <w:p>
      <w:pPr>
        <w:pStyle w:val="TOC8"/>
        <w:rPr>
          <w:rFonts w:asciiTheme="minorHAnsi" w:eastAsiaTheme="minorEastAsia" w:hAnsiTheme="minorHAnsi" w:cstheme="minorBidi"/>
          <w:szCs w:val="22"/>
          <w:lang w:eastAsia="en-AU"/>
        </w:rPr>
      </w:pPr>
      <w:r>
        <w:t>86.</w:t>
      </w:r>
      <w:r>
        <w:tab/>
        <w:t>Court may refer matter to Commissioner for investigation</w:t>
      </w:r>
      <w:r>
        <w:tab/>
      </w:r>
      <w:r>
        <w:fldChar w:fldCharType="begin"/>
      </w:r>
      <w:r>
        <w:instrText xml:space="preserve"> PAGEREF _Toc360457594 \h </w:instrText>
      </w:r>
      <w:r>
        <w:fldChar w:fldCharType="separate"/>
      </w:r>
      <w:r>
        <w:t>109</w:t>
      </w:r>
      <w:r>
        <w:fldChar w:fldCharType="end"/>
      </w:r>
    </w:p>
    <w:p>
      <w:pPr>
        <w:pStyle w:val="TOC8"/>
        <w:rPr>
          <w:rFonts w:asciiTheme="minorHAnsi" w:eastAsiaTheme="minorEastAsia" w:hAnsiTheme="minorHAnsi" w:cstheme="minorBidi"/>
          <w:szCs w:val="22"/>
          <w:lang w:eastAsia="en-AU"/>
        </w:rPr>
      </w:pPr>
      <w:r>
        <w:t>87A.</w:t>
      </w:r>
      <w:r>
        <w:tab/>
        <w:t>Defence where lessor and property manager are both charged with the same offence</w:t>
      </w:r>
      <w:r>
        <w:tab/>
      </w:r>
      <w:r>
        <w:fldChar w:fldCharType="begin"/>
      </w:r>
      <w:r>
        <w:instrText xml:space="preserve"> PAGEREF _Toc360457595 \h </w:instrText>
      </w:r>
      <w:r>
        <w:fldChar w:fldCharType="separate"/>
      </w:r>
      <w:r>
        <w:t>110</w:t>
      </w:r>
      <w:r>
        <w:fldChar w:fldCharType="end"/>
      </w:r>
    </w:p>
    <w:p>
      <w:pPr>
        <w:pStyle w:val="TOC8"/>
        <w:rPr>
          <w:rFonts w:asciiTheme="minorHAnsi" w:eastAsiaTheme="minorEastAsia" w:hAnsiTheme="minorHAnsi" w:cstheme="minorBidi"/>
          <w:szCs w:val="22"/>
          <w:lang w:eastAsia="en-AU"/>
        </w:rPr>
      </w:pPr>
      <w:r>
        <w:t>87</w:t>
      </w:r>
      <w:r>
        <w:rPr>
          <w:snapToGrid w:val="0"/>
        </w:rPr>
        <w:t>.</w:t>
      </w:r>
      <w:r>
        <w:rPr>
          <w:snapToGrid w:val="0"/>
        </w:rPr>
        <w:tab/>
        <w:t>Time for bringing proceedings</w:t>
      </w:r>
      <w:r>
        <w:tab/>
      </w:r>
      <w:r>
        <w:fldChar w:fldCharType="begin"/>
      </w:r>
      <w:r>
        <w:instrText xml:space="preserve"> PAGEREF _Toc360457596 \h </w:instrText>
      </w:r>
      <w:r>
        <w:fldChar w:fldCharType="separate"/>
      </w:r>
      <w:r>
        <w:t>110</w:t>
      </w:r>
      <w:r>
        <w:fldChar w:fldCharType="end"/>
      </w:r>
    </w:p>
    <w:p>
      <w:pPr>
        <w:pStyle w:val="TOC8"/>
        <w:rPr>
          <w:rFonts w:asciiTheme="minorHAnsi" w:eastAsiaTheme="minorEastAsia" w:hAnsiTheme="minorHAnsi" w:cstheme="minorBidi"/>
          <w:szCs w:val="22"/>
          <w:lang w:eastAsia="en-AU"/>
        </w:rPr>
      </w:pPr>
      <w:r>
        <w:t>88A.</w:t>
      </w:r>
      <w:r>
        <w:tab/>
        <w:t>Infringement notices</w:t>
      </w:r>
      <w:r>
        <w:tab/>
      </w:r>
      <w:r>
        <w:fldChar w:fldCharType="begin"/>
      </w:r>
      <w:r>
        <w:instrText xml:space="preserve"> PAGEREF _Toc360457597 \h </w:instrText>
      </w:r>
      <w:r>
        <w:fldChar w:fldCharType="separate"/>
      </w:r>
      <w:r>
        <w:t>110</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Regulations</w:t>
      </w:r>
      <w:r>
        <w:tab/>
      </w:r>
      <w:r>
        <w:fldChar w:fldCharType="begin"/>
      </w:r>
      <w:r>
        <w:instrText xml:space="preserve"> PAGEREF _Toc360457598 \h </w:instrText>
      </w:r>
      <w:r>
        <w:fldChar w:fldCharType="separate"/>
      </w:r>
      <w:r>
        <w:t>112</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Review of the Act</w:t>
      </w:r>
      <w:r>
        <w:tab/>
      </w:r>
      <w:r>
        <w:fldChar w:fldCharType="begin"/>
      </w:r>
      <w:r>
        <w:instrText xml:space="preserve"> PAGEREF _Toc360457599 \h </w:instrText>
      </w:r>
      <w:r>
        <w:fldChar w:fldCharType="separate"/>
      </w:r>
      <w:r>
        <w:t>113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 xml:space="preserve">Part VII — Savings and transitional provisions relating to the </w:t>
      </w:r>
      <w:r>
        <w:rPr>
          <w:i/>
        </w:rPr>
        <w:t>Residential Tenancies Amendment Act 2011</w:t>
      </w:r>
    </w:p>
    <w:p>
      <w:pPr>
        <w:pStyle w:val="TOC4"/>
        <w:tabs>
          <w:tab w:val="right" w:leader="dot" w:pos="7086"/>
        </w:tabs>
        <w:rPr>
          <w:rFonts w:asciiTheme="minorHAnsi" w:eastAsiaTheme="minorEastAsia" w:hAnsiTheme="minorHAnsi" w:cstheme="minorBidi"/>
          <w:b w:val="0"/>
          <w:szCs w:val="22"/>
          <w:lang w:eastAsia="en-AU"/>
        </w:rPr>
      </w:pPr>
      <w:r>
        <w:t>Division 1 — Contracting out</w:t>
      </w:r>
    </w:p>
    <w:p>
      <w:pPr>
        <w:pStyle w:val="TOC8"/>
        <w:rPr>
          <w:rFonts w:asciiTheme="minorHAnsi" w:eastAsiaTheme="minorEastAsia" w:hAnsiTheme="minorHAnsi" w:cstheme="minorBidi"/>
          <w:szCs w:val="22"/>
          <w:lang w:eastAsia="en-AU"/>
        </w:rPr>
      </w:pPr>
      <w:r>
        <w:t>91.</w:t>
      </w:r>
      <w:r>
        <w:tab/>
        <w:t>Savings in relation to contracting out of standard terms</w:t>
      </w:r>
      <w:r>
        <w:tab/>
      </w:r>
      <w:r>
        <w:fldChar w:fldCharType="begin"/>
      </w:r>
      <w:r>
        <w:instrText xml:space="preserve"> PAGEREF _Toc360457602 \h </w:instrText>
      </w:r>
      <w:r>
        <w:fldChar w:fldCharType="separate"/>
      </w:r>
      <w:r>
        <w:t>114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Security bonds held in AFI</w:t>
      </w:r>
    </w:p>
    <w:p>
      <w:pPr>
        <w:pStyle w:val="TOC8"/>
        <w:rPr>
          <w:rFonts w:asciiTheme="minorHAnsi" w:eastAsiaTheme="minorEastAsia" w:hAnsiTheme="minorHAnsi" w:cstheme="minorBidi"/>
          <w:szCs w:val="22"/>
          <w:lang w:eastAsia="en-AU"/>
        </w:rPr>
      </w:pPr>
      <w:r>
        <w:t>92.</w:t>
      </w:r>
      <w:r>
        <w:tab/>
        <w:t>Terms used</w:t>
      </w:r>
      <w:r>
        <w:tab/>
      </w:r>
      <w:r>
        <w:fldChar w:fldCharType="begin"/>
      </w:r>
      <w:r>
        <w:instrText xml:space="preserve"> PAGEREF _Toc360457604 \h </w:instrText>
      </w:r>
      <w:r>
        <w:fldChar w:fldCharType="separate"/>
      </w:r>
      <w:r>
        <w:t>114</w:t>
      </w:r>
      <w:r>
        <w:fldChar w:fldCharType="end"/>
      </w:r>
    </w:p>
    <w:p>
      <w:pPr>
        <w:pStyle w:val="TOC8"/>
        <w:rPr>
          <w:rFonts w:asciiTheme="minorHAnsi" w:eastAsiaTheme="minorEastAsia" w:hAnsiTheme="minorHAnsi" w:cstheme="minorBidi"/>
          <w:szCs w:val="22"/>
          <w:lang w:eastAsia="en-AU"/>
        </w:rPr>
      </w:pPr>
      <w:r>
        <w:t>93.</w:t>
      </w:r>
      <w:r>
        <w:tab/>
        <w:t>All security bonds to be transferred to the bond administrator after renewal of agreement or within 18 months</w:t>
      </w:r>
      <w:r>
        <w:tab/>
      </w:r>
      <w:r>
        <w:fldChar w:fldCharType="begin"/>
      </w:r>
      <w:r>
        <w:instrText xml:space="preserve"> PAGEREF _Toc360457605 \h </w:instrText>
      </w:r>
      <w:r>
        <w:fldChar w:fldCharType="separate"/>
      </w:r>
      <w:r>
        <w:t>115</w:t>
      </w:r>
      <w:r>
        <w:fldChar w:fldCharType="end"/>
      </w:r>
    </w:p>
    <w:p>
      <w:pPr>
        <w:pStyle w:val="TOC8"/>
        <w:rPr>
          <w:rFonts w:asciiTheme="minorHAnsi" w:eastAsiaTheme="minorEastAsia" w:hAnsiTheme="minorHAnsi" w:cstheme="minorBidi"/>
          <w:szCs w:val="22"/>
          <w:lang w:eastAsia="en-AU"/>
        </w:rPr>
      </w:pPr>
      <w:r>
        <w:t>94.</w:t>
      </w:r>
      <w:r>
        <w:tab/>
        <w:t>Requirements for AFI holding security bonds</w:t>
      </w:r>
      <w:r>
        <w:tab/>
      </w:r>
      <w:r>
        <w:fldChar w:fldCharType="begin"/>
      </w:r>
      <w:r>
        <w:instrText xml:space="preserve"> PAGEREF _Toc360457606 \h </w:instrText>
      </w:r>
      <w:r>
        <w:fldChar w:fldCharType="separate"/>
      </w:r>
      <w:r>
        <w:t>116</w:t>
      </w:r>
      <w:r>
        <w:fldChar w:fldCharType="end"/>
      </w:r>
    </w:p>
    <w:p>
      <w:pPr>
        <w:pStyle w:val="TOC8"/>
        <w:rPr>
          <w:rFonts w:asciiTheme="minorHAnsi" w:eastAsiaTheme="minorEastAsia" w:hAnsiTheme="minorHAnsi" w:cstheme="minorBidi"/>
          <w:szCs w:val="22"/>
          <w:lang w:eastAsia="en-AU"/>
        </w:rPr>
      </w:pPr>
      <w:r>
        <w:t>95.</w:t>
      </w:r>
      <w:r>
        <w:tab/>
        <w:t>Power of Commissioner to obtain information relating to AFI security bond accounts</w:t>
      </w:r>
      <w:r>
        <w:tab/>
      </w:r>
      <w:r>
        <w:fldChar w:fldCharType="begin"/>
      </w:r>
      <w:r>
        <w:instrText xml:space="preserve"> PAGEREF _Toc360457607 \h </w:instrText>
      </w:r>
      <w:r>
        <w:fldChar w:fldCharType="separate"/>
      </w:r>
      <w:r>
        <w:t>117</w:t>
      </w:r>
      <w:r>
        <w:fldChar w:fldCharType="end"/>
      </w:r>
    </w:p>
    <w:p>
      <w:pPr>
        <w:pStyle w:val="TOC8"/>
        <w:rPr>
          <w:rFonts w:asciiTheme="minorHAnsi" w:eastAsiaTheme="minorEastAsia" w:hAnsiTheme="minorHAnsi" w:cstheme="minorBidi"/>
          <w:szCs w:val="22"/>
          <w:lang w:eastAsia="en-AU"/>
        </w:rPr>
      </w:pPr>
      <w:r>
        <w:t>96.</w:t>
      </w:r>
      <w:r>
        <w:tab/>
        <w:t>Disposal of security bond held in AFIs</w:t>
      </w:r>
      <w:r>
        <w:tab/>
      </w:r>
      <w:r>
        <w:fldChar w:fldCharType="begin"/>
      </w:r>
      <w:r>
        <w:instrText xml:space="preserve"> PAGEREF _Toc360457608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Residential tenancy databases</w:t>
      </w:r>
    </w:p>
    <w:p>
      <w:pPr>
        <w:pStyle w:val="TOC8"/>
        <w:rPr>
          <w:rFonts w:asciiTheme="minorHAnsi" w:eastAsiaTheme="minorEastAsia" w:hAnsiTheme="minorHAnsi" w:cstheme="minorBidi"/>
          <w:szCs w:val="22"/>
          <w:lang w:eastAsia="en-AU"/>
        </w:rPr>
      </w:pPr>
      <w:r>
        <w:t>97.</w:t>
      </w:r>
      <w:r>
        <w:tab/>
        <w:t>Application of Part VIA to listings existing before commencement</w:t>
      </w:r>
      <w:r>
        <w:tab/>
      </w:r>
      <w:r>
        <w:fldChar w:fldCharType="begin"/>
      </w:r>
      <w:r>
        <w:instrText xml:space="preserve"> PAGEREF _Toc360457610 \h </w:instrText>
      </w:r>
      <w:r>
        <w:fldChar w:fldCharType="separate"/>
      </w:r>
      <w:r>
        <w:t>120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rPr>
          <w:rFonts w:eastAsia="MS Mincho"/>
        </w:rPr>
        <w:t>Schedule 1 — Provisions relating to holding and disposal of bonds and income from bonds</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w:t>
      </w:r>
      <w:r>
        <w:rPr>
          <w:snapToGrid w:val="0"/>
        </w:rPr>
        <w:t>.</w:t>
      </w:r>
      <w:r>
        <w:rPr>
          <w:snapToGrid w:val="0"/>
        </w:rPr>
        <w:tab/>
        <w:t>Terms used in this Schedule</w:t>
      </w:r>
      <w:r>
        <w:tab/>
      </w:r>
      <w:r>
        <w:fldChar w:fldCharType="begin"/>
      </w:r>
      <w:r>
        <w:instrText xml:space="preserve"> PAGEREF _Toc360457613 \h </w:instrText>
      </w:r>
      <w:r>
        <w:fldChar w:fldCharType="separate"/>
      </w:r>
      <w:r>
        <w:t>121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Rental Accommodation Account</w:t>
      </w:r>
      <w:r>
        <w:tab/>
      </w:r>
      <w:r>
        <w:fldChar w:fldCharType="begin"/>
      </w:r>
      <w:r>
        <w:instrText xml:space="preserve"> PAGEREF _Toc360457614 \h </w:instrText>
      </w:r>
      <w:r>
        <w:fldChar w:fldCharType="separate"/>
      </w:r>
      <w:r>
        <w:t>121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Duties of bond administrator</w:t>
      </w:r>
      <w:r>
        <w:tab/>
      </w:r>
      <w:r>
        <w:fldChar w:fldCharType="begin"/>
      </w:r>
      <w:r>
        <w:instrText xml:space="preserve"> PAGEREF _Toc360457615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Security bonds</w:t>
      </w:r>
    </w:p>
    <w:p>
      <w:pPr>
        <w:pStyle w:val="TOC8"/>
        <w:rPr>
          <w:rFonts w:asciiTheme="minorHAnsi" w:eastAsiaTheme="minorEastAsia" w:hAnsiTheme="minorHAnsi" w:cstheme="minorBidi"/>
          <w:szCs w:val="22"/>
          <w:lang w:eastAsia="en-AU"/>
        </w:rPr>
      </w:pPr>
      <w:r>
        <w:t>5A.</w:t>
      </w:r>
      <w:r>
        <w:tab/>
        <w:t>Security bond moneys to be paid to bond administrator</w:t>
      </w:r>
      <w:r>
        <w:tab/>
      </w:r>
      <w:r>
        <w:fldChar w:fldCharType="begin"/>
      </w:r>
      <w:r>
        <w:instrText xml:space="preserve"> PAGEREF _Toc360457617 \h </w:instrText>
      </w:r>
      <w:r>
        <w:fldChar w:fldCharType="separate"/>
      </w:r>
      <w:r>
        <w:t>124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Disposal of security bond by bond administrator</w:t>
      </w:r>
      <w:r>
        <w:tab/>
      </w:r>
      <w:r>
        <w:fldChar w:fldCharType="begin"/>
      </w:r>
      <w:r>
        <w:instrText xml:space="preserve"> PAGEREF _Toc360457618 \h </w:instrText>
      </w:r>
      <w:r>
        <w:fldChar w:fldCharType="separate"/>
      </w:r>
      <w:r>
        <w:t>124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Court may determine disposal of security bond</w:t>
      </w:r>
      <w:r>
        <w:tab/>
      </w:r>
      <w:r>
        <w:fldChar w:fldCharType="begin"/>
      </w:r>
      <w:r>
        <w:instrText xml:space="preserve"> PAGEREF _Toc360457619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Tenant compensation bonds</w:t>
      </w:r>
    </w:p>
    <w:p>
      <w:pPr>
        <w:pStyle w:val="TOC8"/>
        <w:rPr>
          <w:rFonts w:asciiTheme="minorHAnsi" w:eastAsiaTheme="minorEastAsia" w:hAnsiTheme="minorHAnsi" w:cstheme="minorBidi"/>
          <w:szCs w:val="22"/>
          <w:lang w:eastAsia="en-AU"/>
        </w:rPr>
      </w:pPr>
      <w:r>
        <w:t>9.</w:t>
      </w:r>
      <w:r>
        <w:tab/>
        <w:t>Application of Division</w:t>
      </w:r>
      <w:r>
        <w:tab/>
      </w:r>
      <w:r>
        <w:fldChar w:fldCharType="begin"/>
      </w:r>
      <w:r>
        <w:instrText xml:space="preserve"> PAGEREF _Toc360457621 \h </w:instrText>
      </w:r>
      <w:r>
        <w:fldChar w:fldCharType="separate"/>
      </w:r>
      <w:r>
        <w:t>127</w:t>
      </w:r>
      <w:r>
        <w:fldChar w:fldCharType="end"/>
      </w:r>
    </w:p>
    <w:p>
      <w:pPr>
        <w:pStyle w:val="TOC8"/>
        <w:rPr>
          <w:rFonts w:asciiTheme="minorHAnsi" w:eastAsiaTheme="minorEastAsia" w:hAnsiTheme="minorHAnsi" w:cstheme="minorBidi"/>
          <w:szCs w:val="22"/>
          <w:lang w:eastAsia="en-AU"/>
        </w:rPr>
      </w:pPr>
      <w:r>
        <w:t>10.</w:t>
      </w:r>
      <w:r>
        <w:tab/>
        <w:t>Disposal of tenant compensation bond to tenant by bond administrator</w:t>
      </w:r>
      <w:r>
        <w:tab/>
      </w:r>
      <w:r>
        <w:fldChar w:fldCharType="begin"/>
      </w:r>
      <w:r>
        <w:instrText xml:space="preserve"> PAGEREF _Toc360457622 \h </w:instrText>
      </w:r>
      <w:r>
        <w:fldChar w:fldCharType="separate"/>
      </w:r>
      <w:r>
        <w:t>127</w:t>
      </w:r>
      <w:r>
        <w:fldChar w:fldCharType="end"/>
      </w:r>
    </w:p>
    <w:p>
      <w:pPr>
        <w:pStyle w:val="TOC8"/>
        <w:rPr>
          <w:rFonts w:asciiTheme="minorHAnsi" w:eastAsiaTheme="minorEastAsia" w:hAnsiTheme="minorHAnsi" w:cstheme="minorBidi"/>
          <w:szCs w:val="22"/>
          <w:lang w:eastAsia="en-AU"/>
        </w:rPr>
      </w:pPr>
      <w:r>
        <w:t>11.</w:t>
      </w:r>
      <w:r>
        <w:tab/>
        <w:t>Disposal of tenant compensation bond to lessor by bond administrator</w:t>
      </w:r>
      <w:r>
        <w:tab/>
      </w:r>
      <w:r>
        <w:fldChar w:fldCharType="begin"/>
      </w:r>
      <w:r>
        <w:instrText xml:space="preserve"> PAGEREF _Toc360457623 \h </w:instrText>
      </w:r>
      <w:r>
        <w:fldChar w:fldCharType="separate"/>
      </w:r>
      <w:r>
        <w:t>128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_Toc360457625 \h </w:instrText>
      </w:r>
      <w:r>
        <w:fldChar w:fldCharType="separate"/>
      </w:r>
      <w:r>
        <w:t>129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pacing w:before="10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by No. 60 of 2011 s. 4.] </w:t>
      </w:r>
    </w:p>
    <w:p>
      <w:pPr>
        <w:pStyle w:val="Heading2"/>
      </w:pPr>
      <w:bookmarkStart w:id="1" w:name="_Toc89596578"/>
      <w:bookmarkStart w:id="2" w:name="_Toc101762038"/>
      <w:bookmarkStart w:id="3" w:name="_Toc101762159"/>
      <w:bookmarkStart w:id="4" w:name="_Toc103582438"/>
      <w:bookmarkStart w:id="5" w:name="_Toc103582555"/>
      <w:bookmarkStart w:id="6" w:name="_Toc103589157"/>
      <w:bookmarkStart w:id="7" w:name="_Toc104109972"/>
      <w:bookmarkStart w:id="8" w:name="_Toc106425991"/>
      <w:bookmarkStart w:id="9" w:name="_Toc106426108"/>
      <w:bookmarkStart w:id="10" w:name="_Toc107198005"/>
      <w:bookmarkStart w:id="11" w:name="_Toc107198125"/>
      <w:bookmarkStart w:id="12" w:name="_Toc139363565"/>
      <w:bookmarkStart w:id="13" w:name="_Toc139688300"/>
      <w:bookmarkStart w:id="14" w:name="_Toc139960295"/>
      <w:bookmarkStart w:id="15" w:name="_Toc139968328"/>
      <w:bookmarkStart w:id="16" w:name="_Toc154197510"/>
      <w:bookmarkStart w:id="17" w:name="_Toc158003059"/>
      <w:bookmarkStart w:id="18" w:name="_Toc163278559"/>
      <w:bookmarkStart w:id="19" w:name="_Toc163361941"/>
      <w:bookmarkStart w:id="20" w:name="_Toc168903492"/>
      <w:bookmarkStart w:id="21" w:name="_Toc168971114"/>
      <w:bookmarkStart w:id="22" w:name="_Toc170524812"/>
      <w:bookmarkStart w:id="23" w:name="_Toc171246129"/>
      <w:bookmarkStart w:id="24" w:name="_Toc172436160"/>
      <w:bookmarkStart w:id="25" w:name="_Toc173740385"/>
      <w:bookmarkStart w:id="26" w:name="_Toc173745032"/>
      <w:bookmarkStart w:id="27" w:name="_Toc173745151"/>
      <w:bookmarkStart w:id="28" w:name="_Toc173745270"/>
      <w:bookmarkStart w:id="29" w:name="_Toc199756353"/>
      <w:bookmarkStart w:id="30" w:name="_Toc223932921"/>
      <w:bookmarkStart w:id="31" w:name="_Toc223933040"/>
      <w:bookmarkStart w:id="32" w:name="_Toc268248412"/>
      <w:bookmarkStart w:id="33" w:name="_Toc268612613"/>
      <w:bookmarkStart w:id="34" w:name="_Toc272315048"/>
      <w:bookmarkStart w:id="35" w:name="_Toc280092894"/>
      <w:bookmarkStart w:id="36" w:name="_Toc281486361"/>
      <w:bookmarkStart w:id="37" w:name="_Toc312051800"/>
      <w:bookmarkStart w:id="38" w:name="_Toc312058358"/>
      <w:bookmarkStart w:id="39" w:name="_Toc331431222"/>
      <w:bookmarkStart w:id="40" w:name="_Toc331431569"/>
      <w:bookmarkStart w:id="41" w:name="_Toc331677179"/>
      <w:bookmarkStart w:id="42" w:name="_Toc360453483"/>
      <w:bookmarkStart w:id="43" w:name="_Toc36045743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36440967"/>
      <w:bookmarkStart w:id="45" w:name="_Toc106426109"/>
      <w:bookmarkStart w:id="46" w:name="_Toc107198126"/>
      <w:bookmarkStart w:id="47" w:name="_Toc172436161"/>
      <w:bookmarkStart w:id="48" w:name="_Toc360457439"/>
      <w:r>
        <w:rPr>
          <w:rStyle w:val="CharSectno"/>
        </w:rPr>
        <w:t>1</w:t>
      </w:r>
      <w:r>
        <w:rPr>
          <w:snapToGrid w:val="0"/>
        </w:rPr>
        <w:t>.</w:t>
      </w:r>
      <w:r>
        <w:rPr>
          <w:snapToGrid w:val="0"/>
        </w:rPr>
        <w:tab/>
        <w:t>Short title</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49" w:name="_Toc36440968"/>
      <w:bookmarkStart w:id="50" w:name="_Toc106426110"/>
      <w:bookmarkStart w:id="51" w:name="_Toc107198127"/>
      <w:bookmarkStart w:id="52" w:name="_Toc172436162"/>
      <w:bookmarkStart w:id="53" w:name="_Toc360457440"/>
      <w:r>
        <w:rPr>
          <w:rStyle w:val="CharSectno"/>
        </w:rPr>
        <w:t>2</w:t>
      </w:r>
      <w:r>
        <w:rPr>
          <w:snapToGrid w:val="0"/>
        </w:rPr>
        <w:t>.</w:t>
      </w:r>
      <w:r>
        <w:rPr>
          <w:snapToGrid w:val="0"/>
        </w:rPr>
        <w:tab/>
        <w:t>Commencement</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4" w:name="_Toc36440969"/>
      <w:bookmarkStart w:id="55" w:name="_Toc106426111"/>
      <w:bookmarkStart w:id="56" w:name="_Toc107198128"/>
      <w:bookmarkStart w:id="57" w:name="_Toc172436163"/>
      <w:bookmarkStart w:id="58" w:name="_Toc360457441"/>
      <w:r>
        <w:rPr>
          <w:rStyle w:val="CharSectno"/>
        </w:rPr>
        <w:t>3</w:t>
      </w:r>
      <w:r>
        <w:rPr>
          <w:snapToGrid w:val="0"/>
        </w:rPr>
        <w:t>.</w:t>
      </w:r>
      <w:r>
        <w:rPr>
          <w:snapToGrid w:val="0"/>
        </w:rPr>
        <w:tab/>
      </w:r>
      <w:bookmarkEnd w:id="54"/>
      <w:bookmarkEnd w:id="55"/>
      <w:bookmarkEnd w:id="56"/>
      <w:r>
        <w:rPr>
          <w:snapToGrid w:val="0"/>
        </w:rPr>
        <w:t>Terms used in this Act</w:t>
      </w:r>
      <w:bookmarkEnd w:id="57"/>
      <w:bookmarkEnd w:id="58"/>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Commissioner as defined in the </w:t>
      </w:r>
      <w:r>
        <w:rPr>
          <w:i/>
        </w:rPr>
        <w:t>Fair Trading Act 2010</w:t>
      </w:r>
      <w:r>
        <w:t xml:space="preserve"> section 6;</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by No. 50 of 1988 s. 4; No. 57 of 1997 s. 39(10); No. 59 of 2004 s. 118; No. 28 of 2006 s. 133; No. 60 of 2011 s. 5 and 90.] </w:t>
      </w:r>
    </w:p>
    <w:p>
      <w:pPr>
        <w:pStyle w:val="Heading5"/>
        <w:rPr>
          <w:snapToGrid w:val="0"/>
        </w:rPr>
      </w:pPr>
      <w:bookmarkStart w:id="59" w:name="_Toc36440970"/>
      <w:bookmarkStart w:id="60" w:name="_Toc106426112"/>
      <w:bookmarkStart w:id="61" w:name="_Toc107198129"/>
      <w:bookmarkStart w:id="62" w:name="_Toc172436164"/>
      <w:bookmarkStart w:id="63" w:name="_Toc360457442"/>
      <w:r>
        <w:rPr>
          <w:rStyle w:val="CharSectno"/>
        </w:rPr>
        <w:t>4</w:t>
      </w:r>
      <w:r>
        <w:rPr>
          <w:snapToGrid w:val="0"/>
        </w:rPr>
        <w:t>.</w:t>
      </w:r>
      <w:r>
        <w:rPr>
          <w:snapToGrid w:val="0"/>
        </w:rPr>
        <w:tab/>
        <w:t>Position of Crown</w:t>
      </w:r>
      <w:bookmarkEnd w:id="59"/>
      <w:bookmarkEnd w:id="60"/>
      <w:bookmarkEnd w:id="61"/>
      <w:bookmarkEnd w:id="62"/>
      <w:bookmarkEnd w:id="63"/>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64" w:name="_Toc36440971"/>
      <w:bookmarkStart w:id="65" w:name="_Toc106426113"/>
      <w:bookmarkStart w:id="66" w:name="_Toc107198130"/>
      <w:bookmarkStart w:id="67" w:name="_Toc172436165"/>
      <w:bookmarkStart w:id="68" w:name="_Toc360457443"/>
      <w:r>
        <w:rPr>
          <w:rStyle w:val="CharSectno"/>
        </w:rPr>
        <w:t>5</w:t>
      </w:r>
      <w:r>
        <w:rPr>
          <w:snapToGrid w:val="0"/>
        </w:rPr>
        <w:t>.</w:t>
      </w:r>
      <w:r>
        <w:rPr>
          <w:snapToGrid w:val="0"/>
        </w:rPr>
        <w:tab/>
        <w:t>Application of Act</w:t>
      </w:r>
      <w:bookmarkEnd w:id="64"/>
      <w:bookmarkEnd w:id="65"/>
      <w:bookmarkEnd w:id="66"/>
      <w:bookmarkEnd w:id="67"/>
      <w:bookmarkEnd w:id="68"/>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 xml:space="preserve">This Act does not apply to or in relation </w:t>
      </w:r>
      <w:r>
        <w:t>to any of the following —</w:t>
      </w:r>
    </w:p>
    <w:p>
      <w:pPr>
        <w:pStyle w:val="Indenta"/>
        <w:rPr>
          <w:snapToGrid w:val="0"/>
        </w:rPr>
      </w:pPr>
      <w:r>
        <w:rPr>
          <w:snapToGrid w:val="0"/>
        </w:rPr>
        <w:tab/>
        <w:t>(a)</w:t>
      </w:r>
      <w:r>
        <w:rPr>
          <w:snapToGrid w:val="0"/>
        </w:rPr>
        <w:tab/>
        <w:t>any part of a hotel or motel;</w:t>
      </w:r>
    </w:p>
    <w:p>
      <w:pPr>
        <w:pStyle w:val="Indenta"/>
      </w:pPr>
      <w:r>
        <w:tab/>
        <w:t>(b)</w:t>
      </w:r>
      <w:r>
        <w:tab/>
        <w:t xml:space="preserve">accommodation for students provided — </w:t>
      </w:r>
    </w:p>
    <w:p>
      <w:pPr>
        <w:pStyle w:val="Indenti"/>
      </w:pPr>
      <w:r>
        <w:tab/>
        <w:t>(i)</w:t>
      </w:r>
      <w:r>
        <w:tab/>
        <w:t>by an educational institution; or</w:t>
      </w:r>
    </w:p>
    <w:p>
      <w:pPr>
        <w:pStyle w:val="Indenti"/>
      </w:pPr>
      <w:r>
        <w:tab/>
        <w:t>(ii)</w:t>
      </w:r>
      <w:r>
        <w:tab/>
        <w:t>by an entity, other than the educational institution, if the accommodation is provided other than for the purpose of making a profit,</w:t>
      </w:r>
    </w:p>
    <w:p>
      <w:pPr>
        <w:pStyle w:val="Indenta"/>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y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yIndenta"/>
      </w:pPr>
      <w:r>
        <w:tab/>
        <w:t>(a)</w:t>
      </w:r>
      <w:r>
        <w:tab/>
        <w:t>under which a person has a right to occupy such a site; and</w:t>
      </w:r>
    </w:p>
    <w:p>
      <w:pPr>
        <w:pStyle w:val="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y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 No. 60 of 2011 s. 6.]</w:t>
      </w:r>
    </w:p>
    <w:p>
      <w:pPr>
        <w:pStyle w:val="Heading5"/>
        <w:rPr>
          <w:snapToGrid w:val="0"/>
        </w:rPr>
      </w:pPr>
      <w:bookmarkStart w:id="69" w:name="_Toc36440972"/>
      <w:bookmarkStart w:id="70" w:name="_Toc106426114"/>
      <w:bookmarkStart w:id="71" w:name="_Toc107198131"/>
      <w:bookmarkStart w:id="72" w:name="_Toc172436166"/>
      <w:bookmarkStart w:id="73" w:name="_Toc360457444"/>
      <w:r>
        <w:rPr>
          <w:rStyle w:val="CharSectno"/>
        </w:rPr>
        <w:t>6</w:t>
      </w:r>
      <w:r>
        <w:rPr>
          <w:snapToGrid w:val="0"/>
        </w:rPr>
        <w:t>.</w:t>
      </w:r>
      <w:r>
        <w:rPr>
          <w:snapToGrid w:val="0"/>
        </w:rPr>
        <w:tab/>
        <w:t>Modification of application of Act by regulation</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74" w:name="_Toc360457445"/>
      <w:bookmarkStart w:id="75" w:name="_Toc36440973"/>
      <w:bookmarkStart w:id="76" w:name="_Toc106426115"/>
      <w:bookmarkStart w:id="77" w:name="_Toc107198132"/>
      <w:bookmarkStart w:id="78" w:name="_Toc172436167"/>
      <w:r>
        <w:rPr>
          <w:rStyle w:val="CharSectno"/>
        </w:rPr>
        <w:t>7</w:t>
      </w:r>
      <w:r>
        <w:rPr>
          <w:snapToGrid w:val="0"/>
        </w:rPr>
        <w:t>.</w:t>
      </w:r>
      <w:r>
        <w:rPr>
          <w:snapToGrid w:val="0"/>
        </w:rPr>
        <w:tab/>
      </w:r>
      <w:r>
        <w:rPr>
          <w:bCs/>
        </w:rPr>
        <w:t>Transitional provisions relating to the commencement of this Act</w:t>
      </w:r>
      <w:bookmarkEnd w:id="74"/>
      <w:r>
        <w:rPr>
          <w:snapToGrid w:val="0"/>
        </w:rPr>
        <w:t xml:space="preserve"> </w:t>
      </w:r>
      <w:bookmarkEnd w:id="75"/>
      <w:bookmarkEnd w:id="76"/>
      <w:bookmarkEnd w:id="77"/>
      <w:bookmarkEnd w:id="78"/>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 17; No. 60 of 2011 s. 7 and 89.] </w:t>
      </w:r>
    </w:p>
    <w:p>
      <w:pPr>
        <w:pStyle w:val="Heading2"/>
      </w:pPr>
      <w:bookmarkStart w:id="79" w:name="_Toc89596586"/>
      <w:bookmarkStart w:id="80" w:name="_Toc101762046"/>
      <w:bookmarkStart w:id="81" w:name="_Toc101762167"/>
      <w:bookmarkStart w:id="82" w:name="_Toc103582446"/>
      <w:bookmarkStart w:id="83" w:name="_Toc103582563"/>
      <w:bookmarkStart w:id="84" w:name="_Toc103589165"/>
      <w:bookmarkStart w:id="85" w:name="_Toc104109980"/>
      <w:bookmarkStart w:id="86" w:name="_Toc106425999"/>
      <w:bookmarkStart w:id="87" w:name="_Toc106426116"/>
      <w:bookmarkStart w:id="88" w:name="_Toc107198013"/>
      <w:bookmarkStart w:id="89" w:name="_Toc107198133"/>
      <w:bookmarkStart w:id="90" w:name="_Toc139363573"/>
      <w:bookmarkStart w:id="91" w:name="_Toc139688308"/>
      <w:bookmarkStart w:id="92" w:name="_Toc139960303"/>
      <w:bookmarkStart w:id="93" w:name="_Toc139968336"/>
      <w:bookmarkStart w:id="94" w:name="_Toc154197518"/>
      <w:bookmarkStart w:id="95" w:name="_Toc158003067"/>
      <w:bookmarkStart w:id="96" w:name="_Toc163278567"/>
      <w:bookmarkStart w:id="97" w:name="_Toc163361949"/>
      <w:bookmarkStart w:id="98" w:name="_Toc168903500"/>
      <w:bookmarkStart w:id="99" w:name="_Toc168971122"/>
      <w:bookmarkStart w:id="100" w:name="_Toc170524820"/>
      <w:bookmarkStart w:id="101" w:name="_Toc171246137"/>
      <w:bookmarkStart w:id="102" w:name="_Toc172436168"/>
      <w:bookmarkStart w:id="103" w:name="_Toc173740393"/>
      <w:bookmarkStart w:id="104" w:name="_Toc173745040"/>
      <w:bookmarkStart w:id="105" w:name="_Toc173745159"/>
      <w:bookmarkStart w:id="106" w:name="_Toc173745278"/>
      <w:bookmarkStart w:id="107" w:name="_Toc199756361"/>
      <w:bookmarkStart w:id="108" w:name="_Toc223932929"/>
      <w:bookmarkStart w:id="109" w:name="_Toc223933048"/>
      <w:bookmarkStart w:id="110" w:name="_Toc268248420"/>
      <w:bookmarkStart w:id="111" w:name="_Toc268612621"/>
      <w:bookmarkStart w:id="112" w:name="_Toc272315056"/>
      <w:bookmarkStart w:id="113" w:name="_Toc280092902"/>
      <w:bookmarkStart w:id="114" w:name="_Toc281486369"/>
      <w:bookmarkStart w:id="115" w:name="_Toc312051808"/>
      <w:bookmarkStart w:id="116" w:name="_Toc312058366"/>
      <w:bookmarkStart w:id="117" w:name="_Toc331431230"/>
      <w:bookmarkStart w:id="118" w:name="_Toc331431577"/>
      <w:bookmarkStart w:id="119" w:name="_Toc331677187"/>
      <w:bookmarkStart w:id="120" w:name="_Toc360453491"/>
      <w:bookmarkStart w:id="121" w:name="_Toc360457446"/>
      <w:r>
        <w:rPr>
          <w:rStyle w:val="CharPartNo"/>
        </w:rPr>
        <w:t>Part II</w:t>
      </w:r>
      <w:r>
        <w:rPr>
          <w:rStyle w:val="CharDivNo"/>
        </w:rPr>
        <w:t> </w:t>
      </w:r>
      <w:r>
        <w:t>—</w:t>
      </w:r>
      <w:r>
        <w:rPr>
          <w:rStyle w:val="CharDivText"/>
        </w:rPr>
        <w:t> </w:t>
      </w:r>
      <w:r>
        <w:rPr>
          <w:rStyle w:val="CharPartText"/>
        </w:rPr>
        <w:t>Administration</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138750869"/>
      <w:bookmarkStart w:id="123" w:name="_Toc139166610"/>
      <w:bookmarkStart w:id="124" w:name="_Toc139266330"/>
      <w:bookmarkStart w:id="125" w:name="_Toc172436169"/>
      <w:bookmarkStart w:id="126" w:name="_Toc360457447"/>
      <w:bookmarkStart w:id="127" w:name="_Toc36440974"/>
      <w:bookmarkStart w:id="128" w:name="_Toc106426117"/>
      <w:bookmarkStart w:id="129" w:name="_Toc107198134"/>
      <w:r>
        <w:rPr>
          <w:rStyle w:val="CharSectno"/>
        </w:rPr>
        <w:t>7A</w:t>
      </w:r>
      <w:r>
        <w:t>.</w:t>
      </w:r>
      <w:r>
        <w:tab/>
        <w:t>Commissioner</w:t>
      </w:r>
      <w:bookmarkEnd w:id="122"/>
      <w:bookmarkEnd w:id="123"/>
      <w:bookmarkEnd w:id="124"/>
      <w:bookmarkEnd w:id="125"/>
      <w:bookmarkEnd w:id="12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30" w:name="_Toc172436170"/>
      <w:bookmarkStart w:id="131" w:name="_Toc360457448"/>
      <w:r>
        <w:rPr>
          <w:rStyle w:val="CharSectno"/>
        </w:rPr>
        <w:t>8</w:t>
      </w:r>
      <w:r>
        <w:rPr>
          <w:snapToGrid w:val="0"/>
        </w:rPr>
        <w:t>.</w:t>
      </w:r>
      <w:r>
        <w:rPr>
          <w:snapToGrid w:val="0"/>
        </w:rPr>
        <w:tab/>
        <w:t xml:space="preserve">Functions of </w:t>
      </w:r>
      <w:bookmarkEnd w:id="127"/>
      <w:bookmarkEnd w:id="128"/>
      <w:bookmarkEnd w:id="129"/>
      <w:r>
        <w:rPr>
          <w:snapToGrid w:val="0"/>
        </w:rPr>
        <w:t>the Commissioner</w:t>
      </w:r>
      <w:bookmarkEnd w:id="130"/>
      <w:bookmarkEnd w:id="131"/>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132" w:name="_Toc36440975"/>
      <w:bookmarkStart w:id="133" w:name="_Toc106426118"/>
      <w:bookmarkStart w:id="134" w:name="_Toc107198135"/>
      <w:bookmarkStart w:id="135" w:name="_Toc172436171"/>
      <w:bookmarkStart w:id="136" w:name="_Toc360457449"/>
      <w:r>
        <w:rPr>
          <w:rStyle w:val="CharSectno"/>
        </w:rPr>
        <w:t>9</w:t>
      </w:r>
      <w:r>
        <w:rPr>
          <w:snapToGrid w:val="0"/>
        </w:rPr>
        <w:t>.</w:t>
      </w:r>
      <w:r>
        <w:rPr>
          <w:snapToGrid w:val="0"/>
        </w:rPr>
        <w:tab/>
        <w:t>Commissioner may institute or defend proceedings for party</w:t>
      </w:r>
      <w:bookmarkEnd w:id="132"/>
      <w:bookmarkEnd w:id="133"/>
      <w:bookmarkEnd w:id="134"/>
      <w:bookmarkEnd w:id="135"/>
      <w:bookmarkEnd w:id="136"/>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 xml:space="preserve">in relation to a residential tenancy agreement that has terminated unless a complaint is made to </w:t>
      </w:r>
      <w:r>
        <w:t>the Commissioner</w:t>
      </w:r>
      <w:r>
        <w:rPr>
          <w:snapToGrid w:val="0"/>
          <w:spacing w:val="-2"/>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Ednotesubsection"/>
      </w:pPr>
      <w:r>
        <w:tab/>
        <w:t>[(10)</w:t>
      </w:r>
      <w:r>
        <w:tab/>
        <w:t>deleted]</w:t>
      </w:r>
    </w:p>
    <w:p>
      <w:pPr>
        <w:pStyle w:val="Footnotesection"/>
      </w:pPr>
      <w:r>
        <w:tab/>
        <w:t xml:space="preserve">[Section 9 amended by No. 50 of 1988 s. 18; No. 6 of 1993 s. 11; No. 59 of 1995 s. 56; No. 59 of 2004 s. 121; No. 77 of 2006 s. 4; No. 60 of 2011 s. 8.] </w:t>
      </w:r>
    </w:p>
    <w:p>
      <w:pPr>
        <w:pStyle w:val="Heading5"/>
        <w:rPr>
          <w:snapToGrid w:val="0"/>
        </w:rPr>
      </w:pPr>
      <w:bookmarkStart w:id="137" w:name="_Toc36440976"/>
      <w:bookmarkStart w:id="138" w:name="_Toc106426119"/>
      <w:bookmarkStart w:id="139" w:name="_Toc107198136"/>
      <w:bookmarkStart w:id="140" w:name="_Toc172436172"/>
      <w:bookmarkStart w:id="141" w:name="_Toc360457450"/>
      <w:r>
        <w:rPr>
          <w:rStyle w:val="CharSectno"/>
        </w:rPr>
        <w:t>10</w:t>
      </w:r>
      <w:r>
        <w:rPr>
          <w:snapToGrid w:val="0"/>
        </w:rPr>
        <w:t>.</w:t>
      </w:r>
      <w:r>
        <w:rPr>
          <w:snapToGrid w:val="0"/>
        </w:rPr>
        <w:tab/>
        <w:t>Delegation by Commissioner</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bookmarkStart w:id="142" w:name="_Toc36440977"/>
      <w:bookmarkStart w:id="143" w:name="_Toc106426120"/>
      <w:bookmarkStart w:id="144" w:name="_Toc107198137"/>
      <w:bookmarkStart w:id="145" w:name="_Toc172436173"/>
      <w:r>
        <w:tab/>
        <w:t xml:space="preserve">[Section 10 amended by No. 60 of 2011 s. 9.] </w:t>
      </w:r>
    </w:p>
    <w:p>
      <w:pPr>
        <w:pStyle w:val="Heading5"/>
        <w:rPr>
          <w:snapToGrid w:val="0"/>
        </w:rPr>
      </w:pPr>
      <w:bookmarkStart w:id="146" w:name="_Toc360457451"/>
      <w:r>
        <w:rPr>
          <w:rStyle w:val="CharSectno"/>
        </w:rPr>
        <w:t>11</w:t>
      </w:r>
      <w:r>
        <w:rPr>
          <w:snapToGrid w:val="0"/>
        </w:rPr>
        <w:t>.</w:t>
      </w:r>
      <w:r>
        <w:rPr>
          <w:snapToGrid w:val="0"/>
        </w:rPr>
        <w:tab/>
        <w:t>Protection of officers</w:t>
      </w:r>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47" w:name="_Toc138750872"/>
      <w:bookmarkStart w:id="148" w:name="_Toc139166613"/>
      <w:bookmarkStart w:id="149" w:name="_Toc139266333"/>
      <w:bookmarkStart w:id="150" w:name="_Toc172436174"/>
      <w:bookmarkStart w:id="151" w:name="_Toc360457452"/>
      <w:r>
        <w:rPr>
          <w:rStyle w:val="CharSectno"/>
        </w:rPr>
        <w:t>11A</w:t>
      </w:r>
      <w:r>
        <w:t>.</w:t>
      </w:r>
      <w:r>
        <w:tab/>
        <w:t>Information officially obtained to be confidential</w:t>
      </w:r>
      <w:bookmarkEnd w:id="147"/>
      <w:bookmarkEnd w:id="148"/>
      <w:bookmarkEnd w:id="149"/>
      <w:bookmarkEnd w:id="150"/>
      <w:bookmarkEnd w:id="151"/>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52" w:name="_Toc138750873"/>
      <w:bookmarkStart w:id="153" w:name="_Toc139166614"/>
      <w:bookmarkStart w:id="154" w:name="_Toc139266334"/>
      <w:r>
        <w:tab/>
        <w:t>[Section 11A inserted by No. 28 of 2006 s. 136; amended by No. 60 of 2011 s. 10.]</w:t>
      </w:r>
    </w:p>
    <w:p>
      <w:pPr>
        <w:pStyle w:val="Heading5"/>
      </w:pPr>
      <w:bookmarkStart w:id="155" w:name="_Toc281466483"/>
      <w:bookmarkStart w:id="156" w:name="_Toc360457453"/>
      <w:bookmarkStart w:id="157" w:name="_Toc89596591"/>
      <w:bookmarkStart w:id="158" w:name="_Toc101762051"/>
      <w:bookmarkStart w:id="159" w:name="_Toc101762172"/>
      <w:bookmarkStart w:id="160" w:name="_Toc103582451"/>
      <w:bookmarkStart w:id="161" w:name="_Toc103582568"/>
      <w:bookmarkStart w:id="162" w:name="_Toc103589170"/>
      <w:bookmarkStart w:id="163" w:name="_Toc104109985"/>
      <w:bookmarkStart w:id="164" w:name="_Toc106426004"/>
      <w:bookmarkStart w:id="165" w:name="_Toc106426121"/>
      <w:bookmarkStart w:id="166" w:name="_Toc107198018"/>
      <w:bookmarkStart w:id="167" w:name="_Toc107198138"/>
      <w:bookmarkStart w:id="168" w:name="_Toc139363581"/>
      <w:bookmarkStart w:id="169" w:name="_Toc139688316"/>
      <w:bookmarkStart w:id="170" w:name="_Toc139960311"/>
      <w:bookmarkStart w:id="171" w:name="_Toc139968344"/>
      <w:bookmarkStart w:id="172" w:name="_Toc154197526"/>
      <w:bookmarkStart w:id="173" w:name="_Toc158003075"/>
      <w:bookmarkStart w:id="174" w:name="_Toc163278575"/>
      <w:bookmarkStart w:id="175" w:name="_Toc163361957"/>
      <w:bookmarkStart w:id="176" w:name="_Toc168903508"/>
      <w:bookmarkStart w:id="177" w:name="_Toc168971130"/>
      <w:bookmarkStart w:id="178" w:name="_Toc170524828"/>
      <w:bookmarkStart w:id="179" w:name="_Toc171246145"/>
      <w:bookmarkStart w:id="180" w:name="_Toc172436176"/>
      <w:bookmarkStart w:id="181" w:name="_Toc173740401"/>
      <w:bookmarkStart w:id="182" w:name="_Toc173745048"/>
      <w:bookmarkStart w:id="183" w:name="_Toc173745167"/>
      <w:bookmarkStart w:id="184" w:name="_Toc173745286"/>
      <w:bookmarkStart w:id="185" w:name="_Toc199756369"/>
      <w:bookmarkStart w:id="186" w:name="_Toc223932937"/>
      <w:bookmarkStart w:id="187" w:name="_Toc223933056"/>
      <w:bookmarkStart w:id="188" w:name="_Toc268248428"/>
      <w:bookmarkStart w:id="189" w:name="_Toc268612629"/>
      <w:bookmarkStart w:id="190" w:name="_Toc272315064"/>
      <w:bookmarkStart w:id="191" w:name="_Toc280092910"/>
      <w:bookmarkEnd w:id="152"/>
      <w:bookmarkEnd w:id="153"/>
      <w:bookmarkEnd w:id="154"/>
      <w:r>
        <w:rPr>
          <w:rStyle w:val="CharSectno"/>
        </w:rPr>
        <w:t>11B</w:t>
      </w:r>
      <w:r>
        <w:t>.</w:t>
      </w:r>
      <w:r>
        <w:tab/>
        <w:t>Powers of investigation</w:t>
      </w:r>
      <w:bookmarkEnd w:id="155"/>
      <w:bookmarkEnd w:id="156"/>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189.]</w:t>
      </w:r>
    </w:p>
    <w:p>
      <w:pPr>
        <w:pStyle w:val="Heading2"/>
      </w:pPr>
      <w:bookmarkStart w:id="192" w:name="_Toc281486377"/>
      <w:bookmarkStart w:id="193" w:name="_Toc312051816"/>
      <w:bookmarkStart w:id="194" w:name="_Toc312058374"/>
      <w:bookmarkStart w:id="195" w:name="_Toc331431238"/>
      <w:bookmarkStart w:id="196" w:name="_Toc331431585"/>
      <w:bookmarkStart w:id="197" w:name="_Toc331677195"/>
      <w:bookmarkStart w:id="198" w:name="_Toc360453499"/>
      <w:bookmarkStart w:id="199" w:name="_Toc360457454"/>
      <w:r>
        <w:rPr>
          <w:rStyle w:val="CharPartNo"/>
        </w:rPr>
        <w:t>Part III</w:t>
      </w:r>
      <w:r>
        <w:rPr>
          <w:rStyle w:val="CharDivNo"/>
        </w:rPr>
        <w:t> </w:t>
      </w:r>
      <w:r>
        <w:t>—</w:t>
      </w:r>
      <w:r>
        <w:rPr>
          <w:rStyle w:val="CharDivText"/>
        </w:rPr>
        <w:t> </w:t>
      </w:r>
      <w:r>
        <w:rPr>
          <w:rStyle w:val="CharPartText"/>
        </w:rPr>
        <w:t>Determination of disputes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PartText"/>
        </w:rPr>
        <w:t xml:space="preserve"> </w:t>
      </w:r>
    </w:p>
    <w:p>
      <w:pPr>
        <w:pStyle w:val="Heading5"/>
      </w:pPr>
      <w:bookmarkStart w:id="200" w:name="_Toc106426122"/>
      <w:bookmarkStart w:id="201" w:name="_Toc107198139"/>
      <w:bookmarkStart w:id="202" w:name="_Toc172436177"/>
      <w:bookmarkStart w:id="203" w:name="_Toc360457455"/>
      <w:bookmarkStart w:id="204" w:name="_Toc36440981"/>
      <w:r>
        <w:rPr>
          <w:rStyle w:val="CharSectno"/>
        </w:rPr>
        <w:t>12</w:t>
      </w:r>
      <w:r>
        <w:t>.</w:t>
      </w:r>
      <w:r>
        <w:tab/>
      </w:r>
      <w:bookmarkEnd w:id="200"/>
      <w:bookmarkEnd w:id="201"/>
      <w:r>
        <w:t>Terms used in this Part</w:t>
      </w:r>
      <w:bookmarkEnd w:id="202"/>
      <w:bookmarkEnd w:id="203"/>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205" w:name="_Toc106426123"/>
      <w:bookmarkStart w:id="206" w:name="_Toc107198140"/>
      <w:bookmarkStart w:id="207" w:name="_Toc172436178"/>
      <w:bookmarkStart w:id="208" w:name="_Toc360457456"/>
      <w:r>
        <w:rPr>
          <w:rStyle w:val="CharSectno"/>
        </w:rPr>
        <w:t>12A</w:t>
      </w:r>
      <w:r>
        <w:t>.</w:t>
      </w:r>
      <w:r>
        <w:tab/>
      </w:r>
      <w:r>
        <w:rPr>
          <w:snapToGrid w:val="0"/>
        </w:rPr>
        <w:t>Jurisdiction</w:t>
      </w:r>
      <w:r>
        <w:t xml:space="preserve"> over </w:t>
      </w:r>
      <w:r>
        <w:rPr>
          <w:snapToGrid w:val="0"/>
        </w:rPr>
        <w:t>prescribed</w:t>
      </w:r>
      <w:r>
        <w:t xml:space="preserve"> disputes</w:t>
      </w:r>
      <w:bookmarkEnd w:id="205"/>
      <w:bookmarkEnd w:id="206"/>
      <w:bookmarkEnd w:id="207"/>
      <w:bookmarkEnd w:id="208"/>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209" w:name="_Toc106426124"/>
      <w:bookmarkStart w:id="210" w:name="_Toc107198141"/>
      <w:bookmarkStart w:id="211" w:name="_Toc172436179"/>
      <w:bookmarkStart w:id="212" w:name="_Toc360457457"/>
      <w:r>
        <w:rPr>
          <w:rStyle w:val="CharSectno"/>
        </w:rPr>
        <w:t>13</w:t>
      </w:r>
      <w:r>
        <w:t>.</w:t>
      </w:r>
      <w:r>
        <w:tab/>
        <w:t>Jurisdiction over other disputes</w:t>
      </w:r>
      <w:bookmarkEnd w:id="209"/>
      <w:bookmarkEnd w:id="210"/>
      <w:bookmarkEnd w:id="211"/>
      <w:bookmarkEnd w:id="212"/>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by No. 59 of 2004 s. 119; amended by No. 60 of 2011 s. 11.] </w:t>
      </w:r>
    </w:p>
    <w:p>
      <w:pPr>
        <w:pStyle w:val="Heading5"/>
      </w:pPr>
      <w:bookmarkStart w:id="213" w:name="_Toc106426125"/>
      <w:bookmarkStart w:id="214" w:name="_Toc107198142"/>
      <w:bookmarkStart w:id="215" w:name="_Toc172436180"/>
      <w:bookmarkStart w:id="216" w:name="_Toc360457458"/>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213"/>
      <w:bookmarkEnd w:id="214"/>
      <w:bookmarkEnd w:id="215"/>
      <w:bookmarkEnd w:id="216"/>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by No. 59 of 2004 s. 119; amended by No. 60 of 2011 s. 12.] </w:t>
      </w:r>
    </w:p>
    <w:p>
      <w:pPr>
        <w:pStyle w:val="Heading5"/>
      </w:pPr>
      <w:bookmarkStart w:id="217" w:name="_Toc172022617"/>
      <w:bookmarkStart w:id="218" w:name="_Toc172102438"/>
      <w:bookmarkStart w:id="219" w:name="_Toc172436181"/>
      <w:bookmarkStart w:id="220" w:name="_Toc360457459"/>
      <w:bookmarkStart w:id="221" w:name="_Toc106426126"/>
      <w:bookmarkStart w:id="222" w:name="_Toc107198143"/>
      <w:r>
        <w:rPr>
          <w:rStyle w:val="CharSectno"/>
        </w:rPr>
        <w:t>13B</w:t>
      </w:r>
      <w:r>
        <w:t>.</w:t>
      </w:r>
      <w:r>
        <w:tab/>
        <w:t>Appeals from decisions of a registrar</w:t>
      </w:r>
      <w:bookmarkEnd w:id="217"/>
      <w:bookmarkEnd w:id="218"/>
      <w:bookmarkEnd w:id="219"/>
      <w:bookmarkEnd w:id="220"/>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by No. 69 of 2006 s. 29.]</w:t>
      </w:r>
    </w:p>
    <w:p>
      <w:pPr>
        <w:pStyle w:val="Heading5"/>
        <w:rPr>
          <w:snapToGrid w:val="0"/>
        </w:rPr>
      </w:pPr>
      <w:bookmarkStart w:id="223" w:name="_Toc172436182"/>
      <w:bookmarkStart w:id="224" w:name="_Toc360457460"/>
      <w:r>
        <w:rPr>
          <w:rStyle w:val="CharSectno"/>
        </w:rPr>
        <w:t>14</w:t>
      </w:r>
      <w:r>
        <w:rPr>
          <w:snapToGrid w:val="0"/>
        </w:rPr>
        <w:t>.</w:t>
      </w:r>
      <w:r>
        <w:rPr>
          <w:snapToGrid w:val="0"/>
        </w:rPr>
        <w:tab/>
        <w:t>Time for determination of proceedings</w:t>
      </w:r>
      <w:bookmarkEnd w:id="204"/>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25" w:name="_Toc36440982"/>
      <w:bookmarkStart w:id="226" w:name="_Toc106426127"/>
      <w:bookmarkStart w:id="227" w:name="_Toc107198144"/>
      <w:bookmarkStart w:id="228" w:name="_Toc172436183"/>
      <w:bookmarkStart w:id="229" w:name="_Toc360457461"/>
      <w:r>
        <w:rPr>
          <w:rStyle w:val="CharSectno"/>
        </w:rPr>
        <w:t>15</w:t>
      </w:r>
      <w:r>
        <w:rPr>
          <w:snapToGrid w:val="0"/>
        </w:rPr>
        <w:t>.</w:t>
      </w:r>
      <w:r>
        <w:rPr>
          <w:snapToGrid w:val="0"/>
        </w:rPr>
        <w:tab/>
        <w:t>Applications for relief and orders thereon</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by No. 50 of 1988 s. 8 and 18; No. 59 of 2004 s. 120 and 121; No. 60 of 2011 s. 13 and 89.] </w:t>
      </w:r>
    </w:p>
    <w:p>
      <w:pPr>
        <w:pStyle w:val="Heading5"/>
        <w:rPr>
          <w:snapToGrid w:val="0"/>
        </w:rPr>
      </w:pPr>
      <w:bookmarkStart w:id="230" w:name="_Toc36440983"/>
      <w:bookmarkStart w:id="231" w:name="_Toc106426128"/>
      <w:bookmarkStart w:id="232" w:name="_Toc107198145"/>
      <w:bookmarkStart w:id="233" w:name="_Toc172436184"/>
      <w:bookmarkStart w:id="234" w:name="_Toc360457462"/>
      <w:r>
        <w:rPr>
          <w:rStyle w:val="CharSectno"/>
        </w:rPr>
        <w:t>16</w:t>
      </w:r>
      <w:r>
        <w:rPr>
          <w:snapToGrid w:val="0"/>
        </w:rPr>
        <w:t>.</w:t>
      </w:r>
      <w:r>
        <w:rPr>
          <w:snapToGrid w:val="0"/>
        </w:rPr>
        <w:tab/>
        <w:t>Enforcement</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No. 60 of 2011 s. 14.] </w:t>
      </w:r>
    </w:p>
    <w:p>
      <w:pPr>
        <w:pStyle w:val="Heading5"/>
      </w:pPr>
      <w:bookmarkStart w:id="235" w:name="_Toc311730342"/>
      <w:bookmarkStart w:id="236" w:name="_Toc360457463"/>
      <w:bookmarkStart w:id="237" w:name="_Toc36440984"/>
      <w:bookmarkStart w:id="238" w:name="_Toc106426129"/>
      <w:bookmarkStart w:id="239" w:name="_Toc107198146"/>
      <w:bookmarkStart w:id="240" w:name="_Toc172436185"/>
      <w:r>
        <w:rPr>
          <w:rStyle w:val="CharSectno"/>
        </w:rPr>
        <w:t>17A</w:t>
      </w:r>
      <w:r>
        <w:t>.</w:t>
      </w:r>
      <w:r>
        <w:tab/>
        <w:t>Disputes between tenants</w:t>
      </w:r>
      <w:bookmarkEnd w:id="235"/>
      <w:bookmarkEnd w:id="236"/>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by No. 60 of 2011 s. 15.] </w:t>
      </w:r>
    </w:p>
    <w:p>
      <w:pPr>
        <w:pStyle w:val="Heading5"/>
        <w:rPr>
          <w:snapToGrid w:val="0"/>
        </w:rPr>
      </w:pPr>
      <w:bookmarkStart w:id="241" w:name="_Toc360457464"/>
      <w:r>
        <w:rPr>
          <w:rStyle w:val="CharSectno"/>
        </w:rPr>
        <w:t>17</w:t>
      </w:r>
      <w:r>
        <w:rPr>
          <w:snapToGrid w:val="0"/>
        </w:rPr>
        <w:t>.</w:t>
      </w:r>
      <w:r>
        <w:rPr>
          <w:snapToGrid w:val="0"/>
        </w:rPr>
        <w:tab/>
        <w:t>Application to vary or set aside order</w:t>
      </w:r>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by No. 50 of 1988 s. 18; No. 59 of 2004 s. 121; No. 60 of 2011 s. 16.] </w:t>
      </w:r>
    </w:p>
    <w:p>
      <w:pPr>
        <w:pStyle w:val="Heading5"/>
        <w:rPr>
          <w:snapToGrid w:val="0"/>
        </w:rPr>
      </w:pPr>
      <w:bookmarkStart w:id="242" w:name="_Toc36440985"/>
      <w:bookmarkStart w:id="243" w:name="_Toc106426130"/>
      <w:bookmarkStart w:id="244" w:name="_Toc107198147"/>
      <w:bookmarkStart w:id="245" w:name="_Toc172436186"/>
      <w:bookmarkStart w:id="246" w:name="_Toc360457465"/>
      <w:r>
        <w:rPr>
          <w:rStyle w:val="CharSectno"/>
        </w:rPr>
        <w:t>18</w:t>
      </w:r>
      <w:r>
        <w:rPr>
          <w:snapToGrid w:val="0"/>
        </w:rPr>
        <w:t>.</w:t>
      </w:r>
      <w:r>
        <w:rPr>
          <w:snapToGrid w:val="0"/>
        </w:rPr>
        <w:tab/>
        <w:t>Form of applications and notice of hearing</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247" w:name="_Toc36440986"/>
      <w:bookmarkStart w:id="248" w:name="_Toc106426131"/>
      <w:bookmarkStart w:id="249" w:name="_Toc107198148"/>
      <w:bookmarkStart w:id="250" w:name="_Toc172436187"/>
      <w:bookmarkStart w:id="251" w:name="_Toc360457466"/>
      <w:r>
        <w:rPr>
          <w:rStyle w:val="CharSectno"/>
        </w:rPr>
        <w:t>19</w:t>
      </w:r>
      <w:r>
        <w:rPr>
          <w:snapToGrid w:val="0"/>
        </w:rPr>
        <w:t>.</w:t>
      </w:r>
      <w:r>
        <w:rPr>
          <w:snapToGrid w:val="0"/>
        </w:rPr>
        <w:tab/>
        <w:t>Witnesses and inspection of documents</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a fine of $10 000.</w:t>
      </w:r>
    </w:p>
    <w:p>
      <w:pPr>
        <w:pStyle w:val="Footnotesection"/>
      </w:pPr>
      <w:r>
        <w:tab/>
        <w:t xml:space="preserve">[Section 19 amended by No. 50 of 1988 s. 11 and 18; No. 59 of 2004 s. 120(2) and 121; No. 60 of 2011 s. 17.] </w:t>
      </w:r>
    </w:p>
    <w:p>
      <w:pPr>
        <w:pStyle w:val="Heading5"/>
        <w:rPr>
          <w:snapToGrid w:val="0"/>
        </w:rPr>
      </w:pPr>
      <w:bookmarkStart w:id="252" w:name="_Toc36440987"/>
      <w:bookmarkStart w:id="253" w:name="_Toc106426132"/>
      <w:bookmarkStart w:id="254" w:name="_Toc107198149"/>
      <w:bookmarkStart w:id="255" w:name="_Toc172436188"/>
      <w:bookmarkStart w:id="256" w:name="_Toc360457467"/>
      <w:r>
        <w:rPr>
          <w:rStyle w:val="CharSectno"/>
        </w:rPr>
        <w:t>20</w:t>
      </w:r>
      <w:r>
        <w:rPr>
          <w:snapToGrid w:val="0"/>
        </w:rPr>
        <w:t>.</w:t>
      </w:r>
      <w:r>
        <w:rPr>
          <w:snapToGrid w:val="0"/>
        </w:rPr>
        <w:tab/>
        <w:t>General powers in proceedings</w:t>
      </w:r>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No. 60 of 2011 s. 18.] </w:t>
      </w:r>
    </w:p>
    <w:p>
      <w:pPr>
        <w:pStyle w:val="Heading5"/>
      </w:pPr>
      <w:bookmarkStart w:id="257" w:name="_Toc106426133"/>
      <w:bookmarkStart w:id="258" w:name="_Toc107198150"/>
      <w:bookmarkStart w:id="259" w:name="_Toc172436189"/>
      <w:bookmarkStart w:id="260" w:name="_Toc360457468"/>
      <w:bookmarkStart w:id="261" w:name="_Toc36440989"/>
      <w:r>
        <w:rPr>
          <w:rStyle w:val="CharSectno"/>
        </w:rPr>
        <w:t>21</w:t>
      </w:r>
      <w:r>
        <w:t>.</w:t>
      </w:r>
      <w:r>
        <w:tab/>
        <w:t>Evidence</w:t>
      </w:r>
      <w:bookmarkEnd w:id="257"/>
      <w:bookmarkEnd w:id="258"/>
      <w:bookmarkEnd w:id="259"/>
      <w:bookmarkEnd w:id="260"/>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262" w:name="_Toc106426134"/>
      <w:bookmarkStart w:id="263" w:name="_Toc107198151"/>
      <w:bookmarkStart w:id="264" w:name="_Toc172436190"/>
      <w:bookmarkStart w:id="265" w:name="_Toc360457469"/>
      <w:r>
        <w:rPr>
          <w:rStyle w:val="CharSectno"/>
        </w:rPr>
        <w:t>22</w:t>
      </w:r>
      <w:r>
        <w:rPr>
          <w:snapToGrid w:val="0"/>
        </w:rPr>
        <w:t>.</w:t>
      </w:r>
      <w:r>
        <w:rPr>
          <w:snapToGrid w:val="0"/>
        </w:rPr>
        <w:tab/>
        <w:t>Presentation of cases</w:t>
      </w:r>
      <w:bookmarkEnd w:id="261"/>
      <w:bookmarkEnd w:id="262"/>
      <w:bookmarkEnd w:id="263"/>
      <w:bookmarkEnd w:id="264"/>
      <w:bookmarkEnd w:id="265"/>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rPr>
          <w:spacing w:val="-4"/>
        </w:rPr>
      </w:pPr>
      <w:r>
        <w:rPr>
          <w:spacing w:val="-4"/>
        </w:rP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No. 60 of 2011 s. 19.] </w:t>
      </w:r>
    </w:p>
    <w:p>
      <w:pPr>
        <w:pStyle w:val="Heading5"/>
        <w:rPr>
          <w:snapToGrid w:val="0"/>
        </w:rPr>
      </w:pPr>
      <w:bookmarkStart w:id="266" w:name="_Toc36440990"/>
      <w:bookmarkStart w:id="267" w:name="_Toc106426135"/>
      <w:bookmarkStart w:id="268" w:name="_Toc107198152"/>
      <w:bookmarkStart w:id="269" w:name="_Toc172436191"/>
      <w:bookmarkStart w:id="270" w:name="_Toc360457470"/>
      <w:r>
        <w:rPr>
          <w:rStyle w:val="CharSectno"/>
        </w:rPr>
        <w:t>23</w:t>
      </w:r>
      <w:r>
        <w:rPr>
          <w:snapToGrid w:val="0"/>
        </w:rPr>
        <w:t>.</w:t>
      </w:r>
      <w:r>
        <w:rPr>
          <w:snapToGrid w:val="0"/>
        </w:rPr>
        <w:tab/>
        <w:t>Settlement by conciliation</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 xml:space="preserve">interview the parties in private (either with or without any person who may be representing any of them or assisting any of them in the presentation of </w:t>
      </w:r>
      <w:r>
        <w:t>the party’s</w:t>
      </w:r>
      <w:r>
        <w:rPr>
          <w:snapToGrid w:val="0"/>
          <w:spacing w:val="-2"/>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by No. 50 of 1988 s. 18; No. 59 of 2004 s. 120(2) and (3) and 121; No. 60 of 2011 s. 20.] </w:t>
      </w:r>
    </w:p>
    <w:p>
      <w:pPr>
        <w:pStyle w:val="Heading5"/>
        <w:rPr>
          <w:snapToGrid w:val="0"/>
        </w:rPr>
      </w:pPr>
      <w:bookmarkStart w:id="271" w:name="_Toc36440991"/>
      <w:bookmarkStart w:id="272" w:name="_Toc106426136"/>
      <w:bookmarkStart w:id="273" w:name="_Toc107198153"/>
      <w:bookmarkStart w:id="274" w:name="_Toc172436192"/>
      <w:bookmarkStart w:id="275" w:name="_Toc360457471"/>
      <w:r>
        <w:rPr>
          <w:rStyle w:val="CharSectno"/>
        </w:rPr>
        <w:t>24</w:t>
      </w:r>
      <w:r>
        <w:rPr>
          <w:snapToGrid w:val="0"/>
        </w:rPr>
        <w:t>.</w:t>
      </w:r>
      <w:r>
        <w:rPr>
          <w:snapToGrid w:val="0"/>
        </w:rPr>
        <w:tab/>
        <w:t>Costs</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276" w:name="_Toc36440992"/>
      <w:bookmarkStart w:id="277" w:name="_Toc106426137"/>
      <w:bookmarkStart w:id="278" w:name="_Toc107198154"/>
      <w:bookmarkStart w:id="279" w:name="_Toc172436193"/>
      <w:bookmarkStart w:id="280" w:name="_Toc360457472"/>
      <w:r>
        <w:rPr>
          <w:rStyle w:val="CharSectno"/>
        </w:rPr>
        <w:t>25</w:t>
      </w:r>
      <w:r>
        <w:rPr>
          <w:snapToGrid w:val="0"/>
        </w:rPr>
        <w:t>.</w:t>
      </w:r>
      <w:r>
        <w:rPr>
          <w:snapToGrid w:val="0"/>
        </w:rPr>
        <w:tab/>
        <w:t>Reservation of question of law</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281" w:name="_Toc36440993"/>
      <w:bookmarkStart w:id="282" w:name="_Toc106426138"/>
      <w:bookmarkStart w:id="283" w:name="_Toc107198155"/>
      <w:bookmarkStart w:id="284" w:name="_Toc172436194"/>
      <w:bookmarkStart w:id="285" w:name="_Toc360457473"/>
      <w:r>
        <w:rPr>
          <w:rStyle w:val="CharSectno"/>
        </w:rPr>
        <w:t>26</w:t>
      </w:r>
      <w:r>
        <w:rPr>
          <w:snapToGrid w:val="0"/>
        </w:rPr>
        <w:t>.</w:t>
      </w:r>
      <w:r>
        <w:rPr>
          <w:snapToGrid w:val="0"/>
        </w:rPr>
        <w:tab/>
        <w:t>Finality of proceedings</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bookmarkStart w:id="286" w:name="_Toc89596608"/>
      <w:bookmarkStart w:id="287" w:name="_Toc101762073"/>
      <w:bookmarkStart w:id="288" w:name="_Toc101762194"/>
      <w:bookmarkStart w:id="289" w:name="_Toc103582469"/>
      <w:bookmarkStart w:id="290" w:name="_Toc103582586"/>
      <w:bookmarkStart w:id="291" w:name="_Toc103589188"/>
      <w:bookmarkStart w:id="292" w:name="_Toc104110003"/>
      <w:bookmarkStart w:id="293" w:name="_Toc106426022"/>
      <w:bookmarkStart w:id="294" w:name="_Toc106426139"/>
      <w:bookmarkStart w:id="295" w:name="_Toc107198036"/>
      <w:bookmarkStart w:id="296" w:name="_Toc107198156"/>
      <w:bookmarkStart w:id="297" w:name="_Toc139363599"/>
      <w:bookmarkStart w:id="298" w:name="_Toc139688334"/>
      <w:bookmarkStart w:id="299" w:name="_Toc139960329"/>
      <w:bookmarkStart w:id="300" w:name="_Toc139968362"/>
      <w:bookmarkStart w:id="301" w:name="_Toc154197544"/>
      <w:bookmarkStart w:id="302" w:name="_Toc158003093"/>
      <w:bookmarkStart w:id="303" w:name="_Toc163278593"/>
      <w:bookmarkStart w:id="304" w:name="_Toc163361975"/>
      <w:bookmarkStart w:id="305" w:name="_Toc168903526"/>
      <w:bookmarkStart w:id="306" w:name="_Toc168971148"/>
      <w:bookmarkStart w:id="307" w:name="_Toc170524846"/>
      <w:bookmarkStart w:id="308" w:name="_Toc171246163"/>
      <w:r>
        <w:tab/>
        <w:t xml:space="preserve">[Section 26 amended by No. 50 of 1988 s. 13; No. 59 of 2004 s. 120(3) and 121; No. 69 of 2006 s. 30.] </w:t>
      </w:r>
    </w:p>
    <w:p>
      <w:pPr>
        <w:pStyle w:val="Heading2"/>
      </w:pPr>
      <w:bookmarkStart w:id="309" w:name="_Toc360453519"/>
      <w:bookmarkStart w:id="310" w:name="_Toc360457474"/>
      <w:bookmarkStart w:id="311" w:name="_Toc172436195"/>
      <w:bookmarkStart w:id="312" w:name="_Toc173740420"/>
      <w:bookmarkStart w:id="313" w:name="_Toc173745067"/>
      <w:bookmarkStart w:id="314" w:name="_Toc173745186"/>
      <w:bookmarkStart w:id="315" w:name="_Toc173745305"/>
      <w:bookmarkStart w:id="316" w:name="_Toc199756388"/>
      <w:bookmarkStart w:id="317" w:name="_Toc223932956"/>
      <w:bookmarkStart w:id="318" w:name="_Toc223933075"/>
      <w:bookmarkStart w:id="319" w:name="_Toc268248447"/>
      <w:bookmarkStart w:id="320" w:name="_Toc268612648"/>
      <w:bookmarkStart w:id="321" w:name="_Toc272315083"/>
      <w:bookmarkStart w:id="322" w:name="_Toc280092929"/>
      <w:bookmarkStart w:id="323" w:name="_Toc281486396"/>
      <w:bookmarkStart w:id="324" w:name="_Toc312051835"/>
      <w:bookmarkStart w:id="325" w:name="_Toc312058393"/>
      <w:bookmarkStart w:id="326" w:name="_Toc331431257"/>
      <w:bookmarkStart w:id="327" w:name="_Toc331431604"/>
      <w:bookmarkStart w:id="328" w:name="_Toc331677214"/>
      <w:r>
        <w:rPr>
          <w:rStyle w:val="CharPartNo"/>
        </w:rPr>
        <w:t>Part IV</w:t>
      </w:r>
      <w:r>
        <w:t> — </w:t>
      </w:r>
      <w:r>
        <w:rPr>
          <w:rStyle w:val="CharPartText"/>
        </w:rPr>
        <w:t>Residential tenancy agreements</w:t>
      </w:r>
      <w:bookmarkEnd w:id="309"/>
      <w:bookmarkEnd w:id="310"/>
    </w:p>
    <w:p>
      <w:pPr>
        <w:pStyle w:val="Footnoteheading"/>
      </w:pPr>
      <w:r>
        <w:tab/>
        <w:t>[Heading inserted by No. 60 of 2011 s. 21.]</w:t>
      </w:r>
    </w:p>
    <w:p>
      <w:pPr>
        <w:pStyle w:val="Heading3"/>
      </w:pPr>
      <w:bookmarkStart w:id="329" w:name="_Toc360453520"/>
      <w:bookmarkStart w:id="330" w:name="_Toc360457475"/>
      <w:bookmarkStart w:id="331" w:name="_Toc89596609"/>
      <w:bookmarkStart w:id="332" w:name="_Toc101762074"/>
      <w:bookmarkStart w:id="333" w:name="_Toc101762195"/>
      <w:bookmarkStart w:id="334" w:name="_Toc103582470"/>
      <w:bookmarkStart w:id="335" w:name="_Toc103582587"/>
      <w:bookmarkStart w:id="336" w:name="_Toc103589189"/>
      <w:bookmarkStart w:id="337" w:name="_Toc104110004"/>
      <w:bookmarkStart w:id="338" w:name="_Toc106426023"/>
      <w:bookmarkStart w:id="339" w:name="_Toc106426140"/>
      <w:bookmarkStart w:id="340" w:name="_Toc107198037"/>
      <w:bookmarkStart w:id="341" w:name="_Toc107198157"/>
      <w:bookmarkStart w:id="342" w:name="_Toc139363600"/>
      <w:bookmarkStart w:id="343" w:name="_Toc139688335"/>
      <w:bookmarkStart w:id="344" w:name="_Toc139960330"/>
      <w:bookmarkStart w:id="345" w:name="_Toc139968363"/>
      <w:bookmarkStart w:id="346" w:name="_Toc154197545"/>
      <w:bookmarkStart w:id="347" w:name="_Toc158003094"/>
      <w:bookmarkStart w:id="348" w:name="_Toc163278594"/>
      <w:bookmarkStart w:id="349" w:name="_Toc163361976"/>
      <w:bookmarkStart w:id="350" w:name="_Toc168903527"/>
      <w:bookmarkStart w:id="351" w:name="_Toc168971149"/>
      <w:bookmarkStart w:id="352" w:name="_Toc170524847"/>
      <w:bookmarkStart w:id="353" w:name="_Toc171246164"/>
      <w:bookmarkStart w:id="354" w:name="_Toc172436196"/>
      <w:bookmarkStart w:id="355" w:name="_Toc173740421"/>
      <w:bookmarkStart w:id="356" w:name="_Toc173745068"/>
      <w:bookmarkStart w:id="357" w:name="_Toc173745187"/>
      <w:bookmarkStart w:id="358" w:name="_Toc173745306"/>
      <w:bookmarkStart w:id="359" w:name="_Toc199756389"/>
      <w:bookmarkStart w:id="360" w:name="_Toc223932957"/>
      <w:bookmarkStart w:id="361" w:name="_Toc223933076"/>
      <w:bookmarkStart w:id="362" w:name="_Toc268248448"/>
      <w:bookmarkStart w:id="363" w:name="_Toc268612649"/>
      <w:bookmarkStart w:id="364" w:name="_Toc272315084"/>
      <w:bookmarkStart w:id="365" w:name="_Toc280092930"/>
      <w:bookmarkStart w:id="366" w:name="_Toc281486397"/>
      <w:bookmarkStart w:id="367" w:name="_Toc312051836"/>
      <w:bookmarkStart w:id="368" w:name="_Toc312058394"/>
      <w:bookmarkStart w:id="369" w:name="_Toc331431258"/>
      <w:bookmarkStart w:id="370" w:name="_Toc331431605"/>
      <w:bookmarkStart w:id="371" w:name="_Toc33167721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Style w:val="CharDivNo"/>
        </w:rPr>
        <w:t>Division 1A</w:t>
      </w:r>
      <w:r>
        <w:t> — </w:t>
      </w:r>
      <w:r>
        <w:rPr>
          <w:rStyle w:val="CharDivText"/>
        </w:rPr>
        <w:t>Form of residential tenancy agreement and associated documents</w:t>
      </w:r>
      <w:bookmarkEnd w:id="329"/>
      <w:bookmarkEnd w:id="330"/>
    </w:p>
    <w:p>
      <w:pPr>
        <w:pStyle w:val="Footnoteheading"/>
      </w:pPr>
      <w:bookmarkStart w:id="372" w:name="_Toc311730352"/>
      <w:r>
        <w:tab/>
        <w:t>[Heading inserted by No. 60 of 2011 s. 22.]</w:t>
      </w:r>
    </w:p>
    <w:p>
      <w:pPr>
        <w:pStyle w:val="Heading5"/>
      </w:pPr>
      <w:bookmarkStart w:id="373" w:name="_Toc360457476"/>
      <w:r>
        <w:rPr>
          <w:rStyle w:val="CharSectno"/>
        </w:rPr>
        <w:t>27A</w:t>
      </w:r>
      <w:r>
        <w:t>.</w:t>
      </w:r>
      <w:r>
        <w:tab/>
        <w:t>Written residential tenancy agreement to be in prescribed form</w:t>
      </w:r>
      <w:bookmarkEnd w:id="372"/>
      <w:bookmarkEnd w:id="373"/>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ind w:left="890" w:hanging="890"/>
      </w:pPr>
      <w:bookmarkStart w:id="374" w:name="_Toc311730353"/>
      <w:r>
        <w:tab/>
        <w:t xml:space="preserve">[Section 27A inserted by No. 60 of 2011 s. 22.] </w:t>
      </w:r>
    </w:p>
    <w:p>
      <w:pPr>
        <w:pStyle w:val="Heading5"/>
      </w:pPr>
      <w:bookmarkStart w:id="375" w:name="_Toc360457477"/>
      <w:r>
        <w:rPr>
          <w:rStyle w:val="CharSectno"/>
        </w:rPr>
        <w:t>27B</w:t>
      </w:r>
      <w:r>
        <w:t>.</w:t>
      </w:r>
      <w:r>
        <w:tab/>
        <w:t>Information to be given to tenant by lessor</w:t>
      </w:r>
      <w:bookmarkEnd w:id="374"/>
      <w:bookmarkEnd w:id="375"/>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ind w:left="890" w:hanging="890"/>
      </w:pPr>
      <w:bookmarkStart w:id="376" w:name="_Toc311730354"/>
      <w:r>
        <w:tab/>
        <w:t xml:space="preserve">[Section 27B inserted by No. 60 of 2011 s. 22.] </w:t>
      </w:r>
    </w:p>
    <w:p>
      <w:pPr>
        <w:pStyle w:val="Heading5"/>
      </w:pPr>
      <w:bookmarkStart w:id="377" w:name="_Toc360457478"/>
      <w:r>
        <w:rPr>
          <w:rStyle w:val="CharSectno"/>
        </w:rPr>
        <w:t>27C</w:t>
      </w:r>
      <w:r>
        <w:t>.</w:t>
      </w:r>
      <w:r>
        <w:tab/>
      </w:r>
      <w:r>
        <w:rPr>
          <w:snapToGrid w:val="0"/>
        </w:rPr>
        <w:t>Property condition report at start and end of tenancy</w:t>
      </w:r>
      <w:bookmarkEnd w:id="376"/>
      <w:bookmarkEnd w:id="377"/>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t xml:space="preserve">Penalty: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as soon as practicable, and in any event within 14 days, after the termination of a tenancy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t xml:space="preserve">Penalty: a fine of </w:t>
      </w:r>
      <w:r>
        <w:t>$5 000.</w:t>
      </w:r>
    </w:p>
    <w:p>
      <w:pPr>
        <w:pStyle w:val="Subsection"/>
      </w:pPr>
      <w:r>
        <w:tab/>
        <w:t>(5)</w:t>
      </w:r>
      <w:r>
        <w:tab/>
        <w:t>The tenant is to be given a reasonable opportunity to be present at the inspection conducted under subsection (4)(a).</w:t>
      </w:r>
    </w:p>
    <w:p>
      <w:pPr>
        <w:pStyle w:val="Subsection"/>
      </w:pPr>
      <w:r>
        <w:tab/>
        <w:t>(6)</w:t>
      </w:r>
      <w:r>
        <w:tab/>
        <w:t>The regulations may prescribe information that must be included in a property condition report.</w:t>
      </w:r>
    </w:p>
    <w:p>
      <w:pPr>
        <w:pStyle w:val="Footnotesection"/>
        <w:ind w:left="890" w:hanging="890"/>
      </w:pPr>
      <w:r>
        <w:tab/>
        <w:t xml:space="preserve">[Section 27C inserted by No. 60 of 2011 s. 22.] </w:t>
      </w:r>
    </w:p>
    <w:p>
      <w:pPr>
        <w:pStyle w:val="Heading3"/>
        <w:spacing w:before="120"/>
        <w:rPr>
          <w:snapToGrid w:val="0"/>
        </w:rPr>
      </w:pPr>
      <w:bookmarkStart w:id="378" w:name="_Toc360453524"/>
      <w:bookmarkStart w:id="379" w:name="_Toc360457479"/>
      <w:r>
        <w:rPr>
          <w:rStyle w:val="CharDivNo"/>
        </w:rPr>
        <w:t>Division 1</w:t>
      </w:r>
      <w:r>
        <w:rPr>
          <w:snapToGrid w:val="0"/>
        </w:rPr>
        <w:t> — </w:t>
      </w:r>
      <w:r>
        <w:rPr>
          <w:rStyle w:val="CharDivText"/>
        </w:rPr>
        <w:t>Rent and security bonds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8"/>
      <w:bookmarkEnd w:id="379"/>
    </w:p>
    <w:p>
      <w:pPr>
        <w:pStyle w:val="Heading5"/>
        <w:spacing w:before="160"/>
        <w:rPr>
          <w:snapToGrid w:val="0"/>
        </w:rPr>
      </w:pPr>
      <w:bookmarkStart w:id="380" w:name="_Toc36440994"/>
      <w:bookmarkStart w:id="381" w:name="_Toc106426141"/>
      <w:bookmarkStart w:id="382" w:name="_Toc107198158"/>
      <w:bookmarkStart w:id="383" w:name="_Toc172436197"/>
      <w:bookmarkStart w:id="384" w:name="_Toc360457480"/>
      <w:r>
        <w:rPr>
          <w:rStyle w:val="CharSectno"/>
        </w:rPr>
        <w:t>27</w:t>
      </w:r>
      <w:r>
        <w:rPr>
          <w:snapToGrid w:val="0"/>
        </w:rPr>
        <w:t>.</w:t>
      </w:r>
      <w:r>
        <w:rPr>
          <w:snapToGrid w:val="0"/>
        </w:rPr>
        <w:tab/>
        <w:t>Restriction on consideration for tenancy agreement</w:t>
      </w:r>
      <w:bookmarkEnd w:id="380"/>
      <w:bookmarkEnd w:id="381"/>
      <w:bookmarkEnd w:id="382"/>
      <w:bookmarkEnd w:id="383"/>
      <w:bookmarkEnd w:id="384"/>
      <w:r>
        <w:rPr>
          <w:snapToGrid w:val="0"/>
        </w:rPr>
        <w:t xml:space="preserve"> </w:t>
      </w:r>
    </w:p>
    <w:p>
      <w:pPr>
        <w:pStyle w:val="Subsection"/>
        <w:spacing w:line="240" w:lineRule="auto"/>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a fine of $5 000.</w:t>
      </w:r>
    </w:p>
    <w:p>
      <w:pPr>
        <w:pStyle w:val="Subsection"/>
        <w:spacing w:line="240" w:lineRule="auto"/>
        <w:rPr>
          <w:snapToGrid w:val="0"/>
        </w:rPr>
      </w:pPr>
      <w:r>
        <w:rPr>
          <w:snapToGrid w:val="0"/>
        </w:rPr>
        <w:tab/>
        <w:t>(2)</w:t>
      </w:r>
      <w:r>
        <w:rPr>
          <w:snapToGrid w:val="0"/>
        </w:rPr>
        <w:tab/>
        <w:t>Subsection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46 and 55; No. 60 of 2011 s. 23 and 89.] </w:t>
      </w:r>
    </w:p>
    <w:p>
      <w:pPr>
        <w:pStyle w:val="Heading5"/>
        <w:rPr>
          <w:snapToGrid w:val="0"/>
        </w:rPr>
      </w:pPr>
      <w:bookmarkStart w:id="385" w:name="_Toc36440995"/>
      <w:bookmarkStart w:id="386" w:name="_Toc106426142"/>
      <w:bookmarkStart w:id="387" w:name="_Toc107198159"/>
      <w:bookmarkStart w:id="388" w:name="_Toc172436198"/>
      <w:bookmarkStart w:id="389" w:name="_Toc360457481"/>
      <w:r>
        <w:rPr>
          <w:rStyle w:val="CharSectno"/>
        </w:rPr>
        <w:t>28</w:t>
      </w:r>
      <w:r>
        <w:rPr>
          <w:snapToGrid w:val="0"/>
        </w:rPr>
        <w:t>.</w:t>
      </w:r>
      <w:r>
        <w:rPr>
          <w:snapToGrid w:val="0"/>
        </w:rPr>
        <w:tab/>
        <w:t>Rent in advance</w:t>
      </w:r>
      <w:bookmarkEnd w:id="385"/>
      <w:bookmarkEnd w:id="386"/>
      <w:bookmarkEnd w:id="387"/>
      <w:bookmarkEnd w:id="388"/>
      <w:bookmarkEnd w:id="389"/>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pPr>
      <w:r>
        <w:tab/>
        <w:t>Penalty: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a fine of $5 000.</w:t>
      </w:r>
    </w:p>
    <w:p>
      <w:pPr>
        <w:pStyle w:val="Footnotesection"/>
      </w:pPr>
      <w:r>
        <w:tab/>
        <w:t xml:space="preserve">[Section 28 amended by No. 59 of 1995 s. 55; No. 60 of 2011 s. 24.] </w:t>
      </w:r>
    </w:p>
    <w:p>
      <w:pPr>
        <w:pStyle w:val="Heading5"/>
        <w:rPr>
          <w:snapToGrid w:val="0"/>
        </w:rPr>
      </w:pPr>
      <w:bookmarkStart w:id="390" w:name="_Toc36440996"/>
      <w:bookmarkStart w:id="391" w:name="_Toc106426143"/>
      <w:bookmarkStart w:id="392" w:name="_Toc107198160"/>
      <w:bookmarkStart w:id="393" w:name="_Toc172436199"/>
      <w:bookmarkStart w:id="394" w:name="_Toc360457482"/>
      <w:r>
        <w:rPr>
          <w:rStyle w:val="CharSectno"/>
        </w:rPr>
        <w:t>29</w:t>
      </w:r>
      <w:r>
        <w:rPr>
          <w:snapToGrid w:val="0"/>
        </w:rPr>
        <w:t>.</w:t>
      </w:r>
      <w:r>
        <w:rPr>
          <w:snapToGrid w:val="0"/>
        </w:rPr>
        <w:tab/>
        <w:t>Security bonds</w:t>
      </w:r>
      <w:bookmarkEnd w:id="390"/>
      <w:bookmarkEnd w:id="391"/>
      <w:bookmarkEnd w:id="392"/>
      <w:bookmarkEnd w:id="393"/>
      <w:bookmarkEnd w:id="394"/>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 guide dog as defined in the </w:t>
      </w:r>
      <w:r>
        <w:rPr>
          <w:i/>
          <w:iCs/>
        </w:rPr>
        <w:t>Dog Act 1976</w:t>
      </w:r>
      <w:r>
        <w:t xml:space="preserve"> section 3(1);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rPr>
          <w:snapToGrid w:val="0"/>
        </w:rPr>
      </w:pPr>
      <w:r>
        <w:rPr>
          <w:snapToGrid w:val="0"/>
        </w:rPr>
        <w:tab/>
        <w:t>[(d)</w:t>
      </w:r>
      <w:r>
        <w:rPr>
          <w:snapToGrid w:val="0"/>
        </w:rPr>
        <w:tab/>
        <w:t>deleted]</w:t>
      </w:r>
    </w:p>
    <w:p>
      <w:pPr>
        <w:pStyle w:val="Penstart"/>
      </w:pPr>
      <w:r>
        <w:tab/>
        <w:t>Penalty: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a fine of $5 000.</w:t>
      </w:r>
    </w:p>
    <w:p>
      <w:pPr>
        <w:pStyle w:val="Subsection"/>
      </w:pPr>
      <w:bookmarkStart w:id="395" w:name="_Toc36440997"/>
      <w:bookmarkStart w:id="396" w:name="_Toc106426144"/>
      <w:bookmarkStart w:id="397" w:name="_Toc107198161"/>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a fine of $5 000.</w:t>
      </w:r>
    </w:p>
    <w:p>
      <w:pPr>
        <w:pStyle w:val="Footnotesection"/>
      </w:pPr>
      <w:r>
        <w:tab/>
        <w:t xml:space="preserve">[Section 29 amended by No. 59 of 1995 s. 47 and 55; No. 69 of 2006 s. 31; No. 60 of 2011 s. 25.] </w:t>
      </w:r>
    </w:p>
    <w:p>
      <w:pPr>
        <w:pStyle w:val="Ednotesection"/>
      </w:pPr>
      <w:bookmarkStart w:id="398" w:name="_Toc172436200"/>
      <w:r>
        <w:t>[</w:t>
      </w:r>
      <w:r>
        <w:rPr>
          <w:b/>
        </w:rPr>
        <w:t>29A.</w:t>
      </w:r>
      <w:r>
        <w:tab/>
        <w:t>Deleted by No. 60 of 2011 s. 26.]</w:t>
      </w:r>
    </w:p>
    <w:p>
      <w:pPr>
        <w:pStyle w:val="Heading5"/>
        <w:rPr>
          <w:snapToGrid w:val="0"/>
        </w:rPr>
      </w:pPr>
      <w:bookmarkStart w:id="399" w:name="_Toc36440998"/>
      <w:bookmarkStart w:id="400" w:name="_Toc106426145"/>
      <w:bookmarkStart w:id="401" w:name="_Toc107198162"/>
      <w:bookmarkStart w:id="402" w:name="_Toc172436201"/>
      <w:bookmarkStart w:id="403" w:name="_Toc360457483"/>
      <w:bookmarkEnd w:id="395"/>
      <w:bookmarkEnd w:id="396"/>
      <w:bookmarkEnd w:id="397"/>
      <w:bookmarkEnd w:id="398"/>
      <w:r>
        <w:rPr>
          <w:rStyle w:val="CharSectno"/>
        </w:rPr>
        <w:t>30</w:t>
      </w:r>
      <w:r>
        <w:rPr>
          <w:snapToGrid w:val="0"/>
        </w:rPr>
        <w:t>.</w:t>
      </w:r>
      <w:r>
        <w:rPr>
          <w:snapToGrid w:val="0"/>
        </w:rPr>
        <w:tab/>
        <w:t>Variation of rent (except where calculated by reference to tenant’s income)</w:t>
      </w:r>
      <w:bookmarkEnd w:id="399"/>
      <w:bookmarkEnd w:id="400"/>
      <w:bookmarkEnd w:id="401"/>
      <w:bookmarkEnd w:id="402"/>
      <w:bookmarkEnd w:id="403"/>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bookmarkStart w:id="404" w:name="_Toc36440999"/>
      <w:bookmarkStart w:id="405" w:name="_Toc106426146"/>
      <w:bookmarkStart w:id="406" w:name="_Toc107198163"/>
      <w:bookmarkStart w:id="407" w:name="_Toc172436202"/>
      <w:r>
        <w:tab/>
        <w:t xml:space="preserve">[Section 30 amended by No. 60 of 2011 s. 27, 88 and 89.] </w:t>
      </w:r>
    </w:p>
    <w:p>
      <w:pPr>
        <w:pStyle w:val="Heading5"/>
      </w:pPr>
      <w:bookmarkStart w:id="408" w:name="_Toc311730361"/>
      <w:bookmarkStart w:id="409" w:name="_Toc360457484"/>
      <w:r>
        <w:rPr>
          <w:rStyle w:val="CharSectno"/>
        </w:rPr>
        <w:t>31A</w:t>
      </w:r>
      <w:r>
        <w:t>.</w:t>
      </w:r>
      <w:r>
        <w:tab/>
        <w:t>Variation of rent where calculated by reference to tenant’s income</w:t>
      </w:r>
      <w:bookmarkEnd w:id="408"/>
      <w:bookmarkEnd w:id="409"/>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bookmarkStart w:id="410" w:name="_Toc311730362"/>
      <w:r>
        <w:tab/>
        <w:t xml:space="preserve">[Section 31A inserted by No. 60 of 2011 s. 28.] </w:t>
      </w:r>
    </w:p>
    <w:p>
      <w:pPr>
        <w:pStyle w:val="Heading5"/>
      </w:pPr>
      <w:bookmarkStart w:id="411" w:name="_Toc360457485"/>
      <w:r>
        <w:rPr>
          <w:rStyle w:val="CharSectno"/>
        </w:rPr>
        <w:t>31B</w:t>
      </w:r>
      <w:r>
        <w:t>.</w:t>
      </w:r>
      <w:r>
        <w:tab/>
        <w:t>Increase in rent after renegotiating lease</w:t>
      </w:r>
      <w:bookmarkEnd w:id="410"/>
      <w:bookmarkEnd w:id="411"/>
    </w:p>
    <w:p>
      <w:pPr>
        <w:pStyle w:val="Subsection"/>
      </w:pPr>
      <w:r>
        <w:tab/>
      </w:r>
      <w:r>
        <w:tab/>
        <w:t xml:space="preserve">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r>
      <w:r>
        <w:tab/>
        <w:t>then, during the first 30 days after the new agreement was entered into, the tenant cannot be required under the new agreement to pay an amount of rent more than the amount payable under the former agreement.</w:t>
      </w:r>
    </w:p>
    <w:p>
      <w:pPr>
        <w:pStyle w:val="Footnotesection"/>
      </w:pPr>
      <w:r>
        <w:tab/>
        <w:t xml:space="preserve">[Section 31B  inserted by No. 60 of 2011 s. 28.] </w:t>
      </w:r>
    </w:p>
    <w:p>
      <w:pPr>
        <w:pStyle w:val="Heading5"/>
        <w:rPr>
          <w:snapToGrid w:val="0"/>
        </w:rPr>
      </w:pPr>
      <w:bookmarkStart w:id="412" w:name="_Toc360457486"/>
      <w:r>
        <w:rPr>
          <w:rStyle w:val="CharSectno"/>
        </w:rPr>
        <w:t>31</w:t>
      </w:r>
      <w:r>
        <w:rPr>
          <w:snapToGrid w:val="0"/>
        </w:rPr>
        <w:t>.</w:t>
      </w:r>
      <w:r>
        <w:rPr>
          <w:snapToGrid w:val="0"/>
        </w:rPr>
        <w:tab/>
        <w:t>Increase in security bond</w:t>
      </w:r>
      <w:bookmarkEnd w:id="404"/>
      <w:bookmarkEnd w:id="405"/>
      <w:bookmarkEnd w:id="406"/>
      <w:bookmarkEnd w:id="407"/>
      <w:bookmarkEnd w:id="412"/>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section 30, 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rPr>
          <w:snapToGrid w:val="0"/>
        </w:rPr>
      </w:pPr>
      <w:r>
        <w:rPr>
          <w:snapToGrid w:val="0"/>
        </w:rPr>
        <w:tab/>
        <w:t>(a)</w:t>
      </w:r>
      <w:r>
        <w:rPr>
          <w:snapToGrid w:val="0"/>
        </w:rPr>
        <w:tab/>
        <w:t>4 weeks’ rent under the residential tenancy agreement at the time at which the amount of the increase would be payable; and</w:t>
      </w:r>
    </w:p>
    <w:p>
      <w:pPr>
        <w:pStyle w:val="Indenta"/>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bookmarkStart w:id="413" w:name="_Toc36441000"/>
      <w:bookmarkStart w:id="414" w:name="_Toc106426147"/>
      <w:bookmarkStart w:id="415" w:name="_Toc107198164"/>
      <w:bookmarkStart w:id="416" w:name="_Toc172436203"/>
      <w:r>
        <w:tab/>
        <w:t xml:space="preserve">[Section 31 amended by No. 60 of 2011 s. 29 and 89.] </w:t>
      </w:r>
    </w:p>
    <w:p>
      <w:pPr>
        <w:pStyle w:val="Heading5"/>
        <w:rPr>
          <w:snapToGrid w:val="0"/>
        </w:rPr>
      </w:pPr>
      <w:bookmarkStart w:id="417" w:name="_Toc360457487"/>
      <w:r>
        <w:rPr>
          <w:rStyle w:val="CharSectno"/>
        </w:rPr>
        <w:t>32</w:t>
      </w:r>
      <w:r>
        <w:rPr>
          <w:snapToGrid w:val="0"/>
        </w:rPr>
        <w:t>.</w:t>
      </w:r>
      <w:r>
        <w:rPr>
          <w:snapToGrid w:val="0"/>
        </w:rPr>
        <w:tab/>
        <w:t>Limitation of excessive rents in certain circumstances</w:t>
      </w:r>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a fine of $5 000.</w:t>
      </w:r>
    </w:p>
    <w:p>
      <w:pPr>
        <w:pStyle w:val="Footnotesection"/>
      </w:pPr>
      <w:r>
        <w:tab/>
        <w:t xml:space="preserve">[Section 32 amended by No. 50 of 1988 s. 18; No. 59 of 2004 s. 120 and 121; No. 60 of 2011 s. 30 and 89.] </w:t>
      </w:r>
    </w:p>
    <w:p>
      <w:pPr>
        <w:pStyle w:val="Heading5"/>
        <w:rPr>
          <w:snapToGrid w:val="0"/>
        </w:rPr>
      </w:pPr>
      <w:bookmarkStart w:id="418" w:name="_Toc36441001"/>
      <w:bookmarkStart w:id="419" w:name="_Toc106426148"/>
      <w:bookmarkStart w:id="420" w:name="_Toc107198165"/>
      <w:bookmarkStart w:id="421" w:name="_Toc172436204"/>
      <w:bookmarkStart w:id="422" w:name="_Toc360457488"/>
      <w:r>
        <w:rPr>
          <w:rStyle w:val="CharSectno"/>
        </w:rPr>
        <w:t>33</w:t>
      </w:r>
      <w:r>
        <w:rPr>
          <w:snapToGrid w:val="0"/>
        </w:rPr>
        <w:t>.</w:t>
      </w:r>
      <w:r>
        <w:rPr>
          <w:snapToGrid w:val="0"/>
        </w:rPr>
        <w:tab/>
        <w:t>Duty to give receipt for rent</w:t>
      </w:r>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No. 60 of 2011 s. 31, 88 and 89.] </w:t>
      </w:r>
    </w:p>
    <w:p>
      <w:pPr>
        <w:pStyle w:val="Heading5"/>
      </w:pPr>
      <w:bookmarkStart w:id="423" w:name="_Toc311730367"/>
      <w:bookmarkStart w:id="424" w:name="_Toc360457489"/>
      <w:bookmarkStart w:id="425" w:name="_Toc36441002"/>
      <w:bookmarkStart w:id="426" w:name="_Toc106426149"/>
      <w:bookmarkStart w:id="427" w:name="_Toc107198166"/>
      <w:bookmarkStart w:id="428" w:name="_Toc172436205"/>
      <w:r>
        <w:rPr>
          <w:rStyle w:val="CharSectno"/>
        </w:rPr>
        <w:t>34A</w:t>
      </w:r>
      <w:r>
        <w:t>.</w:t>
      </w:r>
      <w:r>
        <w:tab/>
        <w:t>Manner of payment of rent</w:t>
      </w:r>
      <w:bookmarkEnd w:id="423"/>
      <w:bookmarkEnd w:id="424"/>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by No. 60 of 2011 s. 32.] </w:t>
      </w:r>
    </w:p>
    <w:p>
      <w:pPr>
        <w:pStyle w:val="Heading5"/>
        <w:rPr>
          <w:snapToGrid w:val="0"/>
        </w:rPr>
      </w:pPr>
      <w:bookmarkStart w:id="429" w:name="_Toc360457490"/>
      <w:r>
        <w:rPr>
          <w:rStyle w:val="CharSectno"/>
        </w:rPr>
        <w:t>34</w:t>
      </w:r>
      <w:r>
        <w:rPr>
          <w:snapToGrid w:val="0"/>
        </w:rPr>
        <w:t>.</w:t>
      </w:r>
      <w:r>
        <w:rPr>
          <w:snapToGrid w:val="0"/>
        </w:rPr>
        <w:tab/>
        <w:t>Proper records of rent to be kept</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a fine of $5 000.</w:t>
      </w:r>
    </w:p>
    <w:p>
      <w:pPr>
        <w:pStyle w:val="Subsection"/>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a fine of $5 000.</w:t>
      </w:r>
    </w:p>
    <w:p>
      <w:pPr>
        <w:pStyle w:val="Footnotesection"/>
      </w:pPr>
      <w:r>
        <w:tab/>
        <w:t xml:space="preserve">[Section 34 amended by No. 59 of 1995 s. 55; No. 60 of 2011 s. 33 and 89.] </w:t>
      </w:r>
    </w:p>
    <w:p>
      <w:pPr>
        <w:pStyle w:val="Heading5"/>
        <w:rPr>
          <w:snapToGrid w:val="0"/>
        </w:rPr>
      </w:pPr>
      <w:bookmarkStart w:id="430" w:name="_Toc36441003"/>
      <w:bookmarkStart w:id="431" w:name="_Toc106426150"/>
      <w:bookmarkStart w:id="432" w:name="_Toc107198167"/>
      <w:bookmarkStart w:id="433" w:name="_Toc172436206"/>
      <w:bookmarkStart w:id="434" w:name="_Toc360457491"/>
      <w:r>
        <w:rPr>
          <w:rStyle w:val="CharSectno"/>
        </w:rPr>
        <w:t>35</w:t>
      </w:r>
      <w:r>
        <w:rPr>
          <w:snapToGrid w:val="0"/>
        </w:rPr>
        <w:t>.</w:t>
      </w:r>
      <w:r>
        <w:rPr>
          <w:snapToGrid w:val="0"/>
        </w:rPr>
        <w:tab/>
        <w:t>Payment of rent by post</w:t>
      </w:r>
      <w:r>
        <w:rPr>
          <w:snapToGrid w:val="0"/>
        </w:rPr>
        <w:noBreakHyphen/>
        <w:t>dated cheques etc. prohibited</w:t>
      </w:r>
      <w:bookmarkEnd w:id="430"/>
      <w:bookmarkEnd w:id="431"/>
      <w:bookmarkEnd w:id="432"/>
      <w:bookmarkEnd w:id="433"/>
      <w:bookmarkEnd w:id="434"/>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by No. 59 of 1995 s. 55; No. 60 of 2011 s. 34.] </w:t>
      </w:r>
    </w:p>
    <w:p>
      <w:pPr>
        <w:pStyle w:val="Heading5"/>
        <w:rPr>
          <w:snapToGrid w:val="0"/>
        </w:rPr>
      </w:pPr>
      <w:bookmarkStart w:id="435" w:name="_Toc36441004"/>
      <w:bookmarkStart w:id="436" w:name="_Toc106426151"/>
      <w:bookmarkStart w:id="437" w:name="_Toc107198168"/>
      <w:bookmarkStart w:id="438" w:name="_Toc172436207"/>
      <w:bookmarkStart w:id="439" w:name="_Toc360457492"/>
      <w:r>
        <w:rPr>
          <w:rStyle w:val="CharSectno"/>
        </w:rPr>
        <w:t>36</w:t>
      </w:r>
      <w:r>
        <w:rPr>
          <w:snapToGrid w:val="0"/>
        </w:rPr>
        <w:t>.</w:t>
      </w:r>
      <w:r>
        <w:rPr>
          <w:snapToGrid w:val="0"/>
        </w:rPr>
        <w:tab/>
        <w:t>Apportionment of rent</w:t>
      </w:r>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440" w:name="_Toc89596621"/>
      <w:bookmarkStart w:id="441" w:name="_Toc101762086"/>
      <w:bookmarkStart w:id="442" w:name="_Toc101762207"/>
      <w:bookmarkStart w:id="443" w:name="_Toc103582482"/>
      <w:bookmarkStart w:id="444" w:name="_Toc103582599"/>
      <w:bookmarkStart w:id="445" w:name="_Toc103589201"/>
      <w:bookmarkStart w:id="446" w:name="_Toc104110016"/>
      <w:bookmarkStart w:id="447" w:name="_Toc106426035"/>
      <w:bookmarkStart w:id="448" w:name="_Toc106426152"/>
      <w:bookmarkStart w:id="449" w:name="_Toc107198049"/>
      <w:bookmarkStart w:id="450" w:name="_Toc107198169"/>
      <w:bookmarkStart w:id="451" w:name="_Toc139363612"/>
      <w:bookmarkStart w:id="452" w:name="_Toc139688347"/>
      <w:bookmarkStart w:id="453" w:name="_Toc139960342"/>
      <w:bookmarkStart w:id="454" w:name="_Toc139968375"/>
      <w:bookmarkStart w:id="455" w:name="_Toc154197557"/>
      <w:bookmarkStart w:id="456" w:name="_Toc158003106"/>
      <w:bookmarkStart w:id="457" w:name="_Toc163278606"/>
      <w:bookmarkStart w:id="458" w:name="_Toc163361988"/>
      <w:bookmarkStart w:id="459" w:name="_Toc168903539"/>
      <w:bookmarkStart w:id="460" w:name="_Toc168971161"/>
      <w:bookmarkStart w:id="461" w:name="_Toc170524859"/>
      <w:bookmarkStart w:id="462" w:name="_Toc171246176"/>
      <w:bookmarkStart w:id="463" w:name="_Toc172436208"/>
      <w:bookmarkStart w:id="464" w:name="_Toc173740433"/>
      <w:bookmarkStart w:id="465" w:name="_Toc173745080"/>
      <w:bookmarkStart w:id="466" w:name="_Toc173745199"/>
      <w:bookmarkStart w:id="467" w:name="_Toc173745318"/>
      <w:bookmarkStart w:id="468" w:name="_Toc199756401"/>
      <w:bookmarkStart w:id="469" w:name="_Toc223932969"/>
      <w:bookmarkStart w:id="470" w:name="_Toc223933088"/>
      <w:bookmarkStart w:id="471" w:name="_Toc268248460"/>
      <w:bookmarkStart w:id="472" w:name="_Toc268612661"/>
      <w:bookmarkStart w:id="473" w:name="_Toc272315096"/>
      <w:bookmarkStart w:id="474" w:name="_Toc280092942"/>
      <w:bookmarkStart w:id="475" w:name="_Toc281486409"/>
      <w:bookmarkStart w:id="476" w:name="_Toc312051848"/>
      <w:bookmarkStart w:id="477" w:name="_Toc312058406"/>
      <w:bookmarkStart w:id="478" w:name="_Toc331431270"/>
      <w:bookmarkStart w:id="479" w:name="_Toc331431617"/>
      <w:bookmarkStart w:id="480" w:name="_Toc331677227"/>
      <w:bookmarkStart w:id="481" w:name="_Toc360453538"/>
      <w:bookmarkStart w:id="482" w:name="_Toc360457493"/>
      <w:r>
        <w:rPr>
          <w:rStyle w:val="CharDivNo"/>
        </w:rPr>
        <w:t>Division 2</w:t>
      </w:r>
      <w:r>
        <w:rPr>
          <w:snapToGrid w:val="0"/>
        </w:rPr>
        <w:t> — </w:t>
      </w:r>
      <w:r>
        <w:rPr>
          <w:rStyle w:val="CharDivText"/>
        </w:rPr>
        <w:t>Standard terms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Footnoteheading"/>
      </w:pPr>
      <w:bookmarkStart w:id="483" w:name="_Toc36441005"/>
      <w:bookmarkStart w:id="484" w:name="_Toc106426153"/>
      <w:bookmarkStart w:id="485" w:name="_Toc107198170"/>
      <w:bookmarkStart w:id="486" w:name="_Toc172436209"/>
      <w:r>
        <w:tab/>
        <w:t>[Heading amended by No. 60 of 2011 s. 35.]</w:t>
      </w:r>
    </w:p>
    <w:p>
      <w:pPr>
        <w:pStyle w:val="Ednotesection"/>
      </w:pPr>
      <w:r>
        <w:t>[</w:t>
      </w:r>
      <w:r>
        <w:rPr>
          <w:b/>
        </w:rPr>
        <w:t>37.</w:t>
      </w:r>
      <w:r>
        <w:tab/>
        <w:t>Deleted by No. 60 of 2011 s. 36.]</w:t>
      </w:r>
    </w:p>
    <w:p>
      <w:pPr>
        <w:pStyle w:val="Heading5"/>
        <w:rPr>
          <w:snapToGrid w:val="0"/>
        </w:rPr>
      </w:pPr>
      <w:bookmarkStart w:id="487" w:name="_Toc36441006"/>
      <w:bookmarkStart w:id="488" w:name="_Toc106426154"/>
      <w:bookmarkStart w:id="489" w:name="_Toc107198171"/>
      <w:bookmarkStart w:id="490" w:name="_Toc172436210"/>
      <w:bookmarkStart w:id="491" w:name="_Toc360457494"/>
      <w:bookmarkEnd w:id="483"/>
      <w:bookmarkEnd w:id="484"/>
      <w:bookmarkEnd w:id="485"/>
      <w:bookmarkEnd w:id="486"/>
      <w:r>
        <w:rPr>
          <w:rStyle w:val="CharSectno"/>
        </w:rPr>
        <w:t>38</w:t>
      </w:r>
      <w:r>
        <w:rPr>
          <w:snapToGrid w:val="0"/>
        </w:rPr>
        <w:t>.</w:t>
      </w:r>
      <w:r>
        <w:rPr>
          <w:snapToGrid w:val="0"/>
        </w:rPr>
        <w:tab/>
        <w:t>Tenant’s responsibility for cleanliness and damage</w:t>
      </w:r>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bookmarkStart w:id="492" w:name="_Toc36441007"/>
      <w:bookmarkStart w:id="493" w:name="_Toc106426155"/>
      <w:bookmarkStart w:id="494" w:name="_Toc107198172"/>
      <w:bookmarkStart w:id="495" w:name="_Toc172436211"/>
      <w:r>
        <w:tab/>
        <w:t>[Section 38 amended by No. 60 of 2011 s. 37 and 89.]</w:t>
      </w:r>
    </w:p>
    <w:p>
      <w:pPr>
        <w:pStyle w:val="Heading5"/>
        <w:rPr>
          <w:snapToGrid w:val="0"/>
        </w:rPr>
      </w:pPr>
      <w:bookmarkStart w:id="496" w:name="_Toc360457495"/>
      <w:r>
        <w:rPr>
          <w:rStyle w:val="CharSectno"/>
        </w:rPr>
        <w:t>39</w:t>
      </w:r>
      <w:r>
        <w:rPr>
          <w:snapToGrid w:val="0"/>
        </w:rPr>
        <w:t>.</w:t>
      </w:r>
      <w:r>
        <w:rPr>
          <w:snapToGrid w:val="0"/>
        </w:rPr>
        <w:tab/>
        <w:t>Tenant’s conduct on premises</w:t>
      </w:r>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bookmarkStart w:id="497" w:name="_Toc36441008"/>
      <w:bookmarkStart w:id="498" w:name="_Toc106426156"/>
      <w:bookmarkStart w:id="499" w:name="_Toc107198173"/>
      <w:bookmarkStart w:id="500" w:name="_Toc172436212"/>
      <w:r>
        <w:tab/>
        <w:t>[Section 39 amended by No. 60 of 2011 s. 38.]</w:t>
      </w:r>
    </w:p>
    <w:p>
      <w:pPr>
        <w:pStyle w:val="Heading5"/>
      </w:pPr>
      <w:bookmarkStart w:id="501" w:name="_Toc311730375"/>
      <w:bookmarkStart w:id="502" w:name="_Toc360457496"/>
      <w:r>
        <w:rPr>
          <w:rStyle w:val="CharSectno"/>
        </w:rPr>
        <w:t>40</w:t>
      </w:r>
      <w:r>
        <w:t>.</w:t>
      </w:r>
      <w:r>
        <w:tab/>
        <w:t>Vacant possession</w:t>
      </w:r>
      <w:bookmarkEnd w:id="501"/>
      <w:bookmarkEnd w:id="502"/>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by No. 60 of 2011 s. 39.]</w:t>
      </w:r>
    </w:p>
    <w:p>
      <w:pPr>
        <w:pStyle w:val="Heading5"/>
        <w:rPr>
          <w:snapToGrid w:val="0"/>
        </w:rPr>
      </w:pPr>
      <w:bookmarkStart w:id="503" w:name="_Toc36441009"/>
      <w:bookmarkStart w:id="504" w:name="_Toc106426157"/>
      <w:bookmarkStart w:id="505" w:name="_Toc107198174"/>
      <w:bookmarkStart w:id="506" w:name="_Toc172436213"/>
      <w:bookmarkStart w:id="507" w:name="_Toc360457497"/>
      <w:bookmarkEnd w:id="497"/>
      <w:bookmarkEnd w:id="498"/>
      <w:bookmarkEnd w:id="499"/>
      <w:bookmarkEnd w:id="500"/>
      <w:r>
        <w:rPr>
          <w:rStyle w:val="CharSectno"/>
        </w:rPr>
        <w:t>41</w:t>
      </w:r>
      <w:r>
        <w:rPr>
          <w:snapToGrid w:val="0"/>
        </w:rPr>
        <w:t>.</w:t>
      </w:r>
      <w:r>
        <w:rPr>
          <w:snapToGrid w:val="0"/>
        </w:rPr>
        <w:tab/>
        <w:t>Legal impediments to occupation as residence</w:t>
      </w:r>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period of the tenancy.</w:t>
      </w:r>
    </w:p>
    <w:p>
      <w:pPr>
        <w:pStyle w:val="Footnotesection"/>
      </w:pPr>
      <w:bookmarkStart w:id="508" w:name="_Toc36441010"/>
      <w:bookmarkStart w:id="509" w:name="_Toc106426158"/>
      <w:bookmarkStart w:id="510" w:name="_Toc107198175"/>
      <w:bookmarkStart w:id="511" w:name="_Toc172436214"/>
      <w:r>
        <w:tab/>
        <w:t>[Section 41 amended by No. 60 of 2011 s. 40 and 89.]</w:t>
      </w:r>
    </w:p>
    <w:p>
      <w:pPr>
        <w:pStyle w:val="Heading5"/>
      </w:pPr>
      <w:bookmarkStart w:id="512" w:name="_Toc311730378"/>
      <w:bookmarkStart w:id="513" w:name="_Toc360457498"/>
      <w:r>
        <w:rPr>
          <w:rStyle w:val="CharSectno"/>
        </w:rPr>
        <w:t>42</w:t>
      </w:r>
      <w:r>
        <w:t>.</w:t>
      </w:r>
      <w:r>
        <w:tab/>
        <w:t>Lessor’s responsibility for cleanliness and repairs</w:t>
      </w:r>
      <w:bookmarkEnd w:id="512"/>
      <w:bookmarkEnd w:id="513"/>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bookmarkStart w:id="514" w:name="_Toc311730379"/>
      <w:r>
        <w:tab/>
        <w:t>[Section 42 inserted by No. 60 of 2011 s. 41.]</w:t>
      </w:r>
    </w:p>
    <w:p>
      <w:pPr>
        <w:pStyle w:val="Heading5"/>
      </w:pPr>
      <w:bookmarkStart w:id="515" w:name="_Toc360457499"/>
      <w:r>
        <w:t>43.</w:t>
      </w:r>
      <w:r>
        <w:tab/>
        <w:t>Urgent repairs</w:t>
      </w:r>
      <w:bookmarkEnd w:id="514"/>
      <w:bookmarkEnd w:id="515"/>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in the regulations as an essential service — 24 hours; or</w:t>
      </w:r>
    </w:p>
    <w:p>
      <w:pPr>
        <w:pStyle w:val="Defpara"/>
      </w:pPr>
      <w:r>
        <w:tab/>
        <w:t>(b)</w:t>
      </w:r>
      <w:r>
        <w:tab/>
        <w:t>in relation to any other urgent repairs — 48 hours or any longer period prescribed in the regulations;</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in the regulations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bookmarkStart w:id="516" w:name="_Toc311730380"/>
      <w:r>
        <w:tab/>
        <w:t>[Section 43 inserted by No. 60 of 2011 s. 41.]</w:t>
      </w:r>
    </w:p>
    <w:p>
      <w:pPr>
        <w:pStyle w:val="Heading5"/>
      </w:pPr>
      <w:bookmarkStart w:id="517" w:name="_Toc360457500"/>
      <w:r>
        <w:rPr>
          <w:rStyle w:val="CharSectno"/>
        </w:rPr>
        <w:t>44</w:t>
      </w:r>
      <w:r>
        <w:t>.</w:t>
      </w:r>
      <w:r>
        <w:tab/>
        <w:t>Quiet enjoyment</w:t>
      </w:r>
      <w:bookmarkEnd w:id="516"/>
      <w:bookmarkEnd w:id="517"/>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pPr>
      <w:r>
        <w:tab/>
        <w:t>(a)</w:t>
      </w:r>
      <w:r>
        <w:tab/>
        <w:t>that the tenant is to have quiet enjoyment of the premises without interruption by the lessor or any person claiming by, through or under the lessor or having superior title to that of the lessor; and</w:t>
      </w:r>
    </w:p>
    <w:p>
      <w:pPr>
        <w:pStyle w:val="Indenta"/>
      </w:pPr>
      <w:r>
        <w:tab/>
        <w:t>(b)</w:t>
      </w:r>
      <w:r>
        <w:tab/>
        <w:t>that the lessor must not cause or permit any interference with the reasonable peace, comfort or privacy of the tenant in the use by the tenant of the premises; and</w:t>
      </w:r>
    </w:p>
    <w:p>
      <w:pPr>
        <w:pStyle w:val="Indenta"/>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pPr>
      <w:bookmarkStart w:id="518" w:name="_Toc311730381"/>
      <w:r>
        <w:tab/>
        <w:t>[Section 44 inserted by No. 60 of 2011 s. 41.]</w:t>
      </w:r>
    </w:p>
    <w:p>
      <w:pPr>
        <w:pStyle w:val="Heading5"/>
      </w:pPr>
      <w:bookmarkStart w:id="519" w:name="_Toc360457501"/>
      <w:r>
        <w:rPr>
          <w:rStyle w:val="CharSectno"/>
        </w:rPr>
        <w:t>45</w:t>
      </w:r>
      <w:r>
        <w:t>.</w:t>
      </w:r>
      <w:r>
        <w:tab/>
        <w:t>Securing premises</w:t>
      </w:r>
      <w:bookmarkEnd w:id="518"/>
      <w:bookmarkEnd w:id="519"/>
    </w:p>
    <w:p>
      <w:pPr>
        <w:pStyle w:val="Subsection"/>
      </w:pPr>
      <w:r>
        <w:tab/>
      </w:r>
      <w:r>
        <w:tab/>
        <w:t xml:space="preserve">It is a term of every residential tenancy agreement — </w:t>
      </w:r>
    </w:p>
    <w:p>
      <w:pPr>
        <w:pStyle w:val="Indenta"/>
      </w:pPr>
      <w:r>
        <w:tab/>
        <w:t>(a)</w:t>
      </w:r>
      <w:r>
        <w:tab/>
      </w:r>
      <w:r>
        <w:rPr>
          <w:snapToGrid w:val="0"/>
        </w:rPr>
        <w:t>that the lessor must provide and maintain such means to ensure that the residential premises are reasonably secure as are prescribed in the regulations; and</w:t>
      </w:r>
    </w:p>
    <w:p>
      <w:pPr>
        <w:pStyle w:val="Indenta"/>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pPr>
      <w:r>
        <w:tab/>
        <w:t>(c)</w:t>
      </w:r>
      <w:r>
        <w:tab/>
        <w:t>that the lessor or the tenant must not unreasonably withhold the consent referred to in paragraph (b).</w:t>
      </w:r>
    </w:p>
    <w:p>
      <w:pPr>
        <w:pStyle w:val="Footnotesection"/>
      </w:pPr>
      <w:bookmarkStart w:id="520" w:name="_Toc311730382"/>
      <w:r>
        <w:tab/>
        <w:t>[Section 45 inserted by No. 60 of 2011 s. 41.]</w:t>
      </w:r>
    </w:p>
    <w:p>
      <w:pPr>
        <w:pStyle w:val="Heading5"/>
      </w:pPr>
      <w:bookmarkStart w:id="521" w:name="_Toc360457502"/>
      <w:r>
        <w:rPr>
          <w:rStyle w:val="CharSectno"/>
        </w:rPr>
        <w:t>46</w:t>
      </w:r>
      <w:r>
        <w:t>.</w:t>
      </w:r>
      <w:r>
        <w:tab/>
        <w:t>Lessor’s right of entry</w:t>
      </w:r>
      <w:bookmarkEnd w:id="520"/>
      <w:bookmarkEnd w:id="521"/>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premises</w:t>
      </w:r>
      <w:r>
        <w:t xml:space="preserve"> means any part of the premises in respect of which the tenant has a right of exclusive occupation;</w:t>
      </w:r>
    </w:p>
    <w:p>
      <w:pPr>
        <w:pStyle w:val="Defstart"/>
      </w:pPr>
      <w:r>
        <w:tab/>
      </w:r>
      <w:r>
        <w:rPr>
          <w:rStyle w:val="CharDefText"/>
        </w:rPr>
        <w:t>reasonable time</w:t>
      </w:r>
      <w:r>
        <w:t xml:space="preserve"> means — </w:t>
      </w:r>
    </w:p>
    <w:p>
      <w:pPr>
        <w:pStyle w:val="Defpara"/>
      </w:pPr>
      <w:r>
        <w:tab/>
        <w:t>(a)</w:t>
      </w:r>
      <w:r>
        <w:tab/>
        <w:t>between 8.00 a.m. and 6.00 p.m. on a weekday; or</w:t>
      </w:r>
    </w:p>
    <w:p>
      <w:pPr>
        <w:pStyle w:val="Defpara"/>
      </w:pPr>
      <w:r>
        <w:tab/>
        <w:t>(b)</w:t>
      </w:r>
      <w:r>
        <w:tab/>
        <w:t>between 9.00 a.m. and 5.00 p.m. on a Saturday; or</w:t>
      </w:r>
    </w:p>
    <w:p>
      <w:pPr>
        <w:pStyle w:val="Defpara"/>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before the lessor gives notice under subsection (2) of a proposed entry to the premises,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by No. 60 of 2011 s. 41.]</w:t>
      </w:r>
    </w:p>
    <w:p>
      <w:pPr>
        <w:pStyle w:val="Heading5"/>
        <w:rPr>
          <w:snapToGrid w:val="0"/>
        </w:rPr>
      </w:pPr>
      <w:bookmarkStart w:id="522" w:name="_Toc36441015"/>
      <w:bookmarkStart w:id="523" w:name="_Toc106426163"/>
      <w:bookmarkStart w:id="524" w:name="_Toc107198180"/>
      <w:bookmarkStart w:id="525" w:name="_Toc172436219"/>
      <w:bookmarkStart w:id="526" w:name="_Toc360457503"/>
      <w:bookmarkEnd w:id="508"/>
      <w:bookmarkEnd w:id="509"/>
      <w:bookmarkEnd w:id="510"/>
      <w:bookmarkEnd w:id="511"/>
      <w:r>
        <w:rPr>
          <w:rStyle w:val="CharSectno"/>
        </w:rPr>
        <w:t>47</w:t>
      </w:r>
      <w:r>
        <w:rPr>
          <w:snapToGrid w:val="0"/>
        </w:rPr>
        <w:t>.</w:t>
      </w:r>
      <w:r>
        <w:rPr>
          <w:snapToGrid w:val="0"/>
        </w:rPr>
        <w:tab/>
        <w:t>Right of tenant to affix and remove fixtures etc.</w:t>
      </w:r>
      <w:bookmarkEnd w:id="522"/>
      <w:bookmarkEnd w:id="523"/>
      <w:bookmarkEnd w:id="524"/>
      <w:bookmarkEnd w:id="525"/>
      <w:bookmarkEnd w:id="526"/>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w:t>
      </w:r>
    </w:p>
    <w:p>
      <w:pPr>
        <w:pStyle w:val="Indenta"/>
        <w:rPr>
          <w:snapToGrid w:val="0"/>
          <w:spacing w:val="-2"/>
        </w:rPr>
      </w:pPr>
      <w:r>
        <w:rPr>
          <w:snapToGrid w:val="0"/>
          <w:spacing w:val="-2"/>
        </w:rPr>
        <w:tab/>
        <w:t>(b)</w:t>
      </w:r>
      <w:r>
        <w:rPr>
          <w:snapToGrid w:val="0"/>
          <w:spacing w:val="-2"/>
        </w:rPr>
        <w:tab/>
        <w:t xml:space="preserve">the tenant may remove any fixture that </w:t>
      </w:r>
      <w:r>
        <w:t>the tenant</w:t>
      </w:r>
      <w:r>
        <w:rPr>
          <w:snapToGrid w:val="0"/>
          <w:spacing w:val="-2"/>
        </w:rPr>
        <w:t xml:space="preserve"> has affixed to the premises, with the </w:t>
      </w:r>
      <w:r>
        <w:t>lessor’s</w:t>
      </w:r>
      <w:r>
        <w:rPr>
          <w:snapToGrid w:val="0"/>
          <w:spacing w:val="-2"/>
        </w:rPr>
        <w:t xml:space="preserve"> consent, during the period that </w:t>
      </w:r>
      <w:r>
        <w:t>the tenant</w:t>
      </w:r>
      <w:r>
        <w:rPr>
          <w:snapToGrid w:val="0"/>
          <w:spacing w:val="-2"/>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w:t>
      </w:r>
      <w:r>
        <w:rPr>
          <w:snapToGrid w:val="0"/>
          <w:spacing w:val="-4"/>
        </w:rPr>
        <w:t>lessor</w:t>
      </w:r>
      <w:r>
        <w:rPr>
          <w:snapToGrid w:val="0"/>
        </w:rPr>
        <w:t xml:space="preserve"> for any reasonable expenses incurred by the </w:t>
      </w:r>
      <w:r>
        <w:rPr>
          <w:snapToGrid w:val="0"/>
          <w:spacing w:val="-4"/>
        </w:rPr>
        <w:t>lessor</w:t>
      </w:r>
      <w:r>
        <w:rPr>
          <w:snapToGrid w:val="0"/>
        </w:rPr>
        <w:t xml:space="preserve"> in repairing the damage.</w:t>
      </w:r>
    </w:p>
    <w:p>
      <w:pPr>
        <w:pStyle w:val="Subsection"/>
      </w:pPr>
      <w:bookmarkStart w:id="527" w:name="_Toc36441016"/>
      <w:bookmarkStart w:id="528" w:name="_Toc106426164"/>
      <w:bookmarkStart w:id="529" w:name="_Toc107198181"/>
      <w:bookmarkStart w:id="530" w:name="_Toc172436220"/>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Footnotesection"/>
      </w:pPr>
      <w:r>
        <w:tab/>
        <w:t xml:space="preserve">[Section 47 amended by No. 60 of 2011 s. 42, 88 and 89.] </w:t>
      </w:r>
    </w:p>
    <w:p>
      <w:pPr>
        <w:pStyle w:val="Heading5"/>
        <w:rPr>
          <w:snapToGrid w:val="0"/>
        </w:rPr>
      </w:pPr>
      <w:bookmarkStart w:id="531" w:name="_Toc360457504"/>
      <w:r>
        <w:rPr>
          <w:rStyle w:val="CharSectno"/>
        </w:rPr>
        <w:t>48</w:t>
      </w:r>
      <w:r>
        <w:rPr>
          <w:snapToGrid w:val="0"/>
        </w:rPr>
        <w:t>.</w:t>
      </w:r>
      <w:r>
        <w:rPr>
          <w:snapToGrid w:val="0"/>
        </w:rPr>
        <w:tab/>
        <w:t>Lessor to bear outgoings in respect of premises</w:t>
      </w:r>
      <w:bookmarkEnd w:id="527"/>
      <w:bookmarkEnd w:id="528"/>
      <w:bookmarkEnd w:id="529"/>
      <w:bookmarkEnd w:id="530"/>
      <w:bookmarkEnd w:id="531"/>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keepNext/>
        <w:keepLines/>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by No. 73 of 1995 s. 188; No. 14 of 1996 s. 4; No. 45 of 2002 s. 21; No. 60 of 2011 s. 43 and 89.] </w:t>
      </w:r>
    </w:p>
    <w:p>
      <w:pPr>
        <w:pStyle w:val="Heading5"/>
      </w:pPr>
      <w:bookmarkStart w:id="532" w:name="_Toc311730386"/>
      <w:bookmarkStart w:id="533" w:name="_Toc360457505"/>
      <w:bookmarkStart w:id="534" w:name="_Toc36441017"/>
      <w:bookmarkStart w:id="535" w:name="_Toc106426165"/>
      <w:bookmarkStart w:id="536" w:name="_Toc107198182"/>
      <w:bookmarkStart w:id="537" w:name="_Toc172436221"/>
      <w:r>
        <w:rPr>
          <w:rStyle w:val="CharSectno"/>
        </w:rPr>
        <w:t>49A</w:t>
      </w:r>
      <w:r>
        <w:t>.</w:t>
      </w:r>
      <w:r>
        <w:tab/>
        <w:t>Lessor’s and tenant’s responsibilities in respect of public utility services</w:t>
      </w:r>
      <w:bookmarkEnd w:id="532"/>
      <w:bookmarkEnd w:id="533"/>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pPr>
      <w:r>
        <w:rPr>
          <w:snapToGrid w:val="0"/>
        </w:rPr>
        <w:tab/>
        <w:t>(a)</w:t>
      </w:r>
      <w:r>
        <w:rPr>
          <w:snapToGrid w:val="0"/>
        </w:rPr>
        <w:tab/>
        <w:t>the charge is calculated by reference to consumption at the residential premises by the tenant; and</w:t>
      </w:r>
    </w:p>
    <w:p>
      <w:pPr>
        <w:pStyle w:val="Indenta"/>
      </w:pPr>
      <w:r>
        <w:rPr>
          <w:snapToGrid w:val="0"/>
        </w:rPr>
        <w:tab/>
        <w:t>(b)</w:t>
      </w:r>
      <w:r>
        <w:rPr>
          <w:snapToGrid w:val="0"/>
        </w:rPr>
        <w:tab/>
        <w:t>the tenant is given notice in writing of the charge in relation to the public utility service, specifying —</w:t>
      </w:r>
    </w:p>
    <w:p>
      <w:pPr>
        <w:pStyle w:val="Indenti"/>
      </w:pPr>
      <w:r>
        <w:tab/>
        <w:t>(i)</w:t>
      </w:r>
      <w:r>
        <w:tab/>
      </w:r>
      <w:r>
        <w:rPr>
          <w:snapToGrid w:val="0"/>
        </w:rPr>
        <w:t>if consumption at the premises is metered — the relevant meter reading, or readings, and the charge per metered unit; or</w:t>
      </w:r>
    </w:p>
    <w:p>
      <w:pPr>
        <w:pStyle w:val="Indenti"/>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pPr>
      <w:r>
        <w:tab/>
      </w:r>
      <w:r>
        <w:tab/>
        <w:t>and</w:t>
      </w:r>
    </w:p>
    <w:p>
      <w:pPr>
        <w:pStyle w:val="Indenta"/>
      </w:pPr>
      <w:r>
        <w:tab/>
        <w:t>(c)</w:t>
      </w:r>
      <w:r>
        <w:tab/>
        <w:t>the tenant is provided with full details of the account for the charge including —</w:t>
      </w:r>
    </w:p>
    <w:p>
      <w:pPr>
        <w:pStyle w:val="Indenti"/>
      </w:pPr>
      <w:r>
        <w:tab/>
        <w:t>(i)</w:t>
      </w:r>
      <w:r>
        <w:tab/>
        <w:t>any meter readings and the charge per metered unit; or</w:t>
      </w:r>
    </w:p>
    <w:p>
      <w:pPr>
        <w:pStyle w:val="Indenti"/>
      </w:pPr>
      <w:r>
        <w:tab/>
        <w:t>(ii)</w:t>
      </w:r>
      <w:r>
        <w:tab/>
        <w:t>the agreed method of calculating referred to in paragraph (b)(ii),</w:t>
      </w:r>
    </w:p>
    <w:p>
      <w:pPr>
        <w:pStyle w:val="Indenta"/>
      </w:pPr>
      <w:r>
        <w:tab/>
      </w:r>
      <w:r>
        <w:tab/>
        <w:t>and the amount of GST payable in respect of the provision of the public utility service to the residential premises.</w:t>
      </w:r>
    </w:p>
    <w:p>
      <w:pPr>
        <w:pStyle w:val="Footnotesection"/>
      </w:pPr>
      <w:r>
        <w:tab/>
        <w:t xml:space="preserve">[Section 49A inserted by No. 60 of 2011 s. 44.] </w:t>
      </w:r>
    </w:p>
    <w:p>
      <w:pPr>
        <w:pStyle w:val="Heading5"/>
        <w:rPr>
          <w:snapToGrid w:val="0"/>
        </w:rPr>
      </w:pPr>
      <w:bookmarkStart w:id="538" w:name="_Toc360457506"/>
      <w:r>
        <w:rPr>
          <w:rStyle w:val="CharSectno"/>
        </w:rPr>
        <w:t>49</w:t>
      </w:r>
      <w:r>
        <w:rPr>
          <w:snapToGrid w:val="0"/>
        </w:rPr>
        <w:t>.</w:t>
      </w:r>
      <w:r>
        <w:rPr>
          <w:snapToGrid w:val="0"/>
        </w:rPr>
        <w:tab/>
        <w:t>Right of tenant to assign or sub</w:t>
      </w:r>
      <w:r>
        <w:rPr>
          <w:snapToGrid w:val="0"/>
        </w:rPr>
        <w:noBreakHyphen/>
        <w:t>let</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w:t>
      </w:r>
    </w:p>
    <w:p>
      <w:pPr>
        <w:pStyle w:val="Indenta"/>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bookmarkStart w:id="539" w:name="_Toc36441018"/>
      <w:bookmarkStart w:id="540" w:name="_Toc106426166"/>
      <w:bookmarkStart w:id="541" w:name="_Toc107198183"/>
      <w:bookmarkStart w:id="542" w:name="_Toc172436222"/>
      <w:r>
        <w:tab/>
        <w:t xml:space="preserve">[Section 49 amended by No. 60 of 2011 s. 45, 88 and 89.] </w:t>
      </w:r>
    </w:p>
    <w:p>
      <w:pPr>
        <w:pStyle w:val="Heading5"/>
        <w:rPr>
          <w:snapToGrid w:val="0"/>
        </w:rPr>
      </w:pPr>
      <w:bookmarkStart w:id="543" w:name="_Toc360457507"/>
      <w:r>
        <w:rPr>
          <w:rStyle w:val="CharSectno"/>
        </w:rPr>
        <w:t>50</w:t>
      </w:r>
      <w:r>
        <w:rPr>
          <w:snapToGrid w:val="0"/>
        </w:rPr>
        <w:t>.</w:t>
      </w:r>
      <w:r>
        <w:rPr>
          <w:snapToGrid w:val="0"/>
        </w:rPr>
        <w:tab/>
        <w:t>Vicarious responsibility of tenant for breach by other person lawfully on premises</w:t>
      </w:r>
      <w:bookmarkEnd w:id="539"/>
      <w:bookmarkEnd w:id="540"/>
      <w:bookmarkEnd w:id="541"/>
      <w:bookmarkEnd w:id="542"/>
      <w:bookmarkEnd w:id="543"/>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bookmarkStart w:id="544" w:name="_Toc36441019"/>
      <w:bookmarkStart w:id="545" w:name="_Toc106426167"/>
      <w:bookmarkStart w:id="546" w:name="_Toc107198184"/>
      <w:bookmarkStart w:id="547" w:name="_Toc172436223"/>
      <w:r>
        <w:tab/>
        <w:t xml:space="preserve">[Section 50 amended by No. 60 of 2011 s. 46.] </w:t>
      </w:r>
    </w:p>
    <w:p>
      <w:pPr>
        <w:pStyle w:val="Heading3"/>
      </w:pPr>
      <w:bookmarkStart w:id="548" w:name="_Toc360453553"/>
      <w:bookmarkStart w:id="549" w:name="_Toc360457508"/>
      <w:r>
        <w:t>Division 3 — General</w:t>
      </w:r>
      <w:bookmarkEnd w:id="548"/>
      <w:bookmarkEnd w:id="549"/>
    </w:p>
    <w:p>
      <w:pPr>
        <w:pStyle w:val="Footnoteheading"/>
      </w:pPr>
      <w:r>
        <w:tab/>
        <w:t xml:space="preserve">[Heading inserted by No. 60 of 2011 s. 47.] </w:t>
      </w:r>
    </w:p>
    <w:p>
      <w:pPr>
        <w:pStyle w:val="Heading5"/>
      </w:pPr>
      <w:bookmarkStart w:id="550" w:name="_Toc311730392"/>
      <w:bookmarkStart w:id="551" w:name="_Toc360457509"/>
      <w:r>
        <w:rPr>
          <w:rStyle w:val="CharSectno"/>
        </w:rPr>
        <w:t>51</w:t>
      </w:r>
      <w:r>
        <w:t>.</w:t>
      </w:r>
      <w:r>
        <w:tab/>
        <w:t>Tenant to be notified of lessor’s name and address</w:t>
      </w:r>
      <w:bookmarkEnd w:id="550"/>
      <w:bookmarkEnd w:id="551"/>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r>
      <w:r>
        <w:tab/>
        <w:t>Penalty: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pPr>
      <w:r>
        <w:tab/>
        <w:t>(b)</w:t>
      </w:r>
      <w:r>
        <w:tab/>
        <w:t>where the new lessor is a body corporate, the full name and business address of the secretary of the body corporate.</w:t>
      </w:r>
    </w:p>
    <w:p>
      <w:pPr>
        <w:pStyle w:val="Penstart"/>
      </w:pPr>
      <w:r>
        <w:tab/>
        <w:t>Penalty: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a fine of $5 000.</w:t>
      </w:r>
    </w:p>
    <w:p>
      <w:pPr>
        <w:pStyle w:val="Footnotesection"/>
      </w:pPr>
      <w:r>
        <w:tab/>
        <w:t xml:space="preserve">[Section 51 inserted by No. 60 of 2011 s. 48.] </w:t>
      </w:r>
    </w:p>
    <w:p>
      <w:pPr>
        <w:pStyle w:val="Heading5"/>
        <w:rPr>
          <w:snapToGrid w:val="0"/>
        </w:rPr>
      </w:pPr>
      <w:bookmarkStart w:id="552" w:name="_Toc36441020"/>
      <w:bookmarkStart w:id="553" w:name="_Toc106426168"/>
      <w:bookmarkStart w:id="554" w:name="_Toc107198185"/>
      <w:bookmarkStart w:id="555" w:name="_Toc172436224"/>
      <w:bookmarkStart w:id="556" w:name="_Toc360457510"/>
      <w:bookmarkEnd w:id="544"/>
      <w:bookmarkEnd w:id="545"/>
      <w:bookmarkEnd w:id="546"/>
      <w:bookmarkEnd w:id="547"/>
      <w:r>
        <w:rPr>
          <w:rStyle w:val="CharSectno"/>
        </w:rPr>
        <w:t>52</w:t>
      </w:r>
      <w:r>
        <w:rPr>
          <w:snapToGrid w:val="0"/>
        </w:rPr>
        <w:t>.</w:t>
      </w:r>
      <w:r>
        <w:rPr>
          <w:snapToGrid w:val="0"/>
        </w:rPr>
        <w:tab/>
        <w:t>Failure to pay rent with intention it be recovered from security bond</w:t>
      </w:r>
      <w:bookmarkEnd w:id="552"/>
      <w:bookmarkEnd w:id="553"/>
      <w:bookmarkEnd w:id="554"/>
      <w:bookmarkEnd w:id="555"/>
      <w:bookmarkEnd w:id="556"/>
      <w:r>
        <w:rPr>
          <w:snapToGrid w:val="0"/>
        </w:rPr>
        <w:t xml:space="preserve"> </w:t>
      </w:r>
    </w:p>
    <w:p>
      <w:pPr>
        <w:pStyle w:val="Subsection"/>
        <w:rPr>
          <w:snapToGrid w:val="0"/>
          <w:spacing w:val="-2"/>
        </w:rPr>
      </w:pPr>
      <w:r>
        <w:rPr>
          <w:snapToGrid w:val="0"/>
          <w:spacing w:val="-2"/>
        </w:rPr>
        <w:tab/>
      </w:r>
      <w:r>
        <w:rPr>
          <w:snapToGrid w:val="0"/>
          <w:spacing w:val="-2"/>
        </w:rPr>
        <w:tab/>
        <w:t xml:space="preserve">A tenant shall not fail or refuse to pay any rent due under </w:t>
      </w:r>
      <w:r>
        <w:t>a residential tenancy agreement</w:t>
      </w:r>
      <w:r>
        <w:rPr>
          <w:snapToGrid w:val="0"/>
          <w:spacing w:val="-2"/>
        </w:rPr>
        <w:t xml:space="preserve"> with the intention that the amount of such rent be recovered by </w:t>
      </w:r>
      <w:r>
        <w:t>the lessor</w:t>
      </w:r>
      <w:r>
        <w:rPr>
          <w:snapToGrid w:val="0"/>
          <w:spacing w:val="-2"/>
        </w:rPr>
        <w:t xml:space="preserve"> from the security bond paid by the tenant.</w:t>
      </w:r>
    </w:p>
    <w:p>
      <w:pPr>
        <w:pStyle w:val="Penstart"/>
      </w:pPr>
      <w:r>
        <w:tab/>
        <w:t>Penalty: a fine of $5 000.</w:t>
      </w:r>
    </w:p>
    <w:p>
      <w:pPr>
        <w:pStyle w:val="Footnotesection"/>
      </w:pPr>
      <w:r>
        <w:tab/>
        <w:t xml:space="preserve">[Section 52 amended by No. 59 of 1995 s. 55; No. 60 of 2011 s. 49, 88 and 89.] </w:t>
      </w:r>
    </w:p>
    <w:p>
      <w:pPr>
        <w:pStyle w:val="Heading5"/>
      </w:pPr>
      <w:bookmarkStart w:id="557" w:name="_Toc311730395"/>
      <w:bookmarkStart w:id="558" w:name="_Toc360457511"/>
      <w:bookmarkStart w:id="559" w:name="_Toc36441021"/>
      <w:bookmarkStart w:id="560" w:name="_Toc106426169"/>
      <w:bookmarkStart w:id="561" w:name="_Toc107198186"/>
      <w:bookmarkStart w:id="562" w:name="_Toc172436225"/>
      <w:r>
        <w:rPr>
          <w:rStyle w:val="CharSectno"/>
        </w:rPr>
        <w:t>53</w:t>
      </w:r>
      <w:r>
        <w:t>.</w:t>
      </w:r>
      <w:r>
        <w:tab/>
        <w:t>Tenant’s name, place of employment and forwarding address</w:t>
      </w:r>
      <w:bookmarkEnd w:id="557"/>
      <w:bookmarkEnd w:id="558"/>
    </w:p>
    <w:p>
      <w:pPr>
        <w:pStyle w:val="Subsection"/>
      </w:pPr>
      <w:r>
        <w:tab/>
        <w:t>(1)</w:t>
      </w:r>
      <w:r>
        <w:tab/>
        <w:t>A tenant under a residential tenancy agreement must not falsely state to the lessor the tenant’s name or place of employment.</w:t>
      </w:r>
    </w:p>
    <w:p>
      <w:pPr>
        <w:pStyle w:val="Penstart"/>
      </w:pPr>
      <w:r>
        <w:tab/>
        <w:t>Penalty: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a fine of $5 000.</w:t>
      </w:r>
    </w:p>
    <w:p>
      <w:pPr>
        <w:pStyle w:val="Footnotesection"/>
      </w:pPr>
      <w:r>
        <w:tab/>
        <w:t xml:space="preserve">[Section 53 inserted by No. 60 of 2011 s. 50.] </w:t>
      </w:r>
    </w:p>
    <w:p>
      <w:pPr>
        <w:pStyle w:val="Heading5"/>
        <w:rPr>
          <w:snapToGrid w:val="0"/>
        </w:rPr>
      </w:pPr>
      <w:bookmarkStart w:id="563" w:name="_Toc36441022"/>
      <w:bookmarkStart w:id="564" w:name="_Toc106426170"/>
      <w:bookmarkStart w:id="565" w:name="_Toc107198187"/>
      <w:bookmarkStart w:id="566" w:name="_Toc172436226"/>
      <w:bookmarkStart w:id="567" w:name="_Toc360457512"/>
      <w:bookmarkEnd w:id="559"/>
      <w:bookmarkEnd w:id="560"/>
      <w:bookmarkEnd w:id="561"/>
      <w:bookmarkEnd w:id="562"/>
      <w:r>
        <w:rPr>
          <w:rStyle w:val="CharSectno"/>
        </w:rPr>
        <w:t>54</w:t>
      </w:r>
      <w:r>
        <w:rPr>
          <w:snapToGrid w:val="0"/>
        </w:rPr>
        <w:t>.</w:t>
      </w:r>
      <w:r>
        <w:rPr>
          <w:snapToGrid w:val="0"/>
        </w:rPr>
        <w:tab/>
        <w:t>Lessor to deliver copy of agreement to tenant</w:t>
      </w:r>
      <w:bookmarkEnd w:id="563"/>
      <w:bookmarkEnd w:id="564"/>
      <w:bookmarkEnd w:id="565"/>
      <w:bookmarkEnd w:id="566"/>
      <w:bookmarkEnd w:id="567"/>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by No. 59 of 1995 s. 55; No. 60 of 2011 s. 51.] </w:t>
      </w:r>
    </w:p>
    <w:p>
      <w:pPr>
        <w:pStyle w:val="Heading5"/>
      </w:pPr>
      <w:bookmarkStart w:id="568" w:name="_Toc311730398"/>
      <w:bookmarkStart w:id="569" w:name="_Toc360457513"/>
      <w:bookmarkStart w:id="570" w:name="_Toc36441023"/>
      <w:bookmarkStart w:id="571" w:name="_Toc106426171"/>
      <w:bookmarkStart w:id="572" w:name="_Toc107198188"/>
      <w:bookmarkStart w:id="573" w:name="_Toc172436227"/>
      <w:r>
        <w:rPr>
          <w:rStyle w:val="CharSectno"/>
        </w:rPr>
        <w:t>55</w:t>
      </w:r>
      <w:r>
        <w:t>.</w:t>
      </w:r>
      <w:r>
        <w:tab/>
        <w:t>Cost of written agreement to be borne by lessor</w:t>
      </w:r>
      <w:bookmarkEnd w:id="568"/>
      <w:bookmarkEnd w:id="569"/>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pPr>
      <w:r>
        <w:tab/>
        <w:t xml:space="preserve">[Section 55 inserted by No. 60 of 2011 s. 52.] </w:t>
      </w:r>
    </w:p>
    <w:p>
      <w:pPr>
        <w:pStyle w:val="Heading5"/>
        <w:rPr>
          <w:snapToGrid w:val="0"/>
        </w:rPr>
      </w:pPr>
      <w:bookmarkStart w:id="574" w:name="_Toc36441024"/>
      <w:bookmarkStart w:id="575" w:name="_Toc106426172"/>
      <w:bookmarkStart w:id="576" w:name="_Toc107198189"/>
      <w:bookmarkStart w:id="577" w:name="_Toc172436228"/>
      <w:bookmarkStart w:id="578" w:name="_Toc360457514"/>
      <w:bookmarkEnd w:id="570"/>
      <w:bookmarkEnd w:id="571"/>
      <w:bookmarkEnd w:id="572"/>
      <w:bookmarkEnd w:id="573"/>
      <w:r>
        <w:rPr>
          <w:rStyle w:val="CharSectno"/>
        </w:rPr>
        <w:t>56</w:t>
      </w:r>
      <w:r>
        <w:rPr>
          <w:snapToGrid w:val="0"/>
        </w:rPr>
        <w:t>.</w:t>
      </w:r>
      <w:r>
        <w:rPr>
          <w:snapToGrid w:val="0"/>
        </w:rPr>
        <w:tab/>
        <w:t>Discrimination against tenants with children</w:t>
      </w:r>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 xml:space="preserve">person on the ground that it </w:t>
      </w:r>
      <w:r>
        <w:rPr>
          <w:snapToGrid w:val="0"/>
        </w:rPr>
        <w:t xml:space="preserve"> is intended that a child should live in the premises.</w:t>
      </w:r>
    </w:p>
    <w:p>
      <w:pPr>
        <w:pStyle w:val="Penstart"/>
      </w:pPr>
      <w:r>
        <w:tab/>
        <w:t>Penalty: a fine of $5 000.</w:t>
      </w:r>
    </w:p>
    <w:p>
      <w:pPr>
        <w:pStyle w:val="Ednotesubsection"/>
      </w:pPr>
      <w:r>
        <w:tab/>
        <w:t>[(3)</w:t>
      </w:r>
      <w:r>
        <w:tab/>
        <w:t>deleted]</w:t>
      </w:r>
    </w:p>
    <w:p>
      <w:pPr>
        <w:pStyle w:val="Footnotesection"/>
      </w:pPr>
      <w:r>
        <w:tab/>
        <w:t xml:space="preserve">[Section 56 amended by No. 59 of 1995 s. 55; No. 60 of 2011 s. 53.] </w:t>
      </w:r>
    </w:p>
    <w:p>
      <w:pPr>
        <w:pStyle w:val="Heading5"/>
        <w:rPr>
          <w:snapToGrid w:val="0"/>
        </w:rPr>
      </w:pPr>
      <w:bookmarkStart w:id="579" w:name="_Toc36441025"/>
      <w:bookmarkStart w:id="580" w:name="_Toc106426173"/>
      <w:bookmarkStart w:id="581" w:name="_Toc107198190"/>
      <w:bookmarkStart w:id="582" w:name="_Toc172436229"/>
      <w:bookmarkStart w:id="583" w:name="_Toc360457515"/>
      <w:r>
        <w:rPr>
          <w:rStyle w:val="CharSectno"/>
        </w:rPr>
        <w:t>57</w:t>
      </w:r>
      <w:r>
        <w:rPr>
          <w:snapToGrid w:val="0"/>
        </w:rPr>
        <w:t>.</w:t>
      </w:r>
      <w:r>
        <w:rPr>
          <w:snapToGrid w:val="0"/>
        </w:rPr>
        <w:tab/>
        <w:t>Accelerated rent and liquidated damages prohibited</w:t>
      </w:r>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bookmarkStart w:id="584" w:name="_Toc36441026"/>
      <w:bookmarkStart w:id="585" w:name="_Toc106426174"/>
      <w:bookmarkStart w:id="586" w:name="_Toc107198191"/>
      <w:bookmarkStart w:id="587" w:name="_Toc172436230"/>
      <w:r>
        <w:tab/>
        <w:t xml:space="preserve">[Section 57 amended by No. 60 of 2011 s. 54 and 88.] </w:t>
      </w:r>
    </w:p>
    <w:p>
      <w:pPr>
        <w:pStyle w:val="Heading5"/>
        <w:rPr>
          <w:snapToGrid w:val="0"/>
        </w:rPr>
      </w:pPr>
      <w:bookmarkStart w:id="588" w:name="_Toc360457516"/>
      <w:r>
        <w:rPr>
          <w:rStyle w:val="CharSectno"/>
        </w:rPr>
        <w:t>58</w:t>
      </w:r>
      <w:r>
        <w:rPr>
          <w:snapToGrid w:val="0"/>
        </w:rPr>
        <w:t>.</w:t>
      </w:r>
      <w:r>
        <w:rPr>
          <w:snapToGrid w:val="0"/>
        </w:rPr>
        <w:tab/>
        <w:t>Duty of mitigation</w:t>
      </w:r>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bookmarkStart w:id="589" w:name="_Toc311730403"/>
      <w:bookmarkStart w:id="590" w:name="_Toc360457517"/>
      <w:bookmarkStart w:id="591" w:name="_Toc89596644"/>
      <w:bookmarkStart w:id="592" w:name="_Toc101762109"/>
      <w:bookmarkStart w:id="593" w:name="_Toc101762230"/>
      <w:bookmarkStart w:id="594" w:name="_Toc103582505"/>
      <w:bookmarkStart w:id="595" w:name="_Toc103582622"/>
      <w:bookmarkStart w:id="596" w:name="_Toc103589224"/>
      <w:bookmarkStart w:id="597" w:name="_Toc104110039"/>
      <w:bookmarkStart w:id="598" w:name="_Toc106426058"/>
      <w:bookmarkStart w:id="599" w:name="_Toc106426175"/>
      <w:bookmarkStart w:id="600" w:name="_Toc107198072"/>
      <w:bookmarkStart w:id="601" w:name="_Toc107198192"/>
      <w:bookmarkStart w:id="602" w:name="_Toc139363635"/>
      <w:bookmarkStart w:id="603" w:name="_Toc139688370"/>
      <w:bookmarkStart w:id="604" w:name="_Toc139960365"/>
      <w:bookmarkStart w:id="605" w:name="_Toc139968398"/>
      <w:bookmarkStart w:id="606" w:name="_Toc154197580"/>
      <w:bookmarkStart w:id="607" w:name="_Toc158003129"/>
      <w:bookmarkStart w:id="608" w:name="_Toc163278629"/>
      <w:bookmarkStart w:id="609" w:name="_Toc163362011"/>
      <w:bookmarkStart w:id="610" w:name="_Toc168903562"/>
      <w:bookmarkStart w:id="611" w:name="_Toc168971184"/>
      <w:bookmarkStart w:id="612" w:name="_Toc170524882"/>
      <w:bookmarkStart w:id="613" w:name="_Toc171246199"/>
      <w:bookmarkStart w:id="614" w:name="_Toc172436231"/>
      <w:bookmarkStart w:id="615" w:name="_Toc173740456"/>
      <w:bookmarkStart w:id="616" w:name="_Toc173745103"/>
      <w:bookmarkStart w:id="617" w:name="_Toc173745222"/>
      <w:bookmarkStart w:id="618" w:name="_Toc173745341"/>
      <w:bookmarkStart w:id="619" w:name="_Toc199756424"/>
      <w:bookmarkStart w:id="620" w:name="_Toc223932992"/>
      <w:bookmarkStart w:id="621" w:name="_Toc223933111"/>
      <w:bookmarkStart w:id="622" w:name="_Toc268248483"/>
      <w:bookmarkStart w:id="623" w:name="_Toc268612684"/>
      <w:bookmarkStart w:id="624" w:name="_Toc272315119"/>
      <w:bookmarkStart w:id="625" w:name="_Toc280092965"/>
      <w:bookmarkStart w:id="626" w:name="_Toc281486432"/>
      <w:bookmarkStart w:id="627" w:name="_Toc312051871"/>
      <w:bookmarkStart w:id="628" w:name="_Toc312058429"/>
      <w:bookmarkStart w:id="629" w:name="_Toc331431293"/>
      <w:bookmarkStart w:id="630" w:name="_Toc331431640"/>
      <w:bookmarkStart w:id="631" w:name="_Toc331677250"/>
      <w:r>
        <w:tab/>
        <w:t xml:space="preserve">[Section 58 amended by No. 60 of 2011 s. 55.] </w:t>
      </w:r>
    </w:p>
    <w:p>
      <w:pPr>
        <w:pStyle w:val="Heading5"/>
      </w:pPr>
      <w:r>
        <w:rPr>
          <w:rStyle w:val="CharSectno"/>
        </w:rPr>
        <w:t>59A</w:t>
      </w:r>
      <w:r>
        <w:t>.</w:t>
      </w:r>
      <w:r>
        <w:tab/>
        <w:t>Minors</w:t>
      </w:r>
      <w:bookmarkEnd w:id="589"/>
      <w:bookmarkEnd w:id="590"/>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pPr>
      <w:r>
        <w:tab/>
        <w:t>(a)</w:t>
      </w:r>
      <w:r>
        <w:tab/>
        <w:t>a minor has the capacity to enter into a residential tenancy agreement as a tenant; and</w:t>
      </w:r>
    </w:p>
    <w:p>
      <w:pPr>
        <w:pStyle w:val="Indenta"/>
      </w:pPr>
      <w:r>
        <w:tab/>
        <w:t>(b)</w:t>
      </w:r>
      <w:r>
        <w:tab/>
        <w:t>a residential tenancy agreement may be enforced in accordance with this Act against a minor who is a tenant.</w:t>
      </w:r>
    </w:p>
    <w:p>
      <w:pPr>
        <w:pStyle w:val="Footnotesection"/>
      </w:pPr>
      <w:bookmarkStart w:id="632" w:name="_Toc311730404"/>
      <w:r>
        <w:tab/>
        <w:t>[Section 59A inserted by No. 60 of 2011 s. 56.]</w:t>
      </w:r>
    </w:p>
    <w:p>
      <w:pPr>
        <w:pStyle w:val="Heading5"/>
      </w:pPr>
      <w:bookmarkStart w:id="633" w:name="_Toc360457518"/>
      <w:r>
        <w:rPr>
          <w:rStyle w:val="CharSectno"/>
        </w:rPr>
        <w:t>59B</w:t>
      </w:r>
      <w:r>
        <w:t>.</w:t>
      </w:r>
      <w:r>
        <w:tab/>
        <w:t>Death of one of 2 or more tenants</w:t>
      </w:r>
      <w:bookmarkEnd w:id="632"/>
      <w:bookmarkEnd w:id="633"/>
    </w:p>
    <w:p>
      <w:pPr>
        <w:pStyle w:val="Subsection"/>
      </w:pPr>
      <w:r>
        <w:tab/>
        <w:t>(1)</w:t>
      </w:r>
      <w:r>
        <w:tab/>
        <w:t>This section applies if —</w:t>
      </w:r>
    </w:p>
    <w:p>
      <w:pPr>
        <w:pStyle w:val="Indenta"/>
      </w:pPr>
      <w:r>
        <w:tab/>
        <w:t>(a)</w:t>
      </w:r>
      <w:r>
        <w:tab/>
        <w:t>2 or more tenants are parties to a residential tenancy agreement; and</w:t>
      </w:r>
    </w:p>
    <w:p>
      <w:pPr>
        <w:pStyle w:val="Indenta"/>
      </w:pPr>
      <w:r>
        <w:tab/>
        <w:t>(b)</w:t>
      </w:r>
      <w:r>
        <w:tab/>
        <w:t>the tenants are not joint tenants under the agreement; and</w:t>
      </w:r>
    </w:p>
    <w:p>
      <w:pPr>
        <w:pStyle w:val="Indenta"/>
      </w:pPr>
      <w:r>
        <w:tab/>
        <w:t>(c)</w:t>
      </w:r>
      <w:r>
        <w:tab/>
        <w:t>one of the tenants dies.</w:t>
      </w:r>
    </w:p>
    <w:p>
      <w:pPr>
        <w:pStyle w:val="Subsection"/>
      </w:pPr>
      <w:r>
        <w:tab/>
        <w:t>(2)</w:t>
      </w:r>
      <w:r>
        <w:tab/>
        <w:t>On the death of the tenant —</w:t>
      </w:r>
    </w:p>
    <w:p>
      <w:pPr>
        <w:pStyle w:val="Indenta"/>
      </w:pPr>
      <w:r>
        <w:tab/>
        <w:t>(a)</w:t>
      </w:r>
      <w:r>
        <w:tab/>
        <w:t>the deceased tenant’s interest in the tenancy ends; and</w:t>
      </w:r>
    </w:p>
    <w:p>
      <w:pPr>
        <w:pStyle w:val="Indenta"/>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bookmarkStart w:id="634" w:name="_Toc311730405"/>
      <w:r>
        <w:tab/>
        <w:t>[Section 59B inserted by No. 60 of 2011 s. 56.]</w:t>
      </w:r>
    </w:p>
    <w:p>
      <w:pPr>
        <w:pStyle w:val="Heading5"/>
      </w:pPr>
      <w:bookmarkStart w:id="635" w:name="_Toc360457519"/>
      <w:r>
        <w:rPr>
          <w:rStyle w:val="CharSectno"/>
        </w:rPr>
        <w:t>59C</w:t>
      </w:r>
      <w:r>
        <w:t>.</w:t>
      </w:r>
      <w:r>
        <w:tab/>
        <w:t>Recognition of certain persons as tenants</w:t>
      </w:r>
      <w:bookmarkEnd w:id="634"/>
      <w:bookmarkEnd w:id="635"/>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bookmarkStart w:id="636" w:name="_Toc311730406"/>
      <w:r>
        <w:tab/>
        <w:t>[Section 59C inserted by No. 60 of 2011 s. 56.]</w:t>
      </w:r>
    </w:p>
    <w:p>
      <w:pPr>
        <w:pStyle w:val="Heading5"/>
      </w:pPr>
      <w:bookmarkStart w:id="637" w:name="_Toc360457520"/>
      <w:r>
        <w:rPr>
          <w:rStyle w:val="CharSectno"/>
        </w:rPr>
        <w:t>59D</w:t>
      </w:r>
      <w:r>
        <w:t>.</w:t>
      </w:r>
      <w:r>
        <w:tab/>
        <w:t>Tenant compensation bonds</w:t>
      </w:r>
      <w:bookmarkEnd w:id="636"/>
      <w:bookmarkEnd w:id="637"/>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bookmarkStart w:id="638" w:name="_Toc311730407"/>
      <w:r>
        <w:tab/>
        <w:t>[Section 59D inserted by No. 60 of 2011 s. 56.]</w:t>
      </w:r>
    </w:p>
    <w:p>
      <w:pPr>
        <w:pStyle w:val="Heading5"/>
      </w:pPr>
      <w:bookmarkStart w:id="639" w:name="_Toc360457521"/>
      <w:r>
        <w:rPr>
          <w:rStyle w:val="CharSectno"/>
        </w:rPr>
        <w:t>59E</w:t>
      </w:r>
      <w:r>
        <w:t>.</w:t>
      </w:r>
      <w:r>
        <w:tab/>
      </w:r>
      <w:r>
        <w:rPr>
          <w:snapToGrid w:val="0"/>
        </w:rPr>
        <w:t>Interference with quiet enjoyment</w:t>
      </w:r>
      <w:bookmarkEnd w:id="638"/>
      <w:bookmarkEnd w:id="639"/>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Footnotesection"/>
      </w:pPr>
      <w:bookmarkStart w:id="640" w:name="_Toc311730408"/>
      <w:r>
        <w:tab/>
        <w:t>[Section 59E inserted by No. 60 of 2011 s. 56.]</w:t>
      </w:r>
    </w:p>
    <w:p>
      <w:pPr>
        <w:pStyle w:val="Heading5"/>
      </w:pPr>
      <w:bookmarkStart w:id="641" w:name="_Toc360457522"/>
      <w:r>
        <w:rPr>
          <w:rStyle w:val="CharSectno"/>
        </w:rPr>
        <w:t>59F</w:t>
      </w:r>
      <w:r>
        <w:t>.</w:t>
      </w:r>
      <w:r>
        <w:tab/>
      </w:r>
      <w:r>
        <w:rPr>
          <w:snapToGrid w:val="0"/>
        </w:rPr>
        <w:t>Offences relating to security of residential premises</w:t>
      </w:r>
      <w:bookmarkEnd w:id="640"/>
      <w:bookmarkEnd w:id="641"/>
    </w:p>
    <w:p>
      <w:pPr>
        <w:pStyle w:val="Subsection"/>
      </w:pPr>
      <w:r>
        <w:tab/>
        <w:t>(1)</w:t>
      </w:r>
      <w:r>
        <w:tab/>
        <w:t>A lessor or tenant who breaches the term referred to in section 45(b) without reasonable excuse commits an offence.</w:t>
      </w:r>
    </w:p>
    <w:p>
      <w:pPr>
        <w:pStyle w:val="Penstart"/>
      </w:pPr>
      <w:r>
        <w:tab/>
        <w:t>Penalty: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by No. 60 of 2011 s. 56.]</w:t>
      </w:r>
    </w:p>
    <w:p>
      <w:pPr>
        <w:pStyle w:val="Heading2"/>
      </w:pPr>
      <w:bookmarkStart w:id="642" w:name="_Toc360453568"/>
      <w:bookmarkStart w:id="643" w:name="_Toc360457523"/>
      <w:r>
        <w:rPr>
          <w:rStyle w:val="CharPartNo"/>
        </w:rPr>
        <w:t>Part V</w:t>
      </w:r>
      <w:r>
        <w:t> — </w:t>
      </w:r>
      <w:r>
        <w:rPr>
          <w:rStyle w:val="CharPartText"/>
        </w:rPr>
        <w:t>Termination of residential tenancy agreements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42"/>
      <w:bookmarkEnd w:id="643"/>
    </w:p>
    <w:p>
      <w:pPr>
        <w:pStyle w:val="Heading3"/>
      </w:pPr>
      <w:bookmarkStart w:id="644" w:name="_Toc331431294"/>
      <w:bookmarkStart w:id="645" w:name="_Toc331431641"/>
      <w:bookmarkStart w:id="646" w:name="_Toc331677251"/>
      <w:bookmarkStart w:id="647" w:name="_Toc360453569"/>
      <w:bookmarkStart w:id="648" w:name="_Toc360457524"/>
      <w:bookmarkStart w:id="649" w:name="_Toc36441027"/>
      <w:bookmarkStart w:id="650" w:name="_Toc106426176"/>
      <w:bookmarkStart w:id="651" w:name="_Toc107198193"/>
      <w:bookmarkStart w:id="652" w:name="_Toc172436232"/>
      <w:r>
        <w:rPr>
          <w:rStyle w:val="CharDivNo"/>
        </w:rPr>
        <w:t>Division 1</w:t>
      </w:r>
      <w:r>
        <w:t> — </w:t>
      </w:r>
      <w:r>
        <w:rPr>
          <w:rStyle w:val="CharDivText"/>
        </w:rPr>
        <w:t>How residential tenancy agreements are terminated</w:t>
      </w:r>
      <w:bookmarkEnd w:id="644"/>
      <w:bookmarkEnd w:id="645"/>
      <w:bookmarkEnd w:id="646"/>
      <w:bookmarkEnd w:id="647"/>
      <w:bookmarkEnd w:id="648"/>
    </w:p>
    <w:p>
      <w:pPr>
        <w:pStyle w:val="Footnoteheading"/>
      </w:pPr>
      <w:r>
        <w:tab/>
        <w:t>[Heading inserted by No. 60 of 2011 s. 57.]</w:t>
      </w:r>
    </w:p>
    <w:p>
      <w:pPr>
        <w:pStyle w:val="Ednotesection"/>
      </w:pPr>
      <w:r>
        <w:t>[</w:t>
      </w:r>
      <w:r>
        <w:rPr>
          <w:b/>
        </w:rPr>
        <w:t>59.</w:t>
      </w:r>
      <w:r>
        <w:tab/>
        <w:t xml:space="preserve">Deleted by No. 60 of 2011 s. 58.] </w:t>
      </w:r>
    </w:p>
    <w:p>
      <w:pPr>
        <w:pStyle w:val="Heading5"/>
        <w:rPr>
          <w:snapToGrid w:val="0"/>
        </w:rPr>
      </w:pPr>
      <w:bookmarkStart w:id="653" w:name="_Toc36441028"/>
      <w:bookmarkStart w:id="654" w:name="_Toc106426177"/>
      <w:bookmarkStart w:id="655" w:name="_Toc107198194"/>
      <w:bookmarkStart w:id="656" w:name="_Toc172436233"/>
      <w:bookmarkStart w:id="657" w:name="_Toc360457525"/>
      <w:bookmarkEnd w:id="649"/>
      <w:bookmarkEnd w:id="650"/>
      <w:bookmarkEnd w:id="651"/>
      <w:bookmarkEnd w:id="652"/>
      <w:r>
        <w:rPr>
          <w:rStyle w:val="CharSectno"/>
        </w:rPr>
        <w:t>60</w:t>
      </w:r>
      <w:r>
        <w:rPr>
          <w:snapToGrid w:val="0"/>
        </w:rPr>
        <w:t>.</w:t>
      </w:r>
      <w:r>
        <w:rPr>
          <w:snapToGrid w:val="0"/>
        </w:rPr>
        <w:tab/>
        <w:t>How residential tenancy agreements are terminated</w:t>
      </w:r>
      <w:bookmarkEnd w:id="653"/>
      <w:bookmarkEnd w:id="654"/>
      <w:bookmarkEnd w:id="655"/>
      <w:bookmarkEnd w:id="656"/>
      <w:bookmarkEnd w:id="657"/>
      <w:r>
        <w:rPr>
          <w:snapToGrid w:val="0"/>
        </w:rPr>
        <w:t xml:space="preserve"> </w:t>
      </w:r>
    </w:p>
    <w:p>
      <w:pPr>
        <w:pStyle w:val="Subsection"/>
        <w:rPr>
          <w:snapToGrid w:val="0"/>
        </w:rPr>
      </w:pPr>
      <w:r>
        <w:tab/>
      </w:r>
      <w:r>
        <w:tab/>
        <w:t>Despite</w:t>
      </w:r>
      <w:r>
        <w:rPr>
          <w:snapToGrid w:val="0"/>
        </w:rPr>
        <w:t xml:space="preserve"> 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Ednotesubsection"/>
      </w:pPr>
      <w:r>
        <w:t>[(2), (3)</w:t>
      </w:r>
      <w:r>
        <w:tab/>
        <w:t>deleted]</w:t>
      </w:r>
    </w:p>
    <w:p>
      <w:pPr>
        <w:pStyle w:val="Footnotesection"/>
      </w:pPr>
      <w:r>
        <w:tab/>
        <w:t xml:space="preserve">[Section 60 amended by No. 50 of 1988 s. 18; No. 59 of 1995 s. 49; No. 59 of 2004 s. 120(1); No. 60 of 2011 s. 59, 88, 89 and 91.] </w:t>
      </w:r>
    </w:p>
    <w:p>
      <w:pPr>
        <w:pStyle w:val="Heading3"/>
      </w:pPr>
      <w:bookmarkStart w:id="658" w:name="_Toc331431296"/>
      <w:bookmarkStart w:id="659" w:name="_Toc331431643"/>
      <w:bookmarkStart w:id="660" w:name="_Toc331677253"/>
      <w:bookmarkStart w:id="661" w:name="_Toc360453571"/>
      <w:bookmarkStart w:id="662" w:name="_Toc360457526"/>
      <w:bookmarkStart w:id="663" w:name="_Toc36441029"/>
      <w:bookmarkStart w:id="664" w:name="_Toc106426178"/>
      <w:bookmarkStart w:id="665" w:name="_Toc107198195"/>
      <w:bookmarkStart w:id="666" w:name="_Toc172436234"/>
      <w:r>
        <w:rPr>
          <w:rStyle w:val="CharDivNo"/>
        </w:rPr>
        <w:t>Division 2</w:t>
      </w:r>
      <w:r>
        <w:t> — </w:t>
      </w:r>
      <w:r>
        <w:rPr>
          <w:rStyle w:val="CharDivText"/>
        </w:rPr>
        <w:t>Notices of termination</w:t>
      </w:r>
      <w:bookmarkEnd w:id="658"/>
      <w:bookmarkEnd w:id="659"/>
      <w:bookmarkEnd w:id="660"/>
      <w:bookmarkEnd w:id="661"/>
      <w:bookmarkEnd w:id="662"/>
    </w:p>
    <w:p>
      <w:pPr>
        <w:pStyle w:val="Footnoteheading"/>
      </w:pPr>
      <w:r>
        <w:tab/>
        <w:t>[Heading inserted by No. 60 of 2011 s. 60.]</w:t>
      </w:r>
    </w:p>
    <w:p>
      <w:pPr>
        <w:pStyle w:val="Heading5"/>
      </w:pPr>
      <w:bookmarkStart w:id="667" w:name="_Toc311730416"/>
      <w:bookmarkStart w:id="668" w:name="_Toc360457527"/>
      <w:r>
        <w:rPr>
          <w:rStyle w:val="CharSectno"/>
        </w:rPr>
        <w:t>61</w:t>
      </w:r>
      <w:r>
        <w:t>.</w:t>
      </w:r>
      <w:r>
        <w:tab/>
        <w:t>Form of notice of termination by lessor</w:t>
      </w:r>
      <w:bookmarkEnd w:id="667"/>
      <w:bookmarkEnd w:id="668"/>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by No. 60 of 2011 s. 61.]</w:t>
      </w:r>
    </w:p>
    <w:p>
      <w:pPr>
        <w:pStyle w:val="Heading5"/>
        <w:rPr>
          <w:snapToGrid w:val="0"/>
        </w:rPr>
      </w:pPr>
      <w:bookmarkStart w:id="669" w:name="_Toc36441030"/>
      <w:bookmarkStart w:id="670" w:name="_Toc106426179"/>
      <w:bookmarkStart w:id="671" w:name="_Toc107198196"/>
      <w:bookmarkStart w:id="672" w:name="_Toc172436235"/>
      <w:bookmarkStart w:id="673" w:name="_Toc360457528"/>
      <w:bookmarkEnd w:id="663"/>
      <w:bookmarkEnd w:id="664"/>
      <w:bookmarkEnd w:id="665"/>
      <w:bookmarkEnd w:id="666"/>
      <w:r>
        <w:rPr>
          <w:rStyle w:val="CharSectno"/>
        </w:rPr>
        <w:t>62</w:t>
      </w:r>
      <w:r>
        <w:rPr>
          <w:snapToGrid w:val="0"/>
        </w:rPr>
        <w:t>.</w:t>
      </w:r>
      <w:r>
        <w:rPr>
          <w:snapToGrid w:val="0"/>
        </w:rPr>
        <w:tab/>
        <w:t>Notice of termination by lessor upon ground of breach of term of agreement</w:t>
      </w:r>
      <w:bookmarkEnd w:id="669"/>
      <w:bookmarkEnd w:id="670"/>
      <w:bookmarkEnd w:id="671"/>
      <w:bookmarkEnd w:id="672"/>
      <w:bookmarkEnd w:id="673"/>
    </w:p>
    <w:p>
      <w:pPr>
        <w:pStyle w:val="Subsection"/>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No. 60 of 2011 s. 62, 88 and 89.] </w:t>
      </w:r>
    </w:p>
    <w:p>
      <w:pPr>
        <w:pStyle w:val="Heading5"/>
      </w:pPr>
      <w:bookmarkStart w:id="674" w:name="_Toc311730419"/>
      <w:bookmarkStart w:id="675" w:name="_Toc360457529"/>
      <w:bookmarkStart w:id="676" w:name="_Toc36441031"/>
      <w:bookmarkStart w:id="677" w:name="_Toc106426180"/>
      <w:bookmarkStart w:id="678" w:name="_Toc107198197"/>
      <w:bookmarkStart w:id="679" w:name="_Toc172436236"/>
      <w:r>
        <w:rPr>
          <w:rStyle w:val="CharSectno"/>
        </w:rPr>
        <w:t>63</w:t>
      </w:r>
      <w:r>
        <w:t>.</w:t>
      </w:r>
      <w:r>
        <w:tab/>
        <w:t>Notice of termination by lessor who has entered into contract of sale</w:t>
      </w:r>
      <w:bookmarkEnd w:id="674"/>
      <w:bookmarkEnd w:id="675"/>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a fine of $10 000.</w:t>
      </w:r>
    </w:p>
    <w:p>
      <w:pPr>
        <w:pStyle w:val="Subsection"/>
      </w:pPr>
      <w:r>
        <w:tab/>
        <w:t>(4)</w:t>
      </w:r>
      <w:r>
        <w:tab/>
        <w:t>This section does not apply to a residential tenancy agreement that creates a tenancy for a fixed term during the currency of that term.</w:t>
      </w:r>
    </w:p>
    <w:p>
      <w:pPr>
        <w:pStyle w:val="Footnotesection"/>
      </w:pPr>
      <w:bookmarkStart w:id="680" w:name="_Toc311730420"/>
      <w:r>
        <w:tab/>
        <w:t>[Section 63 inserted by No. 60 of 2011 s. 63.]</w:t>
      </w:r>
    </w:p>
    <w:p>
      <w:pPr>
        <w:pStyle w:val="Heading5"/>
      </w:pPr>
      <w:bookmarkStart w:id="681" w:name="_Toc360457530"/>
      <w:r>
        <w:rPr>
          <w:rStyle w:val="CharSectno"/>
        </w:rPr>
        <w:t>64</w:t>
      </w:r>
      <w:r>
        <w:t>.</w:t>
      </w:r>
      <w:r>
        <w:tab/>
        <w:t>Notice of termination by lessor without any ground</w:t>
      </w:r>
      <w:bookmarkEnd w:id="680"/>
      <w:bookmarkEnd w:id="681"/>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by No. 60 of 2011 s. 63.]</w:t>
      </w:r>
    </w:p>
    <w:p>
      <w:pPr>
        <w:pStyle w:val="Heading5"/>
        <w:rPr>
          <w:snapToGrid w:val="0"/>
        </w:rPr>
      </w:pPr>
      <w:bookmarkStart w:id="682" w:name="_Toc36441033"/>
      <w:bookmarkStart w:id="683" w:name="_Toc106426182"/>
      <w:bookmarkStart w:id="684" w:name="_Toc107198199"/>
      <w:bookmarkStart w:id="685" w:name="_Toc172436238"/>
      <w:bookmarkStart w:id="686" w:name="_Toc360457531"/>
      <w:bookmarkEnd w:id="676"/>
      <w:bookmarkEnd w:id="677"/>
      <w:bookmarkEnd w:id="678"/>
      <w:bookmarkEnd w:id="679"/>
      <w:r>
        <w:rPr>
          <w:rStyle w:val="CharSectno"/>
        </w:rPr>
        <w:t>65</w:t>
      </w:r>
      <w:r>
        <w:rPr>
          <w:snapToGrid w:val="0"/>
        </w:rPr>
        <w:t>.</w:t>
      </w:r>
      <w:r>
        <w:rPr>
          <w:snapToGrid w:val="0"/>
        </w:rPr>
        <w:tab/>
        <w:t>Termination by lessor where section 32 invoked</w:t>
      </w:r>
      <w:bookmarkEnd w:id="682"/>
      <w:bookmarkEnd w:id="683"/>
      <w:bookmarkEnd w:id="684"/>
      <w:bookmarkEnd w:id="685"/>
      <w:bookmarkEnd w:id="686"/>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w:t>
      </w:r>
      <w:r>
        <w:t>a lessor</w:t>
      </w:r>
      <w:r>
        <w:rPr>
          <w:snapToGrid w:val="0"/>
          <w:spacing w:val="-2"/>
        </w:rPr>
        <w:t xml:space="preserve">, authorise </w:t>
      </w:r>
      <w:r>
        <w:t>the lessor</w:t>
      </w:r>
      <w:r>
        <w:rPr>
          <w:snapToGrid w:val="0"/>
          <w:spacing w:val="-2"/>
        </w:rPr>
        <w:t xml:space="preserve"> to give notice of termination, if </w:t>
      </w:r>
      <w:r>
        <w:rPr>
          <w:snapToGrid w:val="0"/>
        </w:rPr>
        <w:t xml:space="preserve">it </w:t>
      </w:r>
      <w:r>
        <w:rPr>
          <w:snapToGrid w:val="0"/>
          <w:spacing w:val="-2"/>
        </w:rPr>
        <w:t xml:space="preserve">is satisfied that neither the institution of the proceedings for the order nor the making of the order has wholly or partly motivated </w:t>
      </w:r>
      <w:r>
        <w:t>the lessor</w:t>
      </w:r>
      <w:r>
        <w:rPr>
          <w:snapToGrid w:val="0"/>
          <w:spacing w:val="-2"/>
        </w:rPr>
        <w:t xml:space="preserve"> to give notice of termination.</w:t>
      </w:r>
    </w:p>
    <w:p>
      <w:pPr>
        <w:pStyle w:val="Footnotesection"/>
      </w:pPr>
      <w:r>
        <w:tab/>
        <w:t xml:space="preserve">[Section 65 amended by No. 50 of 1988 s. 18; No. 59 of 2004 s. 120(1) and (2); No. 60 of 2011 s. 64 and 89.] </w:t>
      </w:r>
    </w:p>
    <w:p>
      <w:pPr>
        <w:pStyle w:val="Heading5"/>
        <w:rPr>
          <w:snapToGrid w:val="0"/>
        </w:rPr>
      </w:pPr>
      <w:bookmarkStart w:id="687" w:name="_Toc36441034"/>
      <w:bookmarkStart w:id="688" w:name="_Toc106426183"/>
      <w:bookmarkStart w:id="689" w:name="_Toc107198200"/>
      <w:bookmarkStart w:id="690" w:name="_Toc172436239"/>
      <w:bookmarkStart w:id="691" w:name="_Toc360457532"/>
      <w:r>
        <w:rPr>
          <w:rStyle w:val="CharSectno"/>
        </w:rPr>
        <w:t>66</w:t>
      </w:r>
      <w:r>
        <w:rPr>
          <w:snapToGrid w:val="0"/>
        </w:rPr>
        <w:t>.</w:t>
      </w:r>
      <w:r>
        <w:rPr>
          <w:snapToGrid w:val="0"/>
        </w:rPr>
        <w:tab/>
        <w:t>Notice by lessor not waived by acceptance of rent</w:t>
      </w:r>
      <w:bookmarkEnd w:id="687"/>
      <w:bookmarkEnd w:id="688"/>
      <w:bookmarkEnd w:id="689"/>
      <w:bookmarkEnd w:id="690"/>
      <w:bookmarkEnd w:id="691"/>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bookmarkStart w:id="692" w:name="_Toc36441035"/>
      <w:bookmarkStart w:id="693" w:name="_Toc106426184"/>
      <w:bookmarkStart w:id="694" w:name="_Toc107198201"/>
      <w:bookmarkStart w:id="695" w:name="_Toc172436240"/>
      <w:r>
        <w:tab/>
        <w:t xml:space="preserve">[Section 66 amended by No. 60 of 2011 s. 65 and 89.] </w:t>
      </w:r>
    </w:p>
    <w:p>
      <w:pPr>
        <w:pStyle w:val="Heading5"/>
        <w:rPr>
          <w:snapToGrid w:val="0"/>
        </w:rPr>
      </w:pPr>
      <w:bookmarkStart w:id="696" w:name="_Toc360457533"/>
      <w:r>
        <w:rPr>
          <w:rStyle w:val="CharSectno"/>
        </w:rPr>
        <w:t>67</w:t>
      </w:r>
      <w:r>
        <w:rPr>
          <w:snapToGrid w:val="0"/>
        </w:rPr>
        <w:t>.</w:t>
      </w:r>
      <w:r>
        <w:rPr>
          <w:snapToGrid w:val="0"/>
        </w:rPr>
        <w:tab/>
        <w:t>Form of notice of termination by tenant</w:t>
      </w:r>
      <w:bookmarkEnd w:id="692"/>
      <w:bookmarkEnd w:id="693"/>
      <w:bookmarkEnd w:id="694"/>
      <w:bookmarkEnd w:id="695"/>
      <w:bookmarkEnd w:id="696"/>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Footnotesection"/>
      </w:pPr>
      <w:bookmarkStart w:id="697" w:name="_Toc36441036"/>
      <w:bookmarkStart w:id="698" w:name="_Toc106426185"/>
      <w:bookmarkStart w:id="699" w:name="_Toc107198202"/>
      <w:bookmarkStart w:id="700" w:name="_Toc172436241"/>
      <w:r>
        <w:tab/>
        <w:t xml:space="preserve">[Section 67 amended by No. 60 of 2011 s. 88.] </w:t>
      </w:r>
    </w:p>
    <w:p>
      <w:pPr>
        <w:pStyle w:val="Heading5"/>
        <w:rPr>
          <w:snapToGrid w:val="0"/>
        </w:rPr>
      </w:pPr>
      <w:bookmarkStart w:id="701" w:name="_Toc360457534"/>
      <w:r>
        <w:rPr>
          <w:rStyle w:val="CharSectno"/>
        </w:rPr>
        <w:t>68</w:t>
      </w:r>
      <w:r>
        <w:rPr>
          <w:snapToGrid w:val="0"/>
        </w:rPr>
        <w:t>.</w:t>
      </w:r>
      <w:r>
        <w:rPr>
          <w:snapToGrid w:val="0"/>
        </w:rPr>
        <w:tab/>
        <w:t>Notice of termination by tenant</w:t>
      </w:r>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bookmarkStart w:id="702" w:name="_Toc36441037"/>
      <w:bookmarkStart w:id="703" w:name="_Toc106426186"/>
      <w:bookmarkStart w:id="704" w:name="_Toc107198203"/>
      <w:bookmarkStart w:id="705" w:name="_Toc172436242"/>
      <w:r>
        <w:tab/>
        <w:t xml:space="preserve">[Section 68 amended by No. 60 of 2011 s. 66, 88 and 89.] </w:t>
      </w:r>
    </w:p>
    <w:p>
      <w:pPr>
        <w:pStyle w:val="Heading5"/>
        <w:rPr>
          <w:snapToGrid w:val="0"/>
        </w:rPr>
      </w:pPr>
      <w:bookmarkStart w:id="706" w:name="_Toc360457535"/>
      <w:r>
        <w:rPr>
          <w:rStyle w:val="CharSectno"/>
        </w:rPr>
        <w:t>69</w:t>
      </w:r>
      <w:r>
        <w:rPr>
          <w:snapToGrid w:val="0"/>
        </w:rPr>
        <w:t>.</w:t>
      </w:r>
      <w:r>
        <w:rPr>
          <w:snapToGrid w:val="0"/>
        </w:rPr>
        <w:tab/>
        <w:t>Notice of termination by lessor or tenant where agreement frustrated</w:t>
      </w:r>
      <w:bookmarkEnd w:id="702"/>
      <w:bookmarkEnd w:id="703"/>
      <w:bookmarkEnd w:id="704"/>
      <w:bookmarkEnd w:id="705"/>
      <w:bookmarkEnd w:id="706"/>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spacing w:val="-4"/>
        </w:rPr>
      </w:pPr>
      <w:r>
        <w:rPr>
          <w:snapToGrid w:val="0"/>
          <w:spacing w:val="-4"/>
        </w:rPr>
        <w:tab/>
        <w:t>(4)</w:t>
      </w:r>
      <w:r>
        <w:rPr>
          <w:snapToGrid w:val="0"/>
          <w:spacing w:val="-4"/>
        </w:rPr>
        <w:tab/>
        <w:t xml:space="preserve">Where notice of termination is given under this section in respect of </w:t>
      </w:r>
      <w:r>
        <w:t>a residential tenancy agreement</w:t>
      </w:r>
      <w:r>
        <w:rPr>
          <w:snapToGrid w:val="0"/>
          <w:spacing w:val="-4"/>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bookmarkStart w:id="707" w:name="_Toc36441038"/>
      <w:bookmarkStart w:id="708" w:name="_Toc106426187"/>
      <w:bookmarkStart w:id="709" w:name="_Toc107198204"/>
      <w:bookmarkStart w:id="710" w:name="_Toc172436243"/>
      <w:r>
        <w:tab/>
        <w:t xml:space="preserve">[Section 69 amended by No. 60 of 2011 s. 67, 88 and 89.] </w:t>
      </w:r>
    </w:p>
    <w:p>
      <w:pPr>
        <w:pStyle w:val="Heading5"/>
      </w:pPr>
      <w:bookmarkStart w:id="711" w:name="_Toc311730426"/>
      <w:bookmarkStart w:id="712" w:name="_Toc360457536"/>
      <w:r>
        <w:rPr>
          <w:rStyle w:val="CharSectno"/>
        </w:rPr>
        <w:t>70A</w:t>
      </w:r>
      <w:r>
        <w:t>.</w:t>
      </w:r>
      <w:r>
        <w:tab/>
        <w:t>Notice of termination by lessor or tenant at end of fixed term tenancy</w:t>
      </w:r>
      <w:bookmarkEnd w:id="711"/>
      <w:bookmarkEnd w:id="712"/>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by No. 60 of 2011 s. 68.] </w:t>
      </w:r>
    </w:p>
    <w:p>
      <w:pPr>
        <w:pStyle w:val="Heading5"/>
        <w:rPr>
          <w:snapToGrid w:val="0"/>
        </w:rPr>
      </w:pPr>
      <w:bookmarkStart w:id="713" w:name="_Toc360457537"/>
      <w:r>
        <w:rPr>
          <w:rStyle w:val="CharSectno"/>
        </w:rPr>
        <w:t>70</w:t>
      </w:r>
      <w:r>
        <w:rPr>
          <w:snapToGrid w:val="0"/>
        </w:rPr>
        <w:t>.</w:t>
      </w:r>
      <w:r>
        <w:rPr>
          <w:snapToGrid w:val="0"/>
        </w:rPr>
        <w:tab/>
        <w:t>Effect of notice of termination of periodic tenancy</w:t>
      </w:r>
      <w:bookmarkEnd w:id="707"/>
      <w:bookmarkEnd w:id="708"/>
      <w:bookmarkEnd w:id="709"/>
      <w:bookmarkEnd w:id="710"/>
      <w:bookmarkEnd w:id="713"/>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bookmarkStart w:id="714" w:name="_Toc36441039"/>
      <w:bookmarkStart w:id="715" w:name="_Toc106426188"/>
      <w:bookmarkStart w:id="716" w:name="_Toc107198205"/>
      <w:bookmarkStart w:id="717" w:name="_Toc172436244"/>
      <w:r>
        <w:tab/>
        <w:t xml:space="preserve">[Section 70 amended by No. 60 of 2011 s. 88.] </w:t>
      </w:r>
    </w:p>
    <w:p>
      <w:pPr>
        <w:pStyle w:val="Heading3"/>
      </w:pPr>
      <w:bookmarkStart w:id="718" w:name="_Toc331431307"/>
      <w:bookmarkStart w:id="719" w:name="_Toc331431654"/>
      <w:bookmarkStart w:id="720" w:name="_Toc331677264"/>
      <w:bookmarkStart w:id="721" w:name="_Toc360453583"/>
      <w:bookmarkStart w:id="722" w:name="_Toc360457538"/>
      <w:r>
        <w:rPr>
          <w:rStyle w:val="CharDivNo"/>
        </w:rPr>
        <w:t>Division 3</w:t>
      </w:r>
      <w:r>
        <w:t> — </w:t>
      </w:r>
      <w:r>
        <w:rPr>
          <w:rStyle w:val="CharDivText"/>
        </w:rPr>
        <w:t>Special provisions about terminating social housing tenancy agreements</w:t>
      </w:r>
      <w:bookmarkEnd w:id="718"/>
      <w:bookmarkEnd w:id="719"/>
      <w:bookmarkEnd w:id="720"/>
      <w:bookmarkEnd w:id="721"/>
      <w:bookmarkEnd w:id="722"/>
    </w:p>
    <w:p>
      <w:pPr>
        <w:pStyle w:val="Footnoteheading"/>
      </w:pPr>
      <w:r>
        <w:tab/>
        <w:t>[Heading inserted by No. 60 of 2011 s. 92.]</w:t>
      </w:r>
    </w:p>
    <w:p>
      <w:pPr>
        <w:pStyle w:val="Heading4"/>
      </w:pPr>
      <w:bookmarkStart w:id="723" w:name="_Toc331431308"/>
      <w:bookmarkStart w:id="724" w:name="_Toc331431655"/>
      <w:bookmarkStart w:id="725" w:name="_Toc331677265"/>
      <w:bookmarkStart w:id="726" w:name="_Toc360453584"/>
      <w:bookmarkStart w:id="727" w:name="_Toc360457539"/>
      <w:r>
        <w:t>Subdivision 1 — Preliminary</w:t>
      </w:r>
      <w:bookmarkEnd w:id="723"/>
      <w:bookmarkEnd w:id="724"/>
      <w:bookmarkEnd w:id="725"/>
      <w:bookmarkEnd w:id="726"/>
      <w:bookmarkEnd w:id="727"/>
    </w:p>
    <w:p>
      <w:pPr>
        <w:pStyle w:val="Footnoteheading"/>
      </w:pPr>
      <w:bookmarkStart w:id="728" w:name="_Toc311730488"/>
      <w:r>
        <w:tab/>
        <w:t>[Heading inserted by No. 60 of 2011 s. 92.]</w:t>
      </w:r>
    </w:p>
    <w:p>
      <w:pPr>
        <w:pStyle w:val="Heading5"/>
      </w:pPr>
      <w:bookmarkStart w:id="729" w:name="_Toc360457540"/>
      <w:r>
        <w:rPr>
          <w:rStyle w:val="CharSectno"/>
        </w:rPr>
        <w:t>71A</w:t>
      </w:r>
      <w:r>
        <w:t>.</w:t>
      </w:r>
      <w:r>
        <w:tab/>
        <w:t>Terms used</w:t>
      </w:r>
      <w:bookmarkEnd w:id="728"/>
      <w:bookmarkEnd w:id="729"/>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bookmarkStart w:id="730" w:name="_Toc311730489"/>
      <w:r>
        <w:tab/>
        <w:t>[Section 71A inserted by No. 60 of 2011 s. 92.]</w:t>
      </w:r>
    </w:p>
    <w:p>
      <w:pPr>
        <w:pStyle w:val="Heading5"/>
      </w:pPr>
      <w:bookmarkStart w:id="731" w:name="_Toc360457541"/>
      <w:r>
        <w:rPr>
          <w:rStyle w:val="CharSectno"/>
        </w:rPr>
        <w:t>71B</w:t>
      </w:r>
      <w:r>
        <w:t>.</w:t>
      </w:r>
      <w:r>
        <w:tab/>
        <w:t>Application of Division</w:t>
      </w:r>
      <w:bookmarkEnd w:id="730"/>
      <w:bookmarkEnd w:id="731"/>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by No. 60 of 2011 s. 92.]</w:t>
      </w:r>
    </w:p>
    <w:p>
      <w:pPr>
        <w:pStyle w:val="Heading4"/>
      </w:pPr>
      <w:bookmarkStart w:id="732" w:name="_Toc331431311"/>
      <w:bookmarkStart w:id="733" w:name="_Toc331431658"/>
      <w:bookmarkStart w:id="734" w:name="_Toc331677268"/>
      <w:bookmarkStart w:id="735" w:name="_Toc360453587"/>
      <w:bookmarkStart w:id="736" w:name="_Toc360457542"/>
      <w:r>
        <w:t>Subdivision 2 — Notice of termination where tenant not eligible for social housing premises</w:t>
      </w:r>
      <w:bookmarkEnd w:id="732"/>
      <w:bookmarkEnd w:id="733"/>
      <w:bookmarkEnd w:id="734"/>
      <w:bookmarkEnd w:id="735"/>
      <w:bookmarkEnd w:id="736"/>
    </w:p>
    <w:p>
      <w:pPr>
        <w:pStyle w:val="Footnoteheading"/>
      </w:pPr>
      <w:bookmarkStart w:id="737" w:name="_Toc311730491"/>
      <w:r>
        <w:tab/>
        <w:t>[Heading inserted by No. 60 of 2011 s. 92.]</w:t>
      </w:r>
    </w:p>
    <w:p>
      <w:pPr>
        <w:pStyle w:val="Heading5"/>
        <w:rPr>
          <w:snapToGrid w:val="0"/>
        </w:rPr>
      </w:pPr>
      <w:bookmarkStart w:id="738" w:name="_Toc360457543"/>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737"/>
      <w:bookmarkEnd w:id="738"/>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bookmarkStart w:id="739" w:name="_Toc311730492"/>
      <w:r>
        <w:tab/>
        <w:t>[Section 71C inserted by No. 60 of 2011 s. 92.]</w:t>
      </w:r>
    </w:p>
    <w:p>
      <w:pPr>
        <w:pStyle w:val="Heading5"/>
      </w:pPr>
      <w:bookmarkStart w:id="740" w:name="_Toc360457544"/>
      <w:r>
        <w:rPr>
          <w:rStyle w:val="CharSectno"/>
        </w:rPr>
        <w:t>71D</w:t>
      </w:r>
      <w:r>
        <w:t>.</w:t>
      </w:r>
      <w:r>
        <w:tab/>
        <w:t>Assessment of tenants eligibility for social housing premises</w:t>
      </w:r>
      <w:bookmarkEnd w:id="739"/>
      <w:bookmarkEnd w:id="740"/>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bookmarkStart w:id="741" w:name="_Toc311730493"/>
      <w:r>
        <w:tab/>
        <w:t>[Section 71D inserted by No. 60 of 2011 s. 92.]</w:t>
      </w:r>
    </w:p>
    <w:p>
      <w:pPr>
        <w:pStyle w:val="Heading5"/>
      </w:pPr>
      <w:bookmarkStart w:id="742" w:name="_Toc360457545"/>
      <w:r>
        <w:rPr>
          <w:rStyle w:val="CharSectno"/>
        </w:rPr>
        <w:t>71E</w:t>
      </w:r>
      <w:r>
        <w:t>.</w:t>
      </w:r>
      <w:r>
        <w:tab/>
        <w:t>Criteria for assessing eligibility of tenants for social housing premises under section 71D</w:t>
      </w:r>
      <w:bookmarkEnd w:id="741"/>
      <w:bookmarkEnd w:id="742"/>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bookmarkStart w:id="743" w:name="_Toc311730494"/>
      <w:r>
        <w:tab/>
        <w:t>[Section 71E inserted by No. 60 of 2011 s. 92.]</w:t>
      </w:r>
    </w:p>
    <w:p>
      <w:pPr>
        <w:pStyle w:val="Heading5"/>
      </w:pPr>
      <w:bookmarkStart w:id="744" w:name="_Toc360457546"/>
      <w:r>
        <w:rPr>
          <w:rStyle w:val="CharSectno"/>
        </w:rPr>
        <w:t>71F</w:t>
      </w:r>
      <w:r>
        <w:t>.</w:t>
      </w:r>
      <w:r>
        <w:tab/>
        <w:t>Review of decision to give notice on ground that tenant not eligible for social housing premises</w:t>
      </w:r>
      <w:bookmarkEnd w:id="743"/>
      <w:bookmarkEnd w:id="744"/>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pPr>
      <w:r>
        <w:tab/>
        <w:t>(a)</w:t>
      </w:r>
      <w:r>
        <w:tab/>
        <w:t>contain particulars of the reasons why the tenant is no longer considered eligible to reside in the premises; and</w:t>
      </w:r>
    </w:p>
    <w:p>
      <w:pPr>
        <w:pStyle w:val="Indenta"/>
      </w:pPr>
      <w:r>
        <w:tab/>
        <w:t>(b)</w:t>
      </w:r>
      <w:r>
        <w:tab/>
        <w:t>state that the tenant may apply to the lessor for a review of the decision within 30 days after the notice is given and give particulars of how such an application may be made; and</w:t>
      </w:r>
    </w:p>
    <w:p>
      <w:pPr>
        <w:pStyle w:val="Indenta"/>
      </w:pPr>
      <w:r>
        <w:tab/>
        <w:t>(c)</w:t>
      </w:r>
      <w:r>
        <w:tab/>
        <w:t>state that the tenant is entitled to make representations to the lessor in writing, or (if the tenant wishes) orally, as to why the agreement should not be terminated.</w:t>
      </w:r>
    </w:p>
    <w:p>
      <w:pPr>
        <w:pStyle w:val="Subsection"/>
      </w:pPr>
      <w:r>
        <w:tab/>
        <w:t>(3)</w:t>
      </w:r>
      <w:r>
        <w:tab/>
        <w:t xml:space="preserve">The tenant may, in accordance with the notice — </w:t>
      </w:r>
    </w:p>
    <w:p>
      <w:pPr>
        <w:pStyle w:val="Indenta"/>
      </w:pPr>
      <w:r>
        <w:tab/>
        <w:t>(a)</w:t>
      </w:r>
      <w:r>
        <w:tab/>
        <w:t>apply to the lessor for a review of the decision; and</w:t>
      </w:r>
    </w:p>
    <w:p>
      <w:pPr>
        <w:pStyle w:val="Indenta"/>
      </w:pPr>
      <w:r>
        <w:tab/>
        <w:t>(b)</w:t>
      </w:r>
      <w:r>
        <w:tab/>
        <w:t>make representations in writing, or (if the tenant wishes) orally, to the lessor as to why the agreement should not be terminated.</w:t>
      </w:r>
    </w:p>
    <w:p>
      <w:pPr>
        <w:pStyle w:val="Subsection"/>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pPr>
      <w:r>
        <w:tab/>
        <w:t>(5)</w:t>
      </w:r>
      <w:r>
        <w:tab/>
        <w:t xml:space="preserve">After the review is carried out, the lessor may — </w:t>
      </w:r>
    </w:p>
    <w:p>
      <w:pPr>
        <w:pStyle w:val="Indenta"/>
      </w:pPr>
      <w:r>
        <w:tab/>
        <w:t>(a)</w:t>
      </w:r>
      <w:r>
        <w:tab/>
        <w:t>give notice of termination of the agreement on the ground referred to in section 71C; or</w:t>
      </w:r>
    </w:p>
    <w:p>
      <w:pPr>
        <w:pStyle w:val="Indenta"/>
      </w:pPr>
      <w:r>
        <w:tab/>
        <w:t>(b)</w:t>
      </w:r>
      <w:r>
        <w:tab/>
        <w:t>advise the tenant, by notice in writing, that the lessor has decided not to give notice of termination of the agreement.</w:t>
      </w:r>
    </w:p>
    <w:p>
      <w:pPr>
        <w:pStyle w:val="Footnotesection"/>
      </w:pPr>
      <w:bookmarkStart w:id="745" w:name="_Toc311730495"/>
      <w:r>
        <w:tab/>
        <w:t>[Section 71F inserted by No. 60 of 2011 s. 92.]</w:t>
      </w:r>
    </w:p>
    <w:p>
      <w:pPr>
        <w:pStyle w:val="Heading5"/>
        <w:rPr>
          <w:snapToGrid w:val="0"/>
        </w:rPr>
      </w:pPr>
      <w:bookmarkStart w:id="746" w:name="_Toc360457547"/>
      <w:r>
        <w:rPr>
          <w:rStyle w:val="CharSectno"/>
        </w:rPr>
        <w:t>71G</w:t>
      </w:r>
      <w:r>
        <w:t>.</w:t>
      </w:r>
      <w:r>
        <w:tab/>
        <w:t xml:space="preserve">Time </w:t>
      </w:r>
      <w:r>
        <w:rPr>
          <w:snapToGrid w:val="0"/>
        </w:rPr>
        <w:t>periods to be observed where notice of termination given under this Subdivision</w:t>
      </w:r>
      <w:bookmarkEnd w:id="745"/>
      <w:bookmarkEnd w:id="746"/>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pPr>
      <w:r>
        <w:tab/>
        <w:t>[Section 71G inserted by No. 60 of 2011 s. 92.]</w:t>
      </w:r>
    </w:p>
    <w:p>
      <w:pPr>
        <w:pStyle w:val="Heading4"/>
      </w:pPr>
      <w:bookmarkStart w:id="747" w:name="_Toc331431317"/>
      <w:bookmarkStart w:id="748" w:name="_Toc331431664"/>
      <w:bookmarkStart w:id="749" w:name="_Toc331677274"/>
      <w:bookmarkStart w:id="750" w:name="_Toc360453593"/>
      <w:bookmarkStart w:id="751" w:name="_Toc360457548"/>
      <w:r>
        <w:t>Subdivision 3 — Notice of termination where tenant offered alternative social housing premises</w:t>
      </w:r>
      <w:bookmarkEnd w:id="747"/>
      <w:bookmarkEnd w:id="748"/>
      <w:bookmarkEnd w:id="749"/>
      <w:bookmarkEnd w:id="750"/>
      <w:bookmarkEnd w:id="751"/>
    </w:p>
    <w:p>
      <w:pPr>
        <w:pStyle w:val="Footnoteheading"/>
      </w:pPr>
      <w:bookmarkStart w:id="752" w:name="_Toc311730497"/>
      <w:r>
        <w:tab/>
        <w:t>[Heading inserted by No. 60 of 2011 s. 92.]</w:t>
      </w:r>
    </w:p>
    <w:p>
      <w:pPr>
        <w:pStyle w:val="Heading5"/>
        <w:rPr>
          <w:snapToGrid w:val="0"/>
        </w:rPr>
      </w:pPr>
      <w:bookmarkStart w:id="753" w:name="_Toc360457549"/>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752"/>
      <w:bookmarkEnd w:id="753"/>
    </w:p>
    <w:p>
      <w:pPr>
        <w:pStyle w:val="Subsection"/>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pPr>
      <w:bookmarkStart w:id="754" w:name="_Toc311730498"/>
      <w:r>
        <w:tab/>
        <w:t>[Section 71H inserted by No. 60 of 2011 s. 92.]</w:t>
      </w:r>
    </w:p>
    <w:p>
      <w:pPr>
        <w:pStyle w:val="Heading5"/>
      </w:pPr>
      <w:bookmarkStart w:id="755" w:name="_Toc360457550"/>
      <w:r>
        <w:rPr>
          <w:rStyle w:val="CharSectno"/>
        </w:rPr>
        <w:t>71I</w:t>
      </w:r>
      <w:r>
        <w:t>.</w:t>
      </w:r>
      <w:r>
        <w:tab/>
        <w:t>Review of decision to give notice on ground that tenant offered alternative social housing premises</w:t>
      </w:r>
      <w:bookmarkEnd w:id="754"/>
      <w:bookmarkEnd w:id="755"/>
    </w:p>
    <w:p>
      <w:pPr>
        <w:pStyle w:val="Subsection"/>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pPr>
      <w:r>
        <w:tab/>
        <w:t>(2)</w:t>
      </w:r>
      <w:r>
        <w:tab/>
        <w:t>The lessor may make the offer to enter into a new social housing tenancy agreement and give notice of the decision at the same time.</w:t>
      </w:r>
    </w:p>
    <w:p>
      <w:pPr>
        <w:pStyle w:val="Subsection"/>
      </w:pPr>
      <w:r>
        <w:tab/>
        <w:t>(3)</w:t>
      </w:r>
      <w:r>
        <w:tab/>
        <w:t xml:space="preserve">A notice given under this section must — </w:t>
      </w:r>
    </w:p>
    <w:p>
      <w:pPr>
        <w:pStyle w:val="Indenta"/>
      </w:pPr>
      <w:r>
        <w:tab/>
        <w:t>(a)</w:t>
      </w:r>
      <w:r>
        <w:tab/>
        <w:t>contain particulars of the reasons why the lessor wishes the tenant to move to alternative premises; and</w:t>
      </w:r>
    </w:p>
    <w:p>
      <w:pPr>
        <w:pStyle w:val="Indenta"/>
      </w:pPr>
      <w:r>
        <w:tab/>
        <w:t>(b)</w:t>
      </w:r>
      <w:r>
        <w:tab/>
        <w:t>state that the tenant may apply to the lessor for a review of the decision within 30 days after the notice is given and give particulars of how such an application may be made; and</w:t>
      </w:r>
    </w:p>
    <w:p>
      <w:pPr>
        <w:pStyle w:val="Indenta"/>
      </w:pPr>
      <w:r>
        <w:tab/>
        <w:t>(c)</w:t>
      </w:r>
      <w:r>
        <w:tab/>
        <w:t>state that the tenant is entitled to make representations to the lessor in writing, or (if the tenant wishes) orally, as to why the existing agreement should not be terminated.</w:t>
      </w:r>
    </w:p>
    <w:p>
      <w:pPr>
        <w:pStyle w:val="Subsection"/>
      </w:pPr>
      <w:r>
        <w:tab/>
        <w:t>(4)</w:t>
      </w:r>
      <w:r>
        <w:tab/>
        <w:t xml:space="preserve">The tenant may, in accordance with the notice — </w:t>
      </w:r>
    </w:p>
    <w:p>
      <w:pPr>
        <w:pStyle w:val="Indenta"/>
      </w:pPr>
      <w:r>
        <w:tab/>
        <w:t>(a)</w:t>
      </w:r>
      <w:r>
        <w:tab/>
        <w:t>apply to the lessor for a review of the decision; and</w:t>
      </w:r>
    </w:p>
    <w:p>
      <w:pPr>
        <w:pStyle w:val="Indenta"/>
      </w:pPr>
      <w:r>
        <w:tab/>
        <w:t>(b)</w:t>
      </w:r>
      <w:r>
        <w:tab/>
        <w:t>make representations in writing, or (if the tenant wishes) orally, to the lessor as to why the existing agreement should not be terminated.</w:t>
      </w:r>
    </w:p>
    <w:p>
      <w:pPr>
        <w:pStyle w:val="Subsection"/>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pPr>
      <w:r>
        <w:tab/>
        <w:t>(6)</w:t>
      </w:r>
      <w:r>
        <w:tab/>
        <w:t xml:space="preserve">After the review is carried out, the lessor may — </w:t>
      </w:r>
    </w:p>
    <w:p>
      <w:pPr>
        <w:pStyle w:val="Indenta"/>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bookmarkStart w:id="756" w:name="_Toc311730499"/>
      <w:r>
        <w:tab/>
        <w:t>[Section 71I inserted by No. 60 of 2011 s. 92.]</w:t>
      </w:r>
    </w:p>
    <w:p>
      <w:pPr>
        <w:pStyle w:val="Heading5"/>
      </w:pPr>
      <w:bookmarkStart w:id="757" w:name="_Toc360457551"/>
      <w:r>
        <w:rPr>
          <w:rStyle w:val="CharSectno"/>
        </w:rPr>
        <w:t>71J</w:t>
      </w:r>
      <w:r>
        <w:t>.</w:t>
      </w:r>
      <w:r>
        <w:tab/>
        <w:t xml:space="preserve">Time periods to be observed </w:t>
      </w:r>
      <w:r>
        <w:rPr>
          <w:snapToGrid w:val="0"/>
        </w:rPr>
        <w:t xml:space="preserve">where notice of termination given </w:t>
      </w:r>
      <w:r>
        <w:t>under this Subdivision</w:t>
      </w:r>
      <w:bookmarkEnd w:id="756"/>
      <w:bookmarkEnd w:id="757"/>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by No. 60 of 2011 s. 92.]</w:t>
      </w:r>
    </w:p>
    <w:p>
      <w:pPr>
        <w:pStyle w:val="Heading3"/>
      </w:pPr>
      <w:bookmarkStart w:id="758" w:name="_Toc331431321"/>
      <w:bookmarkStart w:id="759" w:name="_Toc331431668"/>
      <w:bookmarkStart w:id="760" w:name="_Toc331677278"/>
      <w:bookmarkStart w:id="761" w:name="_Toc360453597"/>
      <w:bookmarkStart w:id="762" w:name="_Toc360457552"/>
      <w:r>
        <w:rPr>
          <w:rStyle w:val="CharDivNo"/>
        </w:rPr>
        <w:t>Division 4</w:t>
      </w:r>
      <w:r>
        <w:t> — </w:t>
      </w:r>
      <w:r>
        <w:rPr>
          <w:rStyle w:val="CharDivText"/>
        </w:rPr>
        <w:t>Orders for termination of residential tenancy agreement</w:t>
      </w:r>
      <w:bookmarkEnd w:id="758"/>
      <w:bookmarkEnd w:id="759"/>
      <w:bookmarkEnd w:id="760"/>
      <w:bookmarkEnd w:id="761"/>
      <w:bookmarkEnd w:id="762"/>
    </w:p>
    <w:p>
      <w:pPr>
        <w:pStyle w:val="Footnoteheading"/>
      </w:pPr>
      <w:r>
        <w:tab/>
        <w:t>[Heading inserted by No. 60 of 2011 s. 69.]</w:t>
      </w:r>
    </w:p>
    <w:p>
      <w:pPr>
        <w:pStyle w:val="Heading5"/>
        <w:rPr>
          <w:snapToGrid w:val="0"/>
        </w:rPr>
      </w:pPr>
      <w:bookmarkStart w:id="763" w:name="_Toc360457553"/>
      <w:r>
        <w:rPr>
          <w:rStyle w:val="CharSectno"/>
        </w:rPr>
        <w:t>71</w:t>
      </w:r>
      <w:r>
        <w:rPr>
          <w:snapToGrid w:val="0"/>
        </w:rPr>
        <w:t>.</w:t>
      </w:r>
      <w:r>
        <w:rPr>
          <w:snapToGrid w:val="0"/>
        </w:rPr>
        <w:tab/>
      </w:r>
      <w:r>
        <w:rPr>
          <w:snapToGrid w:val="0"/>
          <w:spacing w:val="-4"/>
        </w:rPr>
        <w:t>Application by lessor for termination and order for possession</w:t>
      </w:r>
      <w:bookmarkEnd w:id="714"/>
      <w:bookmarkEnd w:id="715"/>
      <w:bookmarkEnd w:id="716"/>
      <w:bookmarkEnd w:id="717"/>
      <w:bookmarkEnd w:id="763"/>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spacing w:val="-4"/>
        </w:rPr>
        <w:tab/>
        <w:t>(4)</w:t>
      </w:r>
      <w:r>
        <w:rPr>
          <w:snapToGrid w:val="0"/>
          <w:spacing w:val="-4"/>
        </w:rPr>
        <w:tab/>
      </w:r>
      <w:r>
        <w:rPr>
          <w:snapToGrid w:val="0"/>
        </w:rPr>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keepNext/>
        <w:keepLines/>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No. 60 of 2011 s. 70, 88, 89 and 93.] </w:t>
      </w:r>
    </w:p>
    <w:p>
      <w:pPr>
        <w:pStyle w:val="Heading5"/>
        <w:rPr>
          <w:snapToGrid w:val="0"/>
        </w:rPr>
      </w:pPr>
      <w:bookmarkStart w:id="764" w:name="_Toc36441040"/>
      <w:bookmarkStart w:id="765" w:name="_Toc106426189"/>
      <w:bookmarkStart w:id="766" w:name="_Toc107198206"/>
      <w:bookmarkStart w:id="767" w:name="_Toc172436245"/>
      <w:bookmarkStart w:id="768" w:name="_Toc360457554"/>
      <w:r>
        <w:rPr>
          <w:rStyle w:val="CharSectno"/>
        </w:rPr>
        <w:t>72</w:t>
      </w:r>
      <w:r>
        <w:rPr>
          <w:snapToGrid w:val="0"/>
        </w:rPr>
        <w:t>.</w:t>
      </w:r>
      <w:r>
        <w:rPr>
          <w:snapToGrid w:val="0"/>
        </w:rPr>
        <w:tab/>
        <w:t>Application for termination and order for possession in relation to fixed term agreements</w:t>
      </w:r>
      <w:bookmarkEnd w:id="764"/>
      <w:bookmarkEnd w:id="765"/>
      <w:bookmarkEnd w:id="766"/>
      <w:bookmarkEnd w:id="767"/>
      <w:bookmarkEnd w:id="768"/>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[Section 72 amended by No. 50 of 1988 s. 18; No. 59 of 2004 s. 120 and 121; No. 20 of 2005 s. 23</w:t>
      </w:r>
      <w:r>
        <w:rPr>
          <w:spacing w:val="-4"/>
        </w:rPr>
        <w:t>; No. 60 of 2011 s. 71, 88 and 89</w:t>
      </w:r>
      <w:r>
        <w:t>.]</w:t>
      </w:r>
    </w:p>
    <w:p>
      <w:pPr>
        <w:pStyle w:val="Heading5"/>
      </w:pPr>
      <w:bookmarkStart w:id="769" w:name="_Toc311730502"/>
      <w:bookmarkStart w:id="770" w:name="_Toc360457555"/>
      <w:bookmarkStart w:id="771" w:name="_Toc36441041"/>
      <w:bookmarkStart w:id="772" w:name="_Toc106426190"/>
      <w:bookmarkStart w:id="773" w:name="_Toc107198207"/>
      <w:bookmarkStart w:id="774" w:name="_Toc172436246"/>
      <w:r>
        <w:rPr>
          <w:rStyle w:val="CharSectno"/>
        </w:rPr>
        <w:t>73A</w:t>
      </w:r>
      <w:r>
        <w:t>.</w:t>
      </w:r>
      <w:r>
        <w:tab/>
        <w:t>Notice of termination not required in certain cases</w:t>
      </w:r>
      <w:bookmarkEnd w:id="769"/>
      <w:bookmarkEnd w:id="770"/>
    </w:p>
    <w:p>
      <w:pPr>
        <w:pStyle w:val="Subsection"/>
      </w:pPr>
      <w:r>
        <w:tab/>
      </w:r>
      <w:r>
        <w:tab/>
        <w:t>An application under section 73, 74, 75A or 75 may be made whether or not notice of termination has been given.</w:t>
      </w:r>
    </w:p>
    <w:p>
      <w:pPr>
        <w:pStyle w:val="Footnotesection"/>
      </w:pPr>
      <w:r>
        <w:tab/>
        <w:t>[Section 73A inserted by No. 60 of 2011 s. 94.]</w:t>
      </w:r>
    </w:p>
    <w:p>
      <w:pPr>
        <w:pStyle w:val="Heading5"/>
        <w:rPr>
          <w:snapToGrid w:val="0"/>
        </w:rPr>
      </w:pPr>
      <w:bookmarkStart w:id="775" w:name="_Toc360457556"/>
      <w:r>
        <w:rPr>
          <w:rStyle w:val="CharSectno"/>
        </w:rPr>
        <w:t>73</w:t>
      </w:r>
      <w:r>
        <w:rPr>
          <w:snapToGrid w:val="0"/>
        </w:rPr>
        <w:t>.</w:t>
      </w:r>
      <w:r>
        <w:rPr>
          <w:snapToGrid w:val="0"/>
        </w:rPr>
        <w:tab/>
        <w:t>Termination of agreement where tenant causing serious damage or injury</w:t>
      </w:r>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pPr>
      <w:r>
        <w:tab/>
        <w:t>[Section 73 amended by No. 50 of 1988 s. 18; No. 59 of 2004 s. 120</w:t>
      </w:r>
      <w:r>
        <w:rPr>
          <w:spacing w:val="-4"/>
        </w:rPr>
        <w:t>; No. 60 of 2011 s. 72, 88 and 89</w:t>
      </w:r>
      <w:r>
        <w:t xml:space="preserve">.] </w:t>
      </w:r>
    </w:p>
    <w:p>
      <w:pPr>
        <w:pStyle w:val="Heading5"/>
        <w:spacing w:before="200"/>
        <w:rPr>
          <w:snapToGrid w:val="0"/>
        </w:rPr>
      </w:pPr>
      <w:bookmarkStart w:id="776" w:name="_Toc36441042"/>
      <w:bookmarkStart w:id="777" w:name="_Toc106426191"/>
      <w:bookmarkStart w:id="778" w:name="_Toc107198208"/>
      <w:bookmarkStart w:id="779" w:name="_Toc172436247"/>
      <w:bookmarkStart w:id="780" w:name="_Toc360457557"/>
      <w:r>
        <w:rPr>
          <w:rStyle w:val="CharSectno"/>
        </w:rPr>
        <w:t>74</w:t>
      </w:r>
      <w:r>
        <w:rPr>
          <w:snapToGrid w:val="0"/>
        </w:rPr>
        <w:t>.</w:t>
      </w:r>
      <w:r>
        <w:rPr>
          <w:snapToGrid w:val="0"/>
        </w:rPr>
        <w:tab/>
        <w:t>Termination of agreement where lessor or tenant would otherwise suffer undue hardship</w:t>
      </w:r>
      <w:bookmarkEnd w:id="776"/>
      <w:bookmarkEnd w:id="777"/>
      <w:bookmarkEnd w:id="778"/>
      <w:bookmarkEnd w:id="779"/>
      <w:bookmarkEnd w:id="780"/>
    </w:p>
    <w:p>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ind w:left="890" w:hanging="890"/>
      </w:pPr>
      <w:r>
        <w:tab/>
        <w:t>[Section 74 amended by No. 50 of 1988 s. 18; No. 59 of 2004 s. 120 and 121</w:t>
      </w:r>
      <w:r>
        <w:rPr>
          <w:spacing w:val="-4"/>
        </w:rPr>
        <w:t>; No. 60 of 2011 s. 73 and 88</w:t>
      </w:r>
      <w:r>
        <w:t xml:space="preserve">.] </w:t>
      </w:r>
    </w:p>
    <w:p>
      <w:pPr>
        <w:pStyle w:val="Heading5"/>
      </w:pPr>
      <w:bookmarkStart w:id="781" w:name="_Toc311730504"/>
      <w:bookmarkStart w:id="782" w:name="_Toc360457558"/>
      <w:bookmarkStart w:id="783" w:name="_Toc36441043"/>
      <w:bookmarkStart w:id="784" w:name="_Toc106426192"/>
      <w:bookmarkStart w:id="785" w:name="_Toc107198209"/>
      <w:bookmarkStart w:id="786" w:name="_Toc172436248"/>
      <w:r>
        <w:rPr>
          <w:rStyle w:val="CharSectno"/>
        </w:rPr>
        <w:t>75A</w:t>
      </w:r>
      <w:r>
        <w:t>.</w:t>
      </w:r>
      <w:r>
        <w:tab/>
        <w:t>Termination of social housing tenancy agreement due to objectionable behaviour</w:t>
      </w:r>
      <w:bookmarkEnd w:id="781"/>
      <w:bookmarkEnd w:id="782"/>
    </w:p>
    <w:p>
      <w:pPr>
        <w:pStyle w:val="Subsection"/>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by No. 60 of 2011 s. 95.]</w:t>
      </w:r>
    </w:p>
    <w:p>
      <w:pPr>
        <w:pStyle w:val="Heading5"/>
        <w:spacing w:before="200"/>
        <w:rPr>
          <w:snapToGrid w:val="0"/>
        </w:rPr>
      </w:pPr>
      <w:bookmarkStart w:id="787" w:name="_Toc360457559"/>
      <w:r>
        <w:rPr>
          <w:rStyle w:val="CharSectno"/>
        </w:rPr>
        <w:t>75</w:t>
      </w:r>
      <w:r>
        <w:rPr>
          <w:snapToGrid w:val="0"/>
        </w:rPr>
        <w:t>.</w:t>
      </w:r>
      <w:r>
        <w:rPr>
          <w:snapToGrid w:val="0"/>
        </w:rPr>
        <w:tab/>
        <w:t>Termination of agreement for breach by lessor</w:t>
      </w:r>
      <w:bookmarkEnd w:id="783"/>
      <w:bookmarkEnd w:id="784"/>
      <w:bookmarkEnd w:id="785"/>
      <w:bookmarkEnd w:id="786"/>
      <w:bookmarkEnd w:id="787"/>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ind w:left="890" w:hanging="890"/>
      </w:pPr>
      <w:r>
        <w:tab/>
        <w:t>[Section 75 amended by No. 50 of 1988 s. 18; No. 59 of 2004 s. 120</w:t>
      </w:r>
      <w:r>
        <w:rPr>
          <w:spacing w:val="-4"/>
        </w:rPr>
        <w:t>; No. 60 of 2011 s. 88 and 89</w:t>
      </w:r>
      <w:r>
        <w:t xml:space="preserve">.] </w:t>
      </w:r>
    </w:p>
    <w:p>
      <w:pPr>
        <w:pStyle w:val="Heading5"/>
      </w:pPr>
      <w:bookmarkStart w:id="788" w:name="_Toc311730434"/>
      <w:bookmarkStart w:id="789" w:name="_Toc360457560"/>
      <w:bookmarkStart w:id="790" w:name="_Toc36441044"/>
      <w:bookmarkStart w:id="791" w:name="_Toc106426193"/>
      <w:bookmarkStart w:id="792" w:name="_Toc107198210"/>
      <w:bookmarkStart w:id="793" w:name="_Toc172436249"/>
      <w:r>
        <w:rPr>
          <w:rStyle w:val="CharSectno"/>
        </w:rPr>
        <w:t>76A</w:t>
      </w:r>
      <w:r>
        <w:t>.</w:t>
      </w:r>
      <w:r>
        <w:tab/>
        <w:t>Termination of agreement by lessor if premises abandoned</w:t>
      </w:r>
      <w:bookmarkEnd w:id="788"/>
      <w:bookmarkEnd w:id="789"/>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ind w:left="890" w:hanging="890"/>
      </w:pPr>
      <w:bookmarkStart w:id="794" w:name="_Toc311730435"/>
      <w:r>
        <w:tab/>
        <w:t>[Section 76A inserted by N</w:t>
      </w:r>
      <w:r>
        <w:rPr>
          <w:spacing w:val="-4"/>
        </w:rPr>
        <w:t>o. 60 of 2011 s. 74.</w:t>
      </w:r>
      <w:r>
        <w:t>]</w:t>
      </w:r>
    </w:p>
    <w:p>
      <w:pPr>
        <w:pStyle w:val="Heading5"/>
      </w:pPr>
      <w:bookmarkStart w:id="795" w:name="_Toc360457561"/>
      <w:r>
        <w:rPr>
          <w:rStyle w:val="CharSectno"/>
        </w:rPr>
        <w:t>76B</w:t>
      </w:r>
      <w:r>
        <w:t>.</w:t>
      </w:r>
      <w:r>
        <w:tab/>
        <w:t>Dispute about s. 76A notice</w:t>
      </w:r>
      <w:bookmarkEnd w:id="794"/>
      <w:bookmarkEnd w:id="795"/>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pPr>
      <w:r>
        <w:tab/>
        <w:t>(a)</w:t>
      </w:r>
      <w:r>
        <w:tab/>
        <w:t>if the application was made within 7 days after the notice was given — make an order setting aside the notice; or</w:t>
      </w:r>
    </w:p>
    <w:p>
      <w:pPr>
        <w:pStyle w:val="Indenta"/>
      </w:pPr>
      <w:r>
        <w:tab/>
        <w:t>(b)</w:t>
      </w:r>
      <w:r>
        <w:tab/>
        <w:t>if paragraph (a) does not apply — make any of the following orders —</w:t>
      </w:r>
    </w:p>
    <w:p>
      <w:pPr>
        <w:pStyle w:val="Indenti"/>
      </w:pPr>
      <w:r>
        <w:tab/>
        <w:t>(i)</w:t>
      </w:r>
      <w:r>
        <w:tab/>
        <w:t>an order terminating the agreement;</w:t>
      </w:r>
    </w:p>
    <w:p>
      <w:pPr>
        <w:pStyle w:val="Indenti"/>
      </w:pPr>
      <w:r>
        <w:tab/>
        <w:t>(ii)</w:t>
      </w:r>
      <w:r>
        <w:tab/>
        <w:t>an order requiring the lessor to pay to the tenant the amount stated by the court as compensation for loss or expense incurred by the tenant because of the termination of the agreement;</w:t>
      </w:r>
    </w:p>
    <w:p>
      <w:pPr>
        <w:pStyle w:val="Indenti"/>
      </w:pPr>
      <w:r>
        <w:tab/>
        <w:t>(iii)</w:t>
      </w:r>
      <w:r>
        <w:tab/>
        <w:t>any other order it considers appropriate.</w:t>
      </w:r>
    </w:p>
    <w:p>
      <w:pPr>
        <w:pStyle w:val="Footnotesection"/>
        <w:ind w:left="890" w:hanging="890"/>
      </w:pPr>
      <w:r>
        <w:tab/>
        <w:t>[Section 76B inserted by N</w:t>
      </w:r>
      <w:r>
        <w:rPr>
          <w:spacing w:val="-4"/>
        </w:rPr>
        <w:t>o. 60 of 2011 s. 74.</w:t>
      </w:r>
      <w:r>
        <w:t>]</w:t>
      </w:r>
    </w:p>
    <w:p>
      <w:pPr>
        <w:pStyle w:val="Heading3"/>
      </w:pPr>
      <w:bookmarkStart w:id="796" w:name="_Toc360453607"/>
      <w:bookmarkStart w:id="797" w:name="_Toc360457562"/>
      <w:r>
        <w:rPr>
          <w:rStyle w:val="CharDivNo"/>
        </w:rPr>
        <w:t>Division 5</w:t>
      </w:r>
      <w:r>
        <w:t> — </w:t>
      </w:r>
      <w:r>
        <w:rPr>
          <w:rStyle w:val="CharDivText"/>
        </w:rPr>
        <w:t>General</w:t>
      </w:r>
      <w:bookmarkEnd w:id="796"/>
      <w:bookmarkEnd w:id="797"/>
    </w:p>
    <w:p>
      <w:pPr>
        <w:pStyle w:val="Footnoteheading"/>
      </w:pPr>
      <w:bookmarkStart w:id="798" w:name="_Toc311730437"/>
      <w:r>
        <w:tab/>
        <w:t>[Heading inserted by N</w:t>
      </w:r>
      <w:r>
        <w:rPr>
          <w:spacing w:val="-4"/>
        </w:rPr>
        <w:t>o. 60 of 2011 s. 74.</w:t>
      </w:r>
      <w:r>
        <w:t>]</w:t>
      </w:r>
    </w:p>
    <w:p>
      <w:pPr>
        <w:pStyle w:val="Heading5"/>
      </w:pPr>
      <w:bookmarkStart w:id="799" w:name="_Toc360457563"/>
      <w:r>
        <w:rPr>
          <w:rStyle w:val="CharSectno"/>
        </w:rPr>
        <w:t>76C</w:t>
      </w:r>
      <w:r>
        <w:t>.</w:t>
      </w:r>
      <w:r>
        <w:tab/>
        <w:t>Fixed term tenancies continued as periodic tenancies</w:t>
      </w:r>
      <w:bookmarkEnd w:id="798"/>
      <w:bookmarkEnd w:id="799"/>
    </w:p>
    <w:p>
      <w:pPr>
        <w:pStyle w:val="Subsection"/>
      </w:pPr>
      <w:r>
        <w:tab/>
        <w:t>(1)</w:t>
      </w:r>
      <w:r>
        <w:tab/>
        <w:t>This section applies to a residential tenancy agreement that creates a tenancy for a fixed term unless the agreement is terminated before the expiry day.</w:t>
      </w:r>
    </w:p>
    <w:p>
      <w:pPr>
        <w:pStyle w:val="Subsection"/>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pPr>
      <w:r>
        <w:tab/>
        <w:t>(3)</w:t>
      </w:r>
      <w:r>
        <w:tab/>
        <w:t>A competent court may, upon application by the lessor or tenant, make such modification to the terms of the residential tenancy agreement as may be necessary for, or appropriate to, its continuance.</w:t>
      </w:r>
    </w:p>
    <w:p>
      <w:pPr>
        <w:pStyle w:val="Footnotesection"/>
        <w:ind w:left="890" w:hanging="890"/>
      </w:pPr>
      <w:r>
        <w:tab/>
        <w:t>[Section 76C inserted by N</w:t>
      </w:r>
      <w:r>
        <w:rPr>
          <w:spacing w:val="-4"/>
        </w:rPr>
        <w:t>o. 60 of 2011 s. 74.</w:t>
      </w:r>
      <w:r>
        <w:t>]</w:t>
      </w:r>
    </w:p>
    <w:p>
      <w:pPr>
        <w:pStyle w:val="Heading5"/>
        <w:keepLines w:val="0"/>
        <w:rPr>
          <w:snapToGrid w:val="0"/>
        </w:rPr>
      </w:pPr>
      <w:bookmarkStart w:id="800" w:name="_Toc360457564"/>
      <w:r>
        <w:rPr>
          <w:rStyle w:val="CharSectno"/>
        </w:rPr>
        <w:t>76</w:t>
      </w:r>
      <w:r>
        <w:rPr>
          <w:snapToGrid w:val="0"/>
        </w:rPr>
        <w:t>.</w:t>
      </w:r>
      <w:r>
        <w:rPr>
          <w:snapToGrid w:val="0"/>
        </w:rPr>
        <w:tab/>
        <w:t>Compensation to lessor for holding over</w:t>
      </w:r>
      <w:bookmarkEnd w:id="790"/>
      <w:bookmarkEnd w:id="791"/>
      <w:bookmarkEnd w:id="792"/>
      <w:bookmarkEnd w:id="793"/>
      <w:bookmarkEnd w:id="800"/>
    </w:p>
    <w:p>
      <w:pPr>
        <w:pStyle w:val="Subsection"/>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the lessor</w:t>
      </w:r>
      <w:r>
        <w:rPr>
          <w:snapToGrid w:val="0"/>
          <w:spacing w:val="-4"/>
        </w:rPr>
        <w:t>, order the tenant to pay to the lessor any compensation to which the lessor is entitled under this section.</w:t>
      </w:r>
    </w:p>
    <w:p>
      <w:pPr>
        <w:pStyle w:val="Footnotesection"/>
      </w:pPr>
      <w:r>
        <w:tab/>
        <w:t xml:space="preserve">[Section 76 amended by No. 50 of 1988 s. 18; No. 59 of 2004 s. 120(1) and (3); No. 60 of 2011 s. 89.] </w:t>
      </w:r>
    </w:p>
    <w:p>
      <w:pPr>
        <w:pStyle w:val="Heading5"/>
      </w:pPr>
      <w:bookmarkStart w:id="801" w:name="_Toc311730439"/>
      <w:bookmarkStart w:id="802" w:name="_Toc360457565"/>
      <w:bookmarkStart w:id="803" w:name="_Toc36441045"/>
      <w:bookmarkStart w:id="804" w:name="_Toc106426194"/>
      <w:bookmarkStart w:id="805" w:name="_Toc107198211"/>
      <w:bookmarkStart w:id="806" w:name="_Toc172436250"/>
      <w:r>
        <w:rPr>
          <w:rStyle w:val="CharSectno"/>
        </w:rPr>
        <w:t>77</w:t>
      </w:r>
      <w:r>
        <w:t>.</w:t>
      </w:r>
      <w:r>
        <w:tab/>
        <w:t>Abandonment of premises</w:t>
      </w:r>
      <w:bookmarkEnd w:id="801"/>
      <w:bookmarkEnd w:id="802"/>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ind w:left="890" w:hanging="890"/>
      </w:pPr>
      <w:bookmarkStart w:id="807" w:name="_Toc311730440"/>
      <w:r>
        <w:tab/>
        <w:t>[Section 77 inserted by N</w:t>
      </w:r>
      <w:r>
        <w:rPr>
          <w:spacing w:val="-4"/>
        </w:rPr>
        <w:t>o. 60 of 2011 s. 75.</w:t>
      </w:r>
      <w:r>
        <w:t>]</w:t>
      </w:r>
    </w:p>
    <w:p>
      <w:pPr>
        <w:pStyle w:val="Heading5"/>
      </w:pPr>
      <w:bookmarkStart w:id="808" w:name="_Toc360457566"/>
      <w:r>
        <w:rPr>
          <w:rStyle w:val="CharSectno"/>
        </w:rPr>
        <w:t>78A</w:t>
      </w:r>
      <w:r>
        <w:t>.</w:t>
      </w:r>
      <w:r>
        <w:tab/>
        <w:t>Order about abandonment</w:t>
      </w:r>
      <w:bookmarkEnd w:id="807"/>
      <w:bookmarkEnd w:id="808"/>
    </w:p>
    <w:p>
      <w:pPr>
        <w:pStyle w:val="Subsection"/>
      </w:pPr>
      <w:r>
        <w:tab/>
        <w:t>(1)</w:t>
      </w:r>
      <w:r>
        <w:tab/>
        <w:t>If a lessor suspects on reasonable grounds that the tenant has abandoned the residential premises, the lessor may apply to a competent court for an order under this section.</w:t>
      </w:r>
    </w:p>
    <w:p>
      <w:pPr>
        <w:pStyle w:val="Subsection"/>
      </w:pPr>
      <w:r>
        <w:tab/>
        <w:t>(2)</w:t>
      </w:r>
      <w:r>
        <w:tab/>
        <w:t>The lessor may make the application instead of giving a notice under section 76A to the tenant.</w:t>
      </w:r>
    </w:p>
    <w:p>
      <w:pPr>
        <w:pStyle w:val="Subsection"/>
      </w:pPr>
      <w:r>
        <w:tab/>
        <w:t>(3)</w:t>
      </w:r>
      <w:r>
        <w:tab/>
        <w:t>If an application is made, the court may make an order declaring that the premises were abandoned by the tenant on the day stated in the order.</w:t>
      </w:r>
    </w:p>
    <w:p>
      <w:pPr>
        <w:pStyle w:val="Subsection"/>
      </w:pPr>
      <w:r>
        <w:tab/>
        <w:t>(4)</w:t>
      </w:r>
      <w:r>
        <w:tab/>
        <w:t>If the court makes an order under subsection (3), the tenant is taken to have abandoned the premises on the day stated in the order.</w:t>
      </w:r>
    </w:p>
    <w:p>
      <w:pPr>
        <w:pStyle w:val="Footnotesection"/>
        <w:ind w:left="890" w:hanging="890"/>
      </w:pPr>
      <w:bookmarkStart w:id="809" w:name="_Toc311730441"/>
      <w:r>
        <w:tab/>
        <w:t>[Section 78A inserted by N</w:t>
      </w:r>
      <w:r>
        <w:rPr>
          <w:spacing w:val="-4"/>
        </w:rPr>
        <w:t>o. 60 of 2011 s. 75.</w:t>
      </w:r>
      <w:r>
        <w:t>]</w:t>
      </w:r>
    </w:p>
    <w:p>
      <w:pPr>
        <w:pStyle w:val="Heading5"/>
      </w:pPr>
      <w:bookmarkStart w:id="810" w:name="_Toc360457567"/>
      <w:r>
        <w:rPr>
          <w:rStyle w:val="CharSectno"/>
        </w:rPr>
        <w:t>78B</w:t>
      </w:r>
      <w:r>
        <w:t>.</w:t>
      </w:r>
      <w:r>
        <w:tab/>
        <w:t>Review of abandonment order</w:t>
      </w:r>
      <w:bookmarkEnd w:id="809"/>
      <w:bookmarkEnd w:id="810"/>
    </w:p>
    <w:p>
      <w:pPr>
        <w:pStyle w:val="Subsection"/>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pPr>
      <w:r>
        <w:tab/>
        <w:t>(2)</w:t>
      </w:r>
      <w:r>
        <w:tab/>
        <w:t>The application must be made within 28 days after the decision is made.</w:t>
      </w:r>
    </w:p>
    <w:p>
      <w:pPr>
        <w:pStyle w:val="Subsection"/>
      </w:pPr>
      <w:r>
        <w:tab/>
        <w:t>(3)</w:t>
      </w:r>
      <w:r>
        <w:tab/>
        <w:t>The review is to be by way of a rehearing.</w:t>
      </w:r>
    </w:p>
    <w:p>
      <w:pPr>
        <w:pStyle w:val="Subsection"/>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ind w:left="890" w:hanging="890"/>
      </w:pPr>
      <w:r>
        <w:tab/>
        <w:t>[Section 78B inserted by N</w:t>
      </w:r>
      <w:r>
        <w:rPr>
          <w:spacing w:val="-4"/>
        </w:rPr>
        <w:t>o. 60 of 2011 s. 75.</w:t>
      </w:r>
      <w:r>
        <w:t>]</w:t>
      </w:r>
    </w:p>
    <w:p>
      <w:pPr>
        <w:pStyle w:val="Heading5"/>
        <w:rPr>
          <w:snapToGrid w:val="0"/>
        </w:rPr>
      </w:pPr>
      <w:bookmarkStart w:id="811" w:name="_Toc36441046"/>
      <w:bookmarkStart w:id="812" w:name="_Toc106426195"/>
      <w:bookmarkStart w:id="813" w:name="_Toc107198212"/>
      <w:bookmarkStart w:id="814" w:name="_Toc172436251"/>
      <w:bookmarkStart w:id="815" w:name="_Toc360457568"/>
      <w:bookmarkEnd w:id="803"/>
      <w:bookmarkEnd w:id="804"/>
      <w:bookmarkEnd w:id="805"/>
      <w:bookmarkEnd w:id="806"/>
      <w:r>
        <w:rPr>
          <w:rStyle w:val="CharSectno"/>
        </w:rPr>
        <w:t>78</w:t>
      </w:r>
      <w:r>
        <w:rPr>
          <w:snapToGrid w:val="0"/>
        </w:rPr>
        <w:t>.</w:t>
      </w:r>
      <w:r>
        <w:rPr>
          <w:snapToGrid w:val="0"/>
        </w:rPr>
        <w:tab/>
      </w:r>
      <w:r>
        <w:rPr>
          <w:bCs/>
        </w:rPr>
        <w:t>Right of lessor to compensation where tenant abandons premises</w:t>
      </w:r>
      <w:bookmarkEnd w:id="811"/>
      <w:bookmarkEnd w:id="812"/>
      <w:bookmarkEnd w:id="813"/>
      <w:bookmarkEnd w:id="814"/>
      <w:bookmarkEnd w:id="815"/>
    </w:p>
    <w:p>
      <w:pPr>
        <w:pStyle w:val="Subsection"/>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the lessor</w:t>
      </w:r>
      <w:r>
        <w:rPr>
          <w:snapToGrid w:val="0"/>
          <w:spacing w:val="-4"/>
        </w:rPr>
        <w:t xml:space="preserve">, order the tenant to pay to the lessor any compensation to which </w:t>
      </w:r>
      <w:r>
        <w:t>the lessor</w:t>
      </w:r>
      <w:r>
        <w:rPr>
          <w:snapToGrid w:val="0"/>
          <w:spacing w:val="-4"/>
        </w:rPr>
        <w:t xml:space="preserve"> is entitled under this section.</w:t>
      </w:r>
    </w:p>
    <w:p>
      <w:pPr>
        <w:pStyle w:val="Footnotesection"/>
      </w:pPr>
      <w:r>
        <w:tab/>
        <w:t>[Section 78 amended by No. 50 of 1988 s. 18; No. 59 of 2004 s. 120(1)</w:t>
      </w:r>
      <w:r>
        <w:rPr>
          <w:spacing w:val="-4"/>
        </w:rPr>
        <w:t>; No. 60 of 2011 s. 88 and 89</w:t>
      </w:r>
      <w:r>
        <w:t xml:space="preserve">.] </w:t>
      </w:r>
    </w:p>
    <w:p>
      <w:pPr>
        <w:pStyle w:val="Heading5"/>
        <w:rPr>
          <w:snapToGrid w:val="0"/>
        </w:rPr>
      </w:pPr>
      <w:bookmarkStart w:id="816" w:name="_Toc36441047"/>
      <w:bookmarkStart w:id="817" w:name="_Toc106426196"/>
      <w:bookmarkStart w:id="818" w:name="_Toc107198213"/>
      <w:bookmarkStart w:id="819" w:name="_Toc172436252"/>
      <w:bookmarkStart w:id="820" w:name="_Toc360457569"/>
      <w:r>
        <w:rPr>
          <w:rStyle w:val="CharSectno"/>
        </w:rPr>
        <w:t>79</w:t>
      </w:r>
      <w:r>
        <w:rPr>
          <w:snapToGrid w:val="0"/>
        </w:rPr>
        <w:t>.</w:t>
      </w:r>
      <w:r>
        <w:rPr>
          <w:snapToGrid w:val="0"/>
        </w:rPr>
        <w:tab/>
        <w:t>Abandoned goods</w:t>
      </w:r>
      <w:bookmarkEnd w:id="816"/>
      <w:bookmarkEnd w:id="817"/>
      <w:bookmarkEnd w:id="818"/>
      <w:bookmarkEnd w:id="819"/>
      <w:bookmarkEnd w:id="820"/>
      <w:r>
        <w:rPr>
          <w:snapToGrid w:val="0"/>
        </w:rPr>
        <w:t xml:space="preserve"> </w:t>
      </w:r>
    </w:p>
    <w:p>
      <w:pPr>
        <w:pStyle w:val="Subsection"/>
      </w:pPr>
      <w:r>
        <w:tab/>
        <w:t>(1A)</w:t>
      </w:r>
      <w:r>
        <w:tab/>
        <w:t xml:space="preserve">In this section — </w:t>
      </w:r>
    </w:p>
    <w:p>
      <w:pPr>
        <w:pStyle w:val="Defstart"/>
      </w:pPr>
      <w:r>
        <w:tab/>
      </w:r>
      <w:r>
        <w:rPr>
          <w:rStyle w:val="CharDefText"/>
        </w:rPr>
        <w:t>goods</w:t>
      </w:r>
      <w:r>
        <w:t xml:space="preserve"> does not include a tenant’s document as defined in section 80A.</w:t>
      </w:r>
    </w:p>
    <w:p>
      <w:pPr>
        <w:pStyle w:val="Subsection"/>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a fine of $5 000.</w:t>
      </w:r>
    </w:p>
    <w:p>
      <w:pPr>
        <w:pStyle w:val="Subsection"/>
        <w:rPr>
          <w:snapToGrid w:val="0"/>
        </w:rPr>
      </w:pPr>
      <w:r>
        <w:rPr>
          <w:snapToGrid w:val="0"/>
        </w:rPr>
        <w:tab/>
        <w:t>(3)</w:t>
      </w:r>
      <w:r>
        <w:rPr>
          <w:snapToGrid w:val="0"/>
        </w:rPr>
        <w:tab/>
      </w:r>
      <w:r>
        <w:t>A lessor</w:t>
      </w:r>
      <w:r>
        <w:rPr>
          <w:snapToGrid w:val="0"/>
        </w:rPr>
        <w:t xml:space="preserve"> shall before the expiration of 7 days after </w:t>
      </w:r>
      <w:r>
        <w:t>the lessor</w:t>
      </w:r>
      <w:r>
        <w:rPr>
          <w:snapToGrid w:val="0"/>
        </w:rPr>
        <w:t xml:space="preserve"> has stored goods under subsection (2) — </w:t>
      </w:r>
    </w:p>
    <w:p>
      <w:pPr>
        <w:pStyle w:val="Indenta"/>
        <w:rPr>
          <w:snapToGrid w:val="0"/>
        </w:rPr>
      </w:pPr>
      <w:r>
        <w:rPr>
          <w:snapToGrid w:val="0"/>
        </w:rPr>
        <w:tab/>
        <w:t>(a)</w:t>
      </w:r>
      <w:r>
        <w:rPr>
          <w:snapToGrid w:val="0"/>
        </w:rPr>
        <w:tab/>
        <w:t xml:space="preserve">where the tenant has informed </w:t>
      </w:r>
      <w:r>
        <w:t>the lessor</w:t>
      </w:r>
      <w:r>
        <w:rPr>
          <w:snapToGrid w:val="0"/>
        </w:rPr>
        <w:t xml:space="preserve"> of </w:t>
      </w:r>
      <w:r>
        <w:t>the tenant’s</w:t>
      </w:r>
      <w:r>
        <w:rPr>
          <w:snapToGrid w:val="0"/>
        </w:rPr>
        <w:t xml:space="preserve">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Penstart"/>
      </w:pPr>
      <w:r>
        <w:tab/>
        <w:t>Penalty: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spacing w:val="-4"/>
        </w:rPr>
      </w:pPr>
      <w:r>
        <w:rPr>
          <w:snapToGrid w:val="0"/>
          <w:spacing w:val="-4"/>
        </w:rPr>
        <w:tab/>
        <w:t>(8)</w:t>
      </w:r>
      <w:r>
        <w:rPr>
          <w:snapToGrid w:val="0"/>
          <w:spacing w:val="-4"/>
        </w:rPr>
        <w:tab/>
        <w:t xml:space="preserve">Where goods are stored under subsection (2) and have not been reclaimed within 60 days after the day on which they were removed and stored, </w:t>
      </w:r>
      <w:r>
        <w:t>the lessor</w:t>
      </w:r>
      <w:r>
        <w:rPr>
          <w:snapToGrid w:val="0"/>
          <w:spacing w:val="-4"/>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Ednotesubsection"/>
      </w:pPr>
      <w:r>
        <w:tab/>
        <w:t>[(16)</w:t>
      </w:r>
      <w:r>
        <w:tab/>
        <w:t>deleted]</w:t>
      </w:r>
    </w:p>
    <w:p>
      <w:pPr>
        <w:pStyle w:val="Footnotesection"/>
      </w:pPr>
      <w:r>
        <w:tab/>
        <w:t>[Section 79 amended by No. 50 of 1988 s. 14 and 18; No. 59 of 1995 s. 56; No. 59 of 2004 s. 120 and 121; No. 77 of 2006 s. 17</w:t>
      </w:r>
      <w:r>
        <w:rPr>
          <w:spacing w:val="-4"/>
        </w:rPr>
        <w:t>; No. 60 of 2011 s. 76, 88 and 89</w:t>
      </w:r>
      <w:r>
        <w:t xml:space="preserve">.] </w:t>
      </w:r>
    </w:p>
    <w:p>
      <w:pPr>
        <w:pStyle w:val="Heading5"/>
      </w:pPr>
      <w:bookmarkStart w:id="821" w:name="_Toc311730444"/>
      <w:bookmarkStart w:id="822" w:name="_Toc360457570"/>
      <w:bookmarkStart w:id="823" w:name="_Toc36441048"/>
      <w:bookmarkStart w:id="824" w:name="_Toc106426197"/>
      <w:bookmarkStart w:id="825" w:name="_Toc107198214"/>
      <w:bookmarkStart w:id="826" w:name="_Toc172436253"/>
      <w:r>
        <w:rPr>
          <w:rStyle w:val="CharSectno"/>
        </w:rPr>
        <w:t>80A</w:t>
      </w:r>
      <w:r>
        <w:t>.</w:t>
      </w:r>
      <w:r>
        <w:tab/>
        <w:t>Abandoned documents</w:t>
      </w:r>
      <w:bookmarkEnd w:id="821"/>
      <w:bookmarkEnd w:id="822"/>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spacing w:val="-4"/>
        </w:rPr>
        <w:t xml:space="preserve"> </w:t>
      </w:r>
      <w:r>
        <w:t>competent court</w:t>
      </w:r>
      <w:r>
        <w:rPr>
          <w:snapToGrid w:val="0"/>
          <w:spacing w:val="-4"/>
        </w:rPr>
        <w:t xml:space="preserve"> may, on an application by the lessor, </w:t>
      </w:r>
      <w:r>
        <w:rPr>
          <w:snapToGrid w:val="0"/>
        </w:rPr>
        <w:t>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by </w:t>
      </w:r>
      <w:r>
        <w:rPr>
          <w:spacing w:val="-4"/>
        </w:rPr>
        <w:t>No. 60 of 2011 s. 77</w:t>
      </w:r>
      <w:r>
        <w:t xml:space="preserve">.] </w:t>
      </w:r>
    </w:p>
    <w:p>
      <w:pPr>
        <w:pStyle w:val="Heading5"/>
        <w:rPr>
          <w:snapToGrid w:val="0"/>
        </w:rPr>
      </w:pPr>
      <w:bookmarkStart w:id="827" w:name="_Toc360457571"/>
      <w:r>
        <w:rPr>
          <w:rStyle w:val="CharSectno"/>
        </w:rPr>
        <w:t>80</w:t>
      </w:r>
      <w:r>
        <w:rPr>
          <w:snapToGrid w:val="0"/>
        </w:rPr>
        <w:t>.</w:t>
      </w:r>
      <w:r>
        <w:rPr>
          <w:snapToGrid w:val="0"/>
        </w:rPr>
        <w:tab/>
        <w:t>Recovery of possession of premises prohibited except by court order</w:t>
      </w:r>
      <w:bookmarkEnd w:id="823"/>
      <w:bookmarkEnd w:id="824"/>
      <w:bookmarkEnd w:id="825"/>
      <w:bookmarkEnd w:id="826"/>
      <w:bookmarkEnd w:id="827"/>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[Section 80 amended by No. 50 of 1988 s. 18; No. 59 of 1995 s. 55; No. 59 of 2004 s. 120(1)</w:t>
      </w:r>
      <w:r>
        <w:rPr>
          <w:spacing w:val="-4"/>
        </w:rPr>
        <w:t>; No. 60 of 2011 s. 78 and 88</w:t>
      </w:r>
      <w:r>
        <w:t xml:space="preserve">.] </w:t>
      </w:r>
    </w:p>
    <w:p>
      <w:pPr>
        <w:pStyle w:val="Heading5"/>
      </w:pPr>
      <w:bookmarkStart w:id="828" w:name="_Toc311730447"/>
      <w:bookmarkStart w:id="829" w:name="_Toc360457572"/>
      <w:bookmarkStart w:id="830" w:name="_Toc36441049"/>
      <w:bookmarkStart w:id="831" w:name="_Toc106426198"/>
      <w:bookmarkStart w:id="832" w:name="_Toc107198215"/>
      <w:bookmarkStart w:id="833" w:name="_Toc172436254"/>
      <w:r>
        <w:rPr>
          <w:rStyle w:val="CharSectno"/>
        </w:rPr>
        <w:t>81A</w:t>
      </w:r>
      <w:r>
        <w:t>.</w:t>
      </w:r>
      <w:r>
        <w:tab/>
        <w:t>Mortgagee repossessions of rented properties</w:t>
      </w:r>
      <w:bookmarkEnd w:id="828"/>
      <w:bookmarkEnd w:id="829"/>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bookmarkStart w:id="834" w:name="_Toc311730448"/>
      <w:r>
        <w:tab/>
        <w:t xml:space="preserve">[Section 81A inserted by </w:t>
      </w:r>
      <w:r>
        <w:rPr>
          <w:spacing w:val="-4"/>
        </w:rPr>
        <w:t>No. 60 of 2011 s. 79</w:t>
      </w:r>
      <w:r>
        <w:t xml:space="preserve">.] </w:t>
      </w:r>
    </w:p>
    <w:p>
      <w:pPr>
        <w:pStyle w:val="Heading5"/>
      </w:pPr>
      <w:bookmarkStart w:id="835" w:name="_Toc360457573"/>
      <w:r>
        <w:rPr>
          <w:rStyle w:val="CharSectno"/>
        </w:rPr>
        <w:t>81B</w:t>
      </w:r>
      <w:r>
        <w:t>.</w:t>
      </w:r>
      <w:r>
        <w:tab/>
        <w:t>Notice of proposed recovery of premises by person with superior title</w:t>
      </w:r>
      <w:bookmarkEnd w:id="834"/>
      <w:bookmarkEnd w:id="835"/>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bookmarkStart w:id="836" w:name="_Toc311730449"/>
      <w:r>
        <w:tab/>
        <w:t xml:space="preserve">[Section 81B inserted by </w:t>
      </w:r>
      <w:r>
        <w:rPr>
          <w:spacing w:val="-4"/>
        </w:rPr>
        <w:t>No. 60 of 2011 s. 79</w:t>
      </w:r>
      <w:r>
        <w:t xml:space="preserve">.] </w:t>
      </w:r>
    </w:p>
    <w:p>
      <w:pPr>
        <w:pStyle w:val="Heading5"/>
      </w:pPr>
      <w:bookmarkStart w:id="837" w:name="_Toc360457574"/>
      <w:r>
        <w:rPr>
          <w:rStyle w:val="CharSectno"/>
        </w:rPr>
        <w:t>81</w:t>
      </w:r>
      <w:r>
        <w:t>.</w:t>
      </w:r>
      <w:r>
        <w:tab/>
        <w:t>Order for tenancy against person with superior title</w:t>
      </w:r>
      <w:bookmarkEnd w:id="836"/>
      <w:bookmarkEnd w:id="837"/>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by </w:t>
      </w:r>
      <w:r>
        <w:rPr>
          <w:spacing w:val="-4"/>
        </w:rPr>
        <w:t>No. 60 of 2011 s. 79</w:t>
      </w:r>
      <w:r>
        <w:t xml:space="preserve">.] </w:t>
      </w:r>
    </w:p>
    <w:p>
      <w:pPr>
        <w:pStyle w:val="Heading2"/>
      </w:pPr>
      <w:bookmarkStart w:id="838" w:name="_Toc360453620"/>
      <w:bookmarkStart w:id="839" w:name="_Toc360457575"/>
      <w:bookmarkStart w:id="840" w:name="_Toc89596668"/>
      <w:bookmarkStart w:id="841" w:name="_Toc101762133"/>
      <w:bookmarkStart w:id="842" w:name="_Toc101762254"/>
      <w:bookmarkStart w:id="843" w:name="_Toc103582529"/>
      <w:bookmarkStart w:id="844" w:name="_Toc103582646"/>
      <w:bookmarkStart w:id="845" w:name="_Toc103589248"/>
      <w:bookmarkStart w:id="846" w:name="_Toc104110063"/>
      <w:bookmarkStart w:id="847" w:name="_Toc106426082"/>
      <w:bookmarkStart w:id="848" w:name="_Toc106426199"/>
      <w:bookmarkStart w:id="849" w:name="_Toc107198096"/>
      <w:bookmarkStart w:id="850" w:name="_Toc107198216"/>
      <w:bookmarkStart w:id="851" w:name="_Toc139363659"/>
      <w:bookmarkStart w:id="852" w:name="_Toc139688394"/>
      <w:bookmarkStart w:id="853" w:name="_Toc139960389"/>
      <w:bookmarkStart w:id="854" w:name="_Toc139968422"/>
      <w:bookmarkStart w:id="855" w:name="_Toc154197604"/>
      <w:bookmarkStart w:id="856" w:name="_Toc158003153"/>
      <w:bookmarkStart w:id="857" w:name="_Toc163278653"/>
      <w:bookmarkStart w:id="858" w:name="_Toc163362035"/>
      <w:bookmarkStart w:id="859" w:name="_Toc168903586"/>
      <w:bookmarkStart w:id="860" w:name="_Toc168971208"/>
      <w:bookmarkStart w:id="861" w:name="_Toc170524906"/>
      <w:bookmarkStart w:id="862" w:name="_Toc171246223"/>
      <w:bookmarkStart w:id="863" w:name="_Toc172436255"/>
      <w:bookmarkStart w:id="864" w:name="_Toc173740480"/>
      <w:bookmarkStart w:id="865" w:name="_Toc173745127"/>
      <w:bookmarkStart w:id="866" w:name="_Toc173745246"/>
      <w:bookmarkStart w:id="867" w:name="_Toc173745365"/>
      <w:bookmarkStart w:id="868" w:name="_Toc199756448"/>
      <w:bookmarkStart w:id="869" w:name="_Toc223933016"/>
      <w:bookmarkStart w:id="870" w:name="_Toc223933135"/>
      <w:bookmarkStart w:id="871" w:name="_Toc268248507"/>
      <w:bookmarkStart w:id="872" w:name="_Toc268612708"/>
      <w:bookmarkStart w:id="873" w:name="_Toc272315143"/>
      <w:bookmarkStart w:id="874" w:name="_Toc280092989"/>
      <w:bookmarkStart w:id="875" w:name="_Toc281486456"/>
      <w:bookmarkStart w:id="876" w:name="_Toc312051895"/>
      <w:bookmarkStart w:id="877" w:name="_Toc312058453"/>
      <w:bookmarkStart w:id="878" w:name="_Toc331431335"/>
      <w:bookmarkStart w:id="879" w:name="_Toc331431682"/>
      <w:bookmarkStart w:id="880" w:name="_Toc331677292"/>
      <w:bookmarkEnd w:id="830"/>
      <w:bookmarkEnd w:id="831"/>
      <w:bookmarkEnd w:id="832"/>
      <w:bookmarkEnd w:id="833"/>
      <w:r>
        <w:rPr>
          <w:rStyle w:val="CharPartNo"/>
        </w:rPr>
        <w:t>Part VIA</w:t>
      </w:r>
      <w:r>
        <w:t> — </w:t>
      </w:r>
      <w:r>
        <w:rPr>
          <w:rStyle w:val="CharPartText"/>
        </w:rPr>
        <w:t>Residential tenancy databases</w:t>
      </w:r>
      <w:bookmarkEnd w:id="838"/>
      <w:bookmarkEnd w:id="839"/>
    </w:p>
    <w:p>
      <w:pPr>
        <w:pStyle w:val="Footnoteheading"/>
      </w:pPr>
      <w:r>
        <w:tab/>
        <w:t xml:space="preserve">[Heading inserted by </w:t>
      </w:r>
      <w:r>
        <w:rPr>
          <w:spacing w:val="-4"/>
        </w:rPr>
        <w:t>No. 60 of 2011 s. 96</w:t>
      </w:r>
      <w:r>
        <w:t xml:space="preserve">.] </w:t>
      </w:r>
    </w:p>
    <w:p>
      <w:pPr>
        <w:pStyle w:val="Heading3"/>
      </w:pPr>
      <w:bookmarkStart w:id="881" w:name="_Toc360453621"/>
      <w:bookmarkStart w:id="882" w:name="_Toc360457576"/>
      <w:r>
        <w:rPr>
          <w:rStyle w:val="CharDivNo"/>
        </w:rPr>
        <w:t>Division 1</w:t>
      </w:r>
      <w:r>
        <w:t> — </w:t>
      </w:r>
      <w:r>
        <w:rPr>
          <w:rStyle w:val="CharDivText"/>
        </w:rPr>
        <w:t>Preliminary</w:t>
      </w:r>
      <w:bookmarkEnd w:id="881"/>
      <w:bookmarkEnd w:id="882"/>
    </w:p>
    <w:p>
      <w:pPr>
        <w:pStyle w:val="Footnoteheading"/>
      </w:pPr>
      <w:bookmarkStart w:id="883" w:name="_Toc311730509"/>
      <w:r>
        <w:tab/>
        <w:t xml:space="preserve">[Heading inserted by </w:t>
      </w:r>
      <w:r>
        <w:rPr>
          <w:spacing w:val="-4"/>
        </w:rPr>
        <w:t>No. 60 of 2011 s. 96</w:t>
      </w:r>
      <w:r>
        <w:t xml:space="preserve">.] </w:t>
      </w:r>
    </w:p>
    <w:p>
      <w:pPr>
        <w:pStyle w:val="Heading5"/>
      </w:pPr>
      <w:bookmarkStart w:id="884" w:name="_Toc360457577"/>
      <w:r>
        <w:rPr>
          <w:rStyle w:val="CharSectno"/>
          <w:spacing w:val="-6"/>
        </w:rPr>
        <w:t>82A</w:t>
      </w:r>
      <w:r>
        <w:t>.</w:t>
      </w:r>
      <w:r>
        <w:tab/>
        <w:t>Terms used</w:t>
      </w:r>
      <w:bookmarkEnd w:id="883"/>
      <w:bookmarkEnd w:id="884"/>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pPr>
      <w:bookmarkStart w:id="885" w:name="_Toc311730510"/>
      <w:r>
        <w:tab/>
        <w:t xml:space="preserve">[Section 82A inserted by </w:t>
      </w:r>
      <w:r>
        <w:rPr>
          <w:spacing w:val="-4"/>
        </w:rPr>
        <w:t>No. 60 of 2011 s. 96</w:t>
      </w:r>
      <w:r>
        <w:t xml:space="preserve">.] </w:t>
      </w:r>
    </w:p>
    <w:p>
      <w:pPr>
        <w:pStyle w:val="Heading5"/>
      </w:pPr>
      <w:bookmarkStart w:id="886" w:name="_Toc360457578"/>
      <w:r>
        <w:rPr>
          <w:rStyle w:val="CharSectno"/>
          <w:spacing w:val="-6"/>
        </w:rPr>
        <w:t>82B</w:t>
      </w:r>
      <w:r>
        <w:t>.</w:t>
      </w:r>
      <w:r>
        <w:tab/>
        <w:t>Application of Part</w:t>
      </w:r>
      <w:bookmarkEnd w:id="885"/>
      <w:bookmarkEnd w:id="886"/>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pPr>
      <w:r>
        <w:tab/>
        <w:t xml:space="preserve">[Section 82B inserted by </w:t>
      </w:r>
      <w:r>
        <w:rPr>
          <w:spacing w:val="-4"/>
        </w:rPr>
        <w:t>No. 60 of 2011 s. 96</w:t>
      </w:r>
      <w:r>
        <w:t xml:space="preserve">.] </w:t>
      </w:r>
    </w:p>
    <w:p>
      <w:pPr>
        <w:pStyle w:val="Heading3"/>
      </w:pPr>
      <w:bookmarkStart w:id="887" w:name="_Toc360453624"/>
      <w:bookmarkStart w:id="888" w:name="_Toc360457579"/>
      <w:r>
        <w:rPr>
          <w:rStyle w:val="CharSDivNo"/>
        </w:rPr>
        <w:t>Division 2</w:t>
      </w:r>
      <w:r>
        <w:t> — </w:t>
      </w:r>
      <w:r>
        <w:rPr>
          <w:rStyle w:val="CharDivText"/>
        </w:rPr>
        <w:t>Tenancy database information</w:t>
      </w:r>
      <w:bookmarkEnd w:id="887"/>
      <w:bookmarkEnd w:id="888"/>
    </w:p>
    <w:p>
      <w:pPr>
        <w:pStyle w:val="Footnoteheading"/>
      </w:pPr>
      <w:bookmarkStart w:id="889" w:name="_Toc311730512"/>
      <w:r>
        <w:tab/>
        <w:t xml:space="preserve">[Heading inserted by </w:t>
      </w:r>
      <w:r>
        <w:rPr>
          <w:spacing w:val="-4"/>
        </w:rPr>
        <w:t>No. 60 of 2011 s. 96</w:t>
      </w:r>
      <w:r>
        <w:t xml:space="preserve">.] </w:t>
      </w:r>
    </w:p>
    <w:p>
      <w:pPr>
        <w:pStyle w:val="Heading5"/>
      </w:pPr>
      <w:bookmarkStart w:id="890" w:name="_Toc360457580"/>
      <w:r>
        <w:rPr>
          <w:rStyle w:val="CharSectno"/>
          <w:spacing w:val="-6"/>
        </w:rPr>
        <w:t>82C</w:t>
      </w:r>
      <w:r>
        <w:t>.</w:t>
      </w:r>
      <w:r>
        <w:tab/>
        <w:t>Notice of usual use of database</w:t>
      </w:r>
      <w:bookmarkEnd w:id="889"/>
      <w:bookmarkEnd w:id="890"/>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bookmarkStart w:id="891" w:name="_Toc311730513"/>
      <w:r>
        <w:tab/>
        <w:t xml:space="preserve">[Section 82C inserted by </w:t>
      </w:r>
      <w:r>
        <w:rPr>
          <w:spacing w:val="-4"/>
        </w:rPr>
        <w:t>No. 60 of 2011 s. 96</w:t>
      </w:r>
      <w:r>
        <w:t xml:space="preserve">.] </w:t>
      </w:r>
    </w:p>
    <w:p>
      <w:pPr>
        <w:pStyle w:val="Heading5"/>
      </w:pPr>
      <w:bookmarkStart w:id="892" w:name="_Toc360457581"/>
      <w:r>
        <w:rPr>
          <w:rStyle w:val="CharSectno"/>
          <w:spacing w:val="-6"/>
        </w:rPr>
        <w:t>82D</w:t>
      </w:r>
      <w:r>
        <w:t>.</w:t>
      </w:r>
      <w:r>
        <w:tab/>
        <w:t>Notice of listing if database used</w:t>
      </w:r>
      <w:bookmarkEnd w:id="891"/>
      <w:bookmarkEnd w:id="892"/>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bookmarkStart w:id="893" w:name="_Toc311730514"/>
      <w:r>
        <w:tab/>
        <w:t xml:space="preserve">[Section 82D inserted by </w:t>
      </w:r>
      <w:r>
        <w:rPr>
          <w:spacing w:val="-4"/>
        </w:rPr>
        <w:t>No. 60 of 2011 s. 96</w:t>
      </w:r>
      <w:r>
        <w:t xml:space="preserve">.] </w:t>
      </w:r>
    </w:p>
    <w:p>
      <w:pPr>
        <w:pStyle w:val="Heading5"/>
      </w:pPr>
      <w:bookmarkStart w:id="894" w:name="_Toc360457582"/>
      <w:r>
        <w:rPr>
          <w:rStyle w:val="CharSectno"/>
          <w:spacing w:val="-6"/>
        </w:rPr>
        <w:t>82E</w:t>
      </w:r>
      <w:r>
        <w:t>.</w:t>
      </w:r>
      <w:r>
        <w:tab/>
        <w:t>Listing can be made only for particular breaches by particular persons</w:t>
      </w:r>
      <w:bookmarkEnd w:id="893"/>
      <w:bookmarkEnd w:id="894"/>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a fine of $5 000.</w:t>
      </w:r>
    </w:p>
    <w:p>
      <w:pPr>
        <w:pStyle w:val="Subsection"/>
      </w:pPr>
      <w:r>
        <w:tab/>
        <w:t>(2)</w:t>
      </w:r>
      <w:r>
        <w:tab/>
        <w:t>Without limiting subsection (1)(d)(ii), the personal information must indicate the nature of the breach.</w:t>
      </w:r>
    </w:p>
    <w:p>
      <w:pPr>
        <w:pStyle w:val="Footnotesection"/>
      </w:pPr>
      <w:bookmarkStart w:id="895" w:name="_Toc311730515"/>
      <w:r>
        <w:tab/>
        <w:t xml:space="preserve">[Section 82E inserted by </w:t>
      </w:r>
      <w:r>
        <w:rPr>
          <w:spacing w:val="-4"/>
        </w:rPr>
        <w:t>No. 60 of 2011 s. 96</w:t>
      </w:r>
      <w:r>
        <w:t xml:space="preserve">.] </w:t>
      </w:r>
    </w:p>
    <w:p>
      <w:pPr>
        <w:pStyle w:val="Heading5"/>
      </w:pPr>
      <w:bookmarkStart w:id="896" w:name="_Toc360457583"/>
      <w:r>
        <w:rPr>
          <w:rStyle w:val="CharSectno"/>
          <w:spacing w:val="-6"/>
        </w:rPr>
        <w:t>82F</w:t>
      </w:r>
      <w:r>
        <w:t>.</w:t>
      </w:r>
      <w:r>
        <w:tab/>
        <w:t>Further restriction on listing</w:t>
      </w:r>
      <w:bookmarkEnd w:id="895"/>
      <w:bookmarkEnd w:id="896"/>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a fine of $5 000.</w:t>
      </w:r>
    </w:p>
    <w:p>
      <w:pPr>
        <w:pStyle w:val="Subsection"/>
      </w:pPr>
      <w:r>
        <w:tab/>
        <w:t>(2)</w:t>
      </w:r>
      <w:r>
        <w:tab/>
        <w:t>Subsection (1) does not apply if the lessor, lessor’s agent or database operator cannot locate the person after making reasonable enquiries.</w:t>
      </w:r>
    </w:p>
    <w:p>
      <w:pPr>
        <w:pStyle w:val="Subsection"/>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bookmarkStart w:id="897" w:name="_Toc311730516"/>
      <w:r>
        <w:tab/>
        <w:t xml:space="preserve">[Section 82F inserted by </w:t>
      </w:r>
      <w:r>
        <w:rPr>
          <w:spacing w:val="-4"/>
        </w:rPr>
        <w:t>No. 60 of 2011 s. 96</w:t>
      </w:r>
      <w:r>
        <w:t xml:space="preserve">.] </w:t>
      </w:r>
    </w:p>
    <w:p>
      <w:pPr>
        <w:pStyle w:val="Heading5"/>
      </w:pPr>
      <w:bookmarkStart w:id="898" w:name="_Toc360457584"/>
      <w:r>
        <w:rPr>
          <w:rStyle w:val="CharSectno"/>
          <w:spacing w:val="-6"/>
        </w:rPr>
        <w:t>82G</w:t>
      </w:r>
      <w:r>
        <w:t>.</w:t>
      </w:r>
      <w:r>
        <w:tab/>
        <w:t>Ensuring quality of listing — lessor’s or agent’s obligation</w:t>
      </w:r>
      <w:bookmarkEnd w:id="897"/>
      <w:bookmarkEnd w:id="898"/>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a fine of $5 000.</w:t>
      </w:r>
    </w:p>
    <w:p>
      <w:pPr>
        <w:pStyle w:val="Subsection"/>
      </w:pPr>
      <w:r>
        <w:tab/>
        <w:t>(3)</w:t>
      </w:r>
      <w:r>
        <w:tab/>
        <w:t>The lessor or agent must keep a copy of the written notice for one year after it was given under subsection (2).</w:t>
      </w:r>
    </w:p>
    <w:p>
      <w:pPr>
        <w:pStyle w:val="Penstart"/>
      </w:pPr>
      <w:r>
        <w:tab/>
        <w:t>Penalty: a fine of $5 000.</w:t>
      </w:r>
    </w:p>
    <w:p>
      <w:pPr>
        <w:pStyle w:val="Footnotesection"/>
      </w:pPr>
      <w:bookmarkStart w:id="899" w:name="_Toc311730517"/>
      <w:r>
        <w:tab/>
        <w:t xml:space="preserve">[Section 82G inserted by </w:t>
      </w:r>
      <w:r>
        <w:rPr>
          <w:spacing w:val="-4"/>
        </w:rPr>
        <w:t>No. 60 of 2011 s. 96</w:t>
      </w:r>
      <w:r>
        <w:t xml:space="preserve">.] </w:t>
      </w:r>
    </w:p>
    <w:p>
      <w:pPr>
        <w:pStyle w:val="Heading5"/>
      </w:pPr>
      <w:bookmarkStart w:id="900" w:name="_Toc360457585"/>
      <w:r>
        <w:rPr>
          <w:rStyle w:val="CharSectno"/>
          <w:spacing w:val="-6"/>
        </w:rPr>
        <w:t>82H</w:t>
      </w:r>
      <w:r>
        <w:t>.</w:t>
      </w:r>
      <w:r>
        <w:tab/>
        <w:t>Ensuring quality of listing — database operator’s obligation</w:t>
      </w:r>
      <w:bookmarkEnd w:id="899"/>
      <w:bookmarkEnd w:id="900"/>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a fine of $5 000.</w:t>
      </w:r>
    </w:p>
    <w:p>
      <w:pPr>
        <w:pStyle w:val="Footnotesection"/>
      </w:pPr>
      <w:bookmarkStart w:id="901" w:name="_Toc311730518"/>
      <w:r>
        <w:tab/>
        <w:t xml:space="preserve">[Section 82H inserted by </w:t>
      </w:r>
      <w:r>
        <w:rPr>
          <w:spacing w:val="-4"/>
        </w:rPr>
        <w:t>No. 60 of 2011 s. 96</w:t>
      </w:r>
      <w:r>
        <w:t xml:space="preserve">.] </w:t>
      </w:r>
    </w:p>
    <w:p>
      <w:pPr>
        <w:pStyle w:val="Heading5"/>
      </w:pPr>
      <w:bookmarkStart w:id="902" w:name="_Toc360457586"/>
      <w:r>
        <w:rPr>
          <w:rStyle w:val="CharSectno"/>
          <w:spacing w:val="-6"/>
        </w:rPr>
        <w:t>82I</w:t>
      </w:r>
      <w:r>
        <w:t>.</w:t>
      </w:r>
      <w:r>
        <w:tab/>
        <w:t>Providing copy of personal information listed</w:t>
      </w:r>
      <w:bookmarkEnd w:id="901"/>
      <w:bookmarkEnd w:id="902"/>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bookmarkStart w:id="903" w:name="_Toc311730519"/>
      <w:r>
        <w:tab/>
        <w:t xml:space="preserve">[Section 82I inserted by </w:t>
      </w:r>
      <w:r>
        <w:rPr>
          <w:spacing w:val="-4"/>
        </w:rPr>
        <w:t>No. 60 of 2011 s. 96</w:t>
      </w:r>
      <w:r>
        <w:t xml:space="preserve">.] </w:t>
      </w:r>
    </w:p>
    <w:p>
      <w:pPr>
        <w:pStyle w:val="Heading5"/>
      </w:pPr>
      <w:bookmarkStart w:id="904" w:name="_Toc360457587"/>
      <w:r>
        <w:t>82J.</w:t>
      </w:r>
      <w:r>
        <w:tab/>
        <w:t>Disputes about listings</w:t>
      </w:r>
      <w:bookmarkEnd w:id="903"/>
      <w:bookmarkEnd w:id="904"/>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bookmarkStart w:id="905" w:name="_Toc311730520"/>
      <w:r>
        <w:tab/>
        <w:t xml:space="preserve">[Section 82J inserted by </w:t>
      </w:r>
      <w:r>
        <w:rPr>
          <w:spacing w:val="-4"/>
        </w:rPr>
        <w:t>No. 60 of 2011 s. 96</w:t>
      </w:r>
      <w:r>
        <w:t xml:space="preserve">.] </w:t>
      </w:r>
    </w:p>
    <w:p>
      <w:pPr>
        <w:pStyle w:val="Heading5"/>
      </w:pPr>
      <w:bookmarkStart w:id="906" w:name="_Toc360457588"/>
      <w:r>
        <w:rPr>
          <w:rStyle w:val="CharSectno"/>
          <w:spacing w:val="-6"/>
        </w:rPr>
        <w:t>82K</w:t>
      </w:r>
      <w:r>
        <w:t>.</w:t>
      </w:r>
      <w:r>
        <w:tab/>
        <w:t>Keeping personal information listed</w:t>
      </w:r>
      <w:bookmarkEnd w:id="905"/>
      <w:bookmarkEnd w:id="906"/>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by </w:t>
      </w:r>
      <w:r>
        <w:rPr>
          <w:spacing w:val="-4"/>
        </w:rPr>
        <w:t>No. 60 of 2011 s. 96</w:t>
      </w:r>
      <w:r>
        <w:t xml:space="preserve">.] </w:t>
      </w:r>
    </w:p>
    <w:p>
      <w:pPr>
        <w:pStyle w:val="Heading2"/>
      </w:pPr>
      <w:bookmarkStart w:id="907" w:name="_Toc360453634"/>
      <w:bookmarkStart w:id="908" w:name="_Toc360457589"/>
      <w:r>
        <w:rPr>
          <w:rStyle w:val="CharPartNo"/>
        </w:rPr>
        <w:t>Part VI</w:t>
      </w:r>
      <w:r>
        <w:rPr>
          <w:rStyle w:val="CharDivNo"/>
        </w:rPr>
        <w:t> </w:t>
      </w:r>
      <w:r>
        <w:t>—</w:t>
      </w:r>
      <w:r>
        <w:rPr>
          <w:rStyle w:val="CharDivText"/>
        </w:rPr>
        <w:t> </w:t>
      </w:r>
      <w:r>
        <w:rPr>
          <w:rStyle w:val="CharPartText"/>
        </w:rPr>
        <w:t>Miscellaneous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907"/>
      <w:bookmarkEnd w:id="908"/>
    </w:p>
    <w:p>
      <w:pPr>
        <w:pStyle w:val="Heading5"/>
        <w:rPr>
          <w:snapToGrid w:val="0"/>
        </w:rPr>
      </w:pPr>
      <w:bookmarkStart w:id="909" w:name="_Toc36441050"/>
      <w:bookmarkStart w:id="910" w:name="_Toc106426200"/>
      <w:bookmarkStart w:id="911" w:name="_Toc107198217"/>
      <w:bookmarkStart w:id="912" w:name="_Toc172436256"/>
      <w:bookmarkStart w:id="913" w:name="_Toc360457590"/>
      <w:r>
        <w:rPr>
          <w:rStyle w:val="CharSectno"/>
        </w:rPr>
        <w:t>82</w:t>
      </w:r>
      <w:r>
        <w:rPr>
          <w:snapToGrid w:val="0"/>
        </w:rPr>
        <w:t>.</w:t>
      </w:r>
      <w:r>
        <w:rPr>
          <w:snapToGrid w:val="0"/>
        </w:rPr>
        <w:tab/>
        <w:t>Contracting out</w:t>
      </w:r>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 xml:space="preserve">Except as provided </w:t>
      </w:r>
      <w:r>
        <w:t>under</w:t>
      </w:r>
      <w:r>
        <w:rPr>
          <w:snapToGrid w:val="0"/>
        </w:rPr>
        <w:t xml:space="preserve">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a fine of $10 000.</w:t>
      </w:r>
    </w:p>
    <w:p>
      <w:pPr>
        <w:pStyle w:val="Ednotesubsection"/>
      </w:pPr>
      <w:r>
        <w:tab/>
        <w:t>[(3)</w:t>
      </w:r>
      <w:r>
        <w:tab/>
        <w:t>deleted]</w:t>
      </w:r>
    </w:p>
    <w:p>
      <w:pPr>
        <w:pStyle w:val="Footnotesection"/>
      </w:pPr>
      <w:bookmarkStart w:id="914" w:name="_Toc36441051"/>
      <w:bookmarkStart w:id="915" w:name="_Toc106426201"/>
      <w:bookmarkStart w:id="916" w:name="_Toc107198218"/>
      <w:bookmarkStart w:id="917" w:name="_Toc172436257"/>
      <w:r>
        <w:tab/>
        <w:t xml:space="preserve">[Section 82 amended by </w:t>
      </w:r>
      <w:r>
        <w:rPr>
          <w:spacing w:val="-4"/>
        </w:rPr>
        <w:t>No. 60 of 2011 s. 80</w:t>
      </w:r>
      <w:r>
        <w:t xml:space="preserve">.] </w:t>
      </w:r>
    </w:p>
    <w:p>
      <w:pPr>
        <w:pStyle w:val="Heading5"/>
        <w:rPr>
          <w:snapToGrid w:val="0"/>
        </w:rPr>
      </w:pPr>
      <w:bookmarkStart w:id="918" w:name="_Toc360457591"/>
      <w:r>
        <w:rPr>
          <w:rStyle w:val="CharSectno"/>
        </w:rPr>
        <w:t>83</w:t>
      </w:r>
      <w:r>
        <w:rPr>
          <w:snapToGrid w:val="0"/>
        </w:rPr>
        <w:t>.</w:t>
      </w:r>
      <w:r>
        <w:rPr>
          <w:snapToGrid w:val="0"/>
        </w:rPr>
        <w:tab/>
        <w:t>Recovery of amounts paid under mistake of law or fact</w:t>
      </w:r>
      <w:bookmarkEnd w:id="914"/>
      <w:bookmarkEnd w:id="915"/>
      <w:bookmarkEnd w:id="916"/>
      <w:bookmarkEnd w:id="917"/>
      <w:bookmarkEnd w:id="918"/>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919" w:name="_Toc36441052"/>
      <w:bookmarkStart w:id="920" w:name="_Toc106426202"/>
      <w:bookmarkStart w:id="921" w:name="_Toc107198219"/>
      <w:bookmarkStart w:id="922" w:name="_Toc172436258"/>
      <w:bookmarkStart w:id="923" w:name="_Toc360457592"/>
      <w:r>
        <w:rPr>
          <w:rStyle w:val="CharSectno"/>
        </w:rPr>
        <w:t>84</w:t>
      </w:r>
      <w:r>
        <w:rPr>
          <w:snapToGrid w:val="0"/>
        </w:rPr>
        <w:t>.</w:t>
      </w:r>
      <w:r>
        <w:rPr>
          <w:snapToGrid w:val="0"/>
        </w:rPr>
        <w:tab/>
        <w:t>Exemption of tenancy agreement or premises from provision of Act</w:t>
      </w:r>
      <w:bookmarkEnd w:id="919"/>
      <w:bookmarkEnd w:id="920"/>
      <w:bookmarkEnd w:id="921"/>
      <w:bookmarkEnd w:id="922"/>
      <w:bookmarkEnd w:id="923"/>
      <w:r>
        <w:rPr>
          <w:snapToGrid w:val="0"/>
        </w:rPr>
        <w:t xml:space="preserve"> </w:t>
      </w:r>
    </w:p>
    <w:p>
      <w:pPr>
        <w:pStyle w:val="Subsection"/>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924" w:name="_Toc36441053"/>
      <w:bookmarkStart w:id="925" w:name="_Toc106426203"/>
      <w:bookmarkStart w:id="926" w:name="_Toc107198220"/>
      <w:bookmarkStart w:id="927" w:name="_Toc172436259"/>
      <w:bookmarkStart w:id="928" w:name="_Toc360457593"/>
      <w:r>
        <w:rPr>
          <w:rStyle w:val="CharSectno"/>
        </w:rPr>
        <w:t>85</w:t>
      </w:r>
      <w:r>
        <w:rPr>
          <w:snapToGrid w:val="0"/>
        </w:rPr>
        <w:t>.</w:t>
      </w:r>
      <w:r>
        <w:rPr>
          <w:snapToGrid w:val="0"/>
        </w:rPr>
        <w:tab/>
        <w:t>Service</w:t>
      </w:r>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 xml:space="preserve">Any notice or document required or authorised to be given under this Act to any person whose address is unknown shall be deemed to have been given to that person </w:t>
      </w:r>
      <w:r>
        <w:t>if —</w:t>
      </w:r>
    </w:p>
    <w:p>
      <w:pPr>
        <w:pStyle w:val="Indenta"/>
      </w:pPr>
      <w:r>
        <w:tab/>
        <w:t>(a)</w:t>
      </w:r>
      <w:r>
        <w:tab/>
        <w:t>a copy of it is published in a daily newspaper circulating throughout the State; or</w:t>
      </w:r>
    </w:p>
    <w:p>
      <w:pPr>
        <w:pStyle w:val="Indenta"/>
      </w:pPr>
      <w:r>
        <w:tab/>
        <w:t>(b)</w:t>
      </w:r>
      <w:r>
        <w:tab/>
        <w:t>a court hearing proceedings under this Act orders an alternative means of giving the notice or document, and that means of giving the notice or document is effected.</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 xml:space="preserve">to any person apparently over the age of 16 years apparently residing at the place of residence of </w:t>
      </w:r>
      <w:r>
        <w:rPr>
          <w:snapToGrid w:val="0"/>
          <w:spacing w:val="-4"/>
        </w:rPr>
        <w:t>the lessor</w:t>
      </w:r>
      <w:r>
        <w:rPr>
          <w:snapToGrid w:val="0"/>
        </w:rPr>
        <w:t>,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by No. 60 of 2011 s. 81 and 89.] </w:t>
      </w:r>
    </w:p>
    <w:p>
      <w:pPr>
        <w:pStyle w:val="Heading5"/>
      </w:pPr>
      <w:bookmarkStart w:id="929" w:name="_Toc311730453"/>
      <w:bookmarkStart w:id="930" w:name="_Toc360457594"/>
      <w:r>
        <w:rPr>
          <w:rStyle w:val="CharSectno"/>
        </w:rPr>
        <w:t>86</w:t>
      </w:r>
      <w:r>
        <w:t>.</w:t>
      </w:r>
      <w:r>
        <w:tab/>
        <w:t>Court may refer matter to Commissioner for investigation</w:t>
      </w:r>
      <w:bookmarkEnd w:id="929"/>
      <w:bookmarkEnd w:id="930"/>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bookmarkStart w:id="931" w:name="_Toc311730454"/>
      <w:r>
        <w:tab/>
        <w:t xml:space="preserve">[Section 86 inserted by No. 60 of 2011 s. 82.] </w:t>
      </w:r>
    </w:p>
    <w:p>
      <w:pPr>
        <w:pStyle w:val="Heading5"/>
      </w:pPr>
      <w:bookmarkStart w:id="932" w:name="_Toc360457595"/>
      <w:r>
        <w:t>87A.</w:t>
      </w:r>
      <w:r>
        <w:tab/>
        <w:t>Defence where lessor and property manager are both charged with the same offence</w:t>
      </w:r>
      <w:bookmarkEnd w:id="931"/>
      <w:bookmarkEnd w:id="932"/>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by No. 60 of 2011 s. 82.] </w:t>
      </w:r>
    </w:p>
    <w:p>
      <w:pPr>
        <w:pStyle w:val="Heading5"/>
        <w:rPr>
          <w:snapToGrid w:val="0"/>
        </w:rPr>
      </w:pPr>
      <w:bookmarkStart w:id="933" w:name="_Toc36441055"/>
      <w:bookmarkStart w:id="934" w:name="_Toc106426205"/>
      <w:bookmarkStart w:id="935" w:name="_Toc107198222"/>
      <w:bookmarkStart w:id="936" w:name="_Toc172436260"/>
      <w:bookmarkStart w:id="937" w:name="_Toc360457596"/>
      <w:r>
        <w:rPr>
          <w:rStyle w:val="CharSectno"/>
        </w:rPr>
        <w:t>87</w:t>
      </w:r>
      <w:r>
        <w:rPr>
          <w:snapToGrid w:val="0"/>
        </w:rPr>
        <w:t>.</w:t>
      </w:r>
      <w:r>
        <w:rPr>
          <w:snapToGrid w:val="0"/>
        </w:rPr>
        <w:tab/>
        <w:t>Time for bringing proceedings</w:t>
      </w:r>
      <w:bookmarkEnd w:id="933"/>
      <w:bookmarkEnd w:id="934"/>
      <w:bookmarkEnd w:id="935"/>
      <w:bookmarkEnd w:id="936"/>
      <w:bookmarkEnd w:id="937"/>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938" w:name="_Toc311730456"/>
      <w:bookmarkStart w:id="939" w:name="_Toc360457597"/>
      <w:bookmarkStart w:id="940" w:name="_Toc36441056"/>
      <w:bookmarkStart w:id="941" w:name="_Toc106426206"/>
      <w:bookmarkStart w:id="942" w:name="_Toc107198223"/>
      <w:bookmarkStart w:id="943" w:name="_Toc172436261"/>
      <w:r>
        <w:rPr>
          <w:rStyle w:val="CharSectno"/>
        </w:rPr>
        <w:t>88A</w:t>
      </w:r>
      <w:r>
        <w:t>.</w:t>
      </w:r>
      <w:r>
        <w:tab/>
        <w:t>Infringement notices</w:t>
      </w:r>
      <w:bookmarkEnd w:id="938"/>
      <w:bookmarkEnd w:id="939"/>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by No. 60 of 2011 s. 83.] </w:t>
      </w:r>
    </w:p>
    <w:p>
      <w:pPr>
        <w:pStyle w:val="Heading5"/>
        <w:rPr>
          <w:snapToGrid w:val="0"/>
        </w:rPr>
      </w:pPr>
      <w:bookmarkStart w:id="944" w:name="_Toc360457598"/>
      <w:r>
        <w:rPr>
          <w:rStyle w:val="CharSectno"/>
        </w:rPr>
        <w:t>88</w:t>
      </w:r>
      <w:r>
        <w:rPr>
          <w:snapToGrid w:val="0"/>
        </w:rPr>
        <w:t>.</w:t>
      </w:r>
      <w:r>
        <w:rPr>
          <w:snapToGrid w:val="0"/>
        </w:rPr>
        <w:tab/>
        <w:t>Regulations</w:t>
      </w:r>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 xml:space="preserve">$5 000 </w:t>
      </w:r>
      <w:r>
        <w:rPr>
          <w:snapToGrid w:val="0"/>
        </w:rPr>
        <w:t xml:space="preserve"> for breach of, or non</w:t>
      </w:r>
      <w:r>
        <w:rPr>
          <w:snapToGrid w:val="0"/>
        </w:rPr>
        <w:noBreakHyphen/>
        <w:t>compliance with, any regulation.</w:t>
      </w:r>
    </w:p>
    <w:p>
      <w:pPr>
        <w:pStyle w:val="Footnotesection"/>
      </w:pPr>
      <w:r>
        <w:tab/>
        <w:t xml:space="preserve">[Section 88 amended by No. 60 of 2011 s. 84.] </w:t>
      </w:r>
    </w:p>
    <w:p>
      <w:pPr>
        <w:pStyle w:val="Ednotesection"/>
      </w:pPr>
      <w:r>
        <w:t>[</w:t>
      </w:r>
      <w:r>
        <w:rPr>
          <w:b/>
        </w:rPr>
        <w:t>89.</w:t>
      </w:r>
      <w:r>
        <w:tab/>
        <w:t>Omitted under the Reprints Act 1984 s. 7(4)(e).]</w:t>
      </w:r>
    </w:p>
    <w:p>
      <w:pPr>
        <w:pStyle w:val="Heading5"/>
        <w:rPr>
          <w:snapToGrid w:val="0"/>
        </w:rPr>
      </w:pPr>
      <w:bookmarkStart w:id="945" w:name="_Toc36441058"/>
      <w:bookmarkStart w:id="946" w:name="_Toc106426207"/>
      <w:bookmarkStart w:id="947" w:name="_Toc107198224"/>
      <w:bookmarkStart w:id="948" w:name="_Toc172436262"/>
      <w:bookmarkStart w:id="949" w:name="_Toc360457599"/>
      <w:r>
        <w:rPr>
          <w:rStyle w:val="CharSectno"/>
        </w:rPr>
        <w:t>90</w:t>
      </w:r>
      <w:r>
        <w:rPr>
          <w:snapToGrid w:val="0"/>
        </w:rPr>
        <w:t>.</w:t>
      </w:r>
      <w:r>
        <w:rPr>
          <w:snapToGrid w:val="0"/>
        </w:rPr>
        <w:tab/>
        <w:t>Review of the Act</w:t>
      </w:r>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by No. 59 of 1995 s. 53; No. 60 of 2011 s. 85.] </w:t>
      </w:r>
    </w:p>
    <w:p>
      <w:pPr>
        <w:pStyle w:val="Heading2"/>
      </w:pPr>
      <w:bookmarkStart w:id="950" w:name="_Toc360453645"/>
      <w:bookmarkStart w:id="951" w:name="_Toc360457600"/>
      <w:bookmarkStart w:id="952" w:name="_Toc103589258"/>
      <w:bookmarkStart w:id="953" w:name="_Toc104110072"/>
      <w:bookmarkStart w:id="954" w:name="_Toc106426208"/>
      <w:bookmarkStart w:id="955" w:name="_Toc107198225"/>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950"/>
      <w:bookmarkEnd w:id="951"/>
    </w:p>
    <w:p>
      <w:pPr>
        <w:pStyle w:val="Footnoteheading"/>
      </w:pPr>
      <w:r>
        <w:tab/>
        <w:t xml:space="preserve">[Heading inserted by No. 60 of 2011 s. 86.] </w:t>
      </w:r>
    </w:p>
    <w:p>
      <w:pPr>
        <w:pStyle w:val="Heading3"/>
      </w:pPr>
      <w:bookmarkStart w:id="956" w:name="_Toc360453646"/>
      <w:bookmarkStart w:id="957" w:name="_Toc360457601"/>
      <w:r>
        <w:rPr>
          <w:rStyle w:val="CharDivNo"/>
        </w:rPr>
        <w:t>Division 1</w:t>
      </w:r>
      <w:r>
        <w:t> — </w:t>
      </w:r>
      <w:r>
        <w:rPr>
          <w:rStyle w:val="CharDivText"/>
        </w:rPr>
        <w:t>Contracting out</w:t>
      </w:r>
      <w:bookmarkEnd w:id="956"/>
      <w:bookmarkEnd w:id="957"/>
    </w:p>
    <w:p>
      <w:pPr>
        <w:pStyle w:val="Footnoteheading"/>
      </w:pPr>
      <w:bookmarkStart w:id="958" w:name="_Toc311730462"/>
      <w:r>
        <w:tab/>
        <w:t xml:space="preserve">[Heading inserted by No. 60 of 2011 s. 86.] </w:t>
      </w:r>
    </w:p>
    <w:p>
      <w:pPr>
        <w:pStyle w:val="Heading5"/>
      </w:pPr>
      <w:bookmarkStart w:id="959" w:name="_Toc360457602"/>
      <w:r>
        <w:rPr>
          <w:rStyle w:val="CharSectno"/>
        </w:rPr>
        <w:t>91</w:t>
      </w:r>
      <w:r>
        <w:t>.</w:t>
      </w:r>
      <w:r>
        <w:tab/>
        <w:t>Savings in relation to contracting out of standard terms</w:t>
      </w:r>
      <w:bookmarkEnd w:id="958"/>
      <w:bookmarkEnd w:id="95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by No. 60 of 2011 s. 86.] </w:t>
      </w:r>
    </w:p>
    <w:p>
      <w:pPr>
        <w:pStyle w:val="Heading3"/>
      </w:pPr>
      <w:bookmarkStart w:id="960" w:name="_Toc360453648"/>
      <w:bookmarkStart w:id="961" w:name="_Toc360457603"/>
      <w:r>
        <w:rPr>
          <w:rStyle w:val="CharDivNo"/>
        </w:rPr>
        <w:t>Division 2</w:t>
      </w:r>
      <w:r>
        <w:t> — </w:t>
      </w:r>
      <w:r>
        <w:rPr>
          <w:rStyle w:val="CharDivText"/>
        </w:rPr>
        <w:t>Security bonds held in AFI</w:t>
      </w:r>
      <w:bookmarkEnd w:id="960"/>
      <w:bookmarkEnd w:id="961"/>
    </w:p>
    <w:p>
      <w:pPr>
        <w:pStyle w:val="Footnoteheading"/>
      </w:pPr>
      <w:bookmarkStart w:id="962" w:name="_Toc311730464"/>
      <w:r>
        <w:tab/>
        <w:t xml:space="preserve">[Heading inserted by No. 60 of 2011 s. 86.] </w:t>
      </w:r>
    </w:p>
    <w:p>
      <w:pPr>
        <w:pStyle w:val="Heading5"/>
      </w:pPr>
      <w:bookmarkStart w:id="963" w:name="_Toc360457604"/>
      <w:r>
        <w:rPr>
          <w:rStyle w:val="CharDivText"/>
          <w:sz w:val="26"/>
        </w:rPr>
        <w:t>92</w:t>
      </w:r>
      <w:r>
        <w:t>.</w:t>
      </w:r>
      <w:r>
        <w:tab/>
        <w:t>Terms used</w:t>
      </w:r>
      <w:bookmarkEnd w:id="962"/>
      <w:bookmarkEnd w:id="963"/>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bookmarkStart w:id="964" w:name="_Toc311730465"/>
      <w:r>
        <w:tab/>
        <w:t xml:space="preserve">[Section 92 inserted by No. 60 of 2011 s. 86.] </w:t>
      </w:r>
    </w:p>
    <w:p>
      <w:pPr>
        <w:pStyle w:val="Heading5"/>
      </w:pPr>
      <w:bookmarkStart w:id="965" w:name="_Toc360457605"/>
      <w:r>
        <w:rPr>
          <w:rStyle w:val="CharDivText"/>
          <w:sz w:val="26"/>
        </w:rPr>
        <w:t>93</w:t>
      </w:r>
      <w:r>
        <w:t>.</w:t>
      </w:r>
      <w:r>
        <w:tab/>
        <w:t>All security bonds to be transferred to the bond administrator after renewal of agreement or within 18 months</w:t>
      </w:r>
      <w:bookmarkEnd w:id="964"/>
      <w:bookmarkEnd w:id="965"/>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bookmarkStart w:id="966" w:name="_Toc311730466"/>
      <w:r>
        <w:tab/>
        <w:t xml:space="preserve">[Section 93 inserted by No. 60 of 2011 s. 86.] </w:t>
      </w:r>
    </w:p>
    <w:p>
      <w:pPr>
        <w:pStyle w:val="Heading5"/>
      </w:pPr>
      <w:bookmarkStart w:id="967" w:name="_Toc360457606"/>
      <w:r>
        <w:rPr>
          <w:rStyle w:val="CharDivText"/>
          <w:sz w:val="26"/>
        </w:rPr>
        <w:t>94</w:t>
      </w:r>
      <w:r>
        <w:t>.</w:t>
      </w:r>
      <w:r>
        <w:tab/>
        <w:t>Requirements for AFI holding security bonds</w:t>
      </w:r>
      <w:bookmarkEnd w:id="966"/>
      <w:bookmarkEnd w:id="967"/>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market rate indicator specified in the regulations.</w:t>
      </w:r>
    </w:p>
    <w:p>
      <w:pPr>
        <w:pStyle w:val="Footnotesection"/>
      </w:pPr>
      <w:bookmarkStart w:id="968" w:name="_Toc311730467"/>
      <w:r>
        <w:tab/>
        <w:t xml:space="preserve">[Section 94 inserted by No. 60 of 2011 s. 86.] </w:t>
      </w:r>
    </w:p>
    <w:p>
      <w:pPr>
        <w:pStyle w:val="Heading5"/>
      </w:pPr>
      <w:bookmarkStart w:id="969" w:name="_Toc360457607"/>
      <w:r>
        <w:rPr>
          <w:rStyle w:val="CharDivText"/>
          <w:sz w:val="26"/>
        </w:rPr>
        <w:t>95</w:t>
      </w:r>
      <w:r>
        <w:t>.</w:t>
      </w:r>
      <w:r>
        <w:tab/>
        <w:t>Power of Commissioner to obtain information relating to AFI security bond accounts</w:t>
      </w:r>
      <w:bookmarkEnd w:id="968"/>
      <w:bookmarkEnd w:id="969"/>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bookmarkStart w:id="970" w:name="_Toc311730468"/>
      <w:r>
        <w:tab/>
        <w:t xml:space="preserve">[Section 95 inserted by No. 60 of 2011 s. 86.] </w:t>
      </w:r>
    </w:p>
    <w:p>
      <w:pPr>
        <w:pStyle w:val="Heading5"/>
      </w:pPr>
      <w:bookmarkStart w:id="971" w:name="_Toc360457608"/>
      <w:r>
        <w:rPr>
          <w:rStyle w:val="CharDivText"/>
          <w:sz w:val="26"/>
        </w:rPr>
        <w:t>96</w:t>
      </w:r>
      <w:r>
        <w:t>.</w:t>
      </w:r>
      <w:r>
        <w:tab/>
        <w:t>Disposal of security bond held in AFIs</w:t>
      </w:r>
      <w:bookmarkEnd w:id="970"/>
      <w:bookmarkEnd w:id="971"/>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bookmarkStart w:id="972" w:name="_Toc311730470"/>
      <w:r>
        <w:tab/>
        <w:t xml:space="preserve">[Section 96 inserted by No. 60 of 2011 s. 86.] </w:t>
      </w:r>
    </w:p>
    <w:p>
      <w:pPr>
        <w:pStyle w:val="Heading3"/>
      </w:pPr>
      <w:bookmarkStart w:id="973" w:name="_Toc360453654"/>
      <w:bookmarkStart w:id="974" w:name="_Toc360457609"/>
      <w:r>
        <w:rPr>
          <w:rStyle w:val="CharDivNo"/>
        </w:rPr>
        <w:t>Division 3</w:t>
      </w:r>
      <w:r>
        <w:t> — </w:t>
      </w:r>
      <w:r>
        <w:rPr>
          <w:rStyle w:val="CharDivText"/>
        </w:rPr>
        <w:t>Residential tenancy databases</w:t>
      </w:r>
      <w:bookmarkEnd w:id="973"/>
      <w:bookmarkEnd w:id="974"/>
    </w:p>
    <w:p>
      <w:pPr>
        <w:pStyle w:val="Footnoteheading"/>
      </w:pPr>
      <w:r>
        <w:tab/>
        <w:t xml:space="preserve">[Heading inserted by No. 60 of 2011 s. 86.] </w:t>
      </w:r>
    </w:p>
    <w:p>
      <w:pPr>
        <w:pStyle w:val="Heading5"/>
      </w:pPr>
      <w:bookmarkStart w:id="975" w:name="_Toc360457610"/>
      <w:r>
        <w:rPr>
          <w:rStyle w:val="CharDivText"/>
          <w:sz w:val="26"/>
        </w:rPr>
        <w:t>97</w:t>
      </w:r>
      <w:r>
        <w:t>.</w:t>
      </w:r>
      <w:r>
        <w:tab/>
        <w:t>Application of Part VIA to listings existing before commencement</w:t>
      </w:r>
      <w:bookmarkEnd w:id="972"/>
      <w:bookmarkEnd w:id="975"/>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by No. 60 of 2011 s. 86.]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976" w:name="_Toc360453656"/>
      <w:bookmarkStart w:id="977" w:name="_Toc360457611"/>
      <w:bookmarkStart w:id="978" w:name="_Toc232235555"/>
      <w:bookmarkStart w:id="979" w:name="_Toc232235753"/>
      <w:bookmarkStart w:id="980" w:name="_Toc233100623"/>
      <w:bookmarkStart w:id="981" w:name="_Toc233107784"/>
      <w:bookmarkStart w:id="982" w:name="_Toc268248515"/>
      <w:bookmarkStart w:id="983" w:name="_Toc268612716"/>
      <w:bookmarkStart w:id="984" w:name="_Toc272315151"/>
      <w:bookmarkStart w:id="985" w:name="_Toc280092997"/>
      <w:bookmarkStart w:id="986" w:name="_Toc281486464"/>
      <w:bookmarkStart w:id="987" w:name="_Toc312051903"/>
      <w:bookmarkStart w:id="988" w:name="_Toc312058461"/>
      <w:bookmarkStart w:id="989" w:name="_Toc331431343"/>
      <w:bookmarkStart w:id="990" w:name="_Toc331431690"/>
      <w:bookmarkStart w:id="991" w:name="_Toc331677300"/>
      <w:bookmarkStart w:id="992" w:name="_Toc106426211"/>
      <w:bookmarkStart w:id="993" w:name="_Toc107198228"/>
      <w:bookmarkStart w:id="994" w:name="_Toc172436266"/>
      <w:bookmarkEnd w:id="952"/>
      <w:bookmarkEnd w:id="953"/>
      <w:bookmarkEnd w:id="954"/>
      <w:bookmarkEnd w:id="955"/>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976"/>
      <w:bookmarkEnd w:id="977"/>
    </w:p>
    <w:p>
      <w:pPr>
        <w:pStyle w:val="yShoulderClause"/>
      </w:pPr>
      <w:r>
        <w:t>[s. 3, 7(3), 12, 29(4), (7), (8), 59D(6), 79(5), (6), (11) and 80A(8)]</w:t>
      </w:r>
    </w:p>
    <w:p>
      <w:pPr>
        <w:pStyle w:val="yFootnoteheading"/>
      </w:pPr>
      <w:r>
        <w:tab/>
        <w:t xml:space="preserve">[Heading inserted by No. 60 of 2011 s. 87(1).] </w:t>
      </w:r>
    </w:p>
    <w:p>
      <w:pPr>
        <w:pStyle w:val="yHeading3"/>
      </w:pPr>
      <w:bookmarkStart w:id="995" w:name="_Toc360453657"/>
      <w:bookmarkStart w:id="996" w:name="_Toc360457612"/>
      <w:bookmarkStart w:id="997" w:name="_Toc232235556"/>
      <w:bookmarkStart w:id="998" w:name="_Toc232235754"/>
      <w:bookmarkStart w:id="999" w:name="_Toc233100624"/>
      <w:bookmarkStart w:id="1000" w:name="_Toc233107785"/>
      <w:bookmarkStart w:id="1001" w:name="_Toc268248516"/>
      <w:bookmarkStart w:id="1002" w:name="_Toc268612717"/>
      <w:bookmarkStart w:id="1003" w:name="_Toc272315152"/>
      <w:bookmarkStart w:id="1004" w:name="_Toc280092998"/>
      <w:bookmarkStart w:id="1005" w:name="_Toc281486465"/>
      <w:bookmarkStart w:id="1006" w:name="_Toc312051904"/>
      <w:bookmarkStart w:id="1007" w:name="_Toc312058462"/>
      <w:bookmarkStart w:id="1008" w:name="_Toc331431344"/>
      <w:bookmarkStart w:id="1009" w:name="_Toc331431691"/>
      <w:bookmarkStart w:id="1010" w:name="_Toc331677301"/>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r>
        <w:t>Division 1 — General</w:t>
      </w:r>
      <w:bookmarkEnd w:id="995"/>
      <w:bookmarkEnd w:id="996"/>
    </w:p>
    <w:p>
      <w:pPr>
        <w:pStyle w:val="yFootnoteheading"/>
      </w:pPr>
      <w:r>
        <w:tab/>
        <w:t>[Heading inserted by No. 60 of 2011 s. 87(2).]</w:t>
      </w:r>
    </w:p>
    <w:p>
      <w:pPr>
        <w:pStyle w:val="yHeading5"/>
        <w:outlineLvl w:val="9"/>
        <w:rPr>
          <w:snapToGrid w:val="0"/>
        </w:rPr>
      </w:pPr>
      <w:bookmarkStart w:id="1011" w:name="_Toc360457613"/>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r>
        <w:rPr>
          <w:rStyle w:val="CharSClsNo"/>
        </w:rPr>
        <w:t>1</w:t>
      </w:r>
      <w:r>
        <w:rPr>
          <w:snapToGrid w:val="0"/>
        </w:rPr>
        <w:t>.</w:t>
      </w:r>
      <w:r>
        <w:rPr>
          <w:snapToGrid w:val="0"/>
        </w:rPr>
        <w:tab/>
      </w:r>
      <w:bookmarkEnd w:id="992"/>
      <w:bookmarkEnd w:id="993"/>
      <w:r>
        <w:rPr>
          <w:snapToGrid w:val="0"/>
        </w:rPr>
        <w:t>Terms used in this Schedule</w:t>
      </w:r>
      <w:bookmarkEnd w:id="994"/>
      <w:bookmarkEnd w:id="1011"/>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by No. 31 of 1993 s. 63(a); No. 59 of 1995 s. 54(1)(a); No. 26 of 1999 s. 100(3); No. 60  of 2011 s. 87(3)-(4).] </w:t>
      </w:r>
    </w:p>
    <w:p>
      <w:pPr>
        <w:pStyle w:val="yEdnotesection"/>
      </w:pPr>
      <w:bookmarkStart w:id="1012" w:name="_Toc106426212"/>
      <w:bookmarkStart w:id="1013" w:name="_Toc107198229"/>
      <w:bookmarkStart w:id="1014" w:name="_Toc172436267"/>
      <w:r>
        <w:t>[</w:t>
      </w:r>
      <w:r>
        <w:rPr>
          <w:b/>
        </w:rPr>
        <w:t>2.</w:t>
      </w:r>
      <w:r>
        <w:tab/>
        <w:t>Deleted by No. 60 of 2011 s. 87(5).]</w:t>
      </w:r>
    </w:p>
    <w:p>
      <w:pPr>
        <w:pStyle w:val="yHeading5"/>
        <w:outlineLvl w:val="9"/>
        <w:rPr>
          <w:snapToGrid w:val="0"/>
        </w:rPr>
      </w:pPr>
      <w:bookmarkStart w:id="1015" w:name="_Toc106426213"/>
      <w:bookmarkStart w:id="1016" w:name="_Toc107198230"/>
      <w:bookmarkStart w:id="1017" w:name="_Toc172436268"/>
      <w:bookmarkStart w:id="1018" w:name="_Toc360457614"/>
      <w:bookmarkEnd w:id="1012"/>
      <w:bookmarkEnd w:id="1013"/>
      <w:bookmarkEnd w:id="1014"/>
      <w:r>
        <w:rPr>
          <w:rStyle w:val="CharSClsNo"/>
        </w:rPr>
        <w:t>3</w:t>
      </w:r>
      <w:r>
        <w:rPr>
          <w:snapToGrid w:val="0"/>
        </w:rPr>
        <w:t>.</w:t>
      </w:r>
      <w:r>
        <w:rPr>
          <w:snapToGrid w:val="0"/>
        </w:rPr>
        <w:tab/>
        <w:t xml:space="preserve">Rental Accommodation </w:t>
      </w:r>
      <w:bookmarkEnd w:id="1015"/>
      <w:bookmarkEnd w:id="1016"/>
      <w:r>
        <w:rPr>
          <w:snapToGrid w:val="0"/>
        </w:rPr>
        <w:t>Account</w:t>
      </w:r>
      <w:bookmarkEnd w:id="1017"/>
      <w:bookmarkEnd w:id="1018"/>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by No. 50 of 1988 s. 17(a); No. 6 of 1993 s. 11; No. 31 of 1993 s. 63(b); No. 59 of 1995 s. 54(1)(d) and (e) and 56; No. 59 of 2004 s. 121; No. 28 of 2006 s. 137; No. 32 of 2006 s. 98; No. 77 of 2006 s. 4 and 17; No. 60 of 2011 s. 87(6)-(9).]</w:t>
      </w:r>
    </w:p>
    <w:p>
      <w:pPr>
        <w:pStyle w:val="yHeading5"/>
        <w:outlineLvl w:val="9"/>
        <w:rPr>
          <w:snapToGrid w:val="0"/>
        </w:rPr>
      </w:pPr>
      <w:bookmarkStart w:id="1019" w:name="_Toc106426214"/>
      <w:bookmarkStart w:id="1020" w:name="_Toc107198231"/>
      <w:bookmarkStart w:id="1021" w:name="_Toc172436269"/>
      <w:bookmarkStart w:id="1022" w:name="_Toc360457615"/>
      <w:r>
        <w:rPr>
          <w:rStyle w:val="CharSClsNo"/>
        </w:rPr>
        <w:t>4</w:t>
      </w:r>
      <w:r>
        <w:rPr>
          <w:snapToGrid w:val="0"/>
        </w:rPr>
        <w:t>.</w:t>
      </w:r>
      <w:r>
        <w:rPr>
          <w:snapToGrid w:val="0"/>
        </w:rPr>
        <w:tab/>
        <w:t>Duties of bond administrator</w:t>
      </w:r>
      <w:bookmarkEnd w:id="1019"/>
      <w:bookmarkEnd w:id="1020"/>
      <w:bookmarkEnd w:id="1021"/>
      <w:bookmarkEnd w:id="1022"/>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by No. 77 of 2006 s. 17; No. 60 of 2011 s. 87(10) and 89.] </w:t>
      </w:r>
    </w:p>
    <w:p>
      <w:pPr>
        <w:pStyle w:val="yHeading3"/>
      </w:pPr>
      <w:bookmarkStart w:id="1023" w:name="_Toc360453661"/>
      <w:bookmarkStart w:id="1024" w:name="_Toc360457616"/>
      <w:bookmarkStart w:id="1025" w:name="_Toc232235557"/>
      <w:bookmarkStart w:id="1026" w:name="_Toc232235755"/>
      <w:bookmarkStart w:id="1027" w:name="_Toc233100625"/>
      <w:bookmarkStart w:id="1028" w:name="_Toc233107786"/>
      <w:bookmarkStart w:id="1029" w:name="_Toc268248521"/>
      <w:bookmarkStart w:id="1030" w:name="_Toc268612722"/>
      <w:bookmarkStart w:id="1031" w:name="_Toc272315157"/>
      <w:bookmarkStart w:id="1032" w:name="_Toc280093003"/>
      <w:bookmarkStart w:id="1033" w:name="_Toc281486470"/>
      <w:bookmarkStart w:id="1034" w:name="_Toc312051909"/>
      <w:bookmarkStart w:id="1035" w:name="_Toc312058467"/>
      <w:bookmarkStart w:id="1036" w:name="_Toc331431349"/>
      <w:bookmarkStart w:id="1037" w:name="_Toc331431696"/>
      <w:bookmarkStart w:id="1038" w:name="_Toc331677306"/>
      <w:bookmarkStart w:id="1039" w:name="_Toc106426216"/>
      <w:bookmarkStart w:id="1040" w:name="_Toc107198233"/>
      <w:bookmarkStart w:id="1041" w:name="_Toc172436271"/>
      <w:r>
        <w:rPr>
          <w:rStyle w:val="CharSDivNo"/>
        </w:rPr>
        <w:t>Division 2</w:t>
      </w:r>
      <w:r>
        <w:t> — </w:t>
      </w:r>
      <w:r>
        <w:rPr>
          <w:rStyle w:val="CharSDivText"/>
        </w:rPr>
        <w:t>Security bonds</w:t>
      </w:r>
      <w:bookmarkEnd w:id="1023"/>
      <w:bookmarkEnd w:id="1024"/>
    </w:p>
    <w:p>
      <w:pPr>
        <w:pStyle w:val="yFootnoteheading"/>
      </w:pPr>
      <w:r>
        <w:tab/>
        <w:t>[Heading inserted by No. 60 of 2011 s. 87(11).]</w:t>
      </w:r>
    </w:p>
    <w:p>
      <w:pPr>
        <w:pStyle w:val="yHeading5"/>
      </w:pPr>
      <w:bookmarkStart w:id="1042" w:name="_Toc311730475"/>
      <w:bookmarkStart w:id="1043" w:name="_Toc360457617"/>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r>
        <w:rPr>
          <w:rStyle w:val="CharSClsNo"/>
        </w:rPr>
        <w:t>5A</w:t>
      </w:r>
      <w:r>
        <w:t>.</w:t>
      </w:r>
      <w:r>
        <w:tab/>
        <w:t>Security bond moneys to be paid to bond administrator</w:t>
      </w:r>
      <w:bookmarkEnd w:id="1042"/>
      <w:bookmarkEnd w:id="1043"/>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by No. 60 of 2011 s. 87(12).] </w:t>
      </w:r>
    </w:p>
    <w:p>
      <w:pPr>
        <w:pStyle w:val="yHeading5"/>
        <w:outlineLvl w:val="9"/>
        <w:rPr>
          <w:snapToGrid w:val="0"/>
        </w:rPr>
      </w:pPr>
      <w:bookmarkStart w:id="1044" w:name="_Toc360457618"/>
      <w:r>
        <w:rPr>
          <w:rStyle w:val="CharSClsNo"/>
        </w:rPr>
        <w:t>5</w:t>
      </w:r>
      <w:r>
        <w:rPr>
          <w:snapToGrid w:val="0"/>
        </w:rPr>
        <w:t>.</w:t>
      </w:r>
      <w:r>
        <w:rPr>
          <w:snapToGrid w:val="0"/>
        </w:rPr>
        <w:tab/>
        <w:t>Disposal of security bond by bond administrator</w:t>
      </w:r>
      <w:bookmarkEnd w:id="1039"/>
      <w:bookmarkEnd w:id="1040"/>
      <w:bookmarkEnd w:id="1041"/>
      <w:bookmarkEnd w:id="1044"/>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bookmarkStart w:id="1045" w:name="_Toc106426217"/>
      <w:bookmarkStart w:id="1046" w:name="_Toc107198234"/>
      <w:bookmarkStart w:id="1047" w:name="_Toc139363677"/>
      <w:bookmarkStart w:id="1048" w:name="_Toc139688412"/>
      <w:bookmarkStart w:id="1049" w:name="_Toc139960407"/>
      <w:bookmarkStart w:id="1050" w:name="_Toc139968440"/>
      <w:bookmarkStart w:id="1051" w:name="_Toc154197622"/>
      <w:bookmarkStart w:id="1052" w:name="_Toc158003171"/>
      <w:bookmarkStart w:id="1053" w:name="_Toc163278671"/>
      <w:bookmarkStart w:id="1054" w:name="_Toc163362052"/>
      <w:bookmarkStart w:id="1055" w:name="_Toc168903603"/>
      <w:bookmarkStart w:id="1056" w:name="_Toc168971225"/>
      <w:bookmarkStart w:id="1057" w:name="_Toc170524923"/>
      <w:bookmarkStart w:id="1058" w:name="_Toc171246240"/>
      <w:r>
        <w:tab/>
        <w:t xml:space="preserve">[Clause 5 amended by No. 69 of 2006 s. 32(2) and (3); No. 60 of 2011 s. 87(13)-(15).] </w:t>
      </w:r>
    </w:p>
    <w:p>
      <w:pPr>
        <w:pStyle w:val="yEdnotesection"/>
      </w:pPr>
      <w:bookmarkStart w:id="1059" w:name="_Toc232235558"/>
      <w:bookmarkStart w:id="1060" w:name="_Toc232235756"/>
      <w:bookmarkStart w:id="1061" w:name="_Toc233100626"/>
      <w:bookmarkStart w:id="1062" w:name="_Toc233107787"/>
      <w:bookmarkStart w:id="1063" w:name="_Toc268248523"/>
      <w:bookmarkStart w:id="1064" w:name="_Toc268612724"/>
      <w:bookmarkStart w:id="1065" w:name="_Toc272315159"/>
      <w:bookmarkStart w:id="1066" w:name="_Toc280093005"/>
      <w:bookmarkStart w:id="1067" w:name="_Toc281486472"/>
      <w:bookmarkStart w:id="1068" w:name="_Toc312051911"/>
      <w:bookmarkStart w:id="1069" w:name="_Toc312058469"/>
      <w:bookmarkStart w:id="1070" w:name="_Toc331431351"/>
      <w:bookmarkStart w:id="1071" w:name="_Toc331431698"/>
      <w:bookmarkStart w:id="1072" w:name="_Toc331677308"/>
      <w:bookmarkStart w:id="1073" w:name="_Toc106426218"/>
      <w:bookmarkStart w:id="1074" w:name="_Toc107198235"/>
      <w:bookmarkStart w:id="1075" w:name="_Toc172436273"/>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r>
        <w:t>[Part C (cl. 6-7) deleted by No. 60 of 2011 s. 87(16).]</w:t>
      </w:r>
    </w:p>
    <w:p>
      <w:pPr>
        <w:pStyle w:val="yEdnotesection"/>
      </w:pPr>
      <w:bookmarkStart w:id="1076" w:name="_Toc232235559"/>
      <w:bookmarkStart w:id="1077" w:name="_Toc232235757"/>
      <w:bookmarkStart w:id="1078" w:name="_Toc233100627"/>
      <w:bookmarkStart w:id="1079" w:name="_Toc233107788"/>
      <w:bookmarkStart w:id="1080" w:name="_Toc268248526"/>
      <w:bookmarkStart w:id="1081" w:name="_Toc268612727"/>
      <w:bookmarkStart w:id="1082" w:name="_Toc272315162"/>
      <w:bookmarkStart w:id="1083" w:name="_Toc280093008"/>
      <w:bookmarkStart w:id="1084" w:name="_Toc281486475"/>
      <w:bookmarkStart w:id="1085" w:name="_Toc312051914"/>
      <w:bookmarkStart w:id="1086" w:name="_Toc312058472"/>
      <w:bookmarkStart w:id="1087" w:name="_Toc331431354"/>
      <w:bookmarkStart w:id="1088" w:name="_Toc331431701"/>
      <w:bookmarkStart w:id="1089" w:name="_Toc331677311"/>
      <w:bookmarkStart w:id="1090" w:name="_Toc106426221"/>
      <w:bookmarkStart w:id="1091" w:name="_Toc107198238"/>
      <w:bookmarkStart w:id="1092" w:name="_Toc172436276"/>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r>
        <w:t>[Heading deleted by No. 60 of 2011 s. 87(17).]</w:t>
      </w:r>
    </w:p>
    <w:p>
      <w:pPr>
        <w:pStyle w:val="yHeading5"/>
        <w:outlineLvl w:val="9"/>
        <w:rPr>
          <w:snapToGrid w:val="0"/>
        </w:rPr>
      </w:pPr>
      <w:bookmarkStart w:id="1093" w:name="_Toc360457619"/>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r>
        <w:rPr>
          <w:rStyle w:val="CharSClsNo"/>
        </w:rPr>
        <w:t>8</w:t>
      </w:r>
      <w:r>
        <w:rPr>
          <w:snapToGrid w:val="0"/>
        </w:rPr>
        <w:t>.</w:t>
      </w:r>
      <w:r>
        <w:rPr>
          <w:snapToGrid w:val="0"/>
        </w:rPr>
        <w:tab/>
        <w:t>Court may determine disposal of security bond</w:t>
      </w:r>
      <w:bookmarkEnd w:id="1090"/>
      <w:bookmarkEnd w:id="1091"/>
      <w:bookmarkEnd w:id="1092"/>
      <w:bookmarkEnd w:id="1093"/>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prescribed form, filed in the office in which the application was filed within 7 days after service of the court’s notice, whether </w:t>
      </w:r>
      <w:r>
        <w:t>the party</w:t>
      </w:r>
      <w:r>
        <w:rPr>
          <w:snapToGrid w:val="0"/>
        </w:rPr>
        <w:t xml:space="preserv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prescribed form indicating that </w:t>
      </w:r>
      <w:r>
        <w:t>the party</w:t>
      </w:r>
      <w:r>
        <w:rPr>
          <w:snapToGrid w:val="0"/>
        </w:rPr>
        <w:t xml:space="preserve"> intends to dispute the application,</w:t>
      </w:r>
    </w:p>
    <w:p>
      <w:pPr>
        <w:pStyle w:val="ySubsection"/>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by No. 50 of 1988 s. 17(b) and (c) and 18; No. 59 of 1995 s. 54(1)(h); No. 59 of 2004 s. 120 and 121; No. 60 of 2011 s. 87(18)-(22) and 89.]</w:t>
      </w:r>
    </w:p>
    <w:p>
      <w:pPr>
        <w:pStyle w:val="yHeading3"/>
      </w:pPr>
      <w:bookmarkStart w:id="1094" w:name="_Toc360453665"/>
      <w:bookmarkStart w:id="1095" w:name="_Toc360457620"/>
      <w:r>
        <w:rPr>
          <w:rStyle w:val="CharSDivNo"/>
        </w:rPr>
        <w:t>Division 3</w:t>
      </w:r>
      <w:r>
        <w:t> — </w:t>
      </w:r>
      <w:r>
        <w:rPr>
          <w:rStyle w:val="CharSDivText"/>
        </w:rPr>
        <w:t>Tenant compensation bonds</w:t>
      </w:r>
      <w:bookmarkEnd w:id="1094"/>
      <w:bookmarkEnd w:id="1095"/>
    </w:p>
    <w:p>
      <w:pPr>
        <w:pStyle w:val="yFootnotesection"/>
      </w:pPr>
      <w:bookmarkStart w:id="1096" w:name="_Toc311730477"/>
      <w:r>
        <w:tab/>
        <w:t>[Heading inserted by No. 60 of 2011 s. 87(23).]</w:t>
      </w:r>
    </w:p>
    <w:p>
      <w:pPr>
        <w:pStyle w:val="yHeading5"/>
      </w:pPr>
      <w:bookmarkStart w:id="1097" w:name="_Toc360457621"/>
      <w:r>
        <w:rPr>
          <w:rStyle w:val="CharSClsNo"/>
        </w:rPr>
        <w:t>9</w:t>
      </w:r>
      <w:r>
        <w:t>.</w:t>
      </w:r>
      <w:r>
        <w:tab/>
        <w:t>Application of Division</w:t>
      </w:r>
      <w:bookmarkEnd w:id="1096"/>
      <w:bookmarkEnd w:id="1097"/>
    </w:p>
    <w:p>
      <w:pPr>
        <w:pStyle w:val="ySubsection"/>
      </w:pPr>
      <w:r>
        <w:tab/>
      </w:r>
      <w:r>
        <w:tab/>
        <w:t>This Division applies where the bond administrator has been paid a tenant compensation bond in accordance with an order under section 59D(2).</w:t>
      </w:r>
    </w:p>
    <w:p>
      <w:pPr>
        <w:pStyle w:val="yFootnotesection"/>
      </w:pPr>
      <w:bookmarkStart w:id="1098" w:name="_Toc311730478"/>
      <w:r>
        <w:tab/>
        <w:t>[Clause 9 inserted by No. 60 of 2011 s. 87(23).]</w:t>
      </w:r>
    </w:p>
    <w:p>
      <w:pPr>
        <w:pStyle w:val="yHeading5"/>
      </w:pPr>
      <w:bookmarkStart w:id="1099" w:name="_Toc360457622"/>
      <w:r>
        <w:rPr>
          <w:rStyle w:val="CharSClsNo"/>
        </w:rPr>
        <w:t>10</w:t>
      </w:r>
      <w:r>
        <w:t>.</w:t>
      </w:r>
      <w:r>
        <w:tab/>
        <w:t>Disposal of tenant compensation bond to tenant by bond administrator</w:t>
      </w:r>
      <w:bookmarkEnd w:id="1098"/>
      <w:bookmarkEnd w:id="1099"/>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bookmarkStart w:id="1100" w:name="_Toc311730479"/>
      <w:r>
        <w:tab/>
        <w:t>[Clause 10 inserted by No. 60 of 2011 s. 87(23).]</w:t>
      </w:r>
    </w:p>
    <w:p>
      <w:pPr>
        <w:pStyle w:val="yHeading5"/>
      </w:pPr>
      <w:bookmarkStart w:id="1101" w:name="_Toc360457623"/>
      <w:r>
        <w:rPr>
          <w:rStyle w:val="CharSClsNo"/>
        </w:rPr>
        <w:t>11</w:t>
      </w:r>
      <w:r>
        <w:t>.</w:t>
      </w:r>
      <w:r>
        <w:tab/>
        <w:t>Disposal of tenant compensation bond to lessor by bond administrator</w:t>
      </w:r>
      <w:bookmarkEnd w:id="1100"/>
      <w:bookmarkEnd w:id="1101"/>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by No. 60 of 2011 s. 87(23).]</w:t>
      </w:r>
    </w:p>
    <w:p>
      <w:pPr>
        <w:pStyle w:val="yEdnotesection"/>
        <w:outlineLvl w:val="9"/>
      </w:pPr>
      <w:r>
        <w:t>[Schedule 2 omitted under the Reprints Act 1984 s. 7(4)(f).]</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102" w:name="_Toc89596688"/>
      <w:bookmarkStart w:id="1103" w:name="_Toc101762156"/>
      <w:bookmarkStart w:id="1104" w:name="_Toc101762277"/>
      <w:bookmarkStart w:id="1105" w:name="_Toc103582552"/>
      <w:bookmarkStart w:id="1106" w:name="_Toc103582669"/>
      <w:bookmarkStart w:id="1107" w:name="_Toc103589271"/>
      <w:bookmarkStart w:id="1108" w:name="_Toc104110086"/>
      <w:bookmarkStart w:id="1109" w:name="_Toc106426105"/>
      <w:bookmarkStart w:id="1110" w:name="_Toc106426222"/>
      <w:bookmarkStart w:id="1111" w:name="_Toc107198119"/>
      <w:bookmarkStart w:id="1112" w:name="_Toc107198239"/>
    </w:p>
    <w:p>
      <w:pPr>
        <w:pStyle w:val="nHeading2"/>
      </w:pPr>
      <w:bookmarkStart w:id="1113" w:name="_Toc139363682"/>
      <w:bookmarkStart w:id="1114" w:name="_Toc139688417"/>
      <w:bookmarkStart w:id="1115" w:name="_Toc139960412"/>
      <w:bookmarkStart w:id="1116" w:name="_Toc139968445"/>
      <w:bookmarkStart w:id="1117" w:name="_Toc154197627"/>
      <w:bookmarkStart w:id="1118" w:name="_Toc158003176"/>
      <w:bookmarkStart w:id="1119" w:name="_Toc163278676"/>
      <w:bookmarkStart w:id="1120" w:name="_Toc163362057"/>
      <w:bookmarkStart w:id="1121" w:name="_Toc168903608"/>
      <w:bookmarkStart w:id="1122" w:name="_Toc168971230"/>
      <w:bookmarkStart w:id="1123" w:name="_Toc170524928"/>
      <w:bookmarkStart w:id="1124" w:name="_Toc171246245"/>
      <w:bookmarkStart w:id="1125" w:name="_Toc172436277"/>
      <w:bookmarkStart w:id="1126" w:name="_Toc173740502"/>
      <w:bookmarkStart w:id="1127" w:name="_Toc173745149"/>
      <w:bookmarkStart w:id="1128" w:name="_Toc173745268"/>
      <w:bookmarkStart w:id="1129" w:name="_Toc173745387"/>
      <w:bookmarkStart w:id="1130" w:name="_Toc199756470"/>
      <w:bookmarkStart w:id="1131" w:name="_Toc223933038"/>
      <w:bookmarkStart w:id="1132" w:name="_Toc223933157"/>
      <w:bookmarkStart w:id="1133" w:name="_Toc268248528"/>
      <w:bookmarkStart w:id="1134" w:name="_Toc268612729"/>
      <w:bookmarkStart w:id="1135" w:name="_Toc272315164"/>
      <w:bookmarkStart w:id="1136" w:name="_Toc280093010"/>
      <w:bookmarkStart w:id="1137" w:name="_Toc281486477"/>
      <w:bookmarkStart w:id="1138" w:name="_Toc312051916"/>
      <w:bookmarkStart w:id="1139" w:name="_Toc312058474"/>
      <w:bookmarkStart w:id="1140" w:name="_Toc331431356"/>
      <w:bookmarkStart w:id="1141" w:name="_Toc331431703"/>
      <w:bookmarkStart w:id="1142" w:name="_Toc331677313"/>
      <w:bookmarkStart w:id="1143" w:name="_Toc360453669"/>
      <w:bookmarkStart w:id="1144" w:name="_Toc360457624"/>
      <w:r>
        <w:t>Notes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  The table also contains information about any reprint.</w:t>
      </w:r>
    </w:p>
    <w:p>
      <w:pPr>
        <w:pStyle w:val="nHeading3"/>
      </w:pPr>
      <w:bookmarkStart w:id="1145" w:name="_Toc172436278"/>
      <w:bookmarkStart w:id="1146" w:name="_Toc360457625"/>
      <w:r>
        <w:t>Compilation table</w:t>
      </w:r>
      <w:bookmarkEnd w:id="1145"/>
      <w:bookmarkEnd w:id="1146"/>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Residential Tenancies Act 1987</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2"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cantSplit/>
        </w:trPr>
        <w:tc>
          <w:tcPr>
            <w:tcW w:w="2273" w:type="dxa"/>
          </w:tcPr>
          <w:p>
            <w:pPr>
              <w:pStyle w:val="nTable"/>
              <w:spacing w:after="40"/>
              <w:rPr>
                <w:sz w:val="19"/>
              </w:rPr>
            </w:pPr>
            <w:r>
              <w:rPr>
                <w:i/>
                <w:sz w:val="19"/>
              </w:rPr>
              <w:t>Residential Tenancies Amendment Act 1988</w:t>
            </w:r>
          </w:p>
        </w:tc>
        <w:tc>
          <w:tcPr>
            <w:tcW w:w="1138" w:type="dxa"/>
          </w:tcPr>
          <w:p>
            <w:pPr>
              <w:pStyle w:val="nTable"/>
              <w:spacing w:after="40"/>
              <w:rPr>
                <w:sz w:val="19"/>
              </w:rPr>
            </w:pPr>
            <w:r>
              <w:rPr>
                <w:sz w:val="19"/>
              </w:rPr>
              <w:t>50 of 1988</w:t>
            </w:r>
          </w:p>
        </w:tc>
        <w:tc>
          <w:tcPr>
            <w:tcW w:w="1135" w:type="dxa"/>
          </w:tcPr>
          <w:p>
            <w:pPr>
              <w:pStyle w:val="nTable"/>
              <w:spacing w:after="40"/>
              <w:rPr>
                <w:sz w:val="19"/>
              </w:rPr>
            </w:pPr>
            <w:r>
              <w:rPr>
                <w:sz w:val="19"/>
              </w:rPr>
              <w:t>8 Dec 1988</w:t>
            </w:r>
          </w:p>
        </w:tc>
        <w:tc>
          <w:tcPr>
            <w:tcW w:w="2552" w:type="dxa"/>
          </w:tcPr>
          <w:p>
            <w:pPr>
              <w:pStyle w:val="nTable"/>
              <w:spacing w:after="40"/>
              <w:rPr>
                <w:sz w:val="19"/>
              </w:rPr>
            </w:pPr>
            <w:r>
              <w:rPr>
                <w:sz w:val="19"/>
              </w:rPr>
              <w:t>8 Dec 1988 (see s. 2)</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8" w:type="dxa"/>
          </w:tcPr>
          <w:p>
            <w:pPr>
              <w:pStyle w:val="nTable"/>
              <w:spacing w:after="40"/>
              <w:rPr>
                <w:sz w:val="19"/>
              </w:rPr>
            </w:pPr>
            <w:r>
              <w:rPr>
                <w:sz w:val="19"/>
              </w:rPr>
              <w:t>31 of 1993</w:t>
            </w:r>
          </w:p>
        </w:tc>
        <w:tc>
          <w:tcPr>
            <w:tcW w:w="1135"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73" w:type="dxa"/>
          </w:tcPr>
          <w:p>
            <w:pPr>
              <w:pStyle w:val="nTable"/>
              <w:spacing w:after="40"/>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8" w:type="dxa"/>
          </w:tcPr>
          <w:p>
            <w:pPr>
              <w:pStyle w:val="nTable"/>
              <w:spacing w:after="40"/>
              <w:rPr>
                <w:sz w:val="19"/>
              </w:rPr>
            </w:pPr>
            <w:r>
              <w:rPr>
                <w:sz w:val="19"/>
              </w:rPr>
              <w:t>34 of 1995</w:t>
            </w:r>
          </w:p>
        </w:tc>
        <w:tc>
          <w:tcPr>
            <w:tcW w:w="1135" w:type="dxa"/>
          </w:tcPr>
          <w:p>
            <w:pPr>
              <w:pStyle w:val="nTable"/>
              <w:spacing w:after="40"/>
              <w:rPr>
                <w:sz w:val="19"/>
              </w:rPr>
            </w:pPr>
            <w:r>
              <w:rPr>
                <w:sz w:val="19"/>
              </w:rPr>
              <w:t>29 Sep 1995</w:t>
            </w:r>
          </w:p>
        </w:tc>
        <w:tc>
          <w:tcPr>
            <w:tcW w:w="2552"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73"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xml:space="preserve"> 5</w:t>
            </w:r>
          </w:p>
        </w:tc>
        <w:tc>
          <w:tcPr>
            <w:tcW w:w="1138"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2"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cantSplit/>
        </w:trPr>
        <w:tc>
          <w:tcPr>
            <w:tcW w:w="2273"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8" w:type="dxa"/>
          </w:tcPr>
          <w:p>
            <w:pPr>
              <w:pStyle w:val="nTable"/>
              <w:keepNext/>
              <w:keepLines/>
              <w:spacing w:after="40"/>
              <w:rPr>
                <w:sz w:val="19"/>
              </w:rPr>
            </w:pPr>
            <w:r>
              <w:rPr>
                <w:sz w:val="19"/>
              </w:rPr>
              <w:t>73 of 1995</w:t>
            </w:r>
          </w:p>
        </w:tc>
        <w:tc>
          <w:tcPr>
            <w:tcW w:w="1135" w:type="dxa"/>
          </w:tcPr>
          <w:p>
            <w:pPr>
              <w:pStyle w:val="nTable"/>
              <w:keepNext/>
              <w:keepLines/>
              <w:spacing w:after="40"/>
              <w:rPr>
                <w:sz w:val="19"/>
              </w:rPr>
            </w:pPr>
            <w:r>
              <w:rPr>
                <w:sz w:val="19"/>
              </w:rPr>
              <w:t>27 Dec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98"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73" w:type="dxa"/>
          </w:tcPr>
          <w:p>
            <w:pPr>
              <w:pStyle w:val="nTable"/>
              <w:spacing w:after="40"/>
              <w:rPr>
                <w:sz w:val="19"/>
              </w:rPr>
            </w:pPr>
            <w:r>
              <w:rPr>
                <w:i/>
                <w:sz w:val="19"/>
              </w:rPr>
              <w:t>Statutes (Repeals and Minor Amendments) Act 1997</w:t>
            </w:r>
            <w:r>
              <w:rPr>
                <w:sz w:val="19"/>
              </w:rPr>
              <w:t xml:space="preserve"> s. 39(10)</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98"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cantSplit/>
        </w:trPr>
        <w:tc>
          <w:tcPr>
            <w:tcW w:w="2273" w:type="dxa"/>
          </w:tcPr>
          <w:p>
            <w:pPr>
              <w:pStyle w:val="nTable"/>
              <w:spacing w:after="40"/>
              <w:rPr>
                <w:sz w:val="19"/>
              </w:rPr>
            </w:pPr>
            <w:r>
              <w:rPr>
                <w:i/>
                <w:sz w:val="19"/>
              </w:rPr>
              <w:t>Acts Amendment and Repeal (Financial Sector Reform) Act 1999</w:t>
            </w:r>
            <w:r>
              <w:rPr>
                <w:sz w:val="19"/>
              </w:rPr>
              <w:t xml:space="preserve"> s. 100</w:t>
            </w:r>
          </w:p>
        </w:tc>
        <w:tc>
          <w:tcPr>
            <w:tcW w:w="1138"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73" w:type="dxa"/>
          </w:tcPr>
          <w:p>
            <w:pPr>
              <w:pStyle w:val="nTable"/>
              <w:spacing w:after="40"/>
              <w:rPr>
                <w:i/>
                <w:sz w:val="19"/>
              </w:rPr>
            </w:pPr>
            <w:r>
              <w:rPr>
                <w:i/>
                <w:sz w:val="19"/>
              </w:rPr>
              <w:t>Corporations (Consequential Amendments) Act 2001</w:t>
            </w:r>
            <w:r>
              <w:rPr>
                <w:sz w:val="19"/>
              </w:rPr>
              <w:t xml:space="preserve"> s. 220</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3"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8" w:type="dxa"/>
          </w:tcPr>
          <w:p>
            <w:pPr>
              <w:pStyle w:val="nTable"/>
              <w:spacing w:after="40"/>
              <w:rPr>
                <w:sz w:val="19"/>
              </w:rPr>
            </w:pPr>
            <w:r>
              <w:rPr>
                <w:sz w:val="19"/>
              </w:rPr>
              <w:t>45 of 2002</w:t>
            </w:r>
          </w:p>
        </w:tc>
        <w:tc>
          <w:tcPr>
            <w:tcW w:w="1135"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73" w:type="dxa"/>
          </w:tcPr>
          <w:p>
            <w:pPr>
              <w:pStyle w:val="nTable"/>
              <w:spacing w:after="40"/>
              <w:rPr>
                <w:sz w:val="19"/>
              </w:rPr>
            </w:pPr>
            <w:r>
              <w:rPr>
                <w:i/>
                <w:sz w:val="19"/>
              </w:rPr>
              <w:t>Acts Amendment and Repeal (Courts and Legal Practice) Act 2003</w:t>
            </w:r>
            <w:r>
              <w:rPr>
                <w:sz w:val="19"/>
              </w:rPr>
              <w:t xml:space="preserve"> s. 61</w:t>
            </w:r>
          </w:p>
        </w:tc>
        <w:tc>
          <w:tcPr>
            <w:tcW w:w="1138"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3"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8"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98"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8"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w:t>
            </w:r>
          </w:p>
        </w:tc>
      </w:tr>
      <w:tr>
        <w:tc>
          <w:tcPr>
            <w:tcW w:w="2273"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8"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iCs/>
                <w:snapToGrid w:val="0"/>
                <w:sz w:val="19"/>
                <w:lang w:val="en-US"/>
              </w:rPr>
            </w:pPr>
            <w:r>
              <w:rPr>
                <w:i/>
                <w:snapToGrid w:val="0"/>
                <w:sz w:val="19"/>
                <w:lang w:val="en-US"/>
              </w:rPr>
              <w:t>Residential Parks (Long</w:t>
            </w:r>
            <w:r>
              <w:rPr>
                <w:i/>
                <w:snapToGrid w:val="0"/>
                <w:sz w:val="19"/>
                <w:lang w:val="en-US"/>
              </w:rPr>
              <w:noBreakHyphen/>
              <w:t>stay Tenants) Act 2006</w:t>
            </w:r>
            <w:r>
              <w:rPr>
                <w:iCs/>
                <w:snapToGrid w:val="0"/>
                <w:sz w:val="19"/>
                <w:lang w:val="en-US"/>
              </w:rPr>
              <w:t xml:space="preserve"> s. 98</w:t>
            </w:r>
          </w:p>
        </w:tc>
        <w:tc>
          <w:tcPr>
            <w:tcW w:w="1138" w:type="dxa"/>
          </w:tcPr>
          <w:p>
            <w:pPr>
              <w:pStyle w:val="nTable"/>
              <w:spacing w:after="40"/>
              <w:rPr>
                <w:snapToGrid w:val="0"/>
                <w:sz w:val="19"/>
                <w:lang w:val="en-US"/>
              </w:rPr>
            </w:pPr>
            <w:r>
              <w:rPr>
                <w:snapToGrid w:val="0"/>
                <w:sz w:val="19"/>
                <w:lang w:val="en-US"/>
              </w:rPr>
              <w:t>32 of 2006</w:t>
            </w:r>
          </w:p>
        </w:tc>
        <w:tc>
          <w:tcPr>
            <w:tcW w:w="1135" w:type="dxa"/>
          </w:tcPr>
          <w:p>
            <w:pPr>
              <w:pStyle w:val="nTable"/>
              <w:spacing w:after="40"/>
              <w:rPr>
                <w:sz w:val="19"/>
              </w:rPr>
            </w:pPr>
            <w:r>
              <w:rPr>
                <w:sz w:val="19"/>
              </w:rPr>
              <w:t>4 Jul 2006</w:t>
            </w:r>
          </w:p>
        </w:tc>
        <w:tc>
          <w:tcPr>
            <w:tcW w:w="2552" w:type="dxa"/>
          </w:tcPr>
          <w:p>
            <w:pPr>
              <w:pStyle w:val="nTable"/>
              <w:spacing w:after="40"/>
              <w:rPr>
                <w:snapToGrid w:val="0"/>
                <w:sz w:val="19"/>
                <w:lang w:val="en-US"/>
              </w:rPr>
            </w:pPr>
            <w:r>
              <w:rPr>
                <w:snapToGrid w:val="0"/>
                <w:sz w:val="19"/>
                <w:lang w:val="en-US"/>
              </w:rPr>
              <w:t xml:space="preserve">3 Aug 2007 (see r. 2 and </w:t>
            </w:r>
            <w:r>
              <w:rPr>
                <w:i/>
                <w:iCs/>
                <w:snapToGrid w:val="0"/>
                <w:sz w:val="19"/>
                <w:lang w:val="en-US"/>
              </w:rPr>
              <w:t>Gazette</w:t>
            </w:r>
            <w:r>
              <w:rPr>
                <w:snapToGrid w:val="0"/>
                <w:sz w:val="19"/>
                <w:lang w:val="en-US"/>
              </w:rPr>
              <w:t xml:space="preserve"> 1 Aug 2007 p. 3835)</w:t>
            </w:r>
          </w:p>
        </w:tc>
      </w:tr>
      <w:tr>
        <w:tc>
          <w:tcPr>
            <w:tcW w:w="2273" w:type="dxa"/>
          </w:tcPr>
          <w:p>
            <w:pPr>
              <w:pStyle w:val="nTable"/>
              <w:spacing w:after="40"/>
              <w:rPr>
                <w:i/>
                <w:snapToGrid w:val="0"/>
                <w:sz w:val="19"/>
                <w:lang w:val="en-US"/>
              </w:rPr>
            </w:pPr>
            <w:r>
              <w:rPr>
                <w:i/>
                <w:snapToGrid w:val="0"/>
                <w:sz w:val="19"/>
                <w:lang w:val="en-US"/>
              </w:rPr>
              <w:t>Consumer Protection Legislation Amendment and Repeal Act 2006</w:t>
            </w:r>
            <w:r>
              <w:rPr>
                <w:iCs/>
                <w:snapToGrid w:val="0"/>
                <w:sz w:val="19"/>
                <w:lang w:val="en-US"/>
              </w:rPr>
              <w:t xml:space="preserve"> Pt. 9</w:t>
            </w:r>
          </w:p>
        </w:tc>
        <w:tc>
          <w:tcPr>
            <w:tcW w:w="1138" w:type="dxa"/>
          </w:tcPr>
          <w:p>
            <w:pPr>
              <w:pStyle w:val="nTable"/>
              <w:spacing w:after="40"/>
              <w:rPr>
                <w:snapToGrid w:val="0"/>
                <w:sz w:val="19"/>
                <w:lang w:val="en-US"/>
              </w:rPr>
            </w:pPr>
            <w:r>
              <w:rPr>
                <w:snapToGrid w:val="0"/>
                <w:sz w:val="19"/>
                <w:lang w:val="en-US"/>
              </w:rPr>
              <w:t>69 of 2006</w:t>
            </w:r>
          </w:p>
        </w:tc>
        <w:tc>
          <w:tcPr>
            <w:tcW w:w="1135"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8" w:type="dxa"/>
            <w:gridSpan w:val="4"/>
          </w:tcPr>
          <w:p>
            <w:pPr>
              <w:pStyle w:val="nTable"/>
              <w:spacing w:after="40"/>
              <w:rPr>
                <w:snapToGrid w:val="0"/>
                <w:sz w:val="19"/>
                <w:lang w:val="en-US"/>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w:t>
            </w:r>
          </w:p>
        </w:tc>
      </w:tr>
      <w:tr>
        <w:tc>
          <w:tcPr>
            <w:tcW w:w="2273"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698</w:t>
            </w:r>
          </w:p>
        </w:tc>
        <w:tc>
          <w:tcPr>
            <w:tcW w:w="1138" w:type="dxa"/>
          </w:tcPr>
          <w:p>
            <w:pPr>
              <w:pStyle w:val="nTable"/>
              <w:spacing w:after="40"/>
              <w:rPr>
                <w:snapToGrid w:val="0"/>
                <w:sz w:val="19"/>
                <w:lang w:val="en-US"/>
              </w:rPr>
            </w:pPr>
            <w:r>
              <w:rPr>
                <w:snapToGrid w:val="0"/>
                <w:sz w:val="19"/>
                <w:lang w:val="en-US"/>
              </w:rPr>
              <w:t>21 of 2008</w:t>
            </w:r>
          </w:p>
        </w:tc>
        <w:tc>
          <w:tcPr>
            <w:tcW w:w="1135" w:type="dxa"/>
          </w:tcPr>
          <w:p>
            <w:pPr>
              <w:pStyle w:val="nTable"/>
              <w:spacing w:after="40"/>
              <w:rPr>
                <w:sz w:val="19"/>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29</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3" w:type="dxa"/>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189</w:t>
            </w:r>
          </w:p>
        </w:tc>
        <w:tc>
          <w:tcPr>
            <w:tcW w:w="1138" w:type="dxa"/>
          </w:tcPr>
          <w:p>
            <w:pPr>
              <w:pStyle w:val="nTable"/>
              <w:spacing w:after="40"/>
              <w:rPr>
                <w:snapToGrid w:val="0"/>
                <w:sz w:val="19"/>
                <w:lang w:val="en-US"/>
              </w:rPr>
            </w:pPr>
            <w:r>
              <w:rPr>
                <w:sz w:val="19"/>
              </w:rPr>
              <w:t>58 of 2010</w:t>
            </w:r>
          </w:p>
        </w:tc>
        <w:tc>
          <w:tcPr>
            <w:tcW w:w="1135" w:type="dxa"/>
          </w:tcPr>
          <w:p>
            <w:pPr>
              <w:pStyle w:val="nTable"/>
              <w:spacing w:after="40"/>
              <w:rPr>
                <w:snapToGrid w:val="0"/>
                <w:sz w:val="19"/>
                <w:lang w:val="en-US"/>
              </w:rPr>
            </w:pPr>
            <w:r>
              <w:rPr>
                <w:sz w:val="19"/>
              </w:rPr>
              <w:t>8 Dec 2010</w:t>
            </w:r>
          </w:p>
        </w:tc>
        <w:tc>
          <w:tcPr>
            <w:tcW w:w="2552" w:type="dxa"/>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cantSplit/>
        </w:trPr>
        <w:tc>
          <w:tcPr>
            <w:tcW w:w="2273" w:type="dxa"/>
            <w:tcBorders>
              <w:bottom w:val="single" w:sz="4" w:space="0" w:color="auto"/>
            </w:tcBorders>
          </w:tcPr>
          <w:p>
            <w:pPr>
              <w:pStyle w:val="nTable"/>
              <w:spacing w:after="40"/>
              <w:ind w:right="113"/>
              <w:rPr>
                <w:rFonts w:ascii="Arial" w:hAnsi="Arial"/>
                <w:i/>
                <w:noProof/>
                <w:snapToGrid w:val="0"/>
                <w:sz w:val="19"/>
              </w:rPr>
            </w:pPr>
            <w:r>
              <w:rPr>
                <w:i/>
                <w:snapToGrid w:val="0"/>
                <w:sz w:val="19"/>
                <w:lang w:val="en-US"/>
              </w:rPr>
              <w:t xml:space="preserve">Residential Tenancies Amendment Act 2011 </w:t>
            </w:r>
          </w:p>
        </w:tc>
        <w:tc>
          <w:tcPr>
            <w:tcW w:w="1138" w:type="dxa"/>
            <w:tcBorders>
              <w:bottom w:val="single" w:sz="4" w:space="0" w:color="auto"/>
            </w:tcBorders>
          </w:tcPr>
          <w:p>
            <w:pPr>
              <w:pStyle w:val="nTable"/>
              <w:spacing w:after="40"/>
              <w:rPr>
                <w:sz w:val="19"/>
              </w:rPr>
            </w:pPr>
            <w:r>
              <w:rPr>
                <w:snapToGrid w:val="0"/>
                <w:sz w:val="19"/>
                <w:lang w:val="en-US"/>
              </w:rPr>
              <w:t>60 of 2011</w:t>
            </w:r>
          </w:p>
        </w:tc>
        <w:tc>
          <w:tcPr>
            <w:tcW w:w="1135" w:type="dxa"/>
            <w:tcBorders>
              <w:bottom w:val="single" w:sz="4" w:space="0" w:color="auto"/>
            </w:tcBorders>
          </w:tcPr>
          <w:p>
            <w:pPr>
              <w:pStyle w:val="nTable"/>
              <w:spacing w:after="40"/>
              <w:rPr>
                <w:sz w:val="19"/>
              </w:rPr>
            </w:pPr>
            <w:r>
              <w:rPr>
                <w:sz w:val="19"/>
              </w:rPr>
              <w:t>14 Dec 2011</w:t>
            </w:r>
          </w:p>
        </w:tc>
        <w:tc>
          <w:tcPr>
            <w:tcW w:w="2552" w:type="dxa"/>
            <w:tcBorders>
              <w:bottom w:val="single" w:sz="4" w:space="0" w:color="auto"/>
            </w:tcBorders>
          </w:tcPr>
          <w:p>
            <w:pPr>
              <w:pStyle w:val="nTable"/>
              <w:spacing w:after="40"/>
              <w:rPr>
                <w:rFonts w:ascii="Arial" w:hAnsi="Arial"/>
                <w:sz w:val="19"/>
              </w:rPr>
            </w:pPr>
            <w:r>
              <w:rPr>
                <w:snapToGrid w:val="0"/>
                <w:sz w:val="19"/>
                <w:lang w:val="en-US"/>
              </w:rPr>
              <w:t xml:space="preserve">s. 5(2) </w:t>
            </w:r>
            <w:r>
              <w:rPr>
                <w:sz w:val="19"/>
              </w:rPr>
              <w:t>(to the extent that it inserts the definition of lessor)</w:t>
            </w:r>
            <w:r>
              <w:rPr>
                <w:snapToGrid w:val="0"/>
                <w:sz w:val="19"/>
                <w:lang w:val="en-US"/>
              </w:rPr>
              <w:t xml:space="preserve">, 42(1) and (2), 45(1), 57, 58, 60, 69, 88, 89 </w:t>
            </w:r>
            <w:r>
              <w:rPr>
                <w:sz w:val="19"/>
              </w:rPr>
              <w:t>(to the extent that it amends s. 71) and 90</w:t>
            </w:r>
            <w:r>
              <w:rPr>
                <w:sz w:val="19"/>
              </w:rPr>
              <w:noBreakHyphen/>
              <w:t xml:space="preserve">95: 30 Jul 2012 (see s. 2(b) and </w:t>
            </w:r>
            <w:r>
              <w:rPr>
                <w:i/>
                <w:sz w:val="19"/>
              </w:rPr>
              <w:t>Gazette</w:t>
            </w:r>
            <w:r>
              <w:rPr>
                <w:sz w:val="19"/>
              </w:rPr>
              <w:t xml:space="preserve"> 27 Jul 2012 p. 3663);</w:t>
            </w:r>
            <w:r>
              <w:rPr>
                <w:sz w:val="19"/>
              </w:rPr>
              <w:br/>
            </w:r>
            <w:r>
              <w:rPr>
                <w:snapToGrid w:val="0"/>
                <w:sz w:val="19"/>
                <w:lang w:val="en-US"/>
              </w:rPr>
              <w:t>s. 3-5 (except to the extent that it inserts the definition of lessor), 6-41, 42(3), 43-44, 45(2), 46-56, 59, 61-68, 70</w:t>
            </w:r>
            <w:r>
              <w:rPr>
                <w:snapToGrid w:val="0"/>
                <w:sz w:val="19"/>
                <w:lang w:val="en-US"/>
              </w:rPr>
              <w:noBreakHyphen/>
              <w:t xml:space="preserve">87, 89 (except to the extent that it amends s. 71) and Pt. 4 (s. 96): 1 Jul 2013 (see s. 2(b) and </w:t>
            </w:r>
            <w:r>
              <w:rPr>
                <w:i/>
                <w:snapToGrid w:val="0"/>
                <w:sz w:val="19"/>
                <w:lang w:val="en-US"/>
              </w:rPr>
              <w:t>Gazette</w:t>
            </w:r>
            <w:r>
              <w:rPr>
                <w:snapToGrid w:val="0"/>
                <w:sz w:val="19"/>
                <w:lang w:val="en-US"/>
              </w:rPr>
              <w:t xml:space="preserve"> 3 May 2013 p. 1735)</w:t>
            </w:r>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bookmarkStart w:id="1147" w:name="_Hlt529933443"/>
      <w:bookmarkStart w:id="1148" w:name="_Hlt529932130"/>
      <w:bookmarkStart w:id="1149" w:name="_Hlt523729657"/>
      <w:bookmarkStart w:id="1150" w:name="_Hlt523729676"/>
      <w:bookmarkStart w:id="1151" w:name="_Hlt523729726"/>
      <w:bookmarkEnd w:id="1147"/>
      <w:bookmarkEnd w:id="1148"/>
      <w:bookmarkEnd w:id="1149"/>
      <w:bookmarkEnd w:id="1150"/>
      <w:bookmarkEnd w:id="1151"/>
      <w:r>
        <w:rPr>
          <w:vertAlign w:val="superscript"/>
        </w:rPr>
        <w:t>7</w:t>
      </w:r>
      <w:r>
        <w:tab/>
        <w:t xml:space="preserve">The </w:t>
      </w:r>
      <w:r>
        <w:rPr>
          <w:i/>
        </w:rPr>
        <w:t>Machinery of Government (Miscellaneous Amendments) Act 2006</w:t>
      </w:r>
      <w:r>
        <w:t xml:space="preserve"> Pt. 4 Div. 23 (other than s. 151) (as amended by </w:t>
      </w:r>
      <w:r>
        <w:rPr>
          <w:i/>
          <w:iCs/>
        </w:rPr>
        <w:t>Acts Amendment (Fair Trading) Act 2010</w:t>
      </w:r>
      <w:r>
        <w:t xml:space="preserve"> s. 184) reads as follows:</w:t>
      </w:r>
    </w:p>
    <w:p>
      <w:pPr>
        <w:pStyle w:val="BlankOpen"/>
      </w:pPr>
    </w:p>
    <w:p>
      <w:pPr>
        <w:pStyle w:val="nzHeading3"/>
      </w:pPr>
      <w:r>
        <w:rPr>
          <w:rStyle w:val="CharDivNo"/>
        </w:rPr>
        <w:t>Division 23</w:t>
      </w:r>
      <w:r>
        <w:t> — </w:t>
      </w:r>
      <w:r>
        <w:rPr>
          <w:rStyle w:val="CharDivText"/>
        </w:rPr>
        <w:t>Transitional provisions</w:t>
      </w:r>
    </w:p>
    <w:p>
      <w:pPr>
        <w:pStyle w:val="nEdnotesection"/>
        <w:tabs>
          <w:tab w:val="clear" w:pos="893"/>
          <w:tab w:val="left" w:pos="600"/>
        </w:tabs>
      </w:pPr>
      <w:r>
        <w:tab/>
        <w:t>[</w:t>
      </w:r>
      <w:r>
        <w:rPr>
          <w:b/>
          <w:bCs/>
        </w:rPr>
        <w:t>151.</w:t>
      </w:r>
      <w:r>
        <w:tab/>
        <w:t>Deleted by No. 58 of 2010 s. 184.]</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1152" w:name="_Toc360457626"/>
      <w:r>
        <w:rPr>
          <w:sz w:val="28"/>
        </w:rPr>
        <w:t>Defined terms</w:t>
      </w:r>
      <w:bookmarkEnd w:id="11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53" w:name="DefinedTerms"/>
      <w:bookmarkEnd w:id="1153"/>
      <w:r>
        <w:t>AFI</w:t>
      </w:r>
      <w:r>
        <w:tab/>
        <w:t>92</w:t>
      </w:r>
    </w:p>
    <w:p>
      <w:pPr>
        <w:pStyle w:val="DefinedTerms"/>
      </w:pPr>
      <w:r>
        <w:t>agent</w:t>
      </w:r>
      <w:r>
        <w:tab/>
        <w:t>22(6), 82A</w:t>
      </w:r>
    </w:p>
    <w:p>
      <w:pPr>
        <w:pStyle w:val="DefinedTerms"/>
      </w:pPr>
      <w:r>
        <w:t>agreement</w:t>
      </w:r>
      <w:r>
        <w:tab/>
        <w:t>70A(1), 71D(1), 72(1A)</w:t>
      </w:r>
    </w:p>
    <w:p>
      <w:pPr>
        <w:pStyle w:val="DefinedTerms"/>
      </w:pPr>
      <w:r>
        <w:t>applicant</w:t>
      </w:r>
      <w:r>
        <w:tab/>
        <w:t>82C(1), 82D(1)</w:t>
      </w:r>
    </w:p>
    <w:p>
      <w:pPr>
        <w:pStyle w:val="DefinedTerms"/>
      </w:pPr>
      <w:r>
        <w:t>authorised agent</w:t>
      </w:r>
      <w:r>
        <w:tab/>
        <w:t>Sch. 1, cl. 1</w:t>
      </w:r>
    </w:p>
    <w:p>
      <w:pPr>
        <w:pStyle w:val="DefinedTerms"/>
      </w:pPr>
      <w:r>
        <w:t>authorised financial institution</w:t>
      </w:r>
      <w:r>
        <w:tab/>
        <w:t>92</w:t>
      </w:r>
    </w:p>
    <w:p>
      <w:pPr>
        <w:pStyle w:val="DefinedTerms"/>
      </w:pPr>
      <w:r>
        <w:t>authorised person</w:t>
      </w:r>
      <w:r>
        <w:tab/>
        <w:t>88A(1)</w:t>
      </w:r>
    </w:p>
    <w:p>
      <w:pPr>
        <w:pStyle w:val="DefinedTerms"/>
      </w:pPr>
      <w:r>
        <w:t xml:space="preserve">bond </w:t>
      </w:r>
      <w:r>
        <w:tab/>
        <w:t>3</w:t>
      </w:r>
    </w:p>
    <w:p>
      <w:pPr>
        <w:pStyle w:val="DefinedTerms"/>
      </w:pPr>
      <w:r>
        <w:t>bond administrator</w:t>
      </w:r>
      <w:r>
        <w:tab/>
        <w:t>3</w:t>
      </w:r>
    </w:p>
    <w:p>
      <w:pPr>
        <w:pStyle w:val="DefinedTerms"/>
      </w:pPr>
      <w:r>
        <w:t>commencement day</w:t>
      </w:r>
      <w:r>
        <w:tab/>
        <w:t>91(1), 92, 97(1)</w:t>
      </w:r>
    </w:p>
    <w:p>
      <w:pPr>
        <w:pStyle w:val="DefinedTerms"/>
      </w:pPr>
      <w:r>
        <w:t>Commissioner</w:t>
      </w:r>
      <w:r>
        <w:tab/>
        <w:t>3</w:t>
      </w:r>
    </w:p>
    <w:p>
      <w:pPr>
        <w:pStyle w:val="DefinedTerms"/>
      </w:pPr>
      <w:r>
        <w:t>competent court</w:t>
      </w:r>
      <w:r>
        <w:tab/>
        <w:t>3</w:t>
      </w:r>
    </w:p>
    <w:p>
      <w:pPr>
        <w:pStyle w:val="DefinedTerms"/>
      </w:pPr>
      <w:r>
        <w:t>criteria</w:t>
      </w:r>
      <w:r>
        <w:tab/>
        <w:t>71A</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executive officer</w:t>
      </w:r>
      <w:r>
        <w:tab/>
        <w:t>7A(3)</w:t>
      </w:r>
    </w:p>
    <w:p>
      <w:pPr>
        <w:pStyle w:val="DefinedTerms"/>
      </w:pPr>
      <w:r>
        <w:t>existing agreement</w:t>
      </w:r>
      <w:r>
        <w:tab/>
        <w:t>71H</w:t>
      </w:r>
    </w:p>
    <w:p>
      <w:pPr>
        <w:pStyle w:val="DefinedTerms"/>
      </w:pPr>
      <w:r>
        <w:t>expiry day</w:t>
      </w:r>
      <w:r>
        <w:tab/>
        <w:t>3</w:t>
      </w:r>
    </w:p>
    <w:p>
      <w:pPr>
        <w:pStyle w:val="DefinedTerms"/>
      </w:pPr>
      <w:r>
        <w:t>first tenant</w:t>
      </w:r>
      <w:r>
        <w:tab/>
        <w:t>17A(1)</w:t>
      </w:r>
    </w:p>
    <w:p>
      <w:pPr>
        <w:pStyle w:val="DefinedTerms"/>
      </w:pPr>
      <w:r>
        <w:t>former agreement</w:t>
      </w:r>
      <w:r>
        <w:tab/>
        <w:t>31B</w:t>
      </w:r>
    </w:p>
    <w:p>
      <w:pPr>
        <w:pStyle w:val="DefinedTerms"/>
      </w:pPr>
      <w:r>
        <w:t>goods</w:t>
      </w:r>
      <w:r>
        <w:tab/>
        <w:t>79(1A)</w:t>
      </w:r>
    </w:p>
    <w:p>
      <w:pPr>
        <w:pStyle w:val="DefinedTerms"/>
      </w:pPr>
      <w:r>
        <w:t>GST</w:t>
      </w:r>
      <w:r>
        <w:tab/>
        <w:t>49A(1)</w:t>
      </w:r>
    </w:p>
    <w:p>
      <w:pPr>
        <w:pStyle w:val="DefinedTerms"/>
      </w:pPr>
      <w:r>
        <w:t>Housing Authority</w:t>
      </w:r>
      <w:r>
        <w:tab/>
        <w:t>71A</w:t>
      </w:r>
    </w:p>
    <w:p>
      <w:pPr>
        <w:pStyle w:val="DefinedTerms"/>
      </w:pPr>
      <w:r>
        <w:t>inaccurate</w:t>
      </w:r>
      <w:r>
        <w:tab/>
        <w:t>82A</w:t>
      </w:r>
    </w:p>
    <w:p>
      <w:pPr>
        <w:pStyle w:val="DefinedTerms"/>
      </w:pPr>
      <w:r>
        <w:t>information</w:t>
      </w:r>
      <w:r>
        <w:tab/>
        <w:t>11A(3)</w:t>
      </w:r>
    </w:p>
    <w:p>
      <w:pPr>
        <w:pStyle w:val="DefinedTerms"/>
      </w:pPr>
      <w:r>
        <w:t>legal practitioner</w:t>
      </w:r>
      <w:r>
        <w:tab/>
        <w:t>22(6)</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Minister for Housing</w:t>
      </w:r>
      <w:r>
        <w:tab/>
        <w:t>71A</w:t>
      </w:r>
    </w:p>
    <w:p>
      <w:pPr>
        <w:pStyle w:val="DefinedTerms"/>
      </w:pPr>
      <w:r>
        <w:t>minor</w:t>
      </w:r>
      <w:r>
        <w:tab/>
        <w:t>59A(1)</w:t>
      </w:r>
    </w:p>
    <w:p>
      <w:pPr>
        <w:pStyle w:val="DefinedTerms"/>
      </w:pPr>
      <w:r>
        <w:t>national privacy principles</w:t>
      </w:r>
      <w:r>
        <w:tab/>
        <w:t>82K(1)</w:t>
      </w:r>
    </w:p>
    <w:p>
      <w:pPr>
        <w:pStyle w:val="DefinedTerms"/>
      </w:pPr>
      <w:r>
        <w:t>new agreement</w:t>
      </w:r>
      <w:r>
        <w:tab/>
        <w:t>31B</w:t>
      </w:r>
    </w:p>
    <w:p>
      <w:pPr>
        <w:pStyle w:val="DefinedTerms"/>
      </w:pPr>
      <w:r>
        <w:t>notice</w:t>
      </w:r>
      <w:r>
        <w:tab/>
        <w:t>70A(1)</w:t>
      </w:r>
    </w:p>
    <w:p>
      <w:pPr>
        <w:pStyle w:val="DefinedTerms"/>
      </w:pPr>
      <w:r>
        <w:t>notice to vacate</w:t>
      </w:r>
      <w:r>
        <w:tab/>
        <w:t>81A(1)</w:t>
      </w:r>
    </w:p>
    <w:p>
      <w:pPr>
        <w:pStyle w:val="DefinedTerms"/>
      </w:pPr>
      <w:r>
        <w:t>out</w:t>
      </w:r>
      <w:r>
        <w:noBreakHyphen/>
        <w:t>of</w:t>
      </w:r>
      <w:r>
        <w:noBreakHyphen/>
        <w:t>date</w:t>
      </w:r>
      <w:r>
        <w:tab/>
        <w:t>82A</w:t>
      </w:r>
    </w:p>
    <w:p>
      <w:pPr>
        <w:pStyle w:val="DefinedTerms"/>
      </w:pPr>
      <w:r>
        <w:t>party</w:t>
      </w:r>
      <w:r>
        <w:tab/>
        <w:t>9(1A)</w:t>
      </w:r>
    </w:p>
    <w:p>
      <w:pPr>
        <w:pStyle w:val="DefinedTerms"/>
      </w:pPr>
      <w:r>
        <w:t>personal information</w:t>
      </w:r>
      <w:r>
        <w:tab/>
        <w:t>82A</w:t>
      </w:r>
    </w:p>
    <w:p>
      <w:pPr>
        <w:pStyle w:val="DefinedTerms"/>
      </w:pPr>
      <w:r>
        <w:t>pet</w:t>
      </w:r>
      <w:r>
        <w:tab/>
        <w:t>29(1A)</w:t>
      </w:r>
    </w:p>
    <w:p>
      <w:pPr>
        <w:pStyle w:val="DefinedTerms"/>
      </w:pPr>
      <w:r>
        <w:t>plaintiff</w:t>
      </w:r>
      <w:r>
        <w:tab/>
        <w:t>81B(1), 81(1)</w:t>
      </w:r>
    </w:p>
    <w:p>
      <w:pPr>
        <w:pStyle w:val="DefinedTerms"/>
      </w:pPr>
      <w:r>
        <w:t>possession day</w:t>
      </w:r>
      <w:r>
        <w:tab/>
        <w:t>70A(1), 72(1A)</w:t>
      </w:r>
    </w:p>
    <w:p>
      <w:pPr>
        <w:pStyle w:val="DefinedTerms"/>
      </w:pPr>
      <w:r>
        <w:t>premises</w:t>
      </w:r>
      <w:r>
        <w:tab/>
        <w:t>3, 38(2), 40(1), 42(1), 44(1), 46(1)</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proceedings</w:t>
      </w:r>
      <w:r>
        <w:tab/>
        <w:t>22(1A)</w:t>
      </w:r>
    </w:p>
    <w:p>
      <w:pPr>
        <w:pStyle w:val="DefinedTerms"/>
      </w:pPr>
      <w:r>
        <w:t>property manager</w:t>
      </w:r>
      <w:r>
        <w:tab/>
        <w:t>3</w:t>
      </w:r>
    </w:p>
    <w:p>
      <w:pPr>
        <w:pStyle w:val="DefinedTerms"/>
      </w:pPr>
      <w:r>
        <w:t>public utility services</w:t>
      </w:r>
      <w:r>
        <w:tab/>
        <w:t>49A(1)</w:t>
      </w:r>
    </w:p>
    <w:p>
      <w:pPr>
        <w:pStyle w:val="DefinedTerms"/>
      </w:pPr>
      <w:r>
        <w:t>reasonable grounds</w:t>
      </w:r>
      <w:r>
        <w:tab/>
        <w:t>3</w:t>
      </w:r>
    </w:p>
    <w:p>
      <w:pPr>
        <w:pStyle w:val="DefinedTerms"/>
      </w:pPr>
      <w:r>
        <w:t>reasonable time</w:t>
      </w:r>
      <w:r>
        <w:tab/>
        <w:t>46(1)</w:t>
      </w:r>
    </w:p>
    <w:p>
      <w:pPr>
        <w:pStyle w:val="DefinedTerms"/>
      </w:pPr>
      <w:r>
        <w:t>rent</w:t>
      </w:r>
      <w:r>
        <w:tab/>
        <w:t>3</w:t>
      </w:r>
    </w:p>
    <w:p>
      <w:pPr>
        <w:pStyle w:val="DefinedTerms"/>
      </w:pPr>
      <w:r>
        <w:t>Rental Accommodation Account</w:t>
      </w:r>
      <w:r>
        <w:tab/>
        <w:t>3</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security bond</w:t>
      </w:r>
      <w:r>
        <w:tab/>
        <w:t>3, 29(1A)</w:t>
      </w:r>
    </w:p>
    <w:p>
      <w:pPr>
        <w:pStyle w:val="DefinedTerms"/>
      </w:pPr>
      <w:r>
        <w:t>security bond held in an AFI</w:t>
      </w:r>
      <w:r>
        <w:tab/>
        <w:t>92</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suitable repairer</w:t>
      </w:r>
      <w:r>
        <w:tab/>
        <w:t>43(1)</w:t>
      </w:r>
    </w:p>
    <w:p>
      <w:pPr>
        <w:pStyle w:val="DefinedTerms"/>
      </w:pPr>
      <w:r>
        <w:t>tenancy</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urgent repairs</w:t>
      </w:r>
      <w:r>
        <w:tab/>
        <w:t>43(1)</w:t>
      </w:r>
    </w:p>
    <w:p/>
    <w:p>
      <w:pPr>
        <w:sectPr>
          <w:headerReference w:type="even" r:id="rId32"/>
          <w:headerReference w:type="default" r:id="rId33"/>
          <w:footerReference w:type="even" r:id="rId34"/>
          <w:footerReference w:type="default" r:id="rId35"/>
          <w:headerReference w:type="first" r:id="rId36"/>
          <w:foot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Security bonds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Security bonds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6E606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912F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33"/>
  </w:num>
  <w:num w:numId="26">
    <w:abstractNumId w:val="13"/>
  </w:num>
  <w:num w:numId="27">
    <w:abstractNumId w:val="14"/>
  </w:num>
  <w:num w:numId="2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zTable">
    <w:name w:val="zTable"/>
    <w:basedOn w:val="Normal"/>
    <w:pPr>
      <w:shd w:val="clear" w:color="808080" w:fill="auto"/>
    </w:pPr>
  </w:style>
  <w:style w:type="paragraph" w:customStyle="1" w:styleId="a">
    <w:name w:val="*"/>
    <w:rPr>
      <w:lang w:eastAsia="en-US"/>
    </w:rPr>
  </w:style>
  <w:style w:type="paragraph" w:customStyle="1" w:styleId="-PAGE-">
    <w:name w:val="- PAGE -"/>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zTable">
    <w:name w:val="zTable"/>
    <w:basedOn w:val="Normal"/>
    <w:pPr>
      <w:shd w:val="clear" w:color="808080" w:fill="auto"/>
    </w:pPr>
  </w:style>
  <w:style w:type="paragraph" w:customStyle="1" w:styleId="a">
    <w:name w:val="*"/>
    <w:rPr>
      <w:lang w:eastAsia="en-US"/>
    </w:rPr>
  </w:style>
  <w:style w:type="paragraph" w:customStyle="1" w:styleId="-PAGE-">
    <w:name w:val="- PAGE -"/>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10.xml"/><Relationship Id="rId42"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12.xml"/><Relationship Id="rId40" Type="http://schemas.openxmlformats.org/officeDocument/2006/relationships/footer" Target="footer13.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1.xml"/><Relationship Id="rId43" Type="http://schemas.openxmlformats.org/officeDocument/2006/relationships/footer" Target="foot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48CDA-DA4C-4BE8-B108-F87A7BE70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145</Pages>
  <Words>37755</Words>
  <Characters>177076</Characters>
  <Application>Microsoft Office Word</Application>
  <DocSecurity>0</DocSecurity>
  <Lines>4659</Lines>
  <Paragraphs>2557</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212274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1987 - 04-k0-03</dc:title>
  <dc:subject/>
  <dc:creator/>
  <cp:keywords/>
  <dc:description/>
  <cp:lastModifiedBy>svcMRProcess</cp:lastModifiedBy>
  <cp:revision>4</cp:revision>
  <cp:lastPrinted>2013-06-26T08:12:00Z</cp:lastPrinted>
  <dcterms:created xsi:type="dcterms:W3CDTF">2018-09-07T22:26:00Z</dcterms:created>
  <dcterms:modified xsi:type="dcterms:W3CDTF">2018-09-07T22:26:00Z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20130701</vt:lpwstr>
  </property>
  <property fmtid="{D5CDD505-2E9C-101B-9397-08002B2CF9AE}" pid="4" name="DocumentType">
    <vt:lpwstr>Act</vt:lpwstr>
  </property>
  <property fmtid="{D5CDD505-2E9C-101B-9397-08002B2CF9AE}" pid="5" name="OwlsUID">
    <vt:i4>693</vt:i4>
  </property>
  <property fmtid="{D5CDD505-2E9C-101B-9397-08002B2CF9AE}" pid="6" name="ReprintNo">
    <vt:lpwstr>4</vt:lpwstr>
  </property>
  <property fmtid="{D5CDD505-2E9C-101B-9397-08002B2CF9AE}" pid="7" name="AsAtDate">
    <vt:lpwstr>01 Jul 2013</vt:lpwstr>
  </property>
  <property fmtid="{D5CDD505-2E9C-101B-9397-08002B2CF9AE}" pid="8" name="Suffix">
    <vt:lpwstr>04-k0-03</vt:lpwstr>
  </property>
</Properties>
</file>