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Hospitals and Health Services Act 1927</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Fremantle Hospital By-laws 1992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_Toc378254164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_Toc378254165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_Toc378254166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rPr>
          <w:snapToGrid w:val="0"/>
        </w:rPr>
        <w:t>.</w:t>
      </w:r>
      <w:r>
        <w:rPr>
          <w:snapToGrid w:val="0"/>
        </w:rPr>
        <w:tab/>
        <w:t>No entry without cause</w:t>
      </w:r>
      <w:r>
        <w:tab/>
      </w:r>
      <w:r>
        <w:fldChar w:fldCharType="begin"/>
      </w:r>
      <w:r>
        <w:instrText xml:space="preserve"> PAGEREF _Toc378254168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Directions as to use of certain areas</w:t>
      </w:r>
      <w:r>
        <w:tab/>
      </w:r>
      <w:r>
        <w:fldChar w:fldCharType="begin"/>
      </w:r>
      <w:r>
        <w:instrText xml:space="preserve"> PAGEREF _Toc378254169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Liquor</w:t>
      </w:r>
      <w:r>
        <w:tab/>
      </w:r>
      <w:r>
        <w:fldChar w:fldCharType="begin"/>
      </w:r>
      <w:r>
        <w:instrText xml:space="preserve"> PAGEREF _Toc378254170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_Toc378254171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Disorderly persons may be removed from site</w:t>
      </w:r>
      <w:r>
        <w:tab/>
      </w:r>
      <w:r>
        <w:fldChar w:fldCharType="begin"/>
      </w:r>
      <w:r>
        <w:instrText xml:space="preserve"> PAGEREF _Toc378254172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Driving and use of vehicles</w:t>
      </w:r>
    </w:p>
    <w:p>
      <w:pPr>
        <w:pStyle w:val="TOC8"/>
        <w:rPr>
          <w:rFonts w:asciiTheme="minorHAnsi" w:eastAsiaTheme="minorEastAsia" w:hAnsiTheme="minorHAnsi" w:cstheme="minorBidi"/>
          <w:szCs w:val="22"/>
        </w:rPr>
      </w:pPr>
      <w:r>
        <w:t>9</w:t>
      </w:r>
      <w:r>
        <w:rPr>
          <w:snapToGrid w:val="0"/>
        </w:rPr>
        <w:t>.</w:t>
      </w:r>
      <w:r>
        <w:rPr>
          <w:snapToGrid w:val="0"/>
        </w:rPr>
        <w:tab/>
        <w:t>Driving of vehicles</w:t>
      </w:r>
      <w:r>
        <w:tab/>
      </w:r>
      <w:r>
        <w:fldChar w:fldCharType="begin"/>
      </w:r>
      <w:r>
        <w:instrText xml:space="preserve"> PAGEREF _Toc378254175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Driver to obey reasonable direction</w:t>
      </w:r>
      <w:r>
        <w:tab/>
      </w:r>
      <w:r>
        <w:fldChar w:fldCharType="begin"/>
      </w:r>
      <w:r>
        <w:instrText xml:space="preserve"> PAGEREF _Toc378254176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Speed limits</w:t>
      </w:r>
      <w:r>
        <w:tab/>
      </w:r>
      <w:r>
        <w:fldChar w:fldCharType="begin"/>
      </w:r>
      <w:r>
        <w:instrText xml:space="preserve"> PAGEREF _Toc378254177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Giving way</w:t>
      </w:r>
      <w:r>
        <w:tab/>
      </w:r>
      <w:r>
        <w:fldChar w:fldCharType="begin"/>
      </w:r>
      <w:r>
        <w:instrText xml:space="preserve"> PAGEREF _Toc378254178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instruction or repairs on site</w:t>
      </w:r>
      <w:r>
        <w:tab/>
      </w:r>
      <w:r>
        <w:fldChar w:fldCharType="begin"/>
      </w:r>
      <w:r>
        <w:instrText xml:space="preserve"> PAGEREF _Toc378254179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14</w:t>
      </w:r>
      <w:r>
        <w:rPr>
          <w:snapToGrid w:val="0"/>
        </w:rPr>
        <w:t>.</w:t>
      </w:r>
      <w:r>
        <w:rPr>
          <w:snapToGrid w:val="0"/>
        </w:rPr>
        <w:tab/>
        <w:t>Parking to be in parking spaces only</w:t>
      </w:r>
      <w:r>
        <w:tab/>
      </w:r>
      <w:r>
        <w:fldChar w:fldCharType="begin"/>
      </w:r>
      <w:r>
        <w:instrText xml:space="preserve"> PAGEREF _Toc378254181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Signs to be obeyed</w:t>
      </w:r>
      <w:r>
        <w:tab/>
      </w:r>
      <w:r>
        <w:fldChar w:fldCharType="begin"/>
      </w:r>
      <w:r>
        <w:instrText xml:space="preserve"> PAGEREF _Toc378254182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 in parking spaces</w:t>
      </w:r>
      <w:r>
        <w:tab/>
      </w:r>
      <w:r>
        <w:fldChar w:fldCharType="begin"/>
      </w:r>
      <w:r>
        <w:instrText xml:space="preserve"> PAGEREF _Toc378254183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Permit</w:t>
      </w:r>
      <w:r>
        <w:tab/>
      </w:r>
      <w:r>
        <w:fldChar w:fldCharType="begin"/>
      </w:r>
      <w:r>
        <w:instrText xml:space="preserve"> PAGEREF _Toc378254184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Refund of permit fees</w:t>
      </w:r>
      <w:r>
        <w:tab/>
      </w:r>
      <w:r>
        <w:fldChar w:fldCharType="begin"/>
      </w:r>
      <w:r>
        <w:instrText xml:space="preserve"> PAGEREF _Toc378254185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_Toc378254187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Infringement notices</w:t>
      </w:r>
      <w:r>
        <w:tab/>
      </w:r>
      <w:r>
        <w:fldChar w:fldCharType="begin"/>
      </w:r>
      <w:r>
        <w:instrText xml:space="preserve"> PAGEREF _Toc378254188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infringement notice</w:t>
      </w:r>
      <w:r>
        <w:tab/>
      </w:r>
      <w:r>
        <w:fldChar w:fldCharType="begin"/>
      </w:r>
      <w:r>
        <w:instrText xml:space="preserve"> PAGEREF _Toc378254189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Authorised person to have certificate</w:t>
      </w:r>
      <w:r>
        <w:tab/>
      </w:r>
      <w:r>
        <w:fldChar w:fldCharType="begin"/>
      </w:r>
      <w:r>
        <w:instrText xml:space="preserve"> PAGEREF _Toc378254190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persons only to endorse and alter infringement notices</w:t>
      </w:r>
      <w:r>
        <w:tab/>
      </w:r>
      <w:r>
        <w:fldChar w:fldCharType="begin"/>
      </w:r>
      <w:r>
        <w:instrText xml:space="preserve"> PAGEREF _Toc378254191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Restriction on removal of infringement notices</w:t>
      </w:r>
      <w:r>
        <w:tab/>
      </w:r>
      <w:r>
        <w:fldChar w:fldCharType="begin"/>
      </w:r>
      <w:r>
        <w:instrText xml:space="preserve"> PAGEREF _Toc378254192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rPr>
          <w:snapToGrid w:val="0"/>
        </w:rPr>
        <w:t>.</w:t>
      </w:r>
      <w:r>
        <w:rPr>
          <w:snapToGrid w:val="0"/>
        </w:rPr>
        <w:tab/>
        <w:t>Removal of vehicles</w:t>
      </w:r>
      <w:r>
        <w:tab/>
      </w:r>
      <w:r>
        <w:fldChar w:fldCharType="begin"/>
      </w:r>
      <w:r>
        <w:instrText xml:space="preserve"> PAGEREF _Toc378254194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Registered owner may be treated as being driver or person in charge of vehicle at time of offence</w:t>
      </w:r>
      <w:r>
        <w:tab/>
      </w:r>
      <w:r>
        <w:fldChar w:fldCharType="begin"/>
      </w:r>
      <w:r>
        <w:instrText xml:space="preserve"> PAGEREF _Toc378254195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Other offences</w:t>
      </w:r>
      <w:r>
        <w:tab/>
      </w:r>
      <w:r>
        <w:fldChar w:fldCharType="begin"/>
      </w:r>
      <w:r>
        <w:instrText xml:space="preserve"> PAGEREF _Toc378254196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_Toc378254200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 w:name="_Toc378254163"/>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8254164"/>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3" w:name="_Toc378254165"/>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4" w:name="_Toc378254166"/>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p>
    <w:p>
      <w:pPr>
        <w:pStyle w:val="Heading2"/>
      </w:pPr>
      <w:bookmarkStart w:id="5" w:name="_Toc378254167"/>
      <w:r>
        <w:rPr>
          <w:rStyle w:val="CharPartNo"/>
        </w:rPr>
        <w:t>Part 2</w:t>
      </w:r>
      <w:r>
        <w:rPr>
          <w:rStyle w:val="CharDivNo"/>
        </w:rPr>
        <w:t> </w:t>
      </w:r>
      <w:r>
        <w:t>—</w:t>
      </w:r>
      <w:r>
        <w:rPr>
          <w:rStyle w:val="CharDivText"/>
        </w:rPr>
        <w:t> </w:t>
      </w:r>
      <w:r>
        <w:rPr>
          <w:rStyle w:val="CharPartText"/>
        </w:rPr>
        <w:t>Trespass and order</w:t>
      </w:r>
      <w:bookmarkEnd w:id="5"/>
    </w:p>
    <w:p>
      <w:pPr>
        <w:pStyle w:val="Heading5"/>
        <w:rPr>
          <w:snapToGrid w:val="0"/>
        </w:rPr>
      </w:pPr>
      <w:bookmarkStart w:id="6" w:name="_Toc378254168"/>
      <w:r>
        <w:rPr>
          <w:rStyle w:val="CharSectno"/>
        </w:rPr>
        <w:t>4</w:t>
      </w:r>
      <w:r>
        <w:rPr>
          <w:snapToGrid w:val="0"/>
        </w:rPr>
        <w:t>.</w:t>
      </w:r>
      <w:r>
        <w:rPr>
          <w:snapToGrid w:val="0"/>
        </w:rPr>
        <w:tab/>
        <w:t>No entry without cause</w:t>
      </w:r>
      <w:bookmarkEnd w:id="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7" w:name="_Toc378254169"/>
      <w:r>
        <w:rPr>
          <w:rStyle w:val="CharSectno"/>
        </w:rPr>
        <w:t>5</w:t>
      </w:r>
      <w:r>
        <w:rPr>
          <w:snapToGrid w:val="0"/>
        </w:rPr>
        <w:t>.</w:t>
      </w:r>
      <w:r>
        <w:rPr>
          <w:snapToGrid w:val="0"/>
        </w:rPr>
        <w:tab/>
        <w:t>Directions as to use of certain areas</w:t>
      </w:r>
      <w:bookmarkEnd w:id="7"/>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Penalty: $50.</w:t>
      </w:r>
    </w:p>
    <w:p>
      <w:pPr>
        <w:pStyle w:val="Heading5"/>
        <w:rPr>
          <w:snapToGrid w:val="0"/>
        </w:rPr>
      </w:pPr>
      <w:bookmarkStart w:id="8" w:name="_Toc378254170"/>
      <w:r>
        <w:rPr>
          <w:rStyle w:val="CharSectno"/>
        </w:rPr>
        <w:t>6</w:t>
      </w:r>
      <w:r>
        <w:rPr>
          <w:snapToGrid w:val="0"/>
        </w:rPr>
        <w:t>.</w:t>
      </w:r>
      <w:r>
        <w:rPr>
          <w:snapToGrid w:val="0"/>
        </w:rPr>
        <w:tab/>
        <w:t>Liquor</w:t>
      </w:r>
      <w:bookmarkEnd w:id="8"/>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9" w:name="_Toc378254171"/>
      <w:r>
        <w:rPr>
          <w:rStyle w:val="CharSectno"/>
        </w:rPr>
        <w:t>7</w:t>
      </w:r>
      <w:r>
        <w:t>.</w:t>
      </w:r>
      <w:r>
        <w:tab/>
        <w:t>Smoking</w:t>
      </w:r>
      <w:bookmarkEnd w:id="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10" w:name="_Toc378254172"/>
      <w:r>
        <w:rPr>
          <w:rStyle w:val="CharSectno"/>
        </w:rPr>
        <w:t>8</w:t>
      </w:r>
      <w:r>
        <w:rPr>
          <w:snapToGrid w:val="0"/>
        </w:rPr>
        <w:t>.</w:t>
      </w:r>
      <w:r>
        <w:rPr>
          <w:snapToGrid w:val="0"/>
        </w:rPr>
        <w:tab/>
        <w:t>Disorderly persons may be removed from site</w:t>
      </w:r>
      <w:bookmarkEnd w:id="1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1" w:name="_Toc378254173"/>
      <w:r>
        <w:rPr>
          <w:rStyle w:val="CharPartNo"/>
        </w:rPr>
        <w:t>Part 3</w:t>
      </w:r>
      <w:r>
        <w:t> — </w:t>
      </w:r>
      <w:r>
        <w:rPr>
          <w:rStyle w:val="CharPartText"/>
        </w:rPr>
        <w:t>Traffic control</w:t>
      </w:r>
      <w:bookmarkEnd w:id="11"/>
    </w:p>
    <w:p>
      <w:pPr>
        <w:pStyle w:val="Heading3"/>
      </w:pPr>
      <w:bookmarkStart w:id="12" w:name="_Toc378254174"/>
      <w:r>
        <w:rPr>
          <w:rStyle w:val="CharDivNo"/>
        </w:rPr>
        <w:t>Division 1</w:t>
      </w:r>
      <w:r>
        <w:rPr>
          <w:snapToGrid w:val="0"/>
        </w:rPr>
        <w:t> — </w:t>
      </w:r>
      <w:r>
        <w:rPr>
          <w:rStyle w:val="CharDivText"/>
        </w:rPr>
        <w:t>Driving and use of vehicles</w:t>
      </w:r>
      <w:bookmarkEnd w:id="12"/>
    </w:p>
    <w:p>
      <w:pPr>
        <w:pStyle w:val="Heading5"/>
        <w:rPr>
          <w:snapToGrid w:val="0"/>
        </w:rPr>
      </w:pPr>
      <w:bookmarkStart w:id="13" w:name="_Toc378254175"/>
      <w:r>
        <w:rPr>
          <w:rStyle w:val="CharSectno"/>
        </w:rPr>
        <w:t>9</w:t>
      </w:r>
      <w:r>
        <w:rPr>
          <w:snapToGrid w:val="0"/>
        </w:rPr>
        <w:t>.</w:t>
      </w:r>
      <w:r>
        <w:rPr>
          <w:snapToGrid w:val="0"/>
        </w:rPr>
        <w:tab/>
        <w:t>Driving of vehicles</w:t>
      </w:r>
      <w:bookmarkEnd w:id="13"/>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14" w:name="_Toc378254176"/>
      <w:r>
        <w:rPr>
          <w:rStyle w:val="CharSectno"/>
        </w:rPr>
        <w:t>10</w:t>
      </w:r>
      <w:r>
        <w:rPr>
          <w:snapToGrid w:val="0"/>
        </w:rPr>
        <w:t>.</w:t>
      </w:r>
      <w:r>
        <w:rPr>
          <w:snapToGrid w:val="0"/>
        </w:rPr>
        <w:tab/>
        <w:t>Driver to obey reasonable direction</w:t>
      </w:r>
      <w:bookmarkEnd w:id="14"/>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15" w:name="_Toc378254177"/>
      <w:r>
        <w:rPr>
          <w:rStyle w:val="CharSectno"/>
        </w:rPr>
        <w:t>11</w:t>
      </w:r>
      <w:r>
        <w:rPr>
          <w:snapToGrid w:val="0"/>
        </w:rPr>
        <w:t>.</w:t>
      </w:r>
      <w:r>
        <w:rPr>
          <w:snapToGrid w:val="0"/>
        </w:rPr>
        <w:tab/>
        <w:t>Speed limits</w:t>
      </w:r>
      <w:bookmarkEnd w:id="15"/>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16" w:name="_Toc378254178"/>
      <w:r>
        <w:rPr>
          <w:rStyle w:val="CharSectno"/>
        </w:rPr>
        <w:t>12</w:t>
      </w:r>
      <w:r>
        <w:rPr>
          <w:snapToGrid w:val="0"/>
        </w:rPr>
        <w:t>.</w:t>
      </w:r>
      <w:r>
        <w:rPr>
          <w:snapToGrid w:val="0"/>
        </w:rPr>
        <w:tab/>
        <w:t>Giving way</w:t>
      </w:r>
      <w:bookmarkEnd w:id="16"/>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17" w:name="_Toc378254179"/>
      <w:r>
        <w:rPr>
          <w:rStyle w:val="CharSectno"/>
        </w:rPr>
        <w:t>13</w:t>
      </w:r>
      <w:r>
        <w:rPr>
          <w:snapToGrid w:val="0"/>
        </w:rPr>
        <w:t>.</w:t>
      </w:r>
      <w:r>
        <w:rPr>
          <w:snapToGrid w:val="0"/>
        </w:rPr>
        <w:tab/>
        <w:t>No instruction or repairs on site</w:t>
      </w:r>
      <w:bookmarkEnd w:id="1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8" w:name="_Toc378254180"/>
      <w:r>
        <w:rPr>
          <w:rStyle w:val="CharDivNo"/>
        </w:rPr>
        <w:t>Division 2</w:t>
      </w:r>
      <w:r>
        <w:rPr>
          <w:snapToGrid w:val="0"/>
        </w:rPr>
        <w:t> — </w:t>
      </w:r>
      <w:r>
        <w:rPr>
          <w:rStyle w:val="CharDivText"/>
        </w:rPr>
        <w:t>Parking</w:t>
      </w:r>
      <w:bookmarkEnd w:id="18"/>
    </w:p>
    <w:p>
      <w:pPr>
        <w:pStyle w:val="Heading5"/>
        <w:rPr>
          <w:snapToGrid w:val="0"/>
        </w:rPr>
      </w:pPr>
      <w:bookmarkStart w:id="19" w:name="_Toc378254181"/>
      <w:r>
        <w:rPr>
          <w:rStyle w:val="CharSectno"/>
        </w:rPr>
        <w:t>14</w:t>
      </w:r>
      <w:r>
        <w:rPr>
          <w:snapToGrid w:val="0"/>
        </w:rPr>
        <w:t>.</w:t>
      </w:r>
      <w:r>
        <w:rPr>
          <w:snapToGrid w:val="0"/>
        </w:rPr>
        <w:tab/>
        <w:t>Parking to be in parking spaces only</w:t>
      </w:r>
      <w:bookmarkEnd w:id="19"/>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0" w:name="_Toc378254182"/>
      <w:r>
        <w:rPr>
          <w:rStyle w:val="CharSectno"/>
        </w:rPr>
        <w:t>15</w:t>
      </w:r>
      <w:r>
        <w:rPr>
          <w:snapToGrid w:val="0"/>
        </w:rPr>
        <w:t>.</w:t>
      </w:r>
      <w:r>
        <w:rPr>
          <w:snapToGrid w:val="0"/>
        </w:rPr>
        <w:tab/>
        <w:t>Signs to be obeyed</w:t>
      </w:r>
      <w:bookmarkEnd w:id="20"/>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1" w:name="_Toc378254183"/>
      <w:r>
        <w:rPr>
          <w:rStyle w:val="CharSectno"/>
        </w:rPr>
        <w:t>16</w:t>
      </w:r>
      <w:r>
        <w:rPr>
          <w:snapToGrid w:val="0"/>
        </w:rPr>
        <w:t>.</w:t>
      </w:r>
      <w:r>
        <w:rPr>
          <w:snapToGrid w:val="0"/>
        </w:rPr>
        <w:tab/>
        <w:t>Parking in parking spaces</w:t>
      </w:r>
      <w:bookmarkEnd w:id="21"/>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p>
    <w:p>
      <w:pPr>
        <w:pStyle w:val="Heading5"/>
        <w:rPr>
          <w:snapToGrid w:val="0"/>
        </w:rPr>
      </w:pPr>
      <w:bookmarkStart w:id="22" w:name="_Toc378254184"/>
      <w:r>
        <w:rPr>
          <w:rStyle w:val="CharSectno"/>
        </w:rPr>
        <w:t>17</w:t>
      </w:r>
      <w:r>
        <w:rPr>
          <w:snapToGrid w:val="0"/>
        </w:rPr>
        <w:t>.</w:t>
      </w:r>
      <w:r>
        <w:rPr>
          <w:snapToGrid w:val="0"/>
        </w:rPr>
        <w:tab/>
        <w:t>Permit</w:t>
      </w:r>
      <w:bookmarkEnd w:id="22"/>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$3.50 for each day on which the permit holder is permitted to park a vehicle at Fremantle Hospital (up to a maximum of $17.50 per week).</w:t>
      </w:r>
    </w:p>
    <w:p>
      <w:pPr>
        <w:pStyle w:val="Subsection"/>
      </w:pPr>
      <w:r>
        <w:tab/>
        <w:t>(3B)</w:t>
      </w:r>
      <w:r>
        <w:tab/>
        <w:t xml:space="preserve">No fee is payable for a permit to park a vehicle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6 (disallowed in Gazette 18 Sep 2012 p. 4411); 28 Sep 2012 p. 4650-1; 28 Jun 2013 p. 2752.]</w:t>
      </w:r>
    </w:p>
    <w:p>
      <w:pPr>
        <w:pStyle w:val="Heading5"/>
        <w:rPr>
          <w:snapToGrid w:val="0"/>
        </w:rPr>
      </w:pPr>
      <w:bookmarkStart w:id="23" w:name="_Toc378254185"/>
      <w:r>
        <w:rPr>
          <w:rStyle w:val="CharSectno"/>
        </w:rPr>
        <w:t>18</w:t>
      </w:r>
      <w:r>
        <w:rPr>
          <w:snapToGrid w:val="0"/>
        </w:rPr>
        <w:t>.</w:t>
      </w:r>
      <w:r>
        <w:rPr>
          <w:snapToGrid w:val="0"/>
        </w:rPr>
        <w:tab/>
        <w:t>Refund of permit fees</w:t>
      </w:r>
      <w:bookmarkEnd w:id="23"/>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24" w:name="_Toc378254186"/>
      <w:r>
        <w:rPr>
          <w:rStyle w:val="CharPartNo"/>
        </w:rPr>
        <w:t>Part 4</w:t>
      </w:r>
      <w:r>
        <w:rPr>
          <w:rStyle w:val="CharDivNo"/>
        </w:rPr>
        <w:t> </w:t>
      </w:r>
      <w:r>
        <w:t>—</w:t>
      </w:r>
      <w:r>
        <w:rPr>
          <w:rStyle w:val="CharDivText"/>
        </w:rPr>
        <w:t> </w:t>
      </w:r>
      <w:r>
        <w:rPr>
          <w:rStyle w:val="CharPartText"/>
        </w:rPr>
        <w:t>Infringement notices</w:t>
      </w:r>
      <w:bookmarkEnd w:id="24"/>
    </w:p>
    <w:p>
      <w:pPr>
        <w:pStyle w:val="Heading5"/>
        <w:rPr>
          <w:snapToGrid w:val="0"/>
        </w:rPr>
      </w:pPr>
      <w:bookmarkStart w:id="25" w:name="_Toc378254187"/>
      <w:r>
        <w:rPr>
          <w:rStyle w:val="CharSectno"/>
        </w:rPr>
        <w:t>19</w:t>
      </w:r>
      <w:r>
        <w:rPr>
          <w:snapToGrid w:val="0"/>
        </w:rPr>
        <w:t>.</w:t>
      </w:r>
      <w:r>
        <w:rPr>
          <w:snapToGrid w:val="0"/>
        </w:rPr>
        <w:tab/>
        <w:t>Terms used</w:t>
      </w:r>
      <w:bookmarkEnd w:id="25"/>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26" w:name="_Toc378254188"/>
      <w:r>
        <w:rPr>
          <w:rStyle w:val="CharSectno"/>
        </w:rPr>
        <w:t>20</w:t>
      </w:r>
      <w:r>
        <w:rPr>
          <w:snapToGrid w:val="0"/>
        </w:rPr>
        <w:t>.</w:t>
      </w:r>
      <w:r>
        <w:rPr>
          <w:snapToGrid w:val="0"/>
        </w:rPr>
        <w:tab/>
        <w:t>Infringement notices</w:t>
      </w:r>
      <w:bookmarkEnd w:id="26"/>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27" w:name="_Toc378254189"/>
      <w:r>
        <w:rPr>
          <w:rStyle w:val="CharSectno"/>
        </w:rPr>
        <w:t>21</w:t>
      </w:r>
      <w:r>
        <w:rPr>
          <w:snapToGrid w:val="0"/>
        </w:rPr>
        <w:t>.</w:t>
      </w:r>
      <w:r>
        <w:rPr>
          <w:snapToGrid w:val="0"/>
        </w:rPr>
        <w:tab/>
        <w:t>Withdrawal of infringement notice</w:t>
      </w:r>
      <w:bookmarkEnd w:id="27"/>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8" w:name="_Toc378254190"/>
      <w:r>
        <w:rPr>
          <w:rStyle w:val="CharSectno"/>
        </w:rPr>
        <w:t>22</w:t>
      </w:r>
      <w:r>
        <w:rPr>
          <w:snapToGrid w:val="0"/>
        </w:rPr>
        <w:t>.</w:t>
      </w:r>
      <w:r>
        <w:rPr>
          <w:snapToGrid w:val="0"/>
        </w:rPr>
        <w:tab/>
        <w:t>Authorised person to have certificate</w:t>
      </w:r>
      <w:bookmarkEnd w:id="28"/>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9" w:name="_Toc378254191"/>
      <w:r>
        <w:rPr>
          <w:rStyle w:val="CharSectno"/>
        </w:rPr>
        <w:t>23</w:t>
      </w:r>
      <w:r>
        <w:rPr>
          <w:snapToGrid w:val="0"/>
        </w:rPr>
        <w:t>.</w:t>
      </w:r>
      <w:r>
        <w:rPr>
          <w:snapToGrid w:val="0"/>
        </w:rPr>
        <w:tab/>
        <w:t>Authorised persons only to endorse and alter infringement notices</w:t>
      </w:r>
      <w:bookmarkEnd w:id="2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0" w:name="_Toc378254192"/>
      <w:r>
        <w:rPr>
          <w:rStyle w:val="CharSectno"/>
        </w:rPr>
        <w:t>24</w:t>
      </w:r>
      <w:r>
        <w:rPr>
          <w:snapToGrid w:val="0"/>
        </w:rPr>
        <w:t>.</w:t>
      </w:r>
      <w:r>
        <w:rPr>
          <w:snapToGrid w:val="0"/>
        </w:rPr>
        <w:tab/>
        <w:t>Restriction on removal of infringement notices</w:t>
      </w:r>
      <w:bookmarkEnd w:id="30"/>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31" w:name="_Toc378254193"/>
      <w:r>
        <w:rPr>
          <w:rStyle w:val="CharPartNo"/>
        </w:rPr>
        <w:t>Part 5</w:t>
      </w:r>
      <w:r>
        <w:rPr>
          <w:rStyle w:val="CharDivNo"/>
        </w:rPr>
        <w:t> </w:t>
      </w:r>
      <w:r>
        <w:t>—</w:t>
      </w:r>
      <w:r>
        <w:rPr>
          <w:rStyle w:val="CharDivText"/>
        </w:rPr>
        <w:t> </w:t>
      </w:r>
      <w:r>
        <w:rPr>
          <w:rStyle w:val="CharPartText"/>
        </w:rPr>
        <w:t>General</w:t>
      </w:r>
      <w:bookmarkEnd w:id="31"/>
    </w:p>
    <w:p>
      <w:pPr>
        <w:pStyle w:val="Heading5"/>
        <w:rPr>
          <w:snapToGrid w:val="0"/>
        </w:rPr>
      </w:pPr>
      <w:bookmarkStart w:id="32" w:name="_Toc378254194"/>
      <w:r>
        <w:rPr>
          <w:rStyle w:val="CharSectno"/>
        </w:rPr>
        <w:t>25</w:t>
      </w:r>
      <w:r>
        <w:rPr>
          <w:snapToGrid w:val="0"/>
        </w:rPr>
        <w:t>.</w:t>
      </w:r>
      <w:r>
        <w:rPr>
          <w:snapToGrid w:val="0"/>
        </w:rPr>
        <w:tab/>
        <w:t>Removal of vehicles</w:t>
      </w:r>
      <w:bookmarkEnd w:id="32"/>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w:t>
      </w:r>
    </w:p>
    <w:p>
      <w:pPr>
        <w:pStyle w:val="Heading5"/>
        <w:rPr>
          <w:snapToGrid w:val="0"/>
        </w:rPr>
      </w:pPr>
      <w:bookmarkStart w:id="33" w:name="_Toc378254195"/>
      <w:r>
        <w:rPr>
          <w:rStyle w:val="CharSectno"/>
        </w:rPr>
        <w:t>26</w:t>
      </w:r>
      <w:r>
        <w:rPr>
          <w:snapToGrid w:val="0"/>
        </w:rPr>
        <w:t>.</w:t>
      </w:r>
      <w:r>
        <w:rPr>
          <w:snapToGrid w:val="0"/>
        </w:rPr>
        <w:tab/>
        <w:t>Registered owner may be treated as being driver or person in charge of vehicle at time of offence</w:t>
      </w:r>
      <w:bookmarkEnd w:id="33"/>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4" w:name="_Toc378254196"/>
      <w:r>
        <w:rPr>
          <w:rStyle w:val="CharSectno"/>
        </w:rPr>
        <w:t>27</w:t>
      </w:r>
      <w:r>
        <w:rPr>
          <w:snapToGrid w:val="0"/>
        </w:rPr>
        <w:t>.</w:t>
      </w:r>
      <w:r>
        <w:rPr>
          <w:snapToGrid w:val="0"/>
        </w:rPr>
        <w:tab/>
        <w:t>Other offences</w:t>
      </w:r>
      <w:bookmarkEnd w:id="3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pStyle w:val="yEdnoteschedule"/>
      </w:pPr>
      <w:r>
        <w:t>[Schedule 1 deleted in Gazette 28 Sep 2012 p. 4652.]</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5" w:name="_Toc378254197"/>
      <w:r>
        <w:rPr>
          <w:rStyle w:val="CharSchNo"/>
        </w:rPr>
        <w:t>Schedule 2 </w:t>
      </w:r>
      <w:r>
        <w:t>— </w:t>
      </w:r>
      <w:r>
        <w:rPr>
          <w:rStyle w:val="CharSchText"/>
        </w:rPr>
        <w:t>Infringement notices and modified penalties</w:t>
      </w:r>
      <w:bookmarkEnd w:id="35"/>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36" w:name="_Toc378254198"/>
      <w:r>
        <w:rPr>
          <w:rStyle w:val="CharSchNo"/>
        </w:rPr>
        <w:t>Schedule 3</w:t>
      </w:r>
      <w:bookmarkEnd w:id="36"/>
      <w:r>
        <w:rPr>
          <w:rStyle w:val="CharSchText"/>
        </w:rPr>
        <w:t xml:space="preserve"> </w:t>
      </w:r>
    </w:p>
    <w:p>
      <w:pPr>
        <w:pStyle w:val="yShoulderClause"/>
        <w:rPr>
          <w:snapToGrid w:val="0"/>
        </w:rPr>
      </w:pPr>
      <w:r>
        <w:rPr>
          <w:snapToGrid w:val="0"/>
        </w:rPr>
        <w:t>[By</w:t>
      </w:r>
      <w:r>
        <w:rPr>
          <w:snapToGrid w:val="0"/>
        </w:rPr>
        <w:noBreakHyphen/>
        <w:t>laws 20(3) and 21]</w:t>
      </w:r>
    </w:p>
    <w:p>
      <w:pPr>
        <w:pStyle w:val="yMiscellaneousHeading"/>
      </w:pPr>
      <w:r>
        <w:t>FORM 1</w:t>
      </w:r>
    </w:p>
    <w:p>
      <w:pPr>
        <w:pStyle w:val="yShoulderClause"/>
      </w:pPr>
      <w:r>
        <w:t>[By</w:t>
      </w:r>
      <w:r>
        <w:noBreakHyphen/>
        <w:t>law 20(3)]</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022"/>
        <w:gridCol w:w="1011"/>
        <w:gridCol w:w="1011"/>
        <w:gridCol w:w="2023"/>
      </w:tblGrid>
      <w:tr>
        <w:trPr>
          <w:cantSplit/>
        </w:trPr>
        <w:tc>
          <w:tcPr>
            <w:tcW w:w="6067" w:type="dxa"/>
            <w:gridSpan w:val="4"/>
            <w:tcBorders>
              <w:top w:val="single" w:sz="4" w:space="0" w:color="auto"/>
              <w:bottom w:val="nil"/>
            </w:tcBorders>
          </w:tcPr>
          <w:p>
            <w:pPr>
              <w:pStyle w:val="yTableNAm"/>
              <w:jc w:val="center"/>
            </w:pPr>
            <w:r>
              <w:rPr>
                <w:b/>
              </w:rPr>
              <w:t>Infringement Notice</w:t>
            </w:r>
          </w:p>
          <w:p>
            <w:pPr>
              <w:pStyle w:val="yTableNAm"/>
              <w:jc w:val="center"/>
              <w:rPr>
                <w:b/>
                <w:szCs w:val="22"/>
              </w:rPr>
            </w:pPr>
            <w:smartTag w:uri="urn:schemas-microsoft-com:office:smarttags" w:element="place">
              <w:smartTag w:uri="urn:schemas-microsoft-com:office:smarttags" w:element="PlaceName">
                <w:r>
                  <w:rPr>
                    <w:b/>
                    <w:i/>
                    <w:szCs w:val="22"/>
                  </w:rPr>
                  <w:t>Fremantle</w:t>
                </w:r>
              </w:smartTag>
              <w:r>
                <w:rPr>
                  <w:b/>
                  <w:i/>
                  <w:szCs w:val="22"/>
                </w:rPr>
                <w:t xml:space="preserve"> </w:t>
              </w:r>
              <w:smartTag w:uri="urn:schemas-microsoft-com:office:smarttags" w:element="PlaceType">
                <w:r>
                  <w:rPr>
                    <w:b/>
                    <w:i/>
                    <w:szCs w:val="22"/>
                  </w:rPr>
                  <w:t>Hospital</w:t>
                </w:r>
              </w:smartTag>
            </w:smartTag>
            <w:r>
              <w:rPr>
                <w:b/>
                <w:i/>
                <w:szCs w:val="22"/>
              </w:rPr>
              <w:t xml:space="preserve"> By</w:t>
            </w:r>
            <w:r>
              <w:rPr>
                <w:b/>
                <w:i/>
                <w:szCs w:val="22"/>
              </w:rPr>
              <w:noBreakHyphen/>
              <w:t>laws 1992</w:t>
            </w:r>
          </w:p>
        </w:tc>
      </w:tr>
      <w:tr>
        <w:trPr>
          <w:cantSplit/>
          <w:tblHeader/>
        </w:trPr>
        <w:tc>
          <w:tcPr>
            <w:tcW w:w="2022" w:type="dxa"/>
            <w:tcBorders>
              <w:top w:val="nil"/>
              <w:bottom w:val="nil"/>
            </w:tcBorders>
          </w:tcPr>
          <w:p>
            <w:pPr>
              <w:pStyle w:val="yTableNAm"/>
            </w:pPr>
            <w:r>
              <w:rPr>
                <w:b/>
              </w:rPr>
              <w:t>Notice No.</w:t>
            </w:r>
            <w:r>
              <w:rPr>
                <w:b/>
              </w:rPr>
              <w:br/>
            </w:r>
          </w:p>
        </w:tc>
        <w:tc>
          <w:tcPr>
            <w:tcW w:w="2022" w:type="dxa"/>
            <w:gridSpan w:val="2"/>
            <w:tcBorders>
              <w:top w:val="nil"/>
              <w:bottom w:val="nil"/>
            </w:tcBorders>
          </w:tcPr>
          <w:p>
            <w:pPr>
              <w:pStyle w:val="yTableNAm"/>
            </w:pPr>
            <w:r>
              <w:rPr>
                <w:b/>
              </w:rPr>
              <w:t>Issue date</w:t>
            </w:r>
            <w:r>
              <w:rPr>
                <w:b/>
              </w:rPr>
              <w:br/>
            </w:r>
          </w:p>
        </w:tc>
        <w:tc>
          <w:tcPr>
            <w:tcW w:w="2023" w:type="dxa"/>
            <w:tcBorders>
              <w:top w:val="nil"/>
              <w:bottom w:val="nil"/>
            </w:tcBorders>
          </w:tcPr>
          <w:p>
            <w:pPr>
              <w:pStyle w:val="yTableNAm"/>
            </w:pPr>
            <w:r>
              <w:rPr>
                <w:b/>
              </w:rPr>
              <w:t>Issue time</w:t>
            </w:r>
            <w:r>
              <w:rPr>
                <w:b/>
              </w:rPr>
              <w:br/>
            </w:r>
          </w:p>
        </w:tc>
      </w:tr>
      <w:tr>
        <w:trPr>
          <w:cantSplit/>
        </w:trPr>
        <w:tc>
          <w:tcPr>
            <w:tcW w:w="6067" w:type="dxa"/>
            <w:gridSpan w:val="4"/>
            <w:tcBorders>
              <w:top w:val="nil"/>
              <w:bottom w:val="nil"/>
            </w:tcBorders>
          </w:tcPr>
          <w:p>
            <w:pPr>
              <w:pStyle w:val="yTableNAm"/>
            </w:pPr>
            <w:r>
              <w:rPr>
                <w:b/>
              </w:rPr>
              <w:t>Location</w:t>
            </w:r>
            <w:r>
              <w:rPr>
                <w:b/>
              </w:rPr>
              <w:br/>
            </w:r>
          </w:p>
        </w:tc>
      </w:tr>
      <w:tr>
        <w:trPr>
          <w:cantSplit/>
        </w:trPr>
        <w:tc>
          <w:tcPr>
            <w:tcW w:w="6067" w:type="dxa"/>
            <w:gridSpan w:val="4"/>
            <w:tcBorders>
              <w:top w:val="nil"/>
              <w:bottom w:val="nil"/>
            </w:tcBorders>
          </w:tcPr>
          <w:p>
            <w:pPr>
              <w:pStyle w:val="yTableNAm"/>
            </w:pPr>
            <w:r>
              <w:rPr>
                <w:b/>
              </w:rPr>
              <w:t>Vehicle</w:t>
            </w:r>
          </w:p>
        </w:tc>
      </w:tr>
      <w:tr>
        <w:trPr>
          <w:cantSplit/>
        </w:trPr>
        <w:tc>
          <w:tcPr>
            <w:tcW w:w="2022" w:type="dxa"/>
            <w:tcBorders>
              <w:top w:val="nil"/>
              <w:bottom w:val="nil"/>
            </w:tcBorders>
          </w:tcPr>
          <w:p>
            <w:pPr>
              <w:pStyle w:val="yTableNAm"/>
            </w:pPr>
            <w:r>
              <w:t>Plate no. &amp; type</w:t>
            </w:r>
            <w:r>
              <w:br/>
            </w:r>
          </w:p>
        </w:tc>
        <w:tc>
          <w:tcPr>
            <w:tcW w:w="2022" w:type="dxa"/>
            <w:gridSpan w:val="2"/>
            <w:tcBorders>
              <w:top w:val="nil"/>
              <w:bottom w:val="nil"/>
            </w:tcBorders>
          </w:tcPr>
          <w:p>
            <w:pPr>
              <w:pStyle w:val="yTableNAm"/>
            </w:pPr>
            <w:r>
              <w:t>Make</w:t>
            </w:r>
            <w:r>
              <w:br/>
            </w:r>
          </w:p>
        </w:tc>
        <w:tc>
          <w:tcPr>
            <w:tcW w:w="2023" w:type="dxa"/>
            <w:tcBorders>
              <w:top w:val="nil"/>
              <w:bottom w:val="nil"/>
            </w:tcBorders>
          </w:tcPr>
          <w:p>
            <w:pPr>
              <w:pStyle w:val="yTableNAm"/>
            </w:pPr>
            <w:r>
              <w:t>Model/Style</w:t>
            </w:r>
            <w:r>
              <w:br/>
            </w:r>
          </w:p>
        </w:tc>
      </w:tr>
      <w:tr>
        <w:trPr>
          <w:cantSplit/>
        </w:trPr>
        <w:tc>
          <w:tcPr>
            <w:tcW w:w="6067" w:type="dxa"/>
            <w:gridSpan w:val="4"/>
            <w:tcBorders>
              <w:top w:val="nil"/>
              <w:bottom w:val="nil"/>
            </w:tcBorders>
          </w:tcPr>
          <w:p>
            <w:pPr>
              <w:pStyle w:val="yTableNAm"/>
            </w:pPr>
            <w:r>
              <w:rPr>
                <w:b/>
              </w:rPr>
              <w:t>Alleged Offence</w:t>
            </w:r>
            <w:r>
              <w:rPr>
                <w:b/>
              </w:rPr>
              <w:br/>
            </w:r>
          </w:p>
        </w:tc>
      </w:tr>
      <w:tr>
        <w:trPr>
          <w:cantSplit/>
        </w:trPr>
        <w:tc>
          <w:tcPr>
            <w:tcW w:w="3033" w:type="dxa"/>
            <w:gridSpan w:val="2"/>
            <w:tcBorders>
              <w:top w:val="nil"/>
              <w:bottom w:val="nil"/>
            </w:tcBorders>
          </w:tcPr>
          <w:p>
            <w:pPr>
              <w:pStyle w:val="yTableNAm"/>
            </w:pPr>
            <w:r>
              <w:t>Date</w:t>
            </w:r>
          </w:p>
        </w:tc>
        <w:tc>
          <w:tcPr>
            <w:tcW w:w="3034" w:type="dxa"/>
            <w:gridSpan w:val="2"/>
            <w:tcBorders>
              <w:top w:val="nil"/>
              <w:bottom w:val="nil"/>
            </w:tcBorders>
          </w:tcPr>
          <w:p>
            <w:pPr>
              <w:pStyle w:val="yTableNAm"/>
            </w:pPr>
            <w:r>
              <w:t>Time</w:t>
            </w:r>
          </w:p>
        </w:tc>
      </w:tr>
      <w:tr>
        <w:trPr>
          <w:cantSplit/>
        </w:trPr>
        <w:tc>
          <w:tcPr>
            <w:tcW w:w="3033" w:type="dxa"/>
            <w:gridSpan w:val="2"/>
            <w:tcBorders>
              <w:top w:val="nil"/>
              <w:bottom w:val="nil"/>
            </w:tcBorders>
          </w:tcPr>
          <w:p>
            <w:pPr>
              <w:pStyle w:val="yTableNAm"/>
            </w:pPr>
            <w:r>
              <w:t>By</w:t>
            </w:r>
            <w:r>
              <w:noBreakHyphen/>
              <w:t>law</w:t>
            </w:r>
          </w:p>
        </w:tc>
        <w:tc>
          <w:tcPr>
            <w:tcW w:w="3034" w:type="dxa"/>
            <w:gridSpan w:val="2"/>
            <w:tcBorders>
              <w:top w:val="nil"/>
              <w:bottom w:val="nil"/>
            </w:tcBorders>
          </w:tcPr>
          <w:p>
            <w:pPr>
              <w:pStyle w:val="yTableNAm"/>
            </w:pPr>
            <w:r>
              <w:t>Modified penalty</w:t>
            </w:r>
          </w:p>
        </w:tc>
      </w:tr>
      <w:tr>
        <w:trPr>
          <w:cantSplit/>
        </w:trPr>
        <w:tc>
          <w:tcPr>
            <w:tcW w:w="3033" w:type="dxa"/>
            <w:gridSpan w:val="2"/>
            <w:tcBorders>
              <w:top w:val="nil"/>
              <w:bottom w:val="nil"/>
            </w:tcBorders>
          </w:tcPr>
          <w:p>
            <w:pPr>
              <w:pStyle w:val="yTableNAm"/>
            </w:pPr>
            <w:r>
              <w:rPr>
                <w:b/>
              </w:rPr>
              <w:t>Issuing Officer</w:t>
            </w:r>
          </w:p>
        </w:tc>
        <w:tc>
          <w:tcPr>
            <w:tcW w:w="3034" w:type="dxa"/>
            <w:gridSpan w:val="2"/>
            <w:tcBorders>
              <w:top w:val="nil"/>
              <w:bottom w:val="nil"/>
            </w:tcBorders>
          </w:tcPr>
          <w:p>
            <w:pPr>
              <w:pStyle w:val="yTableNAm"/>
            </w:pPr>
          </w:p>
        </w:tc>
      </w:tr>
      <w:tr>
        <w:trPr>
          <w:cantSplit/>
        </w:trPr>
        <w:tc>
          <w:tcPr>
            <w:tcW w:w="3033" w:type="dxa"/>
            <w:gridSpan w:val="2"/>
            <w:tcBorders>
              <w:top w:val="nil"/>
              <w:bottom w:val="single" w:sz="4" w:space="0" w:color="auto"/>
            </w:tcBorders>
          </w:tcPr>
          <w:p>
            <w:pPr>
              <w:pStyle w:val="yTableNAm"/>
            </w:pPr>
            <w:r>
              <w:t>Name</w:t>
            </w:r>
            <w:r>
              <w:br/>
            </w:r>
          </w:p>
        </w:tc>
        <w:tc>
          <w:tcPr>
            <w:tcW w:w="3034" w:type="dxa"/>
            <w:gridSpan w:val="2"/>
            <w:tcBorders>
              <w:top w:val="nil"/>
              <w:bottom w:val="single" w:sz="4" w:space="0" w:color="auto"/>
            </w:tcBorders>
          </w:tcPr>
          <w:p>
            <w:pPr>
              <w:pStyle w:val="yTableNAm"/>
            </w:pPr>
            <w:r>
              <w:t>Signature/Officer No.</w:t>
            </w:r>
          </w:p>
        </w:tc>
      </w:tr>
      <w:tr>
        <w:trPr>
          <w:cantSplit/>
        </w:trPr>
        <w:tc>
          <w:tcPr>
            <w:tcW w:w="6067" w:type="dxa"/>
            <w:gridSpan w:val="4"/>
            <w:tcBorders>
              <w:top w:val="single" w:sz="4" w:space="0" w:color="auto"/>
              <w:left w:val="nil"/>
              <w:bottom w:val="nil"/>
              <w:right w:val="nil"/>
            </w:tcBorders>
          </w:tcPr>
          <w:p>
            <w:pPr>
              <w:pStyle w:val="yTableNAm"/>
            </w:pPr>
            <w:r>
              <w:t>You have 28 days from when this Notice is given to you to pay the modified penalty or elect to go to court.  If you don’t, enforcement proceedings will be taken against you.</w:t>
            </w:r>
          </w:p>
        </w:tc>
      </w:tr>
      <w:tr>
        <w:trPr>
          <w:cantSplit/>
        </w:trPr>
        <w:tc>
          <w:tcPr>
            <w:tcW w:w="6067" w:type="dxa"/>
            <w:gridSpan w:val="4"/>
            <w:tcBorders>
              <w:top w:val="nil"/>
              <w:left w:val="nil"/>
              <w:bottom w:val="nil"/>
              <w:right w:val="nil"/>
            </w:tcBorders>
          </w:tcPr>
          <w:p>
            <w:pPr>
              <w:pStyle w:val="yTableNAm"/>
              <w:tabs>
                <w:tab w:val="clear" w:pos="567"/>
                <w:tab w:val="left" w:pos="1707"/>
              </w:tabs>
              <w:ind w:left="1729" w:hanging="1729"/>
              <w:rPr>
                <w:b/>
              </w:rPr>
            </w:pPr>
            <w:r>
              <w:rPr>
                <w:b/>
              </w:rPr>
              <w:t>Paying the modified penalty</w:t>
            </w:r>
          </w:p>
          <w:p>
            <w:pPr>
              <w:pStyle w:val="yTableNAm"/>
              <w:tabs>
                <w:tab w:val="clear" w:pos="567"/>
                <w:tab w:val="left" w:pos="1707"/>
              </w:tabs>
              <w:ind w:left="1729" w:hanging="1729"/>
            </w:pPr>
            <w:r>
              <w:t>By post:</w:t>
            </w:r>
            <w:r>
              <w:tab/>
              <w:t xml:space="preserve">Send a cheque or money order payable to “Metropolitan Access and Parking” to — </w:t>
            </w:r>
          </w:p>
          <w:p>
            <w:pPr>
              <w:pStyle w:val="yTableNAm"/>
              <w:tabs>
                <w:tab w:val="clear" w:pos="567"/>
                <w:tab w:val="left" w:pos="1707"/>
              </w:tabs>
              <w:ind w:left="1729" w:hanging="1729"/>
            </w:pP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yTableNAm"/>
              <w:tabs>
                <w:tab w:val="clear" w:pos="567"/>
                <w:tab w:val="left" w:pos="1707"/>
              </w:tabs>
              <w:ind w:left="1729" w:hanging="1729"/>
            </w:pPr>
            <w:r>
              <w:t>In person:</w:t>
            </w:r>
            <w:r>
              <w:tab/>
              <w:t xml:space="preserve">Pay at the Metropolitan Access and Parking Department at — </w:t>
            </w:r>
          </w:p>
          <w:p>
            <w:pPr>
              <w:pStyle w:val="yTableNAm"/>
              <w:tabs>
                <w:tab w:val="clear" w:pos="567"/>
                <w:tab w:val="left" w:pos="1707"/>
              </w:tabs>
              <w:ind w:left="1729" w:hanging="1729"/>
            </w:pP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yTableNAm"/>
              <w:tabs>
                <w:tab w:val="clear" w:pos="567"/>
                <w:tab w:val="left" w:pos="1707"/>
              </w:tabs>
              <w:ind w:left="1729" w:hanging="1729"/>
            </w:pPr>
            <w:r>
              <w:tab/>
              <w:t>OR</w:t>
            </w:r>
          </w:p>
          <w:p>
            <w:pPr>
              <w:pStyle w:val="yTableNAm"/>
              <w:tabs>
                <w:tab w:val="clear" w:pos="567"/>
                <w:tab w:val="left" w:pos="1707"/>
              </w:tabs>
              <w:ind w:left="1729" w:hanging="1729"/>
            </w:pPr>
            <w:r>
              <w:tab/>
              <w:t>Pay at any Australia Post Office or agency.</w:t>
            </w:r>
          </w:p>
          <w:p>
            <w:pPr>
              <w:pStyle w:val="yTableNAm"/>
              <w:tabs>
                <w:tab w:val="clear" w:pos="567"/>
                <w:tab w:val="left" w:pos="1707"/>
              </w:tabs>
              <w:ind w:left="1729" w:hanging="1729"/>
            </w:pPr>
            <w:r>
              <w:t>By telephone:</w:t>
            </w:r>
            <w:r>
              <w:tab/>
              <w:t>Call 1800 753 191</w:t>
            </w:r>
          </w:p>
        </w:tc>
      </w:tr>
      <w:tr>
        <w:trPr>
          <w:cantSplit/>
        </w:trPr>
        <w:tc>
          <w:tcPr>
            <w:tcW w:w="6067" w:type="dxa"/>
            <w:gridSpan w:val="4"/>
            <w:tcBorders>
              <w:top w:val="nil"/>
              <w:left w:val="nil"/>
              <w:bottom w:val="nil"/>
              <w:right w:val="nil"/>
            </w:tcBorders>
          </w:tcPr>
          <w:p>
            <w:pPr>
              <w:pStyle w:val="yTableNAm"/>
            </w:pPr>
            <w:r>
              <w:rPr>
                <w:b/>
              </w:rPr>
              <w:t>Electing to go to court</w:t>
            </w:r>
          </w:p>
          <w:p>
            <w:pPr>
              <w:pStyle w:val="yTableNAm"/>
            </w:pPr>
            <w:r>
              <w:t>If you wish to elect to go to court, sign here: .................................................................................. Date: .............</w:t>
            </w:r>
          </w:p>
          <w:p>
            <w:pPr>
              <w:pStyle w:val="yTableNAm"/>
            </w:pPr>
            <w:r>
              <w:t xml:space="preserve">then send this notice to — </w:t>
            </w:r>
          </w:p>
          <w:p>
            <w:pPr>
              <w:pStyle w:val="yTableNAm"/>
              <w:tabs>
                <w:tab w:val="clear" w:pos="567"/>
                <w:tab w:val="left" w:pos="1707"/>
              </w:tabs>
              <w:ind w:left="1729" w:hanging="1729"/>
            </w:pPr>
            <w:r>
              <w:tab/>
              <w:t>The Chief Executive Officer</w:t>
            </w:r>
            <w:r>
              <w:br/>
              <w:t>Metropolitan Access and Parking Department</w:t>
            </w:r>
            <w:r>
              <w:br/>
              <w:t xml:space="preserve">100 </w:t>
            </w:r>
            <w:smartTag w:uri="urn:schemas-microsoft-com:office:smarttags" w:element="address">
              <w:smartTag w:uri="urn:schemas-microsoft-com:office:smarttags" w:element="Street">
                <w:r>
                  <w:t>Flinders Street</w:t>
                </w:r>
              </w:smartTag>
              <w:r>
                <w:br/>
              </w:r>
              <w:smartTag w:uri="urn:schemas-microsoft-com:office:smarttags" w:element="City">
                <w:r>
                  <w:t>Mt. Hawthorn</w:t>
                </w:r>
              </w:smartTag>
              <w:r>
                <w:t xml:space="preserve"> </w:t>
              </w:r>
              <w:smartTag w:uri="urn:schemas-microsoft-com:office:smarttags" w:element="State">
                <w:r>
                  <w:t>WA</w:t>
                </w:r>
              </w:smartTag>
            </w:smartTag>
            <w:r>
              <w:t xml:space="preserve"> 6016</w:t>
            </w:r>
          </w:p>
          <w:p>
            <w:pPr>
              <w:pStyle w:val="yTableNAm"/>
            </w:pPr>
            <w:r>
              <w:t>Make sure you keep a copy.  If you go to court and are convicted you may be fined $50 and ordered to pay costs.</w:t>
            </w:r>
          </w:p>
        </w:tc>
      </w:tr>
      <w:tr>
        <w:trPr>
          <w:cantSplit/>
        </w:trPr>
        <w:tc>
          <w:tcPr>
            <w:tcW w:w="6067" w:type="dxa"/>
            <w:gridSpan w:val="4"/>
            <w:tcBorders>
              <w:top w:val="nil"/>
              <w:left w:val="nil"/>
              <w:bottom w:val="nil"/>
              <w:right w:val="nil"/>
            </w:tcBorders>
          </w:tcPr>
          <w:p>
            <w:pPr>
              <w:pStyle w:val="yTableNAm"/>
            </w:pPr>
            <w:r>
              <w:rPr>
                <w:b/>
              </w:rPr>
              <w:t>If enforcement proceedings are taken against you, your driver’s licence and/or vehicle licence may be suspended</w:t>
            </w:r>
            <w:r>
              <w:t xml:space="preserve"> until you pay the modified penalty and expenses or you elect to go to court.</w:t>
            </w:r>
          </w:p>
        </w:tc>
      </w:tr>
    </w:tbl>
    <w:p>
      <w:pPr>
        <w:pStyle w:val="yFootnotesection"/>
      </w:pPr>
      <w:r>
        <w:tab/>
        <w:t>[Form 1 inserted in Gazette 28 Sep 2012 p. 4653-4.]</w:t>
      </w:r>
    </w:p>
    <w:p>
      <w:pPr>
        <w:pStyle w:val="y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MiscellaneousBody"/>
        <w:rPr>
          <w:snapToGrid w:val="0"/>
        </w:rPr>
      </w:pPr>
      <w:r>
        <w:rPr>
          <w:snapToGrid w:val="0"/>
        </w:rPr>
        <w:t>Date ....../....../......</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Infringement notice no. ................. served on you on the ......... day of ..............., ................. for the alleged offence of ..................................................................... ................................................................................................................................ is hereby withdrawn and no further action will be taken against you in respect of the alleged offence.</w:t>
      </w:r>
    </w:p>
    <w:p>
      <w:pPr>
        <w:pStyle w:val="yMiscellaneousBody"/>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MiscellaneousBody"/>
        <w:jc w:val="right"/>
        <w:rPr>
          <w:snapToGrid w:val="0"/>
        </w:rPr>
      </w:pPr>
      <w:r>
        <w:rPr>
          <w:snapToGrid w:val="0"/>
        </w:rPr>
        <w:t>.....................................................................</w:t>
      </w:r>
      <w:r>
        <w:rPr>
          <w:snapToGrid w:val="0"/>
        </w:rPr>
        <w:br/>
        <w:t>Authorised person under by</w:t>
      </w:r>
      <w:r>
        <w:rPr>
          <w:snapToGrid w:val="0"/>
        </w:rPr>
        <w:noBreakHyphen/>
        <w:t>law 21</w:t>
      </w:r>
    </w:p>
    <w:p>
      <w:pPr>
        <w:pStyle w:val="yFootnotesection"/>
      </w:pPr>
      <w:r>
        <w:tab/>
        <w:t>[Form 2 amended in Gazette 29 Aug 1995 p. 3901.]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7" w:name="_Toc378254199"/>
      <w:r>
        <w:t>Notes</w:t>
      </w:r>
      <w:bookmarkEnd w:id="3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378254200"/>
      <w:r>
        <w:rPr>
          <w:snapToGrid w:val="0"/>
        </w:rP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8"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9" w:type="dxa"/>
          </w:tcPr>
          <w:p>
            <w:pPr>
              <w:pStyle w:val="nTable"/>
              <w:spacing w:after="40"/>
              <w:rPr>
                <w:rFonts w:ascii="Times" w:hAnsi="Time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2004</w:t>
            </w:r>
          </w:p>
        </w:tc>
        <w:tc>
          <w:tcPr>
            <w:tcW w:w="1276" w:type="dxa"/>
          </w:tcPr>
          <w:p>
            <w:pPr>
              <w:pStyle w:val="nTable"/>
              <w:spacing w:after="40"/>
              <w:rPr>
                <w:rFonts w:ascii="Times" w:hAnsi="Times"/>
                <w:sz w:val="19"/>
              </w:rPr>
            </w:pPr>
            <w:r>
              <w:rPr>
                <w:rFonts w:ascii="Times" w:hAnsi="Times"/>
                <w:sz w:val="19"/>
              </w:rPr>
              <w:t>29 Jun 2004 p. 2528-9</w:t>
            </w:r>
          </w:p>
        </w:tc>
        <w:tc>
          <w:tcPr>
            <w:tcW w:w="2693" w:type="dxa"/>
          </w:tcPr>
          <w:p>
            <w:pPr>
              <w:pStyle w:val="nTable"/>
              <w:spacing w:after="40"/>
              <w:rPr>
                <w:rFonts w:ascii="Times" w:hAnsi="Times"/>
                <w:sz w:val="19"/>
              </w:rPr>
            </w:pPr>
            <w:r>
              <w:rPr>
                <w:rFonts w:ascii="Times" w:hAnsi="Times"/>
                <w:sz w:val="19"/>
              </w:rPr>
              <w:t>1 Jul 2004 (see bl. 2)</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2008</w:t>
            </w:r>
          </w:p>
        </w:tc>
        <w:tc>
          <w:tcPr>
            <w:tcW w:w="1276" w:type="dxa"/>
          </w:tcPr>
          <w:p>
            <w:pPr>
              <w:pStyle w:val="nTable"/>
              <w:spacing w:after="40"/>
              <w:rPr>
                <w:rFonts w:ascii="Times" w:hAnsi="Times"/>
                <w:sz w:val="19"/>
              </w:rPr>
            </w:pPr>
            <w:r>
              <w:rPr>
                <w:rFonts w:ascii="Times" w:hAnsi="Times"/>
                <w:sz w:val="19"/>
              </w:rPr>
              <w:t>12 Feb 2008 p. 340</w:t>
            </w:r>
          </w:p>
        </w:tc>
        <w:tc>
          <w:tcPr>
            <w:tcW w:w="2693" w:type="dxa"/>
          </w:tcPr>
          <w:p>
            <w:pPr>
              <w:pStyle w:val="nTable"/>
              <w:spacing w:after="40"/>
              <w:rPr>
                <w:rFonts w:ascii="Times" w:hAnsi="Times"/>
                <w:sz w:val="19"/>
              </w:rPr>
            </w:pPr>
            <w:r>
              <w:rPr>
                <w:rFonts w:ascii="Times" w:hAnsi="Times"/>
                <w:snapToGrid w:val="0"/>
                <w:sz w:val="19"/>
              </w:rPr>
              <w:t>bl. 1 and 2: 12 Feb 2008 (see bl. 2(a));</w:t>
            </w:r>
            <w:r>
              <w:rPr>
                <w:rFonts w:ascii="Times" w:hAnsi="Times"/>
                <w:snapToGrid w:val="0"/>
                <w:sz w:val="19"/>
              </w:rPr>
              <w:br/>
              <w:t>By</w:t>
            </w:r>
            <w:r>
              <w:rPr>
                <w:rFonts w:ascii="Times" w:hAnsi="Times"/>
                <w:snapToGrid w:val="0"/>
                <w:sz w:val="19"/>
              </w:rPr>
              <w:noBreakHyphen/>
              <w:t>laws other than bl. 1 and 2: 13 Feb 2008 (see bl. 2(b))</w:t>
            </w:r>
          </w:p>
        </w:tc>
      </w:tr>
      <w:tr>
        <w:tc>
          <w:tcPr>
            <w:tcW w:w="3119" w:type="dxa"/>
          </w:tcPr>
          <w:p>
            <w:pPr>
              <w:pStyle w:val="nTable"/>
              <w:spacing w:after="40"/>
              <w:rPr>
                <w:rFonts w:ascii="Times" w:hAnsi="Times"/>
                <w:iC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2010</w:t>
            </w:r>
            <w:r>
              <w:rPr>
                <w:rFonts w:ascii="Times" w:hAnsi="Times"/>
                <w:iCs/>
                <w:sz w:val="19"/>
              </w:rPr>
              <w:t xml:space="preserve"> </w:t>
            </w:r>
          </w:p>
        </w:tc>
        <w:tc>
          <w:tcPr>
            <w:tcW w:w="1276" w:type="dxa"/>
          </w:tcPr>
          <w:p>
            <w:pPr>
              <w:pStyle w:val="nTable"/>
              <w:spacing w:after="40"/>
              <w:rPr>
                <w:rFonts w:ascii="Times" w:hAnsi="Times"/>
                <w:sz w:val="19"/>
              </w:rPr>
            </w:pPr>
            <w:r>
              <w:rPr>
                <w:rFonts w:ascii="Times" w:hAnsi="Times"/>
                <w:sz w:val="19"/>
              </w:rPr>
              <w:t>26 Nov 2010 p. 5937-8</w:t>
            </w:r>
          </w:p>
        </w:tc>
        <w:tc>
          <w:tcPr>
            <w:tcW w:w="2693" w:type="dxa"/>
          </w:tcPr>
          <w:p>
            <w:pPr>
              <w:pStyle w:val="nTable"/>
              <w:spacing w:after="40"/>
              <w:rPr>
                <w:rFonts w:ascii="Times" w:hAnsi="Times"/>
                <w:sz w:val="19"/>
              </w:rPr>
            </w:pPr>
            <w:r>
              <w:rPr>
                <w:rFonts w:ascii="Times" w:hAnsi="Times"/>
                <w:snapToGrid w:val="0"/>
                <w:sz w:val="19"/>
              </w:rPr>
              <w:t>bl. 1 and 2: 26 Nov 2010 (see bl. 2(a));</w:t>
            </w:r>
            <w:r>
              <w:rPr>
                <w:rFonts w:ascii="Times" w:hAnsi="Times"/>
                <w:snapToGrid w:val="0"/>
                <w:sz w:val="19"/>
              </w:rPr>
              <w:br/>
              <w:t>By-laws other than bl. 1 and 2: 1 Jan 2011 (see bl. 2(b))</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2011</w:t>
            </w:r>
          </w:p>
        </w:tc>
        <w:tc>
          <w:tcPr>
            <w:tcW w:w="1276" w:type="dxa"/>
          </w:tcPr>
          <w:p>
            <w:pPr>
              <w:pStyle w:val="nTable"/>
              <w:spacing w:after="40"/>
              <w:rPr>
                <w:rFonts w:ascii="Times" w:hAnsi="Times"/>
                <w:sz w:val="19"/>
              </w:rPr>
            </w:pPr>
            <w:r>
              <w:rPr>
                <w:rFonts w:ascii="Times" w:hAnsi="Times"/>
                <w:sz w:val="19"/>
              </w:rPr>
              <w:t>24 Jun 2011 p. 2504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bl. 1 and 2: 24 Jun 2011 (see bl. 2(a));</w:t>
            </w:r>
            <w:r>
              <w:rPr>
                <w:rFonts w:ascii="Times" w:hAnsi="Times"/>
                <w:snapToGrid w:val="0"/>
                <w:sz w:val="19"/>
              </w:rPr>
              <w:br/>
              <w:t>By-laws other than bl. 1 and 2: 1 Jul 2011 (see bl. 2(b))</w:t>
            </w:r>
          </w:p>
        </w:tc>
      </w:tr>
      <w:tr>
        <w:tc>
          <w:tcPr>
            <w:tcW w:w="3119" w:type="dxa"/>
            <w:shd w:val="clear" w:color="auto" w:fill="auto"/>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(No. 2) 2011</w:t>
            </w:r>
            <w:r>
              <w:rPr>
                <w:rFonts w:ascii="Times" w:hAnsi="Times"/>
                <w:i/>
                <w:sz w:val="19"/>
                <w:vertAlign w:val="superscript"/>
              </w:rPr>
              <w:t> 2</w:t>
            </w:r>
          </w:p>
        </w:tc>
        <w:tc>
          <w:tcPr>
            <w:tcW w:w="1276" w:type="dxa"/>
            <w:shd w:val="clear" w:color="auto" w:fill="auto"/>
          </w:tcPr>
          <w:p>
            <w:pPr>
              <w:pStyle w:val="nTable"/>
              <w:spacing w:after="40"/>
              <w:rPr>
                <w:rFonts w:ascii="Times" w:hAnsi="Times"/>
                <w:sz w:val="19"/>
              </w:rPr>
            </w:pPr>
            <w:r>
              <w:rPr>
                <w:rFonts w:ascii="Times" w:hAnsi="Times"/>
                <w:sz w:val="19"/>
              </w:rPr>
              <w:t>23 Dec 2011 p. 5425</w:t>
            </w:r>
            <w:r>
              <w:rPr>
                <w:rFonts w:ascii="Times" w:hAnsi="Times"/>
                <w:sz w:val="19"/>
              </w:rPr>
              <w:noBreakHyphen/>
              <w:t>9</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bl. 1 and 2: 23 Dec 2011 (see bl. 2(a));</w:t>
            </w:r>
            <w:r>
              <w:rPr>
                <w:rFonts w:ascii="Times" w:hAnsi="Times"/>
                <w:snapToGrid w:val="0"/>
                <w:sz w:val="19"/>
              </w:rPr>
              <w:br/>
              <w:t>By-laws other than bl. 1 and 2: 1 Jan 2012 (see bl. 2(b))</w:t>
            </w:r>
          </w:p>
        </w:tc>
      </w:tr>
      <w:tr>
        <w:tc>
          <w:tcPr>
            <w:tcW w:w="7088" w:type="dxa"/>
            <w:gridSpan w:val="3"/>
            <w:shd w:val="clear" w:color="auto" w:fill="auto"/>
          </w:tcPr>
          <w:p>
            <w:pPr>
              <w:pStyle w:val="nTable"/>
              <w:spacing w:after="40"/>
              <w:rPr>
                <w:snapToGrid w:val="0"/>
                <w:spacing w:val="-2"/>
                <w:sz w:val="19"/>
              </w:rPr>
            </w:pPr>
            <w:r>
              <w:rPr>
                <w:b/>
                <w:sz w:val="19"/>
              </w:rPr>
              <w:t xml:space="preserve">Reprint 2: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27 Jul 2012</w:t>
            </w:r>
            <w:r>
              <w:rPr>
                <w:sz w:val="19"/>
              </w:rPr>
              <w:t xml:space="preserve"> (includes amendments listed above)</w:t>
            </w:r>
          </w:p>
        </w:tc>
      </w:tr>
      <w:tr>
        <w:tc>
          <w:tcPr>
            <w:tcW w:w="3119" w:type="dxa"/>
            <w:shd w:val="clear" w:color="auto" w:fill="auto"/>
          </w:tcPr>
          <w:p>
            <w:pPr>
              <w:pStyle w:val="nTable"/>
              <w:keepNext/>
              <w:keepLines/>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2012</w:t>
            </w:r>
          </w:p>
        </w:tc>
        <w:tc>
          <w:tcPr>
            <w:tcW w:w="1276" w:type="dxa"/>
            <w:shd w:val="clear" w:color="auto" w:fill="auto"/>
          </w:tcPr>
          <w:p>
            <w:pPr>
              <w:pStyle w:val="nTable"/>
              <w:keepNext/>
              <w:keepLines/>
              <w:spacing w:after="40"/>
              <w:rPr>
                <w:rFonts w:ascii="Times" w:hAnsi="Times"/>
                <w:sz w:val="19"/>
              </w:rPr>
            </w:pPr>
            <w:r>
              <w:rPr>
                <w:rFonts w:ascii="Times" w:hAnsi="Times"/>
                <w:sz w:val="19"/>
              </w:rPr>
              <w:t>28 Sep 2012 p. 4650-4</w:t>
            </w:r>
          </w:p>
        </w:tc>
        <w:tc>
          <w:tcPr>
            <w:tcW w:w="2693" w:type="dxa"/>
            <w:shd w:val="clear" w:color="auto" w:fill="auto"/>
          </w:tcPr>
          <w:p>
            <w:pPr>
              <w:pStyle w:val="nTable"/>
              <w:keepNext/>
              <w:keepLines/>
              <w:spacing w:after="40"/>
              <w:rPr>
                <w:rFonts w:ascii="Times" w:hAnsi="Times"/>
                <w:snapToGrid w:val="0"/>
                <w:sz w:val="19"/>
              </w:rPr>
            </w:pPr>
            <w:r>
              <w:rPr>
                <w:rFonts w:ascii="Times" w:hAnsi="Times"/>
                <w:snapToGrid w:val="0"/>
                <w:sz w:val="19"/>
              </w:rPr>
              <w:t>bl. 1 and 2: 28 Sep 2012 (see bl. 2(a));</w:t>
            </w:r>
            <w:r>
              <w:rPr>
                <w:rFonts w:ascii="Times" w:hAnsi="Times"/>
                <w:snapToGrid w:val="0"/>
                <w:sz w:val="19"/>
              </w:rPr>
              <w:br/>
              <w:t>By-laws other than bl. 1 and 2: 29 Sep 2012 (see bl. 2(b))</w:t>
            </w:r>
          </w:p>
        </w:tc>
      </w:tr>
      <w:tr>
        <w:tc>
          <w:tcPr>
            <w:tcW w:w="3119" w:type="dxa"/>
            <w:tcBorders>
              <w:bottom w:val="single" w:sz="4" w:space="0" w:color="auto"/>
            </w:tcBorders>
            <w:shd w:val="clear" w:color="auto" w:fill="auto"/>
          </w:tcPr>
          <w:p>
            <w:pPr>
              <w:pStyle w:val="nTable"/>
              <w:keepNext/>
              <w:keepLines/>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2013</w:t>
            </w:r>
          </w:p>
        </w:tc>
        <w:tc>
          <w:tcPr>
            <w:tcW w:w="1276" w:type="dxa"/>
            <w:tcBorders>
              <w:bottom w:val="single" w:sz="4" w:space="0" w:color="auto"/>
            </w:tcBorders>
            <w:shd w:val="clear" w:color="auto" w:fill="auto"/>
          </w:tcPr>
          <w:p>
            <w:pPr>
              <w:pStyle w:val="nTable"/>
              <w:keepNext/>
              <w:keepLines/>
              <w:spacing w:after="40"/>
              <w:rPr>
                <w:rFonts w:ascii="Times" w:hAnsi="Times"/>
                <w:sz w:val="19"/>
              </w:rPr>
            </w:pPr>
            <w:r>
              <w:rPr>
                <w:rFonts w:ascii="Times" w:hAnsi="Times"/>
                <w:sz w:val="19"/>
              </w:rPr>
              <w:t>28 Jun 2013 p. 2752</w:t>
            </w:r>
          </w:p>
        </w:tc>
        <w:tc>
          <w:tcPr>
            <w:tcW w:w="2693" w:type="dxa"/>
            <w:tcBorders>
              <w:bottom w:val="single" w:sz="4" w:space="0" w:color="auto"/>
            </w:tcBorders>
            <w:shd w:val="clear" w:color="auto" w:fill="auto"/>
          </w:tcPr>
          <w:p>
            <w:pPr>
              <w:pStyle w:val="nTable"/>
              <w:keepNext/>
              <w:keepLines/>
              <w:spacing w:after="40"/>
              <w:rPr>
                <w:rFonts w:ascii="Times" w:hAnsi="Times"/>
                <w:b/>
                <w:snapToGrid w:val="0"/>
                <w:sz w:val="19"/>
              </w:rPr>
            </w:pPr>
            <w:r>
              <w:rPr>
                <w:rFonts w:ascii="Times" w:hAnsi="Times"/>
                <w:snapToGrid w:val="0"/>
                <w:sz w:val="19"/>
              </w:rPr>
              <w:t>bl. 1 and 2: 28 Jun 2013 (see bl. 2(a));</w:t>
            </w:r>
            <w:r>
              <w:rPr>
                <w:rFonts w:ascii="Times" w:hAnsi="Times"/>
                <w:snapToGrid w:val="0"/>
                <w:sz w:val="19"/>
              </w:rPr>
              <w:br/>
              <w:t>By-laws other than bl. 1 and 2: 1 Jul 2013 (see bl. 2(b))</w:t>
            </w:r>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spacing w:before="40" w:after="40"/>
      </w:pPr>
    </w:p>
    <w:p>
      <w:pPr>
        <w:spacing w:before="40" w:after="40"/>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9" w:name="_Toc378254201"/>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 w:name="DefinedTerms"/>
      <w:bookmarkEnd w:id="40"/>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Hospital By-laws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530"/>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51211141530" w:val="RemoveTrackChanges"/>
    <w:docVar w:name="WAFER_20151211141530_GUID" w:val="ed763c5c-6c95-4b11-b409-382d2b9ff4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7E0E2-EAB9-4673-9E25-CC58CF56E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4816</Words>
  <Characters>22639</Characters>
  <Application>Microsoft Office Word</Application>
  <DocSecurity>0</DocSecurity>
  <Lines>808</Lines>
  <Paragraphs>560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1992 - 02-d0-02</dc:title>
  <dc:subject/>
  <dc:creator/>
  <cp:keywords/>
  <dc:description/>
  <cp:lastModifiedBy>svcMRProcess</cp:lastModifiedBy>
  <cp:revision>4</cp:revision>
  <cp:lastPrinted>2012-07-20T06:19:00Z</cp:lastPrinted>
  <dcterms:created xsi:type="dcterms:W3CDTF">2018-09-12T01:13:00Z</dcterms:created>
  <dcterms:modified xsi:type="dcterms:W3CDTF">2018-09-12T01:13:00Z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4456</vt:i4>
  </property>
  <property fmtid="{D5CDD505-2E9C-101B-9397-08002B2CF9AE}" pid="6" name="AsAtDate">
    <vt:lpwstr>01 Jul 2013</vt:lpwstr>
  </property>
  <property fmtid="{D5CDD505-2E9C-101B-9397-08002B2CF9AE}" pid="7" name="Suffix">
    <vt:lpwstr>02-d0-02</vt:lpwstr>
  </property>
  <property fmtid="{D5CDD505-2E9C-101B-9397-08002B2CF9AE}" pid="8" name="ReprintNo">
    <vt:lpwstr>2</vt:lpwstr>
  </property>
  <property fmtid="{D5CDD505-2E9C-101B-9397-08002B2CF9AE}" pid="9" name="ReprintedAsAt">
    <vt:filetime>2012-07-26T16:00:00Z</vt:filetime>
  </property>
</Properties>
</file>