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Royal Perth Hospital By-laws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_Toc360519919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_Toc360519920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Interpretation</w:t>
      </w:r>
      <w:r>
        <w:tab/>
      </w:r>
      <w:r>
        <w:fldChar w:fldCharType="begin"/>
      </w:r>
      <w:r>
        <w:instrText xml:space="preserve"> PAGEREF _Toc360519921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Trespass and order</w:t>
      </w:r>
    </w:p>
    <w:p>
      <w:pPr>
        <w:pStyle w:val="TOC8"/>
        <w:rPr>
          <w:rFonts w:asciiTheme="minorHAnsi" w:eastAsiaTheme="minorEastAsia" w:hAnsiTheme="minorHAnsi" w:cstheme="minorBidi"/>
          <w:szCs w:val="22"/>
          <w:lang w:eastAsia="en-AU"/>
        </w:rPr>
      </w:pPr>
      <w:r>
        <w:t>4.</w:t>
      </w:r>
      <w:r>
        <w:tab/>
        <w:t>No entry without cause</w:t>
      </w:r>
      <w:r>
        <w:tab/>
      </w:r>
      <w:r>
        <w:fldChar w:fldCharType="begin"/>
      </w:r>
      <w:r>
        <w:instrText xml:space="preserve"> PAGEREF _Toc360519923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r>
      <w:r>
        <w:rPr>
          <w:snapToGrid w:val="0"/>
        </w:rPr>
        <w:t>Directions as to use of certain areas</w:t>
      </w:r>
      <w:r>
        <w:tab/>
      </w:r>
      <w:r>
        <w:fldChar w:fldCharType="begin"/>
      </w:r>
      <w:r>
        <w:instrText xml:space="preserve"> PAGEREF _Toc360519924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Liquor</w:t>
      </w:r>
      <w:r>
        <w:tab/>
      </w:r>
      <w:r>
        <w:fldChar w:fldCharType="begin"/>
      </w:r>
      <w:r>
        <w:instrText xml:space="preserve"> PAGEREF _Toc360519925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Smoking</w:t>
      </w:r>
      <w:r>
        <w:tab/>
      </w:r>
      <w:r>
        <w:fldChar w:fldCharType="begin"/>
      </w:r>
      <w:r>
        <w:instrText xml:space="preserve"> PAGEREF _Toc360519926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Disorderly persons may be removed from site</w:t>
      </w:r>
      <w:r>
        <w:tab/>
      </w:r>
      <w:r>
        <w:fldChar w:fldCharType="begin"/>
      </w:r>
      <w:r>
        <w:instrText xml:space="preserve"> PAGEREF _Toc360519927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Traffic control</w:t>
      </w:r>
    </w:p>
    <w:p>
      <w:pPr>
        <w:pStyle w:val="TOC4"/>
        <w:tabs>
          <w:tab w:val="right" w:leader="dot" w:pos="7086"/>
        </w:tabs>
        <w:rPr>
          <w:rFonts w:asciiTheme="minorHAnsi" w:eastAsiaTheme="minorEastAsia" w:hAnsiTheme="minorHAnsi" w:cstheme="minorBidi"/>
          <w:b w:val="0"/>
          <w:szCs w:val="22"/>
          <w:lang w:eastAsia="en-AU"/>
        </w:rPr>
      </w:pPr>
      <w:r>
        <w:t>Division 1 — Driving and use of vehicles</w:t>
      </w:r>
    </w:p>
    <w:p>
      <w:pPr>
        <w:pStyle w:val="TOC8"/>
        <w:rPr>
          <w:rFonts w:asciiTheme="minorHAnsi" w:eastAsiaTheme="minorEastAsia" w:hAnsiTheme="minorHAnsi" w:cstheme="minorBidi"/>
          <w:szCs w:val="22"/>
          <w:lang w:eastAsia="en-AU"/>
        </w:rPr>
      </w:pPr>
      <w:r>
        <w:t>9.</w:t>
      </w:r>
      <w:r>
        <w:tab/>
        <w:t>Driving of vehicles</w:t>
      </w:r>
      <w:r>
        <w:tab/>
      </w:r>
      <w:r>
        <w:fldChar w:fldCharType="begin"/>
      </w:r>
      <w:r>
        <w:instrText xml:space="preserve"> PAGEREF _Toc360519930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Driver to obey reasonable direction</w:t>
      </w:r>
      <w:r>
        <w:tab/>
      </w:r>
      <w:r>
        <w:fldChar w:fldCharType="begin"/>
      </w:r>
      <w:r>
        <w:instrText xml:space="preserve"> PAGEREF _Toc360519931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Speed limits</w:t>
      </w:r>
      <w:r>
        <w:tab/>
      </w:r>
      <w:r>
        <w:fldChar w:fldCharType="begin"/>
      </w:r>
      <w:r>
        <w:instrText xml:space="preserve"> PAGEREF _Toc360519932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Giving way</w:t>
      </w:r>
      <w:r>
        <w:tab/>
      </w:r>
      <w:r>
        <w:fldChar w:fldCharType="begin"/>
      </w:r>
      <w:r>
        <w:instrText xml:space="preserve"> PAGEREF _Toc360519933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r>
      <w:r>
        <w:rPr>
          <w:snapToGrid w:val="0"/>
        </w:rPr>
        <w:t>No instruction or repairs on site</w:t>
      </w:r>
      <w:r>
        <w:tab/>
      </w:r>
      <w:r>
        <w:fldChar w:fldCharType="begin"/>
      </w:r>
      <w:r>
        <w:instrText xml:space="preserve"> PAGEREF _Toc360519934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Parking</w:t>
      </w:r>
    </w:p>
    <w:p>
      <w:pPr>
        <w:pStyle w:val="TOC8"/>
        <w:rPr>
          <w:rFonts w:asciiTheme="minorHAnsi" w:eastAsiaTheme="minorEastAsia" w:hAnsiTheme="minorHAnsi" w:cstheme="minorBidi"/>
          <w:szCs w:val="22"/>
          <w:lang w:eastAsia="en-AU"/>
        </w:rPr>
      </w:pPr>
      <w:r>
        <w:t>14.</w:t>
      </w:r>
      <w:r>
        <w:tab/>
        <w:t>Parking to be in parking spaces only</w:t>
      </w:r>
      <w:r>
        <w:tab/>
      </w:r>
      <w:r>
        <w:fldChar w:fldCharType="begin"/>
      </w:r>
      <w:r>
        <w:instrText xml:space="preserve"> PAGEREF _Toc360519936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Signs to be obeyed</w:t>
      </w:r>
      <w:r>
        <w:tab/>
      </w:r>
      <w:r>
        <w:fldChar w:fldCharType="begin"/>
      </w:r>
      <w:r>
        <w:instrText xml:space="preserve"> PAGEREF _Toc360519937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Parking in parking spaces</w:t>
      </w:r>
      <w:r>
        <w:tab/>
      </w:r>
      <w:r>
        <w:fldChar w:fldCharType="begin"/>
      </w:r>
      <w:r>
        <w:instrText xml:space="preserve"> PAGEREF _Toc360519938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t>Permit</w:t>
      </w:r>
      <w:r>
        <w:tab/>
      </w:r>
      <w:r>
        <w:fldChar w:fldCharType="begin"/>
      </w:r>
      <w:r>
        <w:instrText xml:space="preserve"> PAGEREF _Toc360519939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Refund of permit fees</w:t>
      </w:r>
      <w:r>
        <w:tab/>
      </w:r>
      <w:r>
        <w:fldChar w:fldCharType="begin"/>
      </w:r>
      <w:r>
        <w:instrText xml:space="preserve"> PAGEREF _Toc360519940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Infringement notices</w:t>
      </w:r>
    </w:p>
    <w:p>
      <w:pPr>
        <w:pStyle w:val="TOC8"/>
        <w:rPr>
          <w:rFonts w:asciiTheme="minorHAnsi" w:eastAsiaTheme="minorEastAsia" w:hAnsiTheme="minorHAnsi" w:cstheme="minorBidi"/>
          <w:szCs w:val="22"/>
          <w:lang w:eastAsia="en-AU"/>
        </w:rPr>
      </w:pPr>
      <w:r>
        <w:t>19.</w:t>
      </w:r>
      <w:r>
        <w:tab/>
        <w:t>Interpretation</w:t>
      </w:r>
      <w:r>
        <w:tab/>
      </w:r>
      <w:r>
        <w:fldChar w:fldCharType="begin"/>
      </w:r>
      <w:r>
        <w:instrText xml:space="preserve"> PAGEREF _Toc360519942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tab/>
        <w:t>Infringement notices</w:t>
      </w:r>
      <w:r>
        <w:tab/>
      </w:r>
      <w:r>
        <w:fldChar w:fldCharType="begin"/>
      </w:r>
      <w:r>
        <w:instrText xml:space="preserve"> PAGEREF _Toc360519943 \h </w:instrText>
      </w:r>
      <w:r>
        <w:fldChar w:fldCharType="separate"/>
      </w:r>
      <w:r>
        <w:t>10</w:t>
      </w:r>
      <w:r>
        <w:fldChar w:fldCharType="end"/>
      </w:r>
    </w:p>
    <w:p>
      <w:pPr>
        <w:pStyle w:val="TOC8"/>
        <w:rPr>
          <w:rFonts w:asciiTheme="minorHAnsi" w:eastAsiaTheme="minorEastAsia" w:hAnsiTheme="minorHAnsi" w:cstheme="minorBidi"/>
          <w:szCs w:val="22"/>
          <w:lang w:eastAsia="en-AU"/>
        </w:rPr>
      </w:pPr>
      <w:r>
        <w:t>21.</w:t>
      </w:r>
      <w:r>
        <w:tab/>
        <w:t>Withdrawal of infringement notice</w:t>
      </w:r>
      <w:r>
        <w:tab/>
      </w:r>
      <w:r>
        <w:fldChar w:fldCharType="begin"/>
      </w:r>
      <w:r>
        <w:instrText xml:space="preserve"> PAGEREF _Toc360519944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Authorised person to have certificate</w:t>
      </w:r>
      <w:r>
        <w:tab/>
      </w:r>
      <w:r>
        <w:fldChar w:fldCharType="begin"/>
      </w:r>
      <w:r>
        <w:instrText xml:space="preserve"> PAGEREF _Toc360519945 \h </w:instrText>
      </w:r>
      <w:r>
        <w:fldChar w:fldCharType="separate"/>
      </w:r>
      <w:r>
        <w:t>11</w:t>
      </w:r>
      <w:r>
        <w:fldChar w:fldCharType="end"/>
      </w:r>
    </w:p>
    <w:p>
      <w:pPr>
        <w:pStyle w:val="TOC8"/>
        <w:rPr>
          <w:rFonts w:asciiTheme="minorHAnsi" w:eastAsiaTheme="minorEastAsia" w:hAnsiTheme="minorHAnsi" w:cstheme="minorBidi"/>
          <w:szCs w:val="22"/>
          <w:lang w:eastAsia="en-AU"/>
        </w:rPr>
      </w:pPr>
      <w:r>
        <w:t>23.</w:t>
      </w:r>
      <w:r>
        <w:tab/>
        <w:t>Authorised persons only to endorse and alter infringement notices</w:t>
      </w:r>
      <w:r>
        <w:tab/>
      </w:r>
      <w:r>
        <w:fldChar w:fldCharType="begin"/>
      </w:r>
      <w:r>
        <w:instrText xml:space="preserve"> PAGEREF _Toc360519946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Restriction on removal of infringement notices</w:t>
      </w:r>
      <w:r>
        <w:tab/>
      </w:r>
      <w:r>
        <w:fldChar w:fldCharType="begin"/>
      </w:r>
      <w:r>
        <w:instrText xml:space="preserve"> PAGEREF _Toc360519947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w:t>
      </w:r>
    </w:p>
    <w:p>
      <w:pPr>
        <w:pStyle w:val="TOC8"/>
        <w:rPr>
          <w:rFonts w:asciiTheme="minorHAnsi" w:eastAsiaTheme="minorEastAsia" w:hAnsiTheme="minorHAnsi" w:cstheme="minorBidi"/>
          <w:szCs w:val="22"/>
          <w:lang w:eastAsia="en-AU"/>
        </w:rPr>
      </w:pPr>
      <w:r>
        <w:t>25.</w:t>
      </w:r>
      <w:r>
        <w:tab/>
        <w:t>Removal of vehicles</w:t>
      </w:r>
      <w:r>
        <w:tab/>
      </w:r>
      <w:r>
        <w:fldChar w:fldCharType="begin"/>
      </w:r>
      <w:r>
        <w:instrText xml:space="preserve"> PAGEREF _Toc360519949 \h </w:instrText>
      </w:r>
      <w:r>
        <w:fldChar w:fldCharType="separate"/>
      </w:r>
      <w:r>
        <w:t>13</w:t>
      </w:r>
      <w:r>
        <w:fldChar w:fldCharType="end"/>
      </w:r>
    </w:p>
    <w:p>
      <w:pPr>
        <w:pStyle w:val="TOC8"/>
        <w:rPr>
          <w:rFonts w:asciiTheme="minorHAnsi" w:eastAsiaTheme="minorEastAsia" w:hAnsiTheme="minorHAnsi" w:cstheme="minorBidi"/>
          <w:szCs w:val="22"/>
          <w:lang w:eastAsia="en-AU"/>
        </w:rPr>
      </w:pPr>
      <w:r>
        <w:t>26.</w:t>
      </w:r>
      <w:r>
        <w:tab/>
        <w:t>Registered owner may be treated as being driver or person in charge of vehicle at time of offence</w:t>
      </w:r>
      <w:r>
        <w:tab/>
      </w:r>
      <w:r>
        <w:fldChar w:fldCharType="begin"/>
      </w:r>
      <w:r>
        <w:instrText xml:space="preserve"> PAGEREF _Toc360519950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Other offences</w:t>
      </w:r>
      <w:r>
        <w:tab/>
      </w:r>
      <w:r>
        <w:fldChar w:fldCharType="begin"/>
      </w:r>
      <w:r>
        <w:instrText xml:space="preserve"> PAGEREF _Toc360519951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Hospital sites</w:t>
      </w:r>
    </w:p>
    <w:p>
      <w:pPr>
        <w:pStyle w:val="TOC2"/>
        <w:tabs>
          <w:tab w:val="right" w:leader="dot" w:pos="7086"/>
        </w:tabs>
        <w:rPr>
          <w:rFonts w:asciiTheme="minorHAnsi" w:eastAsiaTheme="minorEastAsia" w:hAnsiTheme="minorHAnsi" w:cstheme="minorBidi"/>
          <w:b w:val="0"/>
          <w:sz w:val="22"/>
          <w:szCs w:val="22"/>
          <w:lang w:eastAsia="en-AU"/>
        </w:rPr>
      </w:pPr>
      <w:r>
        <w:t>Schedule 2A — Fees</w:t>
      </w:r>
    </w:p>
    <w:p>
      <w:pPr>
        <w:pStyle w:val="TOC2"/>
        <w:tabs>
          <w:tab w:val="right" w:leader="dot" w:pos="7086"/>
        </w:tabs>
        <w:rPr>
          <w:rFonts w:asciiTheme="minorHAnsi" w:eastAsiaTheme="minorEastAsia" w:hAnsiTheme="minorHAnsi" w:cstheme="minorBidi"/>
          <w:b w:val="0"/>
          <w:sz w:val="22"/>
          <w:szCs w:val="22"/>
          <w:lang w:eastAsia="en-AU"/>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_Toc360519957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227576866"/>
      <w:bookmarkStart w:id="2" w:name="_Toc227638718"/>
      <w:bookmarkStart w:id="3" w:name="_Toc278467532"/>
      <w:bookmarkStart w:id="4" w:name="_Toc281465814"/>
      <w:bookmarkStart w:id="5" w:name="_Toc297298918"/>
      <w:bookmarkStart w:id="6" w:name="_Toc312399059"/>
      <w:bookmarkStart w:id="7" w:name="_Toc312916205"/>
      <w:bookmarkStart w:id="8" w:name="_Toc338689353"/>
      <w:bookmarkStart w:id="9" w:name="_Toc338755650"/>
      <w:bookmarkStart w:id="10" w:name="_Toc3605199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360519919"/>
      <w:r>
        <w:rPr>
          <w:rStyle w:val="CharSectno"/>
        </w:rPr>
        <w:t>1</w:t>
      </w:r>
      <w:r>
        <w:t>.</w:t>
      </w:r>
      <w:r>
        <w:tab/>
        <w:t>Citation</w:t>
      </w:r>
      <w:bookmarkEnd w:id="11"/>
      <w:bookmarkEnd w:id="12"/>
      <w:bookmarkEnd w:id="13"/>
      <w:bookmarkEnd w:id="14"/>
      <w:bookmarkEnd w:id="15"/>
      <w:bookmarkEnd w:id="16"/>
      <w:bookmarkEnd w:id="17"/>
      <w:bookmarkEnd w:id="18"/>
    </w:p>
    <w:p>
      <w:pPr>
        <w:pStyle w:val="Subsection"/>
      </w:pPr>
      <w:r>
        <w:tab/>
      </w:r>
      <w:r>
        <w:tab/>
      </w:r>
      <w:bookmarkStart w:id="19" w:name="Start_Cursor"/>
      <w:bookmarkEnd w:id="19"/>
      <w:r>
        <w:rPr>
          <w:spacing w:val="-2"/>
        </w:rPr>
        <w:t>These</w:t>
      </w:r>
      <w:r>
        <w:t xml:space="preserve"> </w:t>
      </w:r>
      <w:r>
        <w:rPr>
          <w:spacing w:val="-2"/>
        </w:rPr>
        <w:t>by-laws</w:t>
      </w:r>
      <w:r>
        <w:t xml:space="preserve"> are the </w:t>
      </w:r>
      <w:r>
        <w:rPr>
          <w:i/>
        </w:rPr>
        <w:t>Royal Perth Hospital By-laws 2009</w:t>
      </w:r>
      <w:r>
        <w:t>.</w:t>
      </w:r>
    </w:p>
    <w:p>
      <w:pPr>
        <w:pStyle w:val="Heading5"/>
      </w:pPr>
      <w:bookmarkStart w:id="20" w:name="_Toc360519920"/>
      <w:r>
        <w:rPr>
          <w:rStyle w:val="CharSectno"/>
        </w:rPr>
        <w:t>2</w:t>
      </w:r>
      <w:r>
        <w:t>.</w:t>
      </w:r>
      <w:r>
        <w:tab/>
        <w:t>Commencement</w:t>
      </w:r>
      <w:bookmarkEnd w:id="20"/>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21" w:name="_Toc360519921"/>
      <w:r>
        <w:rPr>
          <w:rStyle w:val="CharSectno"/>
        </w:rPr>
        <w:t>3</w:t>
      </w:r>
      <w:r>
        <w:t>.</w:t>
      </w:r>
      <w:r>
        <w:tab/>
        <w:t>Interpretation</w:t>
      </w:r>
      <w:bookmarkEnd w:id="2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22" w:name="_Toc227576870"/>
      <w:bookmarkStart w:id="23" w:name="_Toc227638722"/>
      <w:bookmarkStart w:id="24" w:name="_Toc278467536"/>
      <w:bookmarkStart w:id="25" w:name="_Toc281465818"/>
      <w:bookmarkStart w:id="26" w:name="_Toc297298922"/>
      <w:bookmarkStart w:id="27" w:name="_Toc312399063"/>
      <w:bookmarkStart w:id="28" w:name="_Toc312916209"/>
      <w:bookmarkStart w:id="29" w:name="_Toc338689357"/>
      <w:bookmarkStart w:id="30" w:name="_Toc338755654"/>
      <w:bookmarkStart w:id="31" w:name="_Toc360519922"/>
      <w:bookmarkStart w:id="32" w:name="_Toc437943303"/>
      <w:bookmarkStart w:id="33" w:name="_Toc471091703"/>
      <w:bookmarkStart w:id="34" w:name="_Toc496083449"/>
      <w:bookmarkStart w:id="35" w:name="_Toc496416764"/>
      <w:bookmarkStart w:id="36" w:name="_Toc532783970"/>
      <w:bookmarkStart w:id="37" w:name="_Toc533572144"/>
      <w:r>
        <w:rPr>
          <w:rStyle w:val="CharPartNo"/>
        </w:rPr>
        <w:t>Part 2</w:t>
      </w:r>
      <w:r>
        <w:rPr>
          <w:rStyle w:val="CharDivNo"/>
        </w:rPr>
        <w:t> </w:t>
      </w:r>
      <w:r>
        <w:t>—</w:t>
      </w:r>
      <w:r>
        <w:rPr>
          <w:rStyle w:val="CharDivText"/>
        </w:rPr>
        <w:t> </w:t>
      </w:r>
      <w:r>
        <w:rPr>
          <w:rStyle w:val="CharPartText"/>
        </w:rPr>
        <w:t>Trespass and order</w:t>
      </w:r>
      <w:bookmarkEnd w:id="22"/>
      <w:bookmarkEnd w:id="23"/>
      <w:bookmarkEnd w:id="24"/>
      <w:bookmarkEnd w:id="25"/>
      <w:bookmarkEnd w:id="26"/>
      <w:bookmarkEnd w:id="27"/>
      <w:bookmarkEnd w:id="28"/>
      <w:bookmarkEnd w:id="29"/>
      <w:bookmarkEnd w:id="30"/>
      <w:bookmarkEnd w:id="31"/>
    </w:p>
    <w:p>
      <w:pPr>
        <w:pStyle w:val="Heading5"/>
        <w:rPr>
          <w:snapToGrid w:val="0"/>
        </w:rPr>
      </w:pPr>
      <w:bookmarkStart w:id="38" w:name="_Toc360519923"/>
      <w:r>
        <w:rPr>
          <w:rStyle w:val="CharSectno"/>
        </w:rPr>
        <w:t>4</w:t>
      </w:r>
      <w:r>
        <w:t>.</w:t>
      </w:r>
      <w:r>
        <w:tab/>
        <w:t>No entry without cause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9" w:name="_Toc360519924"/>
      <w:r>
        <w:rPr>
          <w:rStyle w:val="CharSectno"/>
        </w:rPr>
        <w:t>5</w:t>
      </w:r>
      <w:r>
        <w:t>.</w:t>
      </w:r>
      <w:r>
        <w:tab/>
      </w:r>
      <w:r>
        <w:rPr>
          <w:snapToGrid w:val="0"/>
        </w:rPr>
        <w:t>Directions as to use of certain areas</w:t>
      </w:r>
      <w:bookmarkEnd w:id="39"/>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0" w:name="_Toc360519925"/>
      <w:r>
        <w:rPr>
          <w:rStyle w:val="CharSectno"/>
        </w:rPr>
        <w:t>6</w:t>
      </w:r>
      <w:r>
        <w:t>.</w:t>
      </w:r>
      <w:r>
        <w:tab/>
        <w:t>Liquor</w:t>
      </w:r>
      <w:bookmarkEnd w:id="40"/>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41" w:name="_Toc360519926"/>
      <w:r>
        <w:rPr>
          <w:rStyle w:val="CharSectno"/>
        </w:rPr>
        <w:t>7</w:t>
      </w:r>
      <w:r>
        <w:t>.</w:t>
      </w:r>
      <w:r>
        <w:tab/>
        <w:t>Smoking</w:t>
      </w:r>
      <w:bookmarkEnd w:id="41"/>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2" w:name="_Toc360519927"/>
      <w:r>
        <w:rPr>
          <w:rStyle w:val="CharSectno"/>
        </w:rPr>
        <w:t>8</w:t>
      </w:r>
      <w:r>
        <w:t>.</w:t>
      </w:r>
      <w:r>
        <w:tab/>
        <w:t>Disorderly persons may be removed from site</w:t>
      </w:r>
      <w:bookmarkEnd w:id="42"/>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3" w:name="_Toc227576876"/>
      <w:bookmarkStart w:id="44" w:name="_Toc227638728"/>
      <w:bookmarkStart w:id="45" w:name="_Toc278467542"/>
      <w:bookmarkStart w:id="46" w:name="_Toc281465824"/>
      <w:bookmarkStart w:id="47" w:name="_Toc297298928"/>
      <w:bookmarkStart w:id="48" w:name="_Toc312399069"/>
      <w:bookmarkStart w:id="49" w:name="_Toc312916215"/>
      <w:bookmarkStart w:id="50" w:name="_Toc338689363"/>
      <w:bookmarkStart w:id="51" w:name="_Toc338755660"/>
      <w:bookmarkStart w:id="52" w:name="_Toc360519928"/>
      <w:r>
        <w:rPr>
          <w:rStyle w:val="CharPartNo"/>
        </w:rPr>
        <w:t>Part 3</w:t>
      </w:r>
      <w:r>
        <w:t> — </w:t>
      </w:r>
      <w:r>
        <w:rPr>
          <w:rStyle w:val="CharPartText"/>
        </w:rPr>
        <w:t>Traffic control</w:t>
      </w:r>
      <w:bookmarkEnd w:id="43"/>
      <w:bookmarkEnd w:id="44"/>
      <w:bookmarkEnd w:id="45"/>
      <w:bookmarkEnd w:id="46"/>
      <w:bookmarkEnd w:id="47"/>
      <w:bookmarkEnd w:id="48"/>
      <w:bookmarkEnd w:id="49"/>
      <w:bookmarkEnd w:id="50"/>
      <w:bookmarkEnd w:id="51"/>
      <w:bookmarkEnd w:id="52"/>
    </w:p>
    <w:p>
      <w:pPr>
        <w:pStyle w:val="Heading3"/>
      </w:pPr>
      <w:bookmarkStart w:id="53" w:name="_Toc227576877"/>
      <w:bookmarkStart w:id="54" w:name="_Toc227638729"/>
      <w:bookmarkStart w:id="55" w:name="_Toc278467543"/>
      <w:bookmarkStart w:id="56" w:name="_Toc281465825"/>
      <w:bookmarkStart w:id="57" w:name="_Toc297298929"/>
      <w:bookmarkStart w:id="58" w:name="_Toc312399070"/>
      <w:bookmarkStart w:id="59" w:name="_Toc312916216"/>
      <w:bookmarkStart w:id="60" w:name="_Toc338689364"/>
      <w:bookmarkStart w:id="61" w:name="_Toc338755661"/>
      <w:bookmarkStart w:id="62" w:name="_Toc360519929"/>
      <w:bookmarkStart w:id="63" w:name="_Toc437943308"/>
      <w:bookmarkStart w:id="64" w:name="_Toc471091708"/>
      <w:bookmarkStart w:id="65" w:name="_Toc496083454"/>
      <w:bookmarkStart w:id="66" w:name="_Toc496416769"/>
      <w:bookmarkStart w:id="67" w:name="_Toc532783975"/>
      <w:bookmarkStart w:id="68" w:name="_Toc533572149"/>
      <w:r>
        <w:rPr>
          <w:rStyle w:val="CharDivNo"/>
        </w:rPr>
        <w:t>Division 1</w:t>
      </w:r>
      <w:r>
        <w:t> — </w:t>
      </w:r>
      <w:r>
        <w:rPr>
          <w:rStyle w:val="CharDivText"/>
        </w:rPr>
        <w:t>Driving and use of vehicles</w:t>
      </w:r>
      <w:bookmarkEnd w:id="53"/>
      <w:bookmarkEnd w:id="54"/>
      <w:bookmarkEnd w:id="55"/>
      <w:bookmarkEnd w:id="56"/>
      <w:bookmarkEnd w:id="57"/>
      <w:bookmarkEnd w:id="58"/>
      <w:bookmarkEnd w:id="59"/>
      <w:bookmarkEnd w:id="60"/>
      <w:bookmarkEnd w:id="61"/>
      <w:bookmarkEnd w:id="62"/>
    </w:p>
    <w:p>
      <w:pPr>
        <w:pStyle w:val="Heading5"/>
      </w:pPr>
      <w:bookmarkStart w:id="69" w:name="_Toc360519930"/>
      <w:bookmarkEnd w:id="63"/>
      <w:bookmarkEnd w:id="64"/>
      <w:bookmarkEnd w:id="65"/>
      <w:bookmarkEnd w:id="66"/>
      <w:bookmarkEnd w:id="67"/>
      <w:bookmarkEnd w:id="68"/>
      <w:r>
        <w:rPr>
          <w:rStyle w:val="CharSectno"/>
        </w:rPr>
        <w:t>9</w:t>
      </w:r>
      <w:r>
        <w:t>.</w:t>
      </w:r>
      <w:r>
        <w:tab/>
        <w:t>Driving of vehicles</w:t>
      </w:r>
      <w:bookmarkEnd w:id="69"/>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70" w:name="_Toc360519931"/>
      <w:r>
        <w:rPr>
          <w:rStyle w:val="CharSectno"/>
        </w:rPr>
        <w:t>10</w:t>
      </w:r>
      <w:r>
        <w:t>.</w:t>
      </w:r>
      <w:r>
        <w:tab/>
        <w:t>Driver to obey reasonable direction</w:t>
      </w:r>
      <w:bookmarkEnd w:id="70"/>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71" w:name="_Toc360519932"/>
      <w:r>
        <w:rPr>
          <w:rStyle w:val="CharSectno"/>
        </w:rPr>
        <w:t>11</w:t>
      </w:r>
      <w:r>
        <w:t>.</w:t>
      </w:r>
      <w:r>
        <w:tab/>
        <w:t>Speed limits</w:t>
      </w:r>
      <w:bookmarkEnd w:id="71"/>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72" w:name="_Toc360519933"/>
      <w:r>
        <w:rPr>
          <w:rStyle w:val="CharSectno"/>
        </w:rPr>
        <w:t>12</w:t>
      </w:r>
      <w:r>
        <w:t>.</w:t>
      </w:r>
      <w:r>
        <w:tab/>
        <w:t>Giving way</w:t>
      </w:r>
      <w:bookmarkEnd w:id="7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73" w:name="_Toc360519934"/>
      <w:r>
        <w:rPr>
          <w:rStyle w:val="CharSectno"/>
        </w:rPr>
        <w:t>13</w:t>
      </w:r>
      <w:r>
        <w:t>.</w:t>
      </w:r>
      <w:r>
        <w:tab/>
      </w:r>
      <w:r>
        <w:rPr>
          <w:snapToGrid w:val="0"/>
        </w:rPr>
        <w:t>No instruction or repairs on site</w:t>
      </w:r>
      <w:bookmarkEnd w:id="7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74" w:name="_Toc227576883"/>
      <w:bookmarkStart w:id="75" w:name="_Toc227638735"/>
      <w:bookmarkStart w:id="76" w:name="_Toc278467549"/>
      <w:bookmarkStart w:id="77" w:name="_Toc281465831"/>
      <w:bookmarkStart w:id="78" w:name="_Toc297298935"/>
      <w:bookmarkStart w:id="79" w:name="_Toc312399076"/>
      <w:bookmarkStart w:id="80" w:name="_Toc312916222"/>
      <w:bookmarkStart w:id="81" w:name="_Toc338689370"/>
      <w:bookmarkStart w:id="82" w:name="_Toc338755667"/>
      <w:bookmarkStart w:id="83" w:name="_Toc360519935"/>
      <w:bookmarkStart w:id="84" w:name="_Toc437943313"/>
      <w:bookmarkStart w:id="85" w:name="_Toc471091713"/>
      <w:bookmarkStart w:id="86" w:name="_Toc496083459"/>
      <w:bookmarkStart w:id="87" w:name="_Toc496416774"/>
      <w:bookmarkStart w:id="88" w:name="_Toc532783980"/>
      <w:bookmarkStart w:id="89" w:name="_Toc533572154"/>
      <w:r>
        <w:rPr>
          <w:rStyle w:val="CharDivNo"/>
        </w:rPr>
        <w:t>Division 2</w:t>
      </w:r>
      <w:r>
        <w:t> — </w:t>
      </w:r>
      <w:r>
        <w:rPr>
          <w:rStyle w:val="CharDivText"/>
        </w:rPr>
        <w:t>Parking</w:t>
      </w:r>
      <w:bookmarkEnd w:id="74"/>
      <w:bookmarkEnd w:id="75"/>
      <w:bookmarkEnd w:id="76"/>
      <w:bookmarkEnd w:id="77"/>
      <w:bookmarkEnd w:id="78"/>
      <w:bookmarkEnd w:id="79"/>
      <w:bookmarkEnd w:id="80"/>
      <w:bookmarkEnd w:id="81"/>
      <w:bookmarkEnd w:id="82"/>
      <w:bookmarkEnd w:id="83"/>
    </w:p>
    <w:p>
      <w:pPr>
        <w:pStyle w:val="Heading5"/>
      </w:pPr>
      <w:bookmarkStart w:id="90" w:name="_Toc360519936"/>
      <w:bookmarkEnd w:id="84"/>
      <w:bookmarkEnd w:id="85"/>
      <w:bookmarkEnd w:id="86"/>
      <w:bookmarkEnd w:id="87"/>
      <w:bookmarkEnd w:id="88"/>
      <w:bookmarkEnd w:id="89"/>
      <w:r>
        <w:rPr>
          <w:rStyle w:val="CharSectno"/>
        </w:rPr>
        <w:t>14</w:t>
      </w:r>
      <w:r>
        <w:t>.</w:t>
      </w:r>
      <w:r>
        <w:tab/>
        <w:t>Parking to be in parking spaces only</w:t>
      </w:r>
      <w:bookmarkEnd w:id="9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91" w:name="_Toc360519937"/>
      <w:r>
        <w:rPr>
          <w:rStyle w:val="CharSectno"/>
        </w:rPr>
        <w:t>15</w:t>
      </w:r>
      <w:r>
        <w:t>.</w:t>
      </w:r>
      <w:r>
        <w:tab/>
        <w:t>Signs to be obeyed</w:t>
      </w:r>
      <w:bookmarkEnd w:id="9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92" w:name="_Toc360519938"/>
      <w:r>
        <w:rPr>
          <w:rStyle w:val="CharSectno"/>
        </w:rPr>
        <w:t>16</w:t>
      </w:r>
      <w:r>
        <w:t>.</w:t>
      </w:r>
      <w:r>
        <w:tab/>
        <w:t>Parking in parking spaces</w:t>
      </w:r>
      <w:bookmarkEnd w:id="9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93" w:name="_Hlt496586520"/>
      <w:bookmarkStart w:id="94" w:name="_Toc360519939"/>
      <w:bookmarkEnd w:id="93"/>
      <w:r>
        <w:rPr>
          <w:rStyle w:val="CharSectno"/>
        </w:rPr>
        <w:t>17</w:t>
      </w:r>
      <w:r>
        <w:t>.</w:t>
      </w:r>
      <w:r>
        <w:tab/>
        <w:t>Permit</w:t>
      </w:r>
      <w:bookmarkEnd w:id="94"/>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95" w:name="_Toc154283266"/>
      <w:bookmarkStart w:id="96" w:name="_Toc360519940"/>
      <w:r>
        <w:rPr>
          <w:rStyle w:val="CharSectno"/>
        </w:rPr>
        <w:t>18</w:t>
      </w:r>
      <w:r>
        <w:t>.</w:t>
      </w:r>
      <w:r>
        <w:tab/>
        <w:t>Refund of permit fees</w:t>
      </w:r>
      <w:bookmarkEnd w:id="95"/>
      <w:bookmarkEnd w:id="96"/>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bookmarkStart w:id="97" w:name="_Toc227576889"/>
      <w:bookmarkStart w:id="98" w:name="_Toc227638741"/>
      <w:bookmarkStart w:id="99" w:name="_Toc278467555"/>
      <w:bookmarkStart w:id="100" w:name="_Toc281465837"/>
      <w:bookmarkStart w:id="101" w:name="_Toc297298941"/>
      <w:bookmarkStart w:id="102" w:name="_Toc437943318"/>
      <w:bookmarkStart w:id="103" w:name="_Toc471091717"/>
      <w:bookmarkStart w:id="104" w:name="_Toc496083463"/>
      <w:bookmarkStart w:id="105" w:name="_Toc496416778"/>
      <w:bookmarkStart w:id="106" w:name="_Toc532783984"/>
      <w:bookmarkStart w:id="107" w:name="_Toc533572158"/>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108" w:name="_Toc312399082"/>
      <w:bookmarkStart w:id="109" w:name="_Toc312916228"/>
      <w:bookmarkStart w:id="110" w:name="_Toc338689376"/>
      <w:bookmarkStart w:id="111" w:name="_Toc338755673"/>
      <w:bookmarkStart w:id="112" w:name="_Toc360519941"/>
      <w:r>
        <w:rPr>
          <w:rStyle w:val="CharPartNo"/>
        </w:rPr>
        <w:t>Part 4</w:t>
      </w:r>
      <w:r>
        <w:rPr>
          <w:rStyle w:val="CharDivNo"/>
        </w:rPr>
        <w:t> </w:t>
      </w:r>
      <w:r>
        <w:t>—</w:t>
      </w:r>
      <w:r>
        <w:rPr>
          <w:rStyle w:val="CharDivText"/>
        </w:rPr>
        <w:t> </w:t>
      </w:r>
      <w:r>
        <w:rPr>
          <w:rStyle w:val="CharPartText"/>
        </w:rPr>
        <w:t>Infringement notices</w:t>
      </w:r>
      <w:bookmarkEnd w:id="97"/>
      <w:bookmarkEnd w:id="98"/>
      <w:bookmarkEnd w:id="99"/>
      <w:bookmarkEnd w:id="100"/>
      <w:bookmarkEnd w:id="101"/>
      <w:bookmarkEnd w:id="108"/>
      <w:bookmarkEnd w:id="109"/>
      <w:bookmarkEnd w:id="110"/>
      <w:bookmarkEnd w:id="111"/>
      <w:bookmarkEnd w:id="112"/>
    </w:p>
    <w:p>
      <w:pPr>
        <w:pStyle w:val="Heading5"/>
        <w:rPr>
          <w:snapToGrid w:val="0"/>
        </w:rPr>
      </w:pPr>
      <w:bookmarkStart w:id="113" w:name="_Toc360519942"/>
      <w:r>
        <w:rPr>
          <w:rStyle w:val="CharSectno"/>
        </w:rPr>
        <w:t>19</w:t>
      </w:r>
      <w:r>
        <w:t>.</w:t>
      </w:r>
      <w:r>
        <w:tab/>
        <w:t>Interpretation</w:t>
      </w:r>
      <w:bookmarkEnd w:id="102"/>
      <w:bookmarkEnd w:id="103"/>
      <w:bookmarkEnd w:id="104"/>
      <w:bookmarkEnd w:id="105"/>
      <w:bookmarkEnd w:id="106"/>
      <w:bookmarkEnd w:id="107"/>
      <w:bookmarkEnd w:id="11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14" w:name="endcomma"/>
      <w:bookmarkEnd w:id="114"/>
      <w:r>
        <w:t xml:space="preserve"> </w:t>
      </w:r>
      <w:bookmarkStart w:id="115" w:name="comma"/>
      <w:bookmarkEnd w:id="115"/>
      <w:r>
        <w:t>means a penalty prescribed in Schedule 2 for an offence under Part 3 or 4.</w:t>
      </w:r>
    </w:p>
    <w:p>
      <w:pPr>
        <w:pStyle w:val="Heading5"/>
      </w:pPr>
      <w:bookmarkStart w:id="116" w:name="_Toc360519943"/>
      <w:r>
        <w:rPr>
          <w:rStyle w:val="CharSectno"/>
        </w:rPr>
        <w:t>20</w:t>
      </w:r>
      <w:r>
        <w:t>.</w:t>
      </w:r>
      <w:r>
        <w:tab/>
        <w:t>Infringement notices</w:t>
      </w:r>
      <w:bookmarkEnd w:id="116"/>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117" w:name="_Hlt502127995"/>
      <w:bookmarkStart w:id="118" w:name="_Toc360519944"/>
      <w:bookmarkEnd w:id="117"/>
      <w:r>
        <w:rPr>
          <w:rStyle w:val="CharSectno"/>
        </w:rPr>
        <w:t>21</w:t>
      </w:r>
      <w:r>
        <w:t>.</w:t>
      </w:r>
      <w:r>
        <w:tab/>
        <w:t>Withdrawal of infringement notice</w:t>
      </w:r>
      <w:bookmarkEnd w:id="118"/>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19" w:name="_Toc360519945"/>
      <w:r>
        <w:rPr>
          <w:rStyle w:val="CharSectno"/>
        </w:rPr>
        <w:t>22</w:t>
      </w:r>
      <w:r>
        <w:t>.</w:t>
      </w:r>
      <w:r>
        <w:tab/>
        <w:t>Authorised person to have certificate</w:t>
      </w:r>
      <w:bookmarkEnd w:id="119"/>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20" w:name="_Toc360519946"/>
      <w:r>
        <w:rPr>
          <w:rStyle w:val="CharSectno"/>
        </w:rPr>
        <w:t>23</w:t>
      </w:r>
      <w:r>
        <w:t>.</w:t>
      </w:r>
      <w:r>
        <w:tab/>
        <w:t>Authorised persons only to endorse and alter infringement notices</w:t>
      </w:r>
      <w:bookmarkEnd w:id="120"/>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21" w:name="_Toc360519947"/>
      <w:r>
        <w:rPr>
          <w:rStyle w:val="CharSectno"/>
        </w:rPr>
        <w:t>24</w:t>
      </w:r>
      <w:r>
        <w:t>.</w:t>
      </w:r>
      <w:r>
        <w:tab/>
        <w:t>Restriction on removal of infringement notices</w:t>
      </w:r>
      <w:bookmarkEnd w:id="121"/>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22" w:name="_Toc227576896"/>
      <w:bookmarkStart w:id="123" w:name="_Toc227638748"/>
      <w:bookmarkStart w:id="124" w:name="_Toc278467562"/>
      <w:bookmarkStart w:id="125" w:name="_Toc281465844"/>
      <w:bookmarkStart w:id="126" w:name="_Toc297298948"/>
      <w:bookmarkStart w:id="127" w:name="_Toc312399089"/>
      <w:bookmarkStart w:id="128" w:name="_Toc312916235"/>
      <w:bookmarkStart w:id="129" w:name="_Toc338689383"/>
      <w:bookmarkStart w:id="130" w:name="_Toc338755680"/>
      <w:bookmarkStart w:id="131" w:name="_Toc360519948"/>
      <w:bookmarkStart w:id="132" w:name="_Toc437943324"/>
      <w:bookmarkStart w:id="133" w:name="_Toc471091723"/>
      <w:bookmarkStart w:id="134" w:name="_Toc496083469"/>
      <w:bookmarkStart w:id="135" w:name="_Toc496416784"/>
      <w:bookmarkStart w:id="136" w:name="_Toc532783990"/>
      <w:bookmarkStart w:id="137" w:name="_Toc533572164"/>
      <w:r>
        <w:rPr>
          <w:rStyle w:val="CharPartNo"/>
        </w:rPr>
        <w:t>Part 5</w:t>
      </w:r>
      <w:r>
        <w:rPr>
          <w:rStyle w:val="CharDivNo"/>
        </w:rPr>
        <w:t> </w:t>
      </w:r>
      <w:r>
        <w:t>—</w:t>
      </w:r>
      <w:r>
        <w:rPr>
          <w:rStyle w:val="CharDivText"/>
        </w:rPr>
        <w:t> </w:t>
      </w:r>
      <w:r>
        <w:rPr>
          <w:rStyle w:val="CharPartText"/>
        </w:rPr>
        <w:t>General</w:t>
      </w:r>
      <w:bookmarkEnd w:id="122"/>
      <w:bookmarkEnd w:id="123"/>
      <w:bookmarkEnd w:id="124"/>
      <w:bookmarkEnd w:id="125"/>
      <w:bookmarkEnd w:id="126"/>
      <w:bookmarkEnd w:id="127"/>
      <w:bookmarkEnd w:id="128"/>
      <w:bookmarkEnd w:id="129"/>
      <w:bookmarkEnd w:id="130"/>
      <w:bookmarkEnd w:id="131"/>
    </w:p>
    <w:p>
      <w:pPr>
        <w:pStyle w:val="Heading5"/>
      </w:pPr>
      <w:bookmarkStart w:id="138" w:name="_Toc360519949"/>
      <w:bookmarkEnd w:id="132"/>
      <w:bookmarkEnd w:id="133"/>
      <w:bookmarkEnd w:id="134"/>
      <w:bookmarkEnd w:id="135"/>
      <w:bookmarkEnd w:id="136"/>
      <w:bookmarkEnd w:id="137"/>
      <w:r>
        <w:rPr>
          <w:rStyle w:val="CharSectno"/>
        </w:rPr>
        <w:t>25</w:t>
      </w:r>
      <w:r>
        <w:t>.</w:t>
      </w:r>
      <w:r>
        <w:tab/>
        <w:t>Removal of vehicles</w:t>
      </w:r>
      <w:bookmarkEnd w:id="138"/>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139" w:name="_Toc360519950"/>
      <w:r>
        <w:rPr>
          <w:rStyle w:val="CharSectno"/>
        </w:rPr>
        <w:t>26</w:t>
      </w:r>
      <w:r>
        <w:t>.</w:t>
      </w:r>
      <w:r>
        <w:tab/>
        <w:t>Registered owner may be treated as being driver or person in charge of vehicle at time of offence</w:t>
      </w:r>
      <w:bookmarkEnd w:id="13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40" w:name="_Toc360519951"/>
      <w:r>
        <w:rPr>
          <w:rStyle w:val="CharSectno"/>
        </w:rPr>
        <w:t>27</w:t>
      </w:r>
      <w:r>
        <w:t>.</w:t>
      </w:r>
      <w:r>
        <w:tab/>
        <w:t>Other offences</w:t>
      </w:r>
      <w:bookmarkEnd w:id="14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1" w:name="_Toc227576900"/>
    </w:p>
    <w:p>
      <w:pPr>
        <w:pStyle w:val="yScheduleHeading"/>
        <w:outlineLvl w:val="0"/>
      </w:pPr>
      <w:bookmarkStart w:id="142" w:name="_Toc227638752"/>
      <w:bookmarkStart w:id="143" w:name="_Toc278467566"/>
      <w:bookmarkStart w:id="144" w:name="_Toc281465848"/>
      <w:bookmarkStart w:id="145" w:name="_Toc297298952"/>
      <w:bookmarkStart w:id="146" w:name="_Toc312399093"/>
      <w:bookmarkStart w:id="147" w:name="_Toc312916239"/>
      <w:bookmarkStart w:id="148" w:name="_Toc338689387"/>
      <w:bookmarkStart w:id="149" w:name="_Toc338755684"/>
      <w:bookmarkStart w:id="150" w:name="_Toc360519952"/>
      <w:r>
        <w:rPr>
          <w:rStyle w:val="CharSchNo"/>
        </w:rPr>
        <w:t>Schedule 1</w:t>
      </w:r>
      <w:r>
        <w:rPr>
          <w:rStyle w:val="CharSDivNo"/>
        </w:rPr>
        <w:t> </w:t>
      </w:r>
      <w:r>
        <w:t>—</w:t>
      </w:r>
      <w:bookmarkStart w:id="151" w:name="AutoSch"/>
      <w:bookmarkEnd w:id="151"/>
      <w:r>
        <w:rPr>
          <w:rStyle w:val="CharSDivText"/>
        </w:rPr>
        <w:t> </w:t>
      </w:r>
      <w:r>
        <w:rPr>
          <w:rStyle w:val="CharSchText"/>
        </w:rPr>
        <w:t>Hospital sites</w:t>
      </w:r>
      <w:bookmarkEnd w:id="141"/>
      <w:bookmarkEnd w:id="142"/>
      <w:bookmarkEnd w:id="143"/>
      <w:bookmarkEnd w:id="144"/>
      <w:bookmarkEnd w:id="145"/>
      <w:bookmarkEnd w:id="146"/>
      <w:bookmarkEnd w:id="147"/>
      <w:bookmarkEnd w:id="148"/>
      <w:bookmarkEnd w:id="149"/>
      <w:bookmarkEnd w:id="150"/>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52" w:name="_Toc281465849"/>
      <w:bookmarkStart w:id="153" w:name="_Toc297298953"/>
      <w:bookmarkStart w:id="154" w:name="_Toc312399094"/>
      <w:bookmarkStart w:id="155" w:name="_Toc312916240"/>
      <w:bookmarkStart w:id="156" w:name="_Toc338689388"/>
      <w:bookmarkStart w:id="157" w:name="_Toc338755685"/>
      <w:bookmarkStart w:id="158" w:name="_Toc360519953"/>
      <w:bookmarkStart w:id="159" w:name="_Toc227576901"/>
      <w:bookmarkStart w:id="160" w:name="_Toc227638753"/>
      <w:bookmarkStart w:id="161" w:name="_Toc278467567"/>
      <w:bookmarkStart w:id="162" w:name="_Toc533572168"/>
      <w:r>
        <w:rPr>
          <w:rStyle w:val="CharSchNo"/>
        </w:rPr>
        <w:t>Schedule 2A</w:t>
      </w:r>
      <w:r>
        <w:t> — </w:t>
      </w:r>
      <w:r>
        <w:rPr>
          <w:rStyle w:val="CharSchText"/>
        </w:rPr>
        <w:t>Fees</w:t>
      </w:r>
      <w:bookmarkEnd w:id="152"/>
      <w:bookmarkEnd w:id="153"/>
      <w:bookmarkEnd w:id="154"/>
      <w:bookmarkEnd w:id="155"/>
      <w:bookmarkEnd w:id="156"/>
      <w:bookmarkEnd w:id="157"/>
      <w:bookmarkEnd w:id="158"/>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at Wellington Street Campus</w:t>
            </w:r>
          </w:p>
        </w:tc>
        <w:tc>
          <w:tcPr>
            <w:tcW w:w="3119" w:type="dxa"/>
          </w:tcPr>
          <w:p>
            <w:pPr>
              <w:pStyle w:val="yTableNAm"/>
            </w:pPr>
            <w:r>
              <w:t>$4.80 (for each day on which the permit holder is permitted to park a vehicle on the site, up to a maximum of $24.00 per week)</w:t>
            </w:r>
          </w:p>
        </w:tc>
      </w:tr>
      <w:tr>
        <w:tc>
          <w:tcPr>
            <w:tcW w:w="3118" w:type="dxa"/>
          </w:tcPr>
          <w:p>
            <w:pPr>
              <w:pStyle w:val="yTableNAm"/>
            </w:pPr>
            <w:r>
              <w:t>All types of parking permit at Shenton Park Campus</w:t>
            </w:r>
          </w:p>
        </w:tc>
        <w:tc>
          <w:tcPr>
            <w:tcW w:w="3119" w:type="dxa"/>
          </w:tcPr>
          <w:p>
            <w:pPr>
              <w:pStyle w:val="yTableNAm"/>
            </w:pPr>
            <w:r>
              <w:rPr>
                <w:szCs w:val="22"/>
              </w:rPr>
              <w:t>no fee</w:t>
            </w:r>
          </w:p>
        </w:tc>
      </w:tr>
    </w:tbl>
    <w:p>
      <w:pPr>
        <w:pStyle w:val="yFootnotesection"/>
      </w:pPr>
      <w:r>
        <w:tab/>
        <w:t>[Schedule 2A inserted in Gazette 26 Nov 2010 p. 5949; amended in Gazette 24 Jun 2011 p. 2506; 23 Dec 2011 p. 5436; 23 Oct 2012 p. 5056; 28 Jun 2013 p. 2751.]</w:t>
      </w:r>
    </w:p>
    <w:p>
      <w:pPr>
        <w:pStyle w:val="yScheduleHeading"/>
        <w:outlineLvl w:val="0"/>
      </w:pPr>
      <w:bookmarkStart w:id="163" w:name="_Toc281465850"/>
      <w:bookmarkStart w:id="164" w:name="_Toc297298954"/>
      <w:bookmarkStart w:id="165" w:name="_Toc312399095"/>
      <w:bookmarkStart w:id="166" w:name="_Toc312916241"/>
      <w:bookmarkStart w:id="167" w:name="_Toc338689389"/>
      <w:bookmarkStart w:id="168" w:name="_Toc338755686"/>
      <w:bookmarkStart w:id="169" w:name="_Toc360519954"/>
      <w:r>
        <w:rPr>
          <w:rStyle w:val="CharSchNo"/>
        </w:rPr>
        <w:t>Schedule 2</w:t>
      </w:r>
      <w:r>
        <w:t> — </w:t>
      </w:r>
      <w:r>
        <w:rPr>
          <w:rStyle w:val="CharSchText"/>
        </w:rPr>
        <w:t>Infringement notices and modified penalties</w:t>
      </w:r>
      <w:bookmarkEnd w:id="159"/>
      <w:bookmarkEnd w:id="160"/>
      <w:bookmarkEnd w:id="161"/>
      <w:bookmarkEnd w:id="163"/>
      <w:bookmarkEnd w:id="164"/>
      <w:bookmarkEnd w:id="165"/>
      <w:bookmarkEnd w:id="166"/>
      <w:bookmarkEnd w:id="167"/>
      <w:bookmarkEnd w:id="168"/>
      <w:bookmarkEnd w:id="169"/>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bookmarkStart w:id="170" w:name="_Toc227576902"/>
      <w:bookmarkStart w:id="171" w:name="_Toc227638754"/>
      <w:bookmarkStart w:id="172" w:name="_Toc278467568"/>
      <w:bookmarkStart w:id="173" w:name="_Toc281465851"/>
      <w:bookmarkStart w:id="174" w:name="_Toc297298955"/>
      <w:bookmarkEnd w:id="162"/>
      <w:r>
        <w:tab/>
        <w:t>[Schedule 2 amended in Gazette 23 Dec 2011 p. 5436.]</w:t>
      </w:r>
    </w:p>
    <w:p>
      <w:pPr>
        <w:pStyle w:val="yScheduleHeading"/>
        <w:outlineLvl w:val="0"/>
      </w:pPr>
      <w:bookmarkStart w:id="175" w:name="_Toc312399096"/>
      <w:bookmarkStart w:id="176" w:name="_Toc312916242"/>
      <w:bookmarkStart w:id="177" w:name="_Toc338689390"/>
      <w:bookmarkStart w:id="178" w:name="_Toc338755687"/>
      <w:bookmarkStart w:id="179" w:name="_Toc360519955"/>
      <w:r>
        <w:rPr>
          <w:rStyle w:val="CharSchNo"/>
        </w:rPr>
        <w:t>Schedule 3</w:t>
      </w:r>
      <w:r>
        <w:t> — </w:t>
      </w:r>
      <w:r>
        <w:rPr>
          <w:rStyle w:val="CharSchText"/>
        </w:rPr>
        <w:t>Forms</w:t>
      </w:r>
      <w:bookmarkEnd w:id="170"/>
      <w:bookmarkEnd w:id="171"/>
      <w:bookmarkEnd w:id="172"/>
      <w:bookmarkEnd w:id="173"/>
      <w:bookmarkEnd w:id="174"/>
      <w:bookmarkEnd w:id="175"/>
      <w:bookmarkEnd w:id="176"/>
      <w:bookmarkEnd w:id="177"/>
      <w:bookmarkEnd w:id="178"/>
      <w:bookmarkEnd w:id="179"/>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80" w:name="_Toc113695922"/>
      <w:bookmarkStart w:id="181" w:name="_Toc227576903"/>
      <w:bookmarkStart w:id="182" w:name="_Toc227638755"/>
      <w:bookmarkStart w:id="183" w:name="_Toc278467569"/>
      <w:bookmarkStart w:id="184" w:name="_Toc281465852"/>
      <w:bookmarkStart w:id="185" w:name="_Toc297298956"/>
      <w:bookmarkStart w:id="186" w:name="_Toc312399097"/>
      <w:bookmarkStart w:id="187" w:name="_Toc312916243"/>
      <w:bookmarkStart w:id="188" w:name="_Toc338689391"/>
      <w:bookmarkStart w:id="189" w:name="_Toc338755688"/>
      <w:bookmarkStart w:id="190" w:name="_Toc360519956"/>
      <w:r>
        <w:t>Notes</w:t>
      </w:r>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bookmarkStart w:id="191"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192" w:name="_Toc360519957"/>
      <w:bookmarkEnd w:id="191"/>
      <w:r>
        <w:t>Compilation table</w:t>
      </w:r>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pPr>
              <w:pStyle w:val="nTable"/>
              <w:spacing w:after="40"/>
              <w:rPr>
                <w:sz w:val="19"/>
              </w:rPr>
            </w:pPr>
            <w:r>
              <w:rPr>
                <w:sz w:val="19"/>
              </w:rPr>
              <w:t>23 Oct 2012 p. 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23 Oct 2012 (see bl. 2(a));</w:t>
            </w:r>
            <w:r>
              <w:rPr>
                <w:snapToGrid w:val="0"/>
                <w:spacing w:val="-2"/>
                <w:sz w:val="19"/>
                <w:lang w:val="en-US"/>
              </w:rPr>
              <w:br/>
              <w:t>By-laws other than bl. 1 and 2: 24 Oct 2012 (see bl. 2(b))</w:t>
            </w:r>
          </w:p>
        </w:tc>
      </w:tr>
      <w:tr>
        <w:tc>
          <w:tcPr>
            <w:tcW w:w="3118" w:type="dxa"/>
            <w:tcBorders>
              <w:top w:val="nil"/>
              <w:bottom w:val="single" w:sz="8" w:space="0" w:color="auto"/>
            </w:tcBorders>
          </w:tcPr>
          <w:p>
            <w:pPr>
              <w:pStyle w:val="nTable"/>
              <w:spacing w:after="40"/>
              <w:rPr>
                <w:i/>
                <w:iCs/>
                <w:sz w:val="19"/>
              </w:rPr>
            </w:pPr>
            <w:r>
              <w:rPr>
                <w:i/>
                <w:iCs/>
                <w:sz w:val="19"/>
              </w:rPr>
              <w:t>Royal Perth Hospital Amendment By</w:t>
            </w:r>
            <w:r>
              <w:rPr>
                <w:i/>
                <w:iCs/>
                <w:sz w:val="19"/>
              </w:rPr>
              <w:noBreakHyphen/>
              <w:t>laws 2013</w:t>
            </w:r>
          </w:p>
        </w:tc>
        <w:tc>
          <w:tcPr>
            <w:tcW w:w="1276" w:type="dxa"/>
            <w:tcBorders>
              <w:top w:val="nil"/>
              <w:bottom w:val="single" w:sz="8" w:space="0" w:color="auto"/>
            </w:tcBorders>
          </w:tcPr>
          <w:p>
            <w:pPr>
              <w:pStyle w:val="nTable"/>
              <w:spacing w:after="40"/>
              <w:rPr>
                <w:sz w:val="19"/>
              </w:rPr>
            </w:pPr>
            <w:r>
              <w:rPr>
                <w:sz w:val="19"/>
              </w:rPr>
              <w:t>28 Jun 2013 p. 2751</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bl. 1 and 2: 28 Jun 2013 (see bl. 2(a));</w:t>
            </w:r>
            <w:r>
              <w:rPr>
                <w:snapToGrid w:val="0"/>
                <w:spacing w:val="-2"/>
                <w:sz w:val="19"/>
                <w:lang w:val="en-US"/>
              </w:rPr>
              <w:br/>
              <w:t>By-laws other than bl. 1 and 2: 1 Jul 2013 (see bl.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3" w:name="_Toc312916245"/>
      <w:bookmarkStart w:id="194" w:name="_Toc338689393"/>
      <w:bookmarkStart w:id="195" w:name="_Toc338755690"/>
      <w:bookmarkStart w:id="196" w:name="_Toc360519958"/>
      <w:r>
        <w:rPr>
          <w:sz w:val="28"/>
        </w:rPr>
        <w:t>Defined Terms</w:t>
      </w:r>
      <w:bookmarkEnd w:id="193"/>
      <w:bookmarkEnd w:id="194"/>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7" w:name="DefinedTerms"/>
      <w:bookmarkEnd w:id="197"/>
      <w:r>
        <w:t>alleged offender</w:t>
      </w:r>
      <w:r>
        <w:tab/>
        <w:t>19</w:t>
      </w:r>
    </w:p>
    <w:p>
      <w:pPr>
        <w:pStyle w:val="DefinedTerms"/>
      </w:pPr>
      <w:r>
        <w:t>authorised person</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smartTag w:uri="urn:schemas-microsoft-com:office:smarttags" w:element="Street">
        <w:smartTag w:uri="urn:schemas-microsoft-com:office:smarttags" w:element="address">
          <w:r>
            <w:t>Wellington Street</w:t>
          </w:r>
        </w:smartTag>
      </w:smartTag>
      <w:r>
        <w:t xml:space="preserve"> Campus</w:t>
      </w:r>
      <w:r>
        <w:tab/>
        <w:t>3(1)</w:t>
      </w:r>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837"/>
    <w:docVar w:name="WAFER_20151209141837" w:val="RemoveTrackChanges"/>
    <w:docVar w:name="WAFER_20151209141837_GUID" w:val="3de696dc-7b31-43d5-83c5-286a583f7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4508</Words>
  <Characters>21369</Characters>
  <Application>Microsoft Office Word</Application>
  <DocSecurity>0</DocSecurity>
  <Lines>791</Lines>
  <Paragraphs>550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2009 - 00-g0-01</dc:title>
  <dc:subject/>
  <dc:creator/>
  <cp:keywords/>
  <dc:description/>
  <cp:lastModifiedBy>svcMRProcess</cp:lastModifiedBy>
  <cp:revision>4</cp:revision>
  <cp:lastPrinted>2009-03-06T03:57:00Z</cp:lastPrinted>
  <dcterms:created xsi:type="dcterms:W3CDTF">2018-09-18T00:31:00Z</dcterms:created>
  <dcterms:modified xsi:type="dcterms:W3CDTF">2018-09-18T00:31:00Z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20130701</vt:lpwstr>
  </property>
  <property fmtid="{D5CDD505-2E9C-101B-9397-08002B2CF9AE}" pid="4" name="AsAtDate">
    <vt:lpwstr>01 Jul 2013</vt:lpwstr>
  </property>
  <property fmtid="{D5CDD505-2E9C-101B-9397-08002B2CF9AE}" pid="5" name="Suffix">
    <vt:lpwstr>00-g0-01</vt:lpwstr>
  </property>
  <property fmtid="{D5CDD505-2E9C-101B-9397-08002B2CF9AE}" pid="6" name="OwlsUID">
    <vt:i4>40847</vt:i4>
  </property>
  <property fmtid="{D5CDD505-2E9C-101B-9397-08002B2CF9AE}" pid="7" name="DocumentType">
    <vt:lpwstr>Reg</vt:lpwstr>
  </property>
</Properties>
</file>