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Jetties Act 1926</w:t>
      </w:r>
    </w:p>
    <w:p>
      <w:pPr>
        <w:pStyle w:val="NameofActRegPage1"/>
        <w:spacing w:before="22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Jetties Regulations 1940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3092"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_Toc360523201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Liability for dues, charges and fees</w:t>
      </w:r>
      <w:r>
        <w:tab/>
      </w:r>
      <w:r>
        <w:fldChar w:fldCharType="begin"/>
      </w:r>
      <w:r>
        <w:instrText xml:space="preserve"> PAGEREF _Toc360523202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_Toc360523203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 — Regulations applying to jetties controlled by the Department</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Application of this Part</w:t>
      </w:r>
    </w:p>
    <w:p>
      <w:pPr>
        <w:pStyle w:val="TOC8"/>
        <w:rPr>
          <w:rFonts w:asciiTheme="minorHAnsi" w:eastAsiaTheme="minorEastAsia" w:hAnsiTheme="minorHAnsi" w:cstheme="minorBidi"/>
          <w:szCs w:val="22"/>
          <w:lang w:eastAsia="en-AU"/>
        </w:rPr>
      </w:pPr>
      <w:r>
        <w:t>3A</w:t>
      </w:r>
      <w:r>
        <w:rPr>
          <w:snapToGrid w:val="0"/>
        </w:rPr>
        <w:t>.</w:t>
      </w:r>
      <w:r>
        <w:rPr>
          <w:snapToGrid w:val="0"/>
        </w:rPr>
        <w:tab/>
        <w:t>Application</w:t>
      </w:r>
      <w:r>
        <w:tab/>
      </w:r>
      <w:r>
        <w:fldChar w:fldCharType="begin"/>
      </w:r>
      <w:r>
        <w:instrText xml:space="preserve"> PAGEREF _Toc360523206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Arrival and movement of vessels</w:t>
      </w:r>
    </w:p>
    <w:p>
      <w:pPr>
        <w:pStyle w:val="TOC8"/>
        <w:rPr>
          <w:rFonts w:asciiTheme="minorHAnsi" w:eastAsiaTheme="minorEastAsia" w:hAnsiTheme="minorHAnsi" w:cstheme="minorBidi"/>
          <w:szCs w:val="22"/>
          <w:lang w:eastAsia="en-AU"/>
        </w:rPr>
      </w:pPr>
      <w:r>
        <w:t>4</w:t>
      </w:r>
      <w:r>
        <w:rPr>
          <w:snapToGrid w:val="0"/>
        </w:rPr>
        <w:t>.</w:t>
      </w:r>
      <w:r>
        <w:rPr>
          <w:snapToGrid w:val="0"/>
        </w:rPr>
        <w:tab/>
        <w:t>Master or agent to report arrival</w:t>
      </w:r>
      <w:r>
        <w:tab/>
      </w:r>
      <w:r>
        <w:fldChar w:fldCharType="begin"/>
      </w:r>
      <w:r>
        <w:instrText xml:space="preserve"> PAGEREF _Toc360523208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Vessels to change berths</w:t>
      </w:r>
      <w:r>
        <w:tab/>
      </w:r>
      <w:r>
        <w:fldChar w:fldCharType="begin"/>
      </w:r>
      <w:r>
        <w:instrText xml:space="preserve"> PAGEREF _Toc360523209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Berthing dues</w:t>
      </w:r>
    </w:p>
    <w:p>
      <w:pPr>
        <w:pStyle w:val="TOC8"/>
        <w:rPr>
          <w:rFonts w:asciiTheme="minorHAnsi" w:eastAsiaTheme="minorEastAsia" w:hAnsiTheme="minorHAnsi" w:cstheme="minorBidi"/>
          <w:szCs w:val="22"/>
          <w:lang w:eastAsia="en-AU"/>
        </w:rPr>
      </w:pPr>
      <w:r>
        <w:t>6</w:t>
      </w:r>
      <w:r>
        <w:rPr>
          <w:snapToGrid w:val="0"/>
        </w:rPr>
        <w:t>.</w:t>
      </w:r>
      <w:r>
        <w:rPr>
          <w:snapToGrid w:val="0"/>
        </w:rPr>
        <w:tab/>
        <w:t>Berthing dues to be charged</w:t>
      </w:r>
      <w:r>
        <w:tab/>
      </w:r>
      <w:r>
        <w:fldChar w:fldCharType="begin"/>
      </w:r>
      <w:r>
        <w:instrText xml:space="preserve"> PAGEREF _Toc360523211 \h </w:instrText>
      </w:r>
      <w:r>
        <w:fldChar w:fldCharType="separate"/>
      </w:r>
      <w:r>
        <w:t>5</w:t>
      </w:r>
      <w:r>
        <w:fldChar w:fldCharType="end"/>
      </w:r>
    </w:p>
    <w:p>
      <w:pPr>
        <w:pStyle w:val="TOC8"/>
        <w:rPr>
          <w:rFonts w:asciiTheme="minorHAnsi" w:eastAsiaTheme="minorEastAsia" w:hAnsiTheme="minorHAnsi" w:cstheme="minorBidi"/>
          <w:szCs w:val="22"/>
          <w:lang w:eastAsia="en-AU"/>
        </w:rPr>
      </w:pPr>
      <w:r>
        <w:t>6A.</w:t>
      </w:r>
      <w:r>
        <w:tab/>
        <w:t>Requirement to pay berthing dues</w:t>
      </w:r>
      <w:r>
        <w:tab/>
      </w:r>
      <w:r>
        <w:fldChar w:fldCharType="begin"/>
      </w:r>
      <w:r>
        <w:instrText xml:space="preserve"> PAGEREF _Toc360523212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Computation of berthing dues</w:t>
      </w:r>
      <w:r>
        <w:tab/>
      </w:r>
      <w:r>
        <w:fldChar w:fldCharType="begin"/>
      </w:r>
      <w:r>
        <w:instrText xml:space="preserve"> PAGEREF _Toc360523213 \h </w:instrText>
      </w:r>
      <w:r>
        <w:fldChar w:fldCharType="separate"/>
      </w:r>
      <w:r>
        <w:t>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Inwards manifests</w:t>
      </w:r>
      <w:r>
        <w:tab/>
      </w:r>
      <w:r>
        <w:fldChar w:fldCharType="begin"/>
      </w:r>
      <w:r>
        <w:instrText xml:space="preserve"> PAGEREF _Toc360523214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Outwards manifests</w:t>
      </w:r>
      <w:r>
        <w:tab/>
      </w:r>
      <w:r>
        <w:fldChar w:fldCharType="begin"/>
      </w:r>
      <w:r>
        <w:instrText xml:space="preserve"> PAGEREF _Toc360523215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Wharfage dues, handling and haulage charges</w:t>
      </w:r>
    </w:p>
    <w:p>
      <w:pPr>
        <w:pStyle w:val="TOC8"/>
        <w:rPr>
          <w:rFonts w:asciiTheme="minorHAnsi" w:eastAsiaTheme="minorEastAsia" w:hAnsiTheme="minorHAnsi" w:cstheme="minorBidi"/>
          <w:szCs w:val="22"/>
          <w:lang w:eastAsia="en-AU"/>
        </w:rPr>
      </w:pPr>
      <w:r>
        <w:t>10A</w:t>
      </w:r>
      <w:r>
        <w:rPr>
          <w:snapToGrid w:val="0"/>
        </w:rPr>
        <w:t>.</w:t>
      </w:r>
      <w:r>
        <w:rPr>
          <w:snapToGrid w:val="0"/>
        </w:rPr>
        <w:tab/>
        <w:t>Payment of dues and charges</w:t>
      </w:r>
      <w:r>
        <w:tab/>
      </w:r>
      <w:r>
        <w:fldChar w:fldCharType="begin"/>
      </w:r>
      <w:r>
        <w:instrText xml:space="preserve"> PAGEREF _Toc360523217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Charges for transhipment cargo</w:t>
      </w:r>
      <w:r>
        <w:tab/>
      </w:r>
      <w:r>
        <w:fldChar w:fldCharType="begin"/>
      </w:r>
      <w:r>
        <w:instrText xml:space="preserve"> PAGEREF _Toc360523218 \h </w:instrText>
      </w:r>
      <w:r>
        <w:fldChar w:fldCharType="separate"/>
      </w:r>
      <w:r>
        <w:t>7</w:t>
      </w:r>
      <w:r>
        <w:fldChar w:fldCharType="end"/>
      </w:r>
    </w:p>
    <w:p>
      <w:pPr>
        <w:pStyle w:val="TOC8"/>
        <w:rPr>
          <w:rFonts w:asciiTheme="minorHAnsi" w:eastAsiaTheme="minorEastAsia" w:hAnsiTheme="minorHAnsi" w:cstheme="minorBidi"/>
          <w:szCs w:val="22"/>
          <w:lang w:eastAsia="en-AU"/>
        </w:rPr>
      </w:pPr>
      <w:r>
        <w:t>11B</w:t>
      </w:r>
      <w:r>
        <w:rPr>
          <w:snapToGrid w:val="0"/>
        </w:rPr>
        <w:t>.</w:t>
      </w:r>
      <w:r>
        <w:rPr>
          <w:snapToGrid w:val="0"/>
        </w:rPr>
        <w:tab/>
        <w:t>Charges on vessels’ stores, including fuel oil</w:t>
      </w:r>
      <w:r>
        <w:tab/>
      </w:r>
      <w:r>
        <w:fldChar w:fldCharType="begin"/>
      </w:r>
      <w:r>
        <w:instrText xml:space="preserve"> PAGEREF _Toc360523219 \h </w:instrText>
      </w:r>
      <w:r>
        <w:fldChar w:fldCharType="separate"/>
      </w:r>
      <w:r>
        <w:t>8</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Charges to be paid before delivery of cargo</w:t>
      </w:r>
      <w:r>
        <w:tab/>
      </w:r>
      <w:r>
        <w:fldChar w:fldCharType="begin"/>
      </w:r>
      <w:r>
        <w:instrText xml:space="preserve"> PAGEREF _Toc360523220 \h </w:instrText>
      </w:r>
      <w:r>
        <w:fldChar w:fldCharType="separate"/>
      </w:r>
      <w:r>
        <w:t>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Extra charges</w:t>
      </w:r>
      <w:r>
        <w:tab/>
      </w:r>
      <w:r>
        <w:fldChar w:fldCharType="begin"/>
      </w:r>
      <w:r>
        <w:instrText xml:space="preserve"> PAGEREF _Toc360523221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Handling of cargo</w:t>
      </w:r>
    </w:p>
    <w:p>
      <w:pPr>
        <w:pStyle w:val="TOC8"/>
        <w:rPr>
          <w:rFonts w:asciiTheme="minorHAnsi" w:eastAsiaTheme="minorEastAsia" w:hAnsiTheme="minorHAnsi" w:cstheme="minorBidi"/>
          <w:szCs w:val="22"/>
          <w:lang w:eastAsia="en-AU"/>
        </w:rPr>
      </w:pPr>
      <w:r>
        <w:t>14</w:t>
      </w:r>
      <w:r>
        <w:rPr>
          <w:snapToGrid w:val="0"/>
        </w:rPr>
        <w:t>.</w:t>
      </w:r>
      <w:r>
        <w:rPr>
          <w:snapToGrid w:val="0"/>
        </w:rPr>
        <w:tab/>
        <w:t>Cargo not to be placed on jetties or premises without authority</w:t>
      </w:r>
      <w:r>
        <w:tab/>
      </w:r>
      <w:r>
        <w:fldChar w:fldCharType="begin"/>
      </w:r>
      <w:r>
        <w:instrText xml:space="preserve"> PAGEREF _Toc360523223 \h </w:instrText>
      </w:r>
      <w:r>
        <w:fldChar w:fldCharType="separate"/>
      </w:r>
      <w:r>
        <w:t>9</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Discharging of cargo may be stopped</w:t>
      </w:r>
      <w:r>
        <w:tab/>
      </w:r>
      <w:r>
        <w:fldChar w:fldCharType="begin"/>
      </w:r>
      <w:r>
        <w:instrText xml:space="preserve"> PAGEREF _Toc360523224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Goods not to be shifted without authority</w:t>
      </w:r>
      <w:r>
        <w:tab/>
      </w:r>
      <w:r>
        <w:fldChar w:fldCharType="begin"/>
      </w:r>
      <w:r>
        <w:instrText xml:space="preserve"> PAGEREF _Toc360523225 \h </w:instrText>
      </w:r>
      <w:r>
        <w:fldChar w:fldCharType="separate"/>
      </w:r>
      <w:r>
        <w:t>10</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Bulk cargo not to be deposited without authority</w:t>
      </w:r>
      <w:r>
        <w:tab/>
      </w:r>
      <w:r>
        <w:fldChar w:fldCharType="begin"/>
      </w:r>
      <w:r>
        <w:instrText xml:space="preserve"> PAGEREF _Toc360523226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Outward cargo advice notes</w:t>
      </w:r>
      <w:r>
        <w:tab/>
      </w:r>
      <w:r>
        <w:fldChar w:fldCharType="begin"/>
      </w:r>
      <w:r>
        <w:instrText xml:space="preserve"> PAGEREF _Toc360523227 \h </w:instrText>
      </w:r>
      <w:r>
        <w:fldChar w:fldCharType="separate"/>
      </w:r>
      <w:r>
        <w:t>10</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Outward cargo</w:t>
      </w:r>
      <w:r>
        <w:tab/>
      </w:r>
      <w:r>
        <w:fldChar w:fldCharType="begin"/>
      </w:r>
      <w:r>
        <w:instrText xml:space="preserve"> PAGEREF _Toc360523228 \h </w:instrText>
      </w:r>
      <w:r>
        <w:fldChar w:fldCharType="separate"/>
      </w:r>
      <w:r>
        <w:t>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Dangerous cargo not to be shipped without permission</w:t>
      </w:r>
      <w:r>
        <w:tab/>
      </w:r>
      <w:r>
        <w:fldChar w:fldCharType="begin"/>
      </w:r>
      <w:r>
        <w:instrText xml:space="preserve"> PAGEREF _Toc360523229 \h </w:instrText>
      </w:r>
      <w:r>
        <w:fldChar w:fldCharType="separate"/>
      </w:r>
      <w:r>
        <w:t>11</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Dangerous cargo may be refused or examined</w:t>
      </w:r>
      <w:r>
        <w:tab/>
      </w:r>
      <w:r>
        <w:fldChar w:fldCharType="begin"/>
      </w:r>
      <w:r>
        <w:instrText xml:space="preserve"> PAGEREF _Toc360523230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Marking of heavy packages</w:t>
      </w:r>
      <w:r>
        <w:tab/>
      </w:r>
      <w:r>
        <w:fldChar w:fldCharType="begin"/>
      </w:r>
      <w:r>
        <w:instrText xml:space="preserve"> PAGEREF _Toc360523231 \h </w:instrText>
      </w:r>
      <w:r>
        <w:fldChar w:fldCharType="separate"/>
      </w:r>
      <w:r>
        <w:t>11</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False statements</w:t>
      </w:r>
      <w:r>
        <w:tab/>
      </w:r>
      <w:r>
        <w:fldChar w:fldCharType="begin"/>
      </w:r>
      <w:r>
        <w:instrText xml:space="preserve"> PAGEREF _Toc360523232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Receipt, delivery and storage of cargo</w:t>
      </w:r>
    </w:p>
    <w:p>
      <w:pPr>
        <w:pStyle w:val="TOC8"/>
        <w:rPr>
          <w:rFonts w:asciiTheme="minorHAnsi" w:eastAsiaTheme="minorEastAsia" w:hAnsiTheme="minorHAnsi" w:cstheme="minorBidi"/>
          <w:szCs w:val="22"/>
          <w:lang w:eastAsia="en-AU"/>
        </w:rPr>
      </w:pPr>
      <w:r>
        <w:t>24</w:t>
      </w:r>
      <w:r>
        <w:rPr>
          <w:snapToGrid w:val="0"/>
        </w:rPr>
        <w:t>.</w:t>
      </w:r>
      <w:r>
        <w:rPr>
          <w:snapToGrid w:val="0"/>
        </w:rPr>
        <w:tab/>
        <w:t>Removal of cargo</w:t>
      </w:r>
      <w:r>
        <w:tab/>
      </w:r>
      <w:r>
        <w:fldChar w:fldCharType="begin"/>
      </w:r>
      <w:r>
        <w:instrText xml:space="preserve"> PAGEREF _Toc360523234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Storage charges</w:t>
      </w:r>
      <w:r>
        <w:tab/>
      </w:r>
      <w:r>
        <w:fldChar w:fldCharType="begin"/>
      </w:r>
      <w:r>
        <w:instrText xml:space="preserve"> PAGEREF _Toc360523235 \h </w:instrText>
      </w:r>
      <w:r>
        <w:fldChar w:fldCharType="separate"/>
      </w:r>
      <w:r>
        <w:t>13</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Department not bound to find storage accommodation</w:t>
      </w:r>
      <w:r>
        <w:tab/>
      </w:r>
      <w:r>
        <w:fldChar w:fldCharType="begin"/>
      </w:r>
      <w:r>
        <w:instrText xml:space="preserve"> PAGEREF _Toc360523236 \h </w:instrText>
      </w:r>
      <w:r>
        <w:fldChar w:fldCharType="separate"/>
      </w:r>
      <w:r>
        <w:t>14</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Goods may be disposed of</w:t>
      </w:r>
      <w:r>
        <w:tab/>
      </w:r>
      <w:r>
        <w:fldChar w:fldCharType="begin"/>
      </w:r>
      <w:r>
        <w:instrText xml:space="preserve"> PAGEREF _Toc360523237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Goods to be checked before delivery</w:t>
      </w:r>
      <w:r>
        <w:tab/>
      </w:r>
      <w:r>
        <w:fldChar w:fldCharType="begin"/>
      </w:r>
      <w:r>
        <w:instrText xml:space="preserve"> PAGEREF _Toc360523238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Delay in delivery</w:t>
      </w:r>
      <w:r>
        <w:tab/>
      </w:r>
      <w:r>
        <w:fldChar w:fldCharType="begin"/>
      </w:r>
      <w:r>
        <w:instrText xml:space="preserve"> PAGEREF _Toc360523239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Wrong delivery</w:t>
      </w:r>
      <w:r>
        <w:tab/>
      </w:r>
      <w:r>
        <w:fldChar w:fldCharType="begin"/>
      </w:r>
      <w:r>
        <w:instrText xml:space="preserve"> PAGEREF _Toc360523240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snapToGrid w:val="0"/>
        </w:rPr>
        <w:t> — </w:t>
      </w:r>
      <w:r>
        <w:t>Responsibility of Department</w:t>
      </w:r>
    </w:p>
    <w:p>
      <w:pPr>
        <w:pStyle w:val="TOC8"/>
        <w:rPr>
          <w:rFonts w:asciiTheme="minorHAnsi" w:eastAsiaTheme="minorEastAsia" w:hAnsiTheme="minorHAnsi" w:cstheme="minorBidi"/>
          <w:szCs w:val="22"/>
          <w:lang w:eastAsia="en-AU"/>
        </w:rPr>
      </w:pPr>
      <w:r>
        <w:t>31</w:t>
      </w:r>
      <w:r>
        <w:rPr>
          <w:snapToGrid w:val="0"/>
        </w:rPr>
        <w:t>.</w:t>
      </w:r>
      <w:r>
        <w:rPr>
          <w:snapToGrid w:val="0"/>
        </w:rPr>
        <w:tab/>
        <w:t>Custody of cargo</w:t>
      </w:r>
      <w:r>
        <w:tab/>
      </w:r>
      <w:r>
        <w:fldChar w:fldCharType="begin"/>
      </w:r>
      <w:r>
        <w:instrText xml:space="preserve"> PAGEREF _Toc360523242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Goods without receipts</w:t>
      </w:r>
      <w:r>
        <w:tab/>
      </w:r>
      <w:r>
        <w:fldChar w:fldCharType="begin"/>
      </w:r>
      <w:r>
        <w:instrText xml:space="preserve"> PAGEREF _Toc360523243 \h </w:instrText>
      </w:r>
      <w:r>
        <w:fldChar w:fldCharType="separate"/>
      </w:r>
      <w:r>
        <w:t>16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Goods stacked on jetties</w:t>
      </w:r>
      <w:r>
        <w:tab/>
      </w:r>
      <w:r>
        <w:fldChar w:fldCharType="begin"/>
      </w:r>
      <w:r>
        <w:instrText xml:space="preserve"> PAGEREF _Toc360523244 \h </w:instrText>
      </w:r>
      <w:r>
        <w:fldChar w:fldCharType="separate"/>
      </w:r>
      <w:r>
        <w:t>16</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Cargo damaged by fire etc.</w:t>
      </w:r>
      <w:r>
        <w:tab/>
      </w:r>
      <w:r>
        <w:fldChar w:fldCharType="begin"/>
      </w:r>
      <w:r>
        <w:instrText xml:space="preserve"> PAGEREF _Toc360523245 \h </w:instrText>
      </w:r>
      <w:r>
        <w:fldChar w:fldCharType="separate"/>
      </w:r>
      <w:r>
        <w:t>17</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Goods insufficiently packed</w:t>
      </w:r>
      <w:r>
        <w:tab/>
      </w:r>
      <w:r>
        <w:fldChar w:fldCharType="begin"/>
      </w:r>
      <w:r>
        <w:instrText xml:space="preserve"> PAGEREF _Toc360523246 \h </w:instrText>
      </w:r>
      <w:r>
        <w:fldChar w:fldCharType="separate"/>
      </w:r>
      <w:r>
        <w:t>17</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Claims in respect of cargo</w:t>
      </w:r>
      <w:r>
        <w:tab/>
      </w:r>
      <w:r>
        <w:fldChar w:fldCharType="begin"/>
      </w:r>
      <w:r>
        <w:instrText xml:space="preserve"> PAGEREF _Toc360523247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Working hours</w:t>
      </w:r>
    </w:p>
    <w:p>
      <w:pPr>
        <w:pStyle w:val="TOC8"/>
        <w:rPr>
          <w:rFonts w:asciiTheme="minorHAnsi" w:eastAsiaTheme="minorEastAsia" w:hAnsiTheme="minorHAnsi" w:cstheme="minorBidi"/>
          <w:szCs w:val="22"/>
          <w:lang w:eastAsia="en-AU"/>
        </w:rPr>
      </w:pPr>
      <w:r>
        <w:t>37</w:t>
      </w:r>
      <w:r>
        <w:rPr>
          <w:snapToGrid w:val="0"/>
        </w:rPr>
        <w:t>.</w:t>
      </w:r>
      <w:r>
        <w:rPr>
          <w:snapToGrid w:val="0"/>
        </w:rPr>
        <w:tab/>
        <w:t>Ordinary time</w:t>
      </w:r>
      <w:r>
        <w:tab/>
      </w:r>
      <w:r>
        <w:fldChar w:fldCharType="begin"/>
      </w:r>
      <w:r>
        <w:instrText xml:space="preserve"> PAGEREF _Toc360523249 \h </w:instrText>
      </w:r>
      <w:r>
        <w:fldChar w:fldCharType="separate"/>
      </w:r>
      <w:r>
        <w:t>18</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Overtime</w:t>
      </w:r>
      <w:r>
        <w:tab/>
      </w:r>
      <w:r>
        <w:fldChar w:fldCharType="begin"/>
      </w:r>
      <w:r>
        <w:instrText xml:space="preserve"> PAGEREF _Toc360523250 \h </w:instrText>
      </w:r>
      <w:r>
        <w:fldChar w:fldCharType="separate"/>
      </w:r>
      <w:r>
        <w:t>18</w:t>
      </w:r>
      <w:r>
        <w:fldChar w:fldCharType="end"/>
      </w:r>
    </w:p>
    <w:p>
      <w:pPr>
        <w:pStyle w:val="TOC8"/>
        <w:rPr>
          <w:rFonts w:asciiTheme="minorHAnsi" w:eastAsiaTheme="minorEastAsia" w:hAnsiTheme="minorHAnsi" w:cstheme="minorBidi"/>
          <w:szCs w:val="22"/>
          <w:lang w:eastAsia="en-AU"/>
        </w:rPr>
      </w:pPr>
      <w:r>
        <w:t>38A</w:t>
      </w:r>
      <w:r>
        <w:rPr>
          <w:snapToGrid w:val="0"/>
        </w:rPr>
        <w:t>.</w:t>
      </w:r>
      <w:r>
        <w:rPr>
          <w:snapToGrid w:val="0"/>
        </w:rPr>
        <w:tab/>
        <w:t>Wages incurred through ships’ delays to be paid for</w:t>
      </w:r>
      <w:r>
        <w:tab/>
      </w:r>
      <w:r>
        <w:fldChar w:fldCharType="begin"/>
      </w:r>
      <w:r>
        <w:instrText xml:space="preserve"> PAGEREF _Toc360523251 \h </w:instrText>
      </w:r>
      <w:r>
        <w:fldChar w:fldCharType="separate"/>
      </w:r>
      <w:r>
        <w:t>18</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Master to give notice of desire to work</w:t>
      </w:r>
      <w:r>
        <w:tab/>
      </w:r>
      <w:r>
        <w:fldChar w:fldCharType="begin"/>
      </w:r>
      <w:r>
        <w:instrText xml:space="preserve"> PAGEREF _Toc360523252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9</w:t>
      </w:r>
      <w:r>
        <w:rPr>
          <w:snapToGrid w:val="0"/>
        </w:rPr>
        <w:t> — </w:t>
      </w:r>
      <w:r>
        <w:t>Livestock or vehicles on jetties or premises</w:t>
      </w:r>
    </w:p>
    <w:p>
      <w:pPr>
        <w:pStyle w:val="TOC8"/>
        <w:rPr>
          <w:rFonts w:asciiTheme="minorHAnsi" w:eastAsiaTheme="minorEastAsia" w:hAnsiTheme="minorHAnsi" w:cstheme="minorBidi"/>
          <w:szCs w:val="22"/>
          <w:lang w:eastAsia="en-AU"/>
        </w:rPr>
      </w:pPr>
      <w:r>
        <w:t>40</w:t>
      </w:r>
      <w:r>
        <w:rPr>
          <w:snapToGrid w:val="0"/>
        </w:rPr>
        <w:t>.</w:t>
      </w:r>
      <w:r>
        <w:rPr>
          <w:snapToGrid w:val="0"/>
        </w:rPr>
        <w:tab/>
        <w:t>Livestock on jetties or premises</w:t>
      </w:r>
      <w:r>
        <w:tab/>
      </w:r>
      <w:r>
        <w:fldChar w:fldCharType="begin"/>
      </w:r>
      <w:r>
        <w:instrText xml:space="preserve"> PAGEREF _Toc360523254 \h </w:instrText>
      </w:r>
      <w:r>
        <w:fldChar w:fldCharType="separate"/>
      </w:r>
      <w:r>
        <w:t>19</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Riding vehicles etc. on jetties or premises</w:t>
      </w:r>
      <w:r>
        <w:tab/>
      </w:r>
      <w:r>
        <w:fldChar w:fldCharType="begin"/>
      </w:r>
      <w:r>
        <w:instrText xml:space="preserve"> PAGEREF _Toc360523255 \h </w:instrText>
      </w:r>
      <w:r>
        <w:fldChar w:fldCharType="separate"/>
      </w:r>
      <w:r>
        <w:t>19</w:t>
      </w:r>
      <w:r>
        <w:fldChar w:fldCharType="end"/>
      </w:r>
    </w:p>
    <w:p>
      <w:pPr>
        <w:pStyle w:val="TOC8"/>
        <w:rPr>
          <w:rFonts w:asciiTheme="minorHAnsi" w:eastAsiaTheme="minorEastAsia" w:hAnsiTheme="minorHAnsi" w:cstheme="minorBidi"/>
          <w:szCs w:val="22"/>
          <w:lang w:eastAsia="en-AU"/>
        </w:rPr>
      </w:pPr>
      <w:r>
        <w:t>41A</w:t>
      </w:r>
      <w:r>
        <w:rPr>
          <w:snapToGrid w:val="0"/>
        </w:rPr>
        <w:t>.</w:t>
      </w:r>
      <w:r>
        <w:rPr>
          <w:snapToGrid w:val="0"/>
        </w:rPr>
        <w:tab/>
        <w:t>Vehicles not to be parked on jetties</w:t>
      </w:r>
      <w:r>
        <w:tab/>
      </w:r>
      <w:r>
        <w:fldChar w:fldCharType="begin"/>
      </w:r>
      <w:r>
        <w:instrText xml:space="preserve"> PAGEREF _Toc360523256 \h </w:instrText>
      </w:r>
      <w:r>
        <w:fldChar w:fldCharType="separate"/>
      </w:r>
      <w:r>
        <w:t>19</w:t>
      </w:r>
      <w:r>
        <w:fldChar w:fldCharType="end"/>
      </w:r>
    </w:p>
    <w:p>
      <w:pPr>
        <w:pStyle w:val="TOC8"/>
        <w:rPr>
          <w:rFonts w:asciiTheme="minorHAnsi" w:eastAsiaTheme="minorEastAsia" w:hAnsiTheme="minorHAnsi" w:cstheme="minorBidi"/>
          <w:szCs w:val="22"/>
          <w:lang w:eastAsia="en-AU"/>
        </w:rPr>
      </w:pPr>
      <w:r>
        <w:t>41B</w:t>
      </w:r>
      <w:r>
        <w:rPr>
          <w:snapToGrid w:val="0"/>
        </w:rPr>
        <w:t>.</w:t>
      </w:r>
      <w:r>
        <w:rPr>
          <w:snapToGrid w:val="0"/>
        </w:rPr>
        <w:tab/>
        <w:t>Department not responsible for vehicles on jetties</w:t>
      </w:r>
      <w:r>
        <w:tab/>
      </w:r>
      <w:r>
        <w:fldChar w:fldCharType="begin"/>
      </w:r>
      <w:r>
        <w:instrText xml:space="preserve"> PAGEREF _Toc360523257 \h </w:instrText>
      </w:r>
      <w:r>
        <w:fldChar w:fldCharType="separate"/>
      </w:r>
      <w:r>
        <w:t>20</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Drivers of vehicles to obey instructions</w:t>
      </w:r>
      <w:r>
        <w:tab/>
      </w:r>
      <w:r>
        <w:fldChar w:fldCharType="begin"/>
      </w:r>
      <w:r>
        <w:instrText xml:space="preserve"> PAGEREF _Toc360523258 \h </w:instrText>
      </w:r>
      <w:r>
        <w:fldChar w:fldCharType="separate"/>
      </w:r>
      <w:r>
        <w:t>20</w:t>
      </w:r>
      <w:r>
        <w:fldChar w:fldCharType="end"/>
      </w:r>
    </w:p>
    <w:p>
      <w:pPr>
        <w:pStyle w:val="TOC8"/>
        <w:rPr>
          <w:rFonts w:asciiTheme="minorHAnsi" w:eastAsiaTheme="minorEastAsia" w:hAnsiTheme="minorHAnsi" w:cstheme="minorBidi"/>
          <w:szCs w:val="22"/>
          <w:lang w:eastAsia="en-AU"/>
        </w:rPr>
      </w:pPr>
      <w:r>
        <w:t>42A.</w:t>
      </w:r>
      <w:r>
        <w:tab/>
        <w:t>Fees for vehicular use of jetty</w:t>
      </w:r>
      <w:r>
        <w:tab/>
      </w:r>
      <w:r>
        <w:fldChar w:fldCharType="begin"/>
      </w:r>
      <w:r>
        <w:instrText xml:space="preserve"> PAGEREF _Toc360523259 \h </w:instrText>
      </w:r>
      <w:r>
        <w:fldChar w:fldCharType="separate"/>
      </w:r>
      <w:r>
        <w:t>20</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Persons not to be on jetties when livestock is being handled</w:t>
      </w:r>
      <w:r>
        <w:tab/>
      </w:r>
      <w:r>
        <w:fldChar w:fldCharType="begin"/>
      </w:r>
      <w:r>
        <w:instrText xml:space="preserve"> PAGEREF _Toc360523260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10</w:t>
      </w:r>
      <w:r>
        <w:rPr>
          <w:snapToGrid w:val="0"/>
        </w:rPr>
        <w:t> — </w:t>
      </w:r>
      <w:r>
        <w:t>Miscellaneous</w:t>
      </w:r>
    </w:p>
    <w:p>
      <w:pPr>
        <w:pStyle w:val="TOC8"/>
        <w:rPr>
          <w:rFonts w:asciiTheme="minorHAnsi" w:eastAsiaTheme="minorEastAsia" w:hAnsiTheme="minorHAnsi" w:cstheme="minorBidi"/>
          <w:szCs w:val="22"/>
          <w:lang w:eastAsia="en-AU"/>
        </w:rPr>
      </w:pPr>
      <w:r>
        <w:t>44</w:t>
      </w:r>
      <w:r>
        <w:rPr>
          <w:snapToGrid w:val="0"/>
        </w:rPr>
        <w:t>.</w:t>
      </w:r>
      <w:r>
        <w:rPr>
          <w:snapToGrid w:val="0"/>
        </w:rPr>
        <w:tab/>
        <w:t>Bill posting, defacement and obscenity</w:t>
      </w:r>
      <w:r>
        <w:tab/>
      </w:r>
      <w:r>
        <w:fldChar w:fldCharType="begin"/>
      </w:r>
      <w:r>
        <w:instrText xml:space="preserve"> PAGEREF _Toc360523262 \h </w:instrText>
      </w:r>
      <w:r>
        <w:fldChar w:fldCharType="separate"/>
      </w:r>
      <w:r>
        <w:t>21</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Disorderly persons</w:t>
      </w:r>
      <w:r>
        <w:tab/>
      </w:r>
      <w:r>
        <w:fldChar w:fldCharType="begin"/>
      </w:r>
      <w:r>
        <w:instrText xml:space="preserve"> PAGEREF _Toc360523263 \h </w:instrText>
      </w:r>
      <w:r>
        <w:fldChar w:fldCharType="separate"/>
      </w:r>
      <w:r>
        <w:t>21</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Fires not to be lit</w:t>
      </w:r>
      <w:r>
        <w:tab/>
      </w:r>
      <w:r>
        <w:fldChar w:fldCharType="begin"/>
      </w:r>
      <w:r>
        <w:instrText xml:space="preserve"> PAGEREF _Toc360523264 \h </w:instrText>
      </w:r>
      <w:r>
        <w:fldChar w:fldCharType="separate"/>
      </w:r>
      <w:r>
        <w:t>22</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Gates to be shut</w:t>
      </w:r>
      <w:r>
        <w:tab/>
      </w:r>
      <w:r>
        <w:fldChar w:fldCharType="begin"/>
      </w:r>
      <w:r>
        <w:instrText xml:space="preserve"> PAGEREF _Toc360523265 \h </w:instrText>
      </w:r>
      <w:r>
        <w:fldChar w:fldCharType="separate"/>
      </w:r>
      <w:r>
        <w:t>22</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Interference with lights</w:t>
      </w:r>
      <w:r>
        <w:tab/>
      </w:r>
      <w:r>
        <w:fldChar w:fldCharType="begin"/>
      </w:r>
      <w:r>
        <w:instrText xml:space="preserve"> PAGEREF _Toc360523266 \h </w:instrText>
      </w:r>
      <w:r>
        <w:fldChar w:fldCharType="separate"/>
      </w:r>
      <w:r>
        <w:t>22</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Interference with or damaging property</w:t>
      </w:r>
      <w:r>
        <w:tab/>
      </w:r>
      <w:r>
        <w:fldChar w:fldCharType="begin"/>
      </w:r>
      <w:r>
        <w:instrText xml:space="preserve"> PAGEREF _Toc360523267 \h </w:instrText>
      </w:r>
      <w:r>
        <w:fldChar w:fldCharType="separate"/>
      </w:r>
      <w:r>
        <w:t>22</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Lost property</w:t>
      </w:r>
      <w:r>
        <w:tab/>
      </w:r>
      <w:r>
        <w:fldChar w:fldCharType="begin"/>
      </w:r>
      <w:r>
        <w:instrText xml:space="preserve"> PAGEREF _Toc360523268 \h </w:instrText>
      </w:r>
      <w:r>
        <w:fldChar w:fldCharType="separate"/>
      </w:r>
      <w:r>
        <w:t>23</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Obstruction of officers, or premises</w:t>
      </w:r>
      <w:r>
        <w:tab/>
      </w:r>
      <w:r>
        <w:fldChar w:fldCharType="begin"/>
      </w:r>
      <w:r>
        <w:instrText xml:space="preserve"> PAGEREF _Toc360523269 \h </w:instrText>
      </w:r>
      <w:r>
        <w:fldChar w:fldCharType="separate"/>
      </w:r>
      <w:r>
        <w:t>23</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Obstruction of or damage to jetties or premises</w:t>
      </w:r>
      <w:r>
        <w:tab/>
      </w:r>
      <w:r>
        <w:fldChar w:fldCharType="begin"/>
      </w:r>
      <w:r>
        <w:instrText xml:space="preserve"> PAGEREF _Toc360523270 \h </w:instrText>
      </w:r>
      <w:r>
        <w:fldChar w:fldCharType="separate"/>
      </w:r>
      <w:r>
        <w:t>24</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Rubbish etc. not to be thrown</w:t>
      </w:r>
      <w:r>
        <w:tab/>
      </w:r>
      <w:r>
        <w:fldChar w:fldCharType="begin"/>
      </w:r>
      <w:r>
        <w:instrText xml:space="preserve"> PAGEREF _Toc360523271 \h </w:instrText>
      </w:r>
      <w:r>
        <w:fldChar w:fldCharType="separate"/>
      </w:r>
      <w:r>
        <w:t>24</w:t>
      </w:r>
      <w:r>
        <w:fldChar w:fldCharType="end"/>
      </w:r>
    </w:p>
    <w:p>
      <w:pPr>
        <w:pStyle w:val="TOC8"/>
        <w:rPr>
          <w:rFonts w:asciiTheme="minorHAnsi" w:eastAsiaTheme="minorEastAsia" w:hAnsiTheme="minorHAnsi" w:cstheme="minorBidi"/>
          <w:szCs w:val="22"/>
          <w:lang w:eastAsia="en-AU"/>
        </w:rPr>
      </w:pPr>
      <w:r>
        <w:t>53A.</w:t>
      </w:r>
      <w:r>
        <w:tab/>
        <w:t>Fees for rubbish removal</w:t>
      </w:r>
      <w:r>
        <w:tab/>
      </w:r>
      <w:r>
        <w:fldChar w:fldCharType="begin"/>
      </w:r>
      <w:r>
        <w:instrText xml:space="preserve"> PAGEREF _Toc360523272 \h </w:instrText>
      </w:r>
      <w:r>
        <w:fldChar w:fldCharType="separate"/>
      </w:r>
      <w:r>
        <w:t>25</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Sale of articles prohibited</w:t>
      </w:r>
      <w:r>
        <w:tab/>
      </w:r>
      <w:r>
        <w:fldChar w:fldCharType="begin"/>
      </w:r>
      <w:r>
        <w:instrText xml:space="preserve"> PAGEREF _Toc360523273 \h </w:instrText>
      </w:r>
      <w:r>
        <w:fldChar w:fldCharType="separate"/>
      </w:r>
      <w:r>
        <w:t>25</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Smoking and loitering</w:t>
      </w:r>
      <w:r>
        <w:tab/>
      </w:r>
      <w:r>
        <w:fldChar w:fldCharType="begin"/>
      </w:r>
      <w:r>
        <w:instrText xml:space="preserve"> PAGEREF _Toc360523274 \h </w:instrText>
      </w:r>
      <w:r>
        <w:fldChar w:fldCharType="separate"/>
      </w:r>
      <w:r>
        <w:t>25</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Trespassing</w:t>
      </w:r>
      <w:r>
        <w:tab/>
      </w:r>
      <w:r>
        <w:fldChar w:fldCharType="begin"/>
      </w:r>
      <w:r>
        <w:instrText xml:space="preserve"> PAGEREF _Toc360523275 \h </w:instrText>
      </w:r>
      <w:r>
        <w:fldChar w:fldCharType="separate"/>
      </w:r>
      <w:r>
        <w:t>25</w:t>
      </w:r>
      <w:r>
        <w:fldChar w:fldCharType="end"/>
      </w:r>
    </w:p>
    <w:p>
      <w:pPr>
        <w:pStyle w:val="TOC8"/>
        <w:rPr>
          <w:rFonts w:asciiTheme="minorHAnsi" w:eastAsiaTheme="minorEastAsia" w:hAnsiTheme="minorHAnsi" w:cstheme="minorBidi"/>
          <w:szCs w:val="22"/>
          <w:lang w:eastAsia="en-AU"/>
        </w:rPr>
      </w:pPr>
      <w:r>
        <w:t>67A</w:t>
      </w:r>
      <w:r>
        <w:rPr>
          <w:snapToGrid w:val="0"/>
        </w:rPr>
        <w:t>.</w:t>
      </w:r>
      <w:r>
        <w:rPr>
          <w:snapToGrid w:val="0"/>
        </w:rPr>
        <w:tab/>
        <w:t>Conditions for construction and installation of pipelines</w:t>
      </w:r>
      <w:r>
        <w:tab/>
      </w:r>
      <w:r>
        <w:fldChar w:fldCharType="begin"/>
      </w:r>
      <w:r>
        <w:instrText xml:space="preserve"> PAGEREF _Toc360523276 \h </w:instrText>
      </w:r>
      <w:r>
        <w:fldChar w:fldCharType="separate"/>
      </w:r>
      <w:r>
        <w:t>26</w:t>
      </w:r>
      <w:r>
        <w:fldChar w:fldCharType="end"/>
      </w:r>
    </w:p>
    <w:p>
      <w:pPr>
        <w:pStyle w:val="TOC8"/>
        <w:rPr>
          <w:rFonts w:asciiTheme="minorHAnsi" w:eastAsiaTheme="minorEastAsia" w:hAnsiTheme="minorHAnsi" w:cstheme="minorBidi"/>
          <w:szCs w:val="22"/>
          <w:lang w:eastAsia="en-AU"/>
        </w:rPr>
      </w:pPr>
      <w:r>
        <w:t>67B</w:t>
      </w:r>
      <w:r>
        <w:rPr>
          <w:snapToGrid w:val="0"/>
        </w:rPr>
        <w:t>.</w:t>
      </w:r>
      <w:r>
        <w:rPr>
          <w:snapToGrid w:val="0"/>
        </w:rPr>
        <w:tab/>
        <w:t>Maintenance and operation of pipelines</w:t>
      </w:r>
      <w:r>
        <w:tab/>
      </w:r>
      <w:r>
        <w:fldChar w:fldCharType="begin"/>
      </w:r>
      <w:r>
        <w:instrText xml:space="preserve"> PAGEREF _Toc360523277 \h </w:instrText>
      </w:r>
      <w:r>
        <w:fldChar w:fldCharType="separate"/>
      </w:r>
      <w:r>
        <w:t>29</w:t>
      </w:r>
      <w:r>
        <w:fldChar w:fldCharType="end"/>
      </w:r>
    </w:p>
    <w:p>
      <w:pPr>
        <w:pStyle w:val="TOC8"/>
        <w:rPr>
          <w:rFonts w:asciiTheme="minorHAnsi" w:eastAsiaTheme="minorEastAsia" w:hAnsiTheme="minorHAnsi" w:cstheme="minorBidi"/>
          <w:szCs w:val="22"/>
          <w:lang w:eastAsia="en-AU"/>
        </w:rPr>
      </w:pPr>
      <w:r>
        <w:t>67D</w:t>
      </w:r>
      <w:r>
        <w:rPr>
          <w:snapToGrid w:val="0"/>
        </w:rPr>
        <w:t>.</w:t>
      </w:r>
      <w:r>
        <w:rPr>
          <w:snapToGrid w:val="0"/>
        </w:rPr>
        <w:tab/>
        <w:t>Penalty for failure to remove or amend pipeline</w:t>
      </w:r>
      <w:r>
        <w:tab/>
      </w:r>
      <w:r>
        <w:fldChar w:fldCharType="begin"/>
      </w:r>
      <w:r>
        <w:instrText xml:space="preserve"> PAGEREF _Toc360523278 \h </w:instrText>
      </w:r>
      <w:r>
        <w:fldChar w:fldCharType="separate"/>
      </w:r>
      <w:r>
        <w:t>35</w:t>
      </w:r>
      <w:r>
        <w:fldChar w:fldCharType="end"/>
      </w:r>
    </w:p>
    <w:p>
      <w:pPr>
        <w:pStyle w:val="TOC8"/>
        <w:rPr>
          <w:rFonts w:asciiTheme="minorHAnsi" w:eastAsiaTheme="minorEastAsia" w:hAnsiTheme="minorHAnsi" w:cstheme="minorBidi"/>
          <w:szCs w:val="22"/>
          <w:lang w:eastAsia="en-AU"/>
        </w:rPr>
      </w:pPr>
      <w:r>
        <w:t>67DA.</w:t>
      </w:r>
      <w:r>
        <w:tab/>
        <w:t>Fuelling vessels at service jetties limited</w:t>
      </w:r>
      <w:r>
        <w:tab/>
      </w:r>
      <w:r>
        <w:fldChar w:fldCharType="begin"/>
      </w:r>
      <w:r>
        <w:instrText xml:space="preserve"> PAGEREF _Toc360523279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Regulations applying to jetties within the Port of Perth</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Application of this Part</w:t>
      </w:r>
    </w:p>
    <w:p>
      <w:pPr>
        <w:pStyle w:val="TOC8"/>
        <w:rPr>
          <w:rFonts w:asciiTheme="minorHAnsi" w:eastAsiaTheme="minorEastAsia" w:hAnsiTheme="minorHAnsi" w:cstheme="minorBidi"/>
          <w:szCs w:val="22"/>
          <w:lang w:eastAsia="en-AU"/>
        </w:rPr>
      </w:pPr>
      <w:r>
        <w:t>67E</w:t>
      </w:r>
      <w:r>
        <w:rPr>
          <w:snapToGrid w:val="0"/>
        </w:rPr>
        <w:t>.</w:t>
      </w:r>
      <w:r>
        <w:rPr>
          <w:snapToGrid w:val="0"/>
        </w:rPr>
        <w:tab/>
        <w:t>Application</w:t>
      </w:r>
      <w:r>
        <w:tab/>
      </w:r>
      <w:r>
        <w:fldChar w:fldCharType="begin"/>
      </w:r>
      <w:r>
        <w:instrText xml:space="preserve"> PAGEREF _Toc360523282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Management and use of jetties</w:t>
      </w:r>
    </w:p>
    <w:p>
      <w:pPr>
        <w:pStyle w:val="TOC8"/>
        <w:rPr>
          <w:rFonts w:asciiTheme="minorHAnsi" w:eastAsiaTheme="minorEastAsia" w:hAnsiTheme="minorHAnsi" w:cstheme="minorBidi"/>
          <w:szCs w:val="22"/>
          <w:lang w:eastAsia="en-AU"/>
        </w:rPr>
      </w:pPr>
      <w:r>
        <w:t>68</w:t>
      </w:r>
      <w:r>
        <w:rPr>
          <w:snapToGrid w:val="0"/>
        </w:rPr>
        <w:t>.</w:t>
      </w:r>
      <w:r>
        <w:rPr>
          <w:snapToGrid w:val="0"/>
        </w:rPr>
        <w:tab/>
        <w:t>Control of jetties</w:t>
      </w:r>
      <w:r>
        <w:tab/>
      </w:r>
      <w:r>
        <w:fldChar w:fldCharType="begin"/>
      </w:r>
      <w:r>
        <w:instrText xml:space="preserve"> PAGEREF _Toc360523284 \h </w:instrText>
      </w:r>
      <w:r>
        <w:fldChar w:fldCharType="separate"/>
      </w:r>
      <w:r>
        <w:t>36</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Use of jetties</w:t>
      </w:r>
      <w:r>
        <w:tab/>
      </w:r>
      <w:r>
        <w:fldChar w:fldCharType="begin"/>
      </w:r>
      <w:r>
        <w:instrText xml:space="preserve"> PAGEREF _Toc360523285 \h </w:instrText>
      </w:r>
      <w:r>
        <w:fldChar w:fldCharType="separate"/>
      </w:r>
      <w:r>
        <w:t>36</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Jetties may be closed</w:t>
      </w:r>
      <w:r>
        <w:tab/>
      </w:r>
      <w:r>
        <w:fldChar w:fldCharType="begin"/>
      </w:r>
      <w:r>
        <w:instrText xml:space="preserve"> PAGEREF _Toc360523286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Mooring and berthing of vessels</w:t>
      </w:r>
    </w:p>
    <w:p>
      <w:pPr>
        <w:pStyle w:val="TOC8"/>
        <w:rPr>
          <w:rFonts w:asciiTheme="minorHAnsi" w:eastAsiaTheme="minorEastAsia" w:hAnsiTheme="minorHAnsi" w:cstheme="minorBidi"/>
          <w:szCs w:val="22"/>
          <w:lang w:eastAsia="en-AU"/>
        </w:rPr>
      </w:pPr>
      <w:r>
        <w:t>71</w:t>
      </w:r>
      <w:r>
        <w:rPr>
          <w:snapToGrid w:val="0"/>
        </w:rPr>
        <w:t>.</w:t>
      </w:r>
      <w:r>
        <w:rPr>
          <w:snapToGrid w:val="0"/>
        </w:rPr>
        <w:tab/>
        <w:t>Permit required to moor etc. alongside jetty or buoy</w:t>
      </w:r>
      <w:r>
        <w:tab/>
      </w:r>
      <w:r>
        <w:fldChar w:fldCharType="begin"/>
      </w:r>
      <w:r>
        <w:instrText xml:space="preserve"> PAGEREF _Toc360523288 \h </w:instrText>
      </w:r>
      <w:r>
        <w:fldChar w:fldCharType="separate"/>
      </w:r>
      <w:r>
        <w:t>37</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Duration of, and charges for, permits</w:t>
      </w:r>
      <w:r>
        <w:tab/>
      </w:r>
      <w:r>
        <w:fldChar w:fldCharType="begin"/>
      </w:r>
      <w:r>
        <w:instrText xml:space="preserve"> PAGEREF _Toc360523289 \h </w:instrText>
      </w:r>
      <w:r>
        <w:fldChar w:fldCharType="separate"/>
      </w:r>
      <w:r>
        <w:t>37</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Permit for exclusive use of a berth</w:t>
      </w:r>
      <w:r>
        <w:tab/>
      </w:r>
      <w:r>
        <w:fldChar w:fldCharType="begin"/>
      </w:r>
      <w:r>
        <w:instrText xml:space="preserve"> PAGEREF _Toc360523290 \h </w:instrText>
      </w:r>
      <w:r>
        <w:fldChar w:fldCharType="separate"/>
      </w:r>
      <w:r>
        <w:t>38</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Manner of mooring vessels</w:t>
      </w:r>
      <w:r>
        <w:tab/>
      </w:r>
      <w:r>
        <w:fldChar w:fldCharType="begin"/>
      </w:r>
      <w:r>
        <w:instrText xml:space="preserve"> PAGEREF _Toc360523291 \h </w:instrText>
      </w:r>
      <w:r>
        <w:fldChar w:fldCharType="separate"/>
      </w:r>
      <w:r>
        <w:t>39</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Vessels not to remain at jetties longer than necessary</w:t>
      </w:r>
      <w:r>
        <w:tab/>
      </w:r>
      <w:r>
        <w:fldChar w:fldCharType="begin"/>
      </w:r>
      <w:r>
        <w:instrText xml:space="preserve"> PAGEREF _Toc360523292 \h </w:instrText>
      </w:r>
      <w:r>
        <w:fldChar w:fldCharType="separate"/>
      </w:r>
      <w:r>
        <w:t>40</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Mooring of rafts and boathouses</w:t>
      </w:r>
      <w:r>
        <w:tab/>
      </w:r>
      <w:r>
        <w:fldChar w:fldCharType="begin"/>
      </w:r>
      <w:r>
        <w:instrText xml:space="preserve"> PAGEREF _Toc360523293 \h </w:instrText>
      </w:r>
      <w:r>
        <w:fldChar w:fldCharType="separate"/>
      </w:r>
      <w:r>
        <w:t>40</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Vessels to be in charge of a competent person</w:t>
      </w:r>
      <w:r>
        <w:tab/>
      </w:r>
      <w:r>
        <w:fldChar w:fldCharType="begin"/>
      </w:r>
      <w:r>
        <w:instrText xml:space="preserve"> PAGEREF _Toc360523294 \h </w:instrText>
      </w:r>
      <w:r>
        <w:fldChar w:fldCharType="separate"/>
      </w:r>
      <w:r>
        <w:t>40</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Approaching jetties after sunset</w:t>
      </w:r>
      <w:r>
        <w:tab/>
      </w:r>
      <w:r>
        <w:fldChar w:fldCharType="begin"/>
      </w:r>
      <w:r>
        <w:instrText xml:space="preserve"> PAGEREF _Toc360523295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Loading or discharging cargo</w:t>
      </w:r>
    </w:p>
    <w:p>
      <w:pPr>
        <w:pStyle w:val="TOC8"/>
        <w:rPr>
          <w:rFonts w:asciiTheme="minorHAnsi" w:eastAsiaTheme="minorEastAsia" w:hAnsiTheme="minorHAnsi" w:cstheme="minorBidi"/>
          <w:szCs w:val="22"/>
          <w:lang w:eastAsia="en-AU"/>
        </w:rPr>
      </w:pPr>
      <w:r>
        <w:t>80</w:t>
      </w:r>
      <w:r>
        <w:rPr>
          <w:snapToGrid w:val="0"/>
        </w:rPr>
        <w:t>.</w:t>
      </w:r>
      <w:r>
        <w:rPr>
          <w:snapToGrid w:val="0"/>
        </w:rPr>
        <w:tab/>
        <w:t>Vessels loading or discharging</w:t>
      </w:r>
      <w:r>
        <w:tab/>
      </w:r>
      <w:r>
        <w:fldChar w:fldCharType="begin"/>
      </w:r>
      <w:r>
        <w:instrText xml:space="preserve"> PAGEREF _Toc360523297 \h </w:instrText>
      </w:r>
      <w:r>
        <w:fldChar w:fldCharType="separate"/>
      </w:r>
      <w:r>
        <w:t>41</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Cargo to be removed</w:t>
      </w:r>
      <w:r>
        <w:tab/>
      </w:r>
      <w:r>
        <w:fldChar w:fldCharType="begin"/>
      </w:r>
      <w:r>
        <w:instrText xml:space="preserve"> PAGEREF _Toc360523298 \h </w:instrText>
      </w:r>
      <w:r>
        <w:fldChar w:fldCharType="separate"/>
      </w:r>
      <w:r>
        <w:t>41</w:t>
      </w:r>
      <w:r>
        <w:fldChar w:fldCharType="end"/>
      </w:r>
    </w:p>
    <w:p>
      <w:pPr>
        <w:pStyle w:val="TOC8"/>
        <w:rPr>
          <w:rFonts w:asciiTheme="minorHAnsi" w:eastAsiaTheme="minorEastAsia" w:hAnsiTheme="minorHAnsi" w:cstheme="minorBidi"/>
          <w:szCs w:val="22"/>
          <w:lang w:eastAsia="en-AU"/>
        </w:rPr>
      </w:pPr>
      <w:r>
        <w:t>82</w:t>
      </w:r>
      <w:r>
        <w:rPr>
          <w:snapToGrid w:val="0"/>
        </w:rPr>
        <w:t>.</w:t>
      </w:r>
      <w:r>
        <w:rPr>
          <w:snapToGrid w:val="0"/>
        </w:rPr>
        <w:tab/>
        <w:t>Cargo not to remain on jetties overnight</w:t>
      </w:r>
      <w:r>
        <w:tab/>
      </w:r>
      <w:r>
        <w:fldChar w:fldCharType="begin"/>
      </w:r>
      <w:r>
        <w:instrText xml:space="preserve"> PAGEREF _Toc360523299 \h </w:instrText>
      </w:r>
      <w:r>
        <w:fldChar w:fldCharType="separate"/>
      </w:r>
      <w:r>
        <w:t>42</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Explosives not to be handled without permission</w:t>
      </w:r>
      <w:r>
        <w:tab/>
      </w:r>
      <w:r>
        <w:fldChar w:fldCharType="begin"/>
      </w:r>
      <w:r>
        <w:instrText xml:space="preserve"> PAGEREF _Toc360523300 \h </w:instrText>
      </w:r>
      <w:r>
        <w:fldChar w:fldCharType="separate"/>
      </w:r>
      <w:r>
        <w:t>42</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Manner of handling cargo</w:t>
      </w:r>
      <w:r>
        <w:tab/>
      </w:r>
      <w:r>
        <w:fldChar w:fldCharType="begin"/>
      </w:r>
      <w:r>
        <w:instrText xml:space="preserve"> PAGEREF _Toc360523301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Navigation of vessels</w:t>
      </w:r>
    </w:p>
    <w:p>
      <w:pPr>
        <w:pStyle w:val="TOC8"/>
        <w:rPr>
          <w:rFonts w:asciiTheme="minorHAnsi" w:eastAsiaTheme="minorEastAsia" w:hAnsiTheme="minorHAnsi" w:cstheme="minorBidi"/>
          <w:szCs w:val="22"/>
          <w:lang w:eastAsia="en-AU"/>
        </w:rPr>
      </w:pPr>
      <w:r>
        <w:t>85</w:t>
      </w:r>
      <w:r>
        <w:rPr>
          <w:snapToGrid w:val="0"/>
        </w:rPr>
        <w:t>.</w:t>
      </w:r>
      <w:r>
        <w:rPr>
          <w:snapToGrid w:val="0"/>
        </w:rPr>
        <w:tab/>
        <w:t>Power vessels approaching jetties</w:t>
      </w:r>
      <w:r>
        <w:tab/>
      </w:r>
      <w:r>
        <w:fldChar w:fldCharType="begin"/>
      </w:r>
      <w:r>
        <w:instrText xml:space="preserve"> PAGEREF _Toc360523303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Miscellaneous</w:t>
      </w:r>
    </w:p>
    <w:p>
      <w:pPr>
        <w:pStyle w:val="TOC8"/>
        <w:rPr>
          <w:rFonts w:asciiTheme="minorHAnsi" w:eastAsiaTheme="minorEastAsia" w:hAnsiTheme="minorHAnsi" w:cstheme="minorBidi"/>
          <w:szCs w:val="22"/>
          <w:lang w:eastAsia="en-AU"/>
        </w:rPr>
      </w:pPr>
      <w:r>
        <w:t>86</w:t>
      </w:r>
      <w:r>
        <w:rPr>
          <w:snapToGrid w:val="0"/>
        </w:rPr>
        <w:t>.</w:t>
      </w:r>
      <w:r>
        <w:rPr>
          <w:snapToGrid w:val="0"/>
        </w:rPr>
        <w:tab/>
        <w:t>Bathing from jetties</w:t>
      </w:r>
      <w:r>
        <w:tab/>
      </w:r>
      <w:r>
        <w:fldChar w:fldCharType="begin"/>
      </w:r>
      <w:r>
        <w:instrText xml:space="preserve"> PAGEREF _Toc360523305 \h </w:instrText>
      </w:r>
      <w:r>
        <w:fldChar w:fldCharType="separate"/>
      </w:r>
      <w:r>
        <w:t>43</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Damage to jetties</w:t>
      </w:r>
      <w:r>
        <w:tab/>
      </w:r>
      <w:r>
        <w:fldChar w:fldCharType="begin"/>
      </w:r>
      <w:r>
        <w:instrText xml:space="preserve"> PAGEREF _Toc360523306 \h </w:instrText>
      </w:r>
      <w:r>
        <w:fldChar w:fldCharType="separate"/>
      </w:r>
      <w:r>
        <w:t>43</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Fishing from certain places prohibited</w:t>
      </w:r>
      <w:r>
        <w:tab/>
      </w:r>
      <w:r>
        <w:fldChar w:fldCharType="begin"/>
      </w:r>
      <w:r>
        <w:instrText xml:space="preserve"> PAGEREF _Toc360523307 \h </w:instrText>
      </w:r>
      <w:r>
        <w:fldChar w:fldCharType="separate"/>
      </w:r>
      <w:r>
        <w:t>43</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Fishing nets on jetties</w:t>
      </w:r>
      <w:r>
        <w:tab/>
      </w:r>
      <w:r>
        <w:fldChar w:fldCharType="begin"/>
      </w:r>
      <w:r>
        <w:instrText xml:space="preserve"> PAGEREF _Toc360523308 \h </w:instrText>
      </w:r>
      <w:r>
        <w:fldChar w:fldCharType="separate"/>
      </w:r>
      <w:r>
        <w:t>44</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Gangways to be provided</w:t>
      </w:r>
      <w:r>
        <w:tab/>
      </w:r>
      <w:r>
        <w:fldChar w:fldCharType="begin"/>
      </w:r>
      <w:r>
        <w:instrText xml:space="preserve"> PAGEREF _Toc360523309 \h </w:instrText>
      </w:r>
      <w:r>
        <w:fldChar w:fldCharType="separate"/>
      </w:r>
      <w:r>
        <w:t>44</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Interference with jetties or approaches</w:t>
      </w:r>
      <w:r>
        <w:tab/>
      </w:r>
      <w:r>
        <w:fldChar w:fldCharType="begin"/>
      </w:r>
      <w:r>
        <w:instrText xml:space="preserve"> PAGEREF _Toc360523310 \h </w:instrText>
      </w:r>
      <w:r>
        <w:fldChar w:fldCharType="separate"/>
      </w:r>
      <w:r>
        <w:t>44</w:t>
      </w:r>
      <w:r>
        <w:fldChar w:fldCharType="end"/>
      </w:r>
    </w:p>
    <w:p>
      <w:pPr>
        <w:pStyle w:val="TOC8"/>
        <w:rPr>
          <w:rFonts w:asciiTheme="minorHAnsi" w:eastAsiaTheme="minorEastAsia" w:hAnsiTheme="minorHAnsi" w:cstheme="minorBidi"/>
          <w:szCs w:val="22"/>
          <w:lang w:eastAsia="en-AU"/>
        </w:rPr>
      </w:pPr>
      <w:r>
        <w:t>92</w:t>
      </w:r>
      <w:r>
        <w:rPr>
          <w:snapToGrid w:val="0"/>
        </w:rPr>
        <w:t>.</w:t>
      </w:r>
      <w:r>
        <w:rPr>
          <w:snapToGrid w:val="0"/>
        </w:rPr>
        <w:tab/>
        <w:t>Lifebuoys on jetties</w:t>
      </w:r>
      <w:r>
        <w:tab/>
      </w:r>
      <w:r>
        <w:fldChar w:fldCharType="begin"/>
      </w:r>
      <w:r>
        <w:instrText xml:space="preserve"> PAGEREF _Toc360523311 \h </w:instrText>
      </w:r>
      <w:r>
        <w:fldChar w:fldCharType="separate"/>
      </w:r>
      <w:r>
        <w:t>44</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Obstruction of jetties or officers</w:t>
      </w:r>
      <w:r>
        <w:tab/>
      </w:r>
      <w:r>
        <w:fldChar w:fldCharType="begin"/>
      </w:r>
      <w:r>
        <w:instrText xml:space="preserve"> PAGEREF _Toc360523312 \h </w:instrText>
      </w:r>
      <w:r>
        <w:fldChar w:fldCharType="separate"/>
      </w:r>
      <w:r>
        <w:t>44</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Rubbish not to be thrown in river etc.</w:t>
      </w:r>
      <w:r>
        <w:tab/>
      </w:r>
      <w:r>
        <w:fldChar w:fldCharType="begin"/>
      </w:r>
      <w:r>
        <w:instrText xml:space="preserve"> PAGEREF _Toc360523313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2A — Mooring and berthing other than in the Port of Perth</w:t>
      </w:r>
    </w:p>
    <w:p>
      <w:pPr>
        <w:pStyle w:val="TOC8"/>
        <w:rPr>
          <w:rFonts w:asciiTheme="minorHAnsi" w:eastAsiaTheme="minorEastAsia" w:hAnsiTheme="minorHAnsi" w:cstheme="minorBidi"/>
          <w:szCs w:val="22"/>
          <w:lang w:eastAsia="en-AU"/>
        </w:rPr>
      </w:pPr>
      <w:r>
        <w:t>94A.</w:t>
      </w:r>
      <w:r>
        <w:tab/>
        <w:t>Fees etc. for pen rentals and services</w:t>
      </w:r>
      <w:r>
        <w:tab/>
      </w:r>
      <w:r>
        <w:fldChar w:fldCharType="begin"/>
      </w:r>
      <w:r>
        <w:instrText xml:space="preserve"> PAGEREF _Toc360523315 \h </w:instrText>
      </w:r>
      <w:r>
        <w:fldChar w:fldCharType="separate"/>
      </w:r>
      <w:r>
        <w:t>46</w:t>
      </w:r>
      <w:r>
        <w:fldChar w:fldCharType="end"/>
      </w:r>
    </w:p>
    <w:p>
      <w:pPr>
        <w:pStyle w:val="TOC8"/>
        <w:rPr>
          <w:rFonts w:asciiTheme="minorHAnsi" w:eastAsiaTheme="minorEastAsia" w:hAnsiTheme="minorHAnsi" w:cstheme="minorBidi"/>
          <w:szCs w:val="22"/>
          <w:lang w:eastAsia="en-AU"/>
        </w:rPr>
      </w:pPr>
      <w:r>
        <w:t>94B</w:t>
      </w:r>
      <w:r>
        <w:rPr>
          <w:snapToGrid w:val="0"/>
        </w:rPr>
        <w:t>.</w:t>
      </w:r>
      <w:r>
        <w:rPr>
          <w:snapToGrid w:val="0"/>
        </w:rPr>
        <w:tab/>
        <w:t>Fees for pile mooring</w:t>
      </w:r>
      <w:r>
        <w:tab/>
      </w:r>
      <w:r>
        <w:fldChar w:fldCharType="begin"/>
      </w:r>
      <w:r>
        <w:instrText xml:space="preserve"> PAGEREF _Toc360523316 \h </w:instrText>
      </w:r>
      <w:r>
        <w:fldChar w:fldCharType="separate"/>
      </w:r>
      <w:r>
        <w:t>46</w:t>
      </w:r>
      <w:r>
        <w:fldChar w:fldCharType="end"/>
      </w:r>
    </w:p>
    <w:p>
      <w:pPr>
        <w:pStyle w:val="TOC8"/>
        <w:rPr>
          <w:rFonts w:asciiTheme="minorHAnsi" w:eastAsiaTheme="minorEastAsia" w:hAnsiTheme="minorHAnsi" w:cstheme="minorBidi"/>
          <w:szCs w:val="22"/>
          <w:lang w:eastAsia="en-AU"/>
        </w:rPr>
      </w:pPr>
      <w:r>
        <w:t>94C</w:t>
      </w:r>
      <w:r>
        <w:rPr>
          <w:snapToGrid w:val="0"/>
        </w:rPr>
        <w:t>.</w:t>
      </w:r>
      <w:r>
        <w:rPr>
          <w:snapToGrid w:val="0"/>
        </w:rPr>
        <w:tab/>
        <w:t>Fees for berthing or mooring on a casual basis</w:t>
      </w:r>
      <w:r>
        <w:tab/>
      </w:r>
      <w:r>
        <w:fldChar w:fldCharType="begin"/>
      </w:r>
      <w:r>
        <w:instrText xml:space="preserve"> PAGEREF _Toc360523317 \h </w:instrText>
      </w:r>
      <w:r>
        <w:fldChar w:fldCharType="separate"/>
      </w:r>
      <w:r>
        <w:t>46</w:t>
      </w:r>
      <w:r>
        <w:fldChar w:fldCharType="end"/>
      </w:r>
    </w:p>
    <w:p>
      <w:pPr>
        <w:pStyle w:val="TOC8"/>
        <w:rPr>
          <w:rFonts w:asciiTheme="minorHAnsi" w:eastAsiaTheme="minorEastAsia" w:hAnsiTheme="minorHAnsi" w:cstheme="minorBidi"/>
          <w:szCs w:val="22"/>
          <w:lang w:eastAsia="en-AU"/>
        </w:rPr>
      </w:pPr>
      <w:r>
        <w:t>94D.</w:t>
      </w:r>
      <w:r>
        <w:tab/>
        <w:t>Waiving fees or charges in emergencies</w:t>
      </w:r>
      <w:r>
        <w:tab/>
      </w:r>
      <w:r>
        <w:fldChar w:fldCharType="begin"/>
      </w:r>
      <w:r>
        <w:instrText xml:space="preserve"> PAGEREF _Toc360523318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Special provisions applying at particular ports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Use of slipways</w:t>
      </w:r>
    </w:p>
    <w:p>
      <w:pPr>
        <w:pStyle w:val="TOC8"/>
        <w:rPr>
          <w:rFonts w:asciiTheme="minorHAnsi" w:eastAsiaTheme="minorEastAsia" w:hAnsiTheme="minorHAnsi" w:cstheme="minorBidi"/>
          <w:szCs w:val="22"/>
          <w:lang w:eastAsia="en-AU"/>
        </w:rPr>
      </w:pPr>
      <w:r>
        <w:t>95.</w:t>
      </w:r>
      <w:r>
        <w:tab/>
        <w:t>Management and control of departmental slipways</w:t>
      </w:r>
      <w:r>
        <w:tab/>
      </w:r>
      <w:r>
        <w:fldChar w:fldCharType="begin"/>
      </w:r>
      <w:r>
        <w:instrText xml:space="preserve"> PAGEREF _Toc360523321 \h </w:instrText>
      </w:r>
      <w:r>
        <w:fldChar w:fldCharType="separate"/>
      </w:r>
      <w:r>
        <w:t>47</w:t>
      </w:r>
      <w:r>
        <w:fldChar w:fldCharType="end"/>
      </w:r>
    </w:p>
    <w:p>
      <w:pPr>
        <w:pStyle w:val="TOC8"/>
        <w:rPr>
          <w:rFonts w:asciiTheme="minorHAnsi" w:eastAsiaTheme="minorEastAsia" w:hAnsiTheme="minorHAnsi" w:cstheme="minorBidi"/>
          <w:szCs w:val="22"/>
          <w:lang w:eastAsia="en-AU"/>
        </w:rPr>
      </w:pPr>
      <w:r>
        <w:t>95A</w:t>
      </w:r>
      <w:r>
        <w:rPr>
          <w:snapToGrid w:val="0"/>
        </w:rPr>
        <w:t>.</w:t>
      </w:r>
      <w:r>
        <w:rPr>
          <w:snapToGrid w:val="0"/>
        </w:rPr>
        <w:tab/>
        <w:t>Application for use of slipway</w:t>
      </w:r>
      <w:r>
        <w:tab/>
      </w:r>
      <w:r>
        <w:fldChar w:fldCharType="begin"/>
      </w:r>
      <w:r>
        <w:instrText xml:space="preserve"> PAGEREF _Toc360523322 \h </w:instrText>
      </w:r>
      <w:r>
        <w:fldChar w:fldCharType="separate"/>
      </w:r>
      <w:r>
        <w:t>47</w:t>
      </w:r>
      <w:r>
        <w:fldChar w:fldCharType="end"/>
      </w:r>
    </w:p>
    <w:p>
      <w:pPr>
        <w:pStyle w:val="TOC8"/>
        <w:rPr>
          <w:rFonts w:asciiTheme="minorHAnsi" w:eastAsiaTheme="minorEastAsia" w:hAnsiTheme="minorHAnsi" w:cstheme="minorBidi"/>
          <w:szCs w:val="22"/>
          <w:lang w:eastAsia="en-AU"/>
        </w:rPr>
      </w:pPr>
      <w:r>
        <w:t>96</w:t>
      </w:r>
      <w:r>
        <w:rPr>
          <w:snapToGrid w:val="0"/>
        </w:rPr>
        <w:t>.</w:t>
      </w:r>
      <w:r>
        <w:rPr>
          <w:snapToGrid w:val="0"/>
        </w:rPr>
        <w:tab/>
        <w:t>Charges for use of slipway</w:t>
      </w:r>
      <w:r>
        <w:tab/>
      </w:r>
      <w:r>
        <w:fldChar w:fldCharType="begin"/>
      </w:r>
      <w:r>
        <w:instrText xml:space="preserve"> PAGEREF _Toc360523323 \h </w:instrText>
      </w:r>
      <w:r>
        <w:fldChar w:fldCharType="separate"/>
      </w:r>
      <w:r>
        <w:t>48</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Government vessels may take precedence</w:t>
      </w:r>
      <w:r>
        <w:tab/>
      </w:r>
      <w:r>
        <w:fldChar w:fldCharType="begin"/>
      </w:r>
      <w:r>
        <w:instrText xml:space="preserve"> PAGEREF _Toc360523324 \h </w:instrText>
      </w:r>
      <w:r>
        <w:fldChar w:fldCharType="separate"/>
      </w:r>
      <w:r>
        <w:t>48</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Vessels may forfeit their turn</w:t>
      </w:r>
      <w:r>
        <w:tab/>
      </w:r>
      <w:r>
        <w:fldChar w:fldCharType="begin"/>
      </w:r>
      <w:r>
        <w:instrText xml:space="preserve"> PAGEREF _Toc360523325 \h </w:instrText>
      </w:r>
      <w:r>
        <w:fldChar w:fldCharType="separate"/>
      </w:r>
      <w:r>
        <w:t>48</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Department will not undertake repairs etc.</w:t>
      </w:r>
      <w:r>
        <w:tab/>
      </w:r>
      <w:r>
        <w:fldChar w:fldCharType="begin"/>
      </w:r>
      <w:r>
        <w:instrText xml:space="preserve"> PAGEREF _Toc360523326 \h </w:instrText>
      </w:r>
      <w:r>
        <w:fldChar w:fldCharType="separate"/>
      </w:r>
      <w:r>
        <w:t>49</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Department not responsible for damage to vessel when in use of slip</w:t>
      </w:r>
      <w:r>
        <w:tab/>
      </w:r>
      <w:r>
        <w:fldChar w:fldCharType="begin"/>
      </w:r>
      <w:r>
        <w:instrText xml:space="preserve"> PAGEREF _Toc360523327 \h </w:instrText>
      </w:r>
      <w:r>
        <w:fldChar w:fldCharType="separate"/>
      </w:r>
      <w:r>
        <w:t>49</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Duties of owner or master using slipway</w:t>
      </w:r>
      <w:r>
        <w:tab/>
      </w:r>
      <w:r>
        <w:fldChar w:fldCharType="begin"/>
      </w:r>
      <w:r>
        <w:instrText xml:space="preserve"> PAGEREF _Toc360523328 \h </w:instrText>
      </w:r>
      <w:r>
        <w:fldChar w:fldCharType="separate"/>
      </w:r>
      <w:r>
        <w:t>49</w:t>
      </w:r>
      <w:r>
        <w:fldChar w:fldCharType="end"/>
      </w:r>
    </w:p>
    <w:p>
      <w:pPr>
        <w:pStyle w:val="TOC8"/>
        <w:rPr>
          <w:rFonts w:asciiTheme="minorHAnsi" w:eastAsiaTheme="minorEastAsia" w:hAnsiTheme="minorHAnsi" w:cstheme="minorBidi"/>
          <w:szCs w:val="22"/>
          <w:lang w:eastAsia="en-AU"/>
        </w:rPr>
      </w:pPr>
      <w:r>
        <w:t>101A</w:t>
      </w:r>
      <w:r>
        <w:rPr>
          <w:snapToGrid w:val="0"/>
        </w:rPr>
        <w:t>.</w:t>
      </w:r>
      <w:r>
        <w:rPr>
          <w:snapToGrid w:val="0"/>
        </w:rPr>
        <w:tab/>
        <w:t>Slipping of more than one vessel at a time</w:t>
      </w:r>
      <w:r>
        <w:tab/>
      </w:r>
      <w:r>
        <w:fldChar w:fldCharType="begin"/>
      </w:r>
      <w:r>
        <w:instrText xml:space="preserve"> PAGEREF _Toc360523329 \h </w:instrText>
      </w:r>
      <w:r>
        <w:fldChar w:fldCharType="separate"/>
      </w:r>
      <w:r>
        <w:t>50</w:t>
      </w:r>
      <w:r>
        <w:fldChar w:fldCharType="end"/>
      </w:r>
    </w:p>
    <w:p>
      <w:pPr>
        <w:pStyle w:val="TOC8"/>
        <w:rPr>
          <w:rFonts w:asciiTheme="minorHAnsi" w:eastAsiaTheme="minorEastAsia" w:hAnsiTheme="minorHAnsi" w:cstheme="minorBidi"/>
          <w:szCs w:val="22"/>
          <w:lang w:eastAsia="en-AU"/>
        </w:rPr>
      </w:pPr>
      <w:r>
        <w:t>101B</w:t>
      </w:r>
      <w:r>
        <w:rPr>
          <w:snapToGrid w:val="0"/>
        </w:rPr>
        <w:t>.</w:t>
      </w:r>
      <w:r>
        <w:rPr>
          <w:snapToGrid w:val="0"/>
        </w:rPr>
        <w:tab/>
        <w:t>Dispute procedure</w:t>
      </w:r>
      <w:r>
        <w:tab/>
      </w:r>
      <w:r>
        <w:fldChar w:fldCharType="begin"/>
      </w:r>
      <w:r>
        <w:instrText xml:space="preserve"> PAGEREF _Toc360523330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Use of mooring springs</w:t>
      </w:r>
    </w:p>
    <w:p>
      <w:pPr>
        <w:pStyle w:val="TOC8"/>
        <w:rPr>
          <w:rFonts w:asciiTheme="minorHAnsi" w:eastAsiaTheme="minorEastAsia" w:hAnsiTheme="minorHAnsi" w:cstheme="minorBidi"/>
          <w:szCs w:val="22"/>
          <w:lang w:eastAsia="en-AU"/>
        </w:rPr>
      </w:pPr>
      <w:r>
        <w:t>105F</w:t>
      </w:r>
      <w:r>
        <w:rPr>
          <w:snapToGrid w:val="0"/>
        </w:rPr>
        <w:t>.</w:t>
      </w:r>
      <w:r>
        <w:rPr>
          <w:snapToGrid w:val="0"/>
        </w:rPr>
        <w:tab/>
        <w:t>Approaching bollard or jetty to which mooring spring or rope fastened</w:t>
      </w:r>
      <w:r>
        <w:tab/>
      </w:r>
      <w:r>
        <w:fldChar w:fldCharType="begin"/>
      </w:r>
      <w:r>
        <w:instrText xml:space="preserve"> PAGEREF _Toc360523332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Use of weighbridges at Wyndham</w:t>
      </w:r>
    </w:p>
    <w:p>
      <w:pPr>
        <w:pStyle w:val="TOC8"/>
        <w:rPr>
          <w:rFonts w:asciiTheme="minorHAnsi" w:eastAsiaTheme="minorEastAsia" w:hAnsiTheme="minorHAnsi" w:cstheme="minorBidi"/>
          <w:szCs w:val="22"/>
          <w:lang w:eastAsia="en-AU"/>
        </w:rPr>
      </w:pPr>
      <w:r>
        <w:t>105I</w:t>
      </w:r>
      <w:r>
        <w:rPr>
          <w:snapToGrid w:val="0"/>
        </w:rPr>
        <w:t>.</w:t>
      </w:r>
      <w:r>
        <w:rPr>
          <w:snapToGrid w:val="0"/>
        </w:rPr>
        <w:tab/>
        <w:t>Weighbridge fees</w:t>
      </w:r>
      <w:r>
        <w:tab/>
      </w:r>
      <w:r>
        <w:fldChar w:fldCharType="begin"/>
      </w:r>
      <w:r>
        <w:instrText xml:space="preserve"> PAGEREF _Toc360523334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Breach of regulations and penalties</w:t>
      </w:r>
    </w:p>
    <w:p>
      <w:pPr>
        <w:pStyle w:val="TOC8"/>
        <w:rPr>
          <w:rFonts w:asciiTheme="minorHAnsi" w:eastAsiaTheme="minorEastAsia" w:hAnsiTheme="minorHAnsi" w:cstheme="minorBidi"/>
          <w:szCs w:val="22"/>
          <w:lang w:eastAsia="en-AU"/>
        </w:rPr>
      </w:pPr>
      <w:r>
        <w:t>106</w:t>
      </w:r>
      <w:r>
        <w:rPr>
          <w:snapToGrid w:val="0"/>
        </w:rPr>
        <w:t>.</w:t>
      </w:r>
      <w:r>
        <w:rPr>
          <w:snapToGrid w:val="0"/>
        </w:rPr>
        <w:tab/>
        <w:t>Powers of officer of Department</w:t>
      </w:r>
      <w:r>
        <w:tab/>
      </w:r>
      <w:r>
        <w:fldChar w:fldCharType="begin"/>
      </w:r>
      <w:r>
        <w:instrText xml:space="preserve"> PAGEREF _Toc360523336 \h </w:instrText>
      </w:r>
      <w:r>
        <w:fldChar w:fldCharType="separate"/>
      </w:r>
      <w:r>
        <w:t>52</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Recovery of expenses incurred by breaches of regulations</w:t>
      </w:r>
      <w:r>
        <w:tab/>
      </w:r>
      <w:r>
        <w:fldChar w:fldCharType="begin"/>
      </w:r>
      <w:r>
        <w:instrText xml:space="preserve"> PAGEREF _Toc360523337 \h </w:instrText>
      </w:r>
      <w:r>
        <w:fldChar w:fldCharType="separate"/>
      </w:r>
      <w:r>
        <w:t>52</w:t>
      </w:r>
      <w:r>
        <w:fldChar w:fldCharType="end"/>
      </w:r>
    </w:p>
    <w:p>
      <w:pPr>
        <w:pStyle w:val="TOC8"/>
        <w:rPr>
          <w:rFonts w:asciiTheme="minorHAnsi" w:eastAsiaTheme="minorEastAsia" w:hAnsiTheme="minorHAnsi" w:cstheme="minorBidi"/>
          <w:szCs w:val="22"/>
          <w:lang w:eastAsia="en-AU"/>
        </w:rPr>
      </w:pPr>
      <w:r>
        <w:t>107A</w:t>
      </w:r>
      <w:r>
        <w:rPr>
          <w:snapToGrid w:val="0"/>
        </w:rPr>
        <w:t>.</w:t>
      </w:r>
      <w:r>
        <w:rPr>
          <w:snapToGrid w:val="0"/>
        </w:rPr>
        <w:tab/>
        <w:t>Police have authority to enforce regulations</w:t>
      </w:r>
      <w:r>
        <w:tab/>
      </w:r>
      <w:r>
        <w:fldChar w:fldCharType="begin"/>
      </w:r>
      <w:r>
        <w:instrText xml:space="preserve"> PAGEREF _Toc360523338 \h </w:instrText>
      </w:r>
      <w:r>
        <w:fldChar w:fldCharType="separate"/>
      </w:r>
      <w:r>
        <w:t>52</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Penalty for offences</w:t>
      </w:r>
      <w:r>
        <w:tab/>
      </w:r>
      <w:r>
        <w:fldChar w:fldCharType="begin"/>
      </w:r>
      <w:r>
        <w:instrText xml:space="preserve"> PAGEREF _Toc360523339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Charges, dues and fees at places outside the Port of Perth</w:t>
      </w:r>
    </w:p>
    <w:p>
      <w:pPr>
        <w:pStyle w:val="TOC4"/>
        <w:tabs>
          <w:tab w:val="right" w:leader="dot" w:pos="7086"/>
        </w:tabs>
        <w:rPr>
          <w:rFonts w:asciiTheme="minorHAnsi" w:eastAsiaTheme="minorEastAsia" w:hAnsiTheme="minorHAnsi" w:cstheme="minorBidi"/>
          <w:b w:val="0"/>
          <w:szCs w:val="22"/>
          <w:lang w:eastAsia="en-AU"/>
        </w:rPr>
      </w:pPr>
      <w:r>
        <w:t>Division 1</w:t>
      </w:r>
      <w:r>
        <w:rPr>
          <w:b w:val="0"/>
        </w:rPr>
        <w:t> — </w:t>
      </w:r>
      <w:r>
        <w:t>Specified places</w:t>
      </w:r>
    </w:p>
    <w:p>
      <w:pPr>
        <w:pStyle w:val="TOC8"/>
        <w:rPr>
          <w:rFonts w:asciiTheme="minorHAnsi" w:eastAsiaTheme="minorEastAsia" w:hAnsiTheme="minorHAnsi" w:cstheme="minorBidi"/>
          <w:szCs w:val="22"/>
          <w:lang w:eastAsia="en-AU"/>
        </w:rPr>
      </w:pPr>
      <w:r>
        <w:t>1.</w:t>
      </w:r>
      <w:r>
        <w:tab/>
        <w:t>Albany, Albany Waterfront Marina</w:t>
      </w:r>
      <w:r>
        <w:tab/>
      </w:r>
      <w:r>
        <w:fldChar w:fldCharType="begin"/>
      </w:r>
      <w:r>
        <w:instrText xml:space="preserve"> PAGEREF _Toc360523342 \h </w:instrText>
      </w:r>
      <w:r>
        <w:fldChar w:fldCharType="separate"/>
      </w:r>
      <w:r>
        <w:t>54</w:t>
      </w:r>
      <w:r>
        <w:fldChar w:fldCharType="end"/>
      </w:r>
    </w:p>
    <w:p>
      <w:pPr>
        <w:pStyle w:val="TOC8"/>
        <w:rPr>
          <w:rFonts w:asciiTheme="minorHAnsi" w:eastAsiaTheme="minorEastAsia" w:hAnsiTheme="minorHAnsi" w:cstheme="minorBidi"/>
          <w:szCs w:val="22"/>
          <w:lang w:eastAsia="en-AU"/>
        </w:rPr>
      </w:pPr>
      <w:r>
        <w:t>2.</w:t>
      </w:r>
      <w:r>
        <w:tab/>
        <w:t>Albany, Emu Point Boat Harbour</w:t>
      </w:r>
      <w:r>
        <w:tab/>
      </w:r>
      <w:r>
        <w:fldChar w:fldCharType="begin"/>
      </w:r>
      <w:r>
        <w:instrText xml:space="preserve"> PAGEREF _Toc360523343 \h </w:instrText>
      </w:r>
      <w:r>
        <w:fldChar w:fldCharType="separate"/>
      </w:r>
      <w:r>
        <w:t>55</w:t>
      </w:r>
      <w:r>
        <w:fldChar w:fldCharType="end"/>
      </w:r>
    </w:p>
    <w:p>
      <w:pPr>
        <w:pStyle w:val="TOC8"/>
        <w:rPr>
          <w:rFonts w:asciiTheme="minorHAnsi" w:eastAsiaTheme="minorEastAsia" w:hAnsiTheme="minorHAnsi" w:cstheme="minorBidi"/>
          <w:szCs w:val="22"/>
          <w:lang w:eastAsia="en-AU"/>
        </w:rPr>
      </w:pPr>
      <w:r>
        <w:t>3.</w:t>
      </w:r>
      <w:r>
        <w:tab/>
        <w:t>Augusta</w:t>
      </w:r>
      <w:r>
        <w:tab/>
      </w:r>
      <w:r>
        <w:fldChar w:fldCharType="begin"/>
      </w:r>
      <w:r>
        <w:instrText xml:space="preserve"> PAGEREF _Toc360523344 \h </w:instrText>
      </w:r>
      <w:r>
        <w:fldChar w:fldCharType="separate"/>
      </w:r>
      <w:r>
        <w:t>57</w:t>
      </w:r>
      <w:r>
        <w:fldChar w:fldCharType="end"/>
      </w:r>
    </w:p>
    <w:p>
      <w:pPr>
        <w:pStyle w:val="TOC8"/>
        <w:rPr>
          <w:rFonts w:asciiTheme="minorHAnsi" w:eastAsiaTheme="minorEastAsia" w:hAnsiTheme="minorHAnsi" w:cstheme="minorBidi"/>
          <w:szCs w:val="22"/>
          <w:lang w:eastAsia="en-AU"/>
        </w:rPr>
      </w:pPr>
      <w:r>
        <w:t>4.</w:t>
      </w:r>
      <w:r>
        <w:tab/>
        <w:t>Bremer Bay</w:t>
      </w:r>
      <w:r>
        <w:tab/>
      </w:r>
      <w:r>
        <w:fldChar w:fldCharType="begin"/>
      </w:r>
      <w:r>
        <w:instrText xml:space="preserve"> PAGEREF _Toc360523345 \h </w:instrText>
      </w:r>
      <w:r>
        <w:fldChar w:fldCharType="separate"/>
      </w:r>
      <w:r>
        <w:t>57</w:t>
      </w:r>
      <w:r>
        <w:fldChar w:fldCharType="end"/>
      </w:r>
    </w:p>
    <w:p>
      <w:pPr>
        <w:pStyle w:val="TOC8"/>
        <w:rPr>
          <w:rFonts w:asciiTheme="minorHAnsi" w:eastAsiaTheme="minorEastAsia" w:hAnsiTheme="minorHAnsi" w:cstheme="minorBidi"/>
          <w:szCs w:val="22"/>
          <w:lang w:eastAsia="en-AU"/>
        </w:rPr>
      </w:pPr>
      <w:r>
        <w:t>5.</w:t>
      </w:r>
      <w:r>
        <w:tab/>
        <w:t>Bunbury, Casuarina Boat Harbour</w:t>
      </w:r>
      <w:r>
        <w:tab/>
      </w:r>
      <w:r>
        <w:fldChar w:fldCharType="begin"/>
      </w:r>
      <w:r>
        <w:instrText xml:space="preserve"> PAGEREF _Toc360523346 \h </w:instrText>
      </w:r>
      <w:r>
        <w:fldChar w:fldCharType="separate"/>
      </w:r>
      <w:r>
        <w:t>58</w:t>
      </w:r>
      <w:r>
        <w:fldChar w:fldCharType="end"/>
      </w:r>
    </w:p>
    <w:p>
      <w:pPr>
        <w:pStyle w:val="TOC8"/>
        <w:rPr>
          <w:rFonts w:asciiTheme="minorHAnsi" w:eastAsiaTheme="minorEastAsia" w:hAnsiTheme="minorHAnsi" w:cstheme="minorBidi"/>
          <w:szCs w:val="22"/>
          <w:lang w:eastAsia="en-AU"/>
        </w:rPr>
      </w:pPr>
      <w:r>
        <w:t>6.</w:t>
      </w:r>
      <w:r>
        <w:tab/>
        <w:t>Carnarvon Boat Harbour</w:t>
      </w:r>
      <w:r>
        <w:tab/>
      </w:r>
      <w:r>
        <w:fldChar w:fldCharType="begin"/>
      </w:r>
      <w:r>
        <w:instrText xml:space="preserve"> PAGEREF _Toc360523347 \h </w:instrText>
      </w:r>
      <w:r>
        <w:fldChar w:fldCharType="separate"/>
      </w:r>
      <w:r>
        <w:t>60</w:t>
      </w:r>
      <w:r>
        <w:fldChar w:fldCharType="end"/>
      </w:r>
    </w:p>
    <w:p>
      <w:pPr>
        <w:pStyle w:val="TOC8"/>
        <w:rPr>
          <w:rFonts w:asciiTheme="minorHAnsi" w:eastAsiaTheme="minorEastAsia" w:hAnsiTheme="minorHAnsi" w:cstheme="minorBidi"/>
          <w:szCs w:val="22"/>
          <w:lang w:eastAsia="en-AU"/>
        </w:rPr>
      </w:pPr>
      <w:r>
        <w:t>7.</w:t>
      </w:r>
      <w:r>
        <w:tab/>
        <w:t>Cervantes</w:t>
      </w:r>
      <w:r>
        <w:tab/>
      </w:r>
      <w:r>
        <w:fldChar w:fldCharType="begin"/>
      </w:r>
      <w:r>
        <w:instrText xml:space="preserve"> PAGEREF _Toc360523348 \h </w:instrText>
      </w:r>
      <w:r>
        <w:fldChar w:fldCharType="separate"/>
      </w:r>
      <w:r>
        <w:t>63</w:t>
      </w:r>
      <w:r>
        <w:fldChar w:fldCharType="end"/>
      </w:r>
    </w:p>
    <w:p>
      <w:pPr>
        <w:pStyle w:val="TOC8"/>
        <w:rPr>
          <w:rFonts w:asciiTheme="minorHAnsi" w:eastAsiaTheme="minorEastAsia" w:hAnsiTheme="minorHAnsi" w:cstheme="minorBidi"/>
          <w:szCs w:val="22"/>
          <w:lang w:eastAsia="en-AU"/>
        </w:rPr>
      </w:pPr>
      <w:r>
        <w:t>8.</w:t>
      </w:r>
      <w:r>
        <w:tab/>
        <w:t>Coral Bay Maritime Facility</w:t>
      </w:r>
      <w:r>
        <w:tab/>
      </w:r>
      <w:r>
        <w:fldChar w:fldCharType="begin"/>
      </w:r>
      <w:r>
        <w:instrText xml:space="preserve"> PAGEREF _Toc360523349 \h </w:instrText>
      </w:r>
      <w:r>
        <w:fldChar w:fldCharType="separate"/>
      </w:r>
      <w:r>
        <w:t>64</w:t>
      </w:r>
      <w:r>
        <w:fldChar w:fldCharType="end"/>
      </w:r>
    </w:p>
    <w:p>
      <w:pPr>
        <w:pStyle w:val="TOC8"/>
        <w:rPr>
          <w:rFonts w:asciiTheme="minorHAnsi" w:eastAsiaTheme="minorEastAsia" w:hAnsiTheme="minorHAnsi" w:cstheme="minorBidi"/>
          <w:szCs w:val="22"/>
          <w:lang w:eastAsia="en-AU"/>
        </w:rPr>
      </w:pPr>
      <w:r>
        <w:t>9.</w:t>
      </w:r>
      <w:r>
        <w:tab/>
        <w:t>Esperance, Bandy Creek Boat Harbour</w:t>
      </w:r>
      <w:r>
        <w:tab/>
      </w:r>
      <w:r>
        <w:fldChar w:fldCharType="begin"/>
      </w:r>
      <w:r>
        <w:instrText xml:space="preserve"> PAGEREF _Toc360523350 \h </w:instrText>
      </w:r>
      <w:r>
        <w:fldChar w:fldCharType="separate"/>
      </w:r>
      <w:r>
        <w:t>65</w:t>
      </w:r>
      <w:r>
        <w:fldChar w:fldCharType="end"/>
      </w:r>
    </w:p>
    <w:p>
      <w:pPr>
        <w:pStyle w:val="TOC8"/>
        <w:rPr>
          <w:rFonts w:asciiTheme="minorHAnsi" w:eastAsiaTheme="minorEastAsia" w:hAnsiTheme="minorHAnsi" w:cstheme="minorBidi"/>
          <w:szCs w:val="22"/>
          <w:lang w:eastAsia="en-AU"/>
        </w:rPr>
      </w:pPr>
      <w:r>
        <w:t>10.</w:t>
      </w:r>
      <w:r>
        <w:tab/>
        <w:t>Exmouth</w:t>
      </w:r>
      <w:r>
        <w:tab/>
      </w:r>
      <w:r>
        <w:fldChar w:fldCharType="begin"/>
      </w:r>
      <w:r>
        <w:instrText xml:space="preserve"> PAGEREF _Toc360523351 \h </w:instrText>
      </w:r>
      <w:r>
        <w:fldChar w:fldCharType="separate"/>
      </w:r>
      <w:r>
        <w:t>67</w:t>
      </w:r>
      <w:r>
        <w:fldChar w:fldCharType="end"/>
      </w:r>
    </w:p>
    <w:p>
      <w:pPr>
        <w:pStyle w:val="TOC8"/>
        <w:rPr>
          <w:rFonts w:asciiTheme="minorHAnsi" w:eastAsiaTheme="minorEastAsia" w:hAnsiTheme="minorHAnsi" w:cstheme="minorBidi"/>
          <w:szCs w:val="22"/>
          <w:lang w:eastAsia="en-AU"/>
        </w:rPr>
      </w:pPr>
      <w:r>
        <w:t>11.</w:t>
      </w:r>
      <w:r>
        <w:tab/>
        <w:t>Fremantle Fishing Boat Harbour</w:t>
      </w:r>
      <w:r>
        <w:tab/>
      </w:r>
      <w:r>
        <w:fldChar w:fldCharType="begin"/>
      </w:r>
      <w:r>
        <w:instrText xml:space="preserve"> PAGEREF _Toc360523352 \h </w:instrText>
      </w:r>
      <w:r>
        <w:fldChar w:fldCharType="separate"/>
      </w:r>
      <w:r>
        <w:t>74</w:t>
      </w:r>
      <w:r>
        <w:fldChar w:fldCharType="end"/>
      </w:r>
    </w:p>
    <w:p>
      <w:pPr>
        <w:pStyle w:val="TOC8"/>
        <w:rPr>
          <w:rFonts w:asciiTheme="minorHAnsi" w:eastAsiaTheme="minorEastAsia" w:hAnsiTheme="minorHAnsi" w:cstheme="minorBidi"/>
          <w:szCs w:val="22"/>
          <w:lang w:eastAsia="en-AU"/>
        </w:rPr>
      </w:pPr>
      <w:r>
        <w:t>12.</w:t>
      </w:r>
      <w:r>
        <w:tab/>
        <w:t>Geraldton, Batavia Coast Boat Harbour</w:t>
      </w:r>
      <w:r>
        <w:tab/>
      </w:r>
      <w:r>
        <w:fldChar w:fldCharType="begin"/>
      </w:r>
      <w:r>
        <w:instrText xml:space="preserve"> PAGEREF _Toc360523353 \h </w:instrText>
      </w:r>
      <w:r>
        <w:fldChar w:fldCharType="separate"/>
      </w:r>
      <w:r>
        <w:t>76</w:t>
      </w:r>
      <w:r>
        <w:fldChar w:fldCharType="end"/>
      </w:r>
    </w:p>
    <w:p>
      <w:pPr>
        <w:pStyle w:val="TOC8"/>
        <w:rPr>
          <w:rFonts w:asciiTheme="minorHAnsi" w:eastAsiaTheme="minorEastAsia" w:hAnsiTheme="minorHAnsi" w:cstheme="minorBidi"/>
          <w:szCs w:val="22"/>
          <w:lang w:eastAsia="en-AU"/>
        </w:rPr>
      </w:pPr>
      <w:r>
        <w:t>13.</w:t>
      </w:r>
      <w:r>
        <w:tab/>
        <w:t>Green Head</w:t>
      </w:r>
      <w:r>
        <w:tab/>
      </w:r>
      <w:r>
        <w:fldChar w:fldCharType="begin"/>
      </w:r>
      <w:r>
        <w:instrText xml:space="preserve"> PAGEREF _Toc360523354 \h </w:instrText>
      </w:r>
      <w:r>
        <w:fldChar w:fldCharType="separate"/>
      </w:r>
      <w:r>
        <w:t>79</w:t>
      </w:r>
      <w:r>
        <w:fldChar w:fldCharType="end"/>
      </w:r>
    </w:p>
    <w:p>
      <w:pPr>
        <w:pStyle w:val="TOC8"/>
        <w:rPr>
          <w:rFonts w:asciiTheme="minorHAnsi" w:eastAsiaTheme="minorEastAsia" w:hAnsiTheme="minorHAnsi" w:cstheme="minorBidi"/>
          <w:szCs w:val="22"/>
          <w:lang w:eastAsia="en-AU"/>
        </w:rPr>
      </w:pPr>
      <w:r>
        <w:t>14.</w:t>
      </w:r>
      <w:r>
        <w:tab/>
        <w:t>Hopetoun</w:t>
      </w:r>
      <w:r>
        <w:tab/>
      </w:r>
      <w:r>
        <w:fldChar w:fldCharType="begin"/>
      </w:r>
      <w:r>
        <w:instrText xml:space="preserve"> PAGEREF _Toc360523355 \h </w:instrText>
      </w:r>
      <w:r>
        <w:fldChar w:fldCharType="separate"/>
      </w:r>
      <w:r>
        <w:t>79</w:t>
      </w:r>
      <w:r>
        <w:fldChar w:fldCharType="end"/>
      </w:r>
    </w:p>
    <w:p>
      <w:pPr>
        <w:pStyle w:val="TOC8"/>
        <w:rPr>
          <w:rFonts w:asciiTheme="minorHAnsi" w:eastAsiaTheme="minorEastAsia" w:hAnsiTheme="minorHAnsi" w:cstheme="minorBidi"/>
          <w:szCs w:val="22"/>
          <w:lang w:eastAsia="en-AU"/>
        </w:rPr>
      </w:pPr>
      <w:r>
        <w:t>15.</w:t>
      </w:r>
      <w:r>
        <w:tab/>
        <w:t>Jurien</w:t>
      </w:r>
      <w:r>
        <w:tab/>
      </w:r>
      <w:r>
        <w:fldChar w:fldCharType="begin"/>
      </w:r>
      <w:r>
        <w:instrText xml:space="preserve"> PAGEREF _Toc360523356 \h </w:instrText>
      </w:r>
      <w:r>
        <w:fldChar w:fldCharType="separate"/>
      </w:r>
      <w:r>
        <w:t>79</w:t>
      </w:r>
      <w:r>
        <w:fldChar w:fldCharType="end"/>
      </w:r>
    </w:p>
    <w:p>
      <w:pPr>
        <w:pStyle w:val="TOC8"/>
        <w:rPr>
          <w:rFonts w:asciiTheme="minorHAnsi" w:eastAsiaTheme="minorEastAsia" w:hAnsiTheme="minorHAnsi" w:cstheme="minorBidi"/>
          <w:szCs w:val="22"/>
          <w:lang w:eastAsia="en-AU"/>
        </w:rPr>
      </w:pPr>
      <w:r>
        <w:t>16.</w:t>
      </w:r>
      <w:r>
        <w:tab/>
        <w:t>Kalbarri</w:t>
      </w:r>
      <w:r>
        <w:tab/>
      </w:r>
      <w:r>
        <w:fldChar w:fldCharType="begin"/>
      </w:r>
      <w:r>
        <w:instrText xml:space="preserve"> PAGEREF _Toc360523357 \h </w:instrText>
      </w:r>
      <w:r>
        <w:fldChar w:fldCharType="separate"/>
      </w:r>
      <w:r>
        <w:t>81</w:t>
      </w:r>
      <w:r>
        <w:fldChar w:fldCharType="end"/>
      </w:r>
    </w:p>
    <w:p>
      <w:pPr>
        <w:pStyle w:val="TOC8"/>
        <w:rPr>
          <w:rFonts w:asciiTheme="minorHAnsi" w:eastAsiaTheme="minorEastAsia" w:hAnsiTheme="minorHAnsi" w:cstheme="minorBidi"/>
          <w:szCs w:val="22"/>
          <w:lang w:eastAsia="en-AU"/>
        </w:rPr>
      </w:pPr>
      <w:r>
        <w:t>17.</w:t>
      </w:r>
      <w:r>
        <w:tab/>
        <w:t>Lancelin</w:t>
      </w:r>
      <w:r>
        <w:tab/>
      </w:r>
      <w:r>
        <w:fldChar w:fldCharType="begin"/>
      </w:r>
      <w:r>
        <w:instrText xml:space="preserve"> PAGEREF _Toc360523358 \h </w:instrText>
      </w:r>
      <w:r>
        <w:fldChar w:fldCharType="separate"/>
      </w:r>
      <w:r>
        <w:t>83</w:t>
      </w:r>
      <w:r>
        <w:fldChar w:fldCharType="end"/>
      </w:r>
    </w:p>
    <w:p>
      <w:pPr>
        <w:pStyle w:val="TOC8"/>
        <w:rPr>
          <w:rFonts w:asciiTheme="minorHAnsi" w:eastAsiaTheme="minorEastAsia" w:hAnsiTheme="minorHAnsi" w:cstheme="minorBidi"/>
          <w:szCs w:val="22"/>
          <w:lang w:eastAsia="en-AU"/>
        </w:rPr>
      </w:pPr>
      <w:r>
        <w:t>18.</w:t>
      </w:r>
      <w:r>
        <w:tab/>
        <w:t>Leeman</w:t>
      </w:r>
      <w:r>
        <w:tab/>
      </w:r>
      <w:r>
        <w:fldChar w:fldCharType="begin"/>
      </w:r>
      <w:r>
        <w:instrText xml:space="preserve"> PAGEREF _Toc360523359 \h </w:instrText>
      </w:r>
      <w:r>
        <w:fldChar w:fldCharType="separate"/>
      </w:r>
      <w:r>
        <w:t>83</w:t>
      </w:r>
      <w:r>
        <w:fldChar w:fldCharType="end"/>
      </w:r>
    </w:p>
    <w:p>
      <w:pPr>
        <w:pStyle w:val="TOC8"/>
        <w:rPr>
          <w:rFonts w:asciiTheme="minorHAnsi" w:eastAsiaTheme="minorEastAsia" w:hAnsiTheme="minorHAnsi" w:cstheme="minorBidi"/>
          <w:szCs w:val="22"/>
          <w:lang w:eastAsia="en-AU"/>
        </w:rPr>
      </w:pPr>
      <w:r>
        <w:t>19.</w:t>
      </w:r>
      <w:r>
        <w:tab/>
        <w:t>Onslow, Beadon Creek Boat Harbour</w:t>
      </w:r>
      <w:r>
        <w:tab/>
      </w:r>
      <w:r>
        <w:fldChar w:fldCharType="begin"/>
      </w:r>
      <w:r>
        <w:instrText xml:space="preserve"> PAGEREF _Toc360523360 \h </w:instrText>
      </w:r>
      <w:r>
        <w:fldChar w:fldCharType="separate"/>
      </w:r>
      <w:r>
        <w:t>84</w:t>
      </w:r>
      <w:r>
        <w:fldChar w:fldCharType="end"/>
      </w:r>
    </w:p>
    <w:p>
      <w:pPr>
        <w:pStyle w:val="TOC8"/>
        <w:rPr>
          <w:rFonts w:asciiTheme="minorHAnsi" w:eastAsiaTheme="minorEastAsia" w:hAnsiTheme="minorHAnsi" w:cstheme="minorBidi"/>
          <w:szCs w:val="22"/>
          <w:lang w:eastAsia="en-AU"/>
        </w:rPr>
      </w:pPr>
      <w:r>
        <w:t>20.</w:t>
      </w:r>
      <w:r>
        <w:tab/>
        <w:t>Point Samson, Johns Creek Boat Harbour</w:t>
      </w:r>
      <w:r>
        <w:tab/>
      </w:r>
      <w:r>
        <w:fldChar w:fldCharType="begin"/>
      </w:r>
      <w:r>
        <w:instrText xml:space="preserve"> PAGEREF _Toc360523361 \h </w:instrText>
      </w:r>
      <w:r>
        <w:fldChar w:fldCharType="separate"/>
      </w:r>
      <w:r>
        <w:t>86</w:t>
      </w:r>
      <w:r>
        <w:fldChar w:fldCharType="end"/>
      </w:r>
    </w:p>
    <w:p>
      <w:pPr>
        <w:pStyle w:val="TOC8"/>
        <w:rPr>
          <w:rFonts w:asciiTheme="minorHAnsi" w:eastAsiaTheme="minorEastAsia" w:hAnsiTheme="minorHAnsi" w:cstheme="minorBidi"/>
          <w:szCs w:val="22"/>
          <w:lang w:eastAsia="en-AU"/>
        </w:rPr>
      </w:pPr>
      <w:r>
        <w:t>21.</w:t>
      </w:r>
      <w:r>
        <w:tab/>
        <w:t>Port Denison</w:t>
      </w:r>
      <w:r>
        <w:tab/>
      </w:r>
      <w:r>
        <w:fldChar w:fldCharType="begin"/>
      </w:r>
      <w:r>
        <w:instrText xml:space="preserve"> PAGEREF _Toc360523362 \h </w:instrText>
      </w:r>
      <w:r>
        <w:fldChar w:fldCharType="separate"/>
      </w:r>
      <w:r>
        <w:t>90</w:t>
      </w:r>
      <w:r>
        <w:fldChar w:fldCharType="end"/>
      </w:r>
    </w:p>
    <w:p>
      <w:pPr>
        <w:pStyle w:val="TOC8"/>
        <w:rPr>
          <w:rFonts w:asciiTheme="minorHAnsi" w:eastAsiaTheme="minorEastAsia" w:hAnsiTheme="minorHAnsi" w:cstheme="minorBidi"/>
          <w:szCs w:val="22"/>
          <w:lang w:eastAsia="en-AU"/>
        </w:rPr>
      </w:pPr>
      <w:r>
        <w:t>22.</w:t>
      </w:r>
      <w:r>
        <w:tab/>
        <w:t>Port Gregory</w:t>
      </w:r>
      <w:r>
        <w:tab/>
      </w:r>
      <w:r>
        <w:fldChar w:fldCharType="begin"/>
      </w:r>
      <w:r>
        <w:instrText xml:space="preserve"> PAGEREF _Toc360523363 \h </w:instrText>
      </w:r>
      <w:r>
        <w:fldChar w:fldCharType="separate"/>
      </w:r>
      <w:r>
        <w:t>91</w:t>
      </w:r>
      <w:r>
        <w:fldChar w:fldCharType="end"/>
      </w:r>
    </w:p>
    <w:p>
      <w:pPr>
        <w:pStyle w:val="TOC8"/>
        <w:rPr>
          <w:rFonts w:asciiTheme="minorHAnsi" w:eastAsiaTheme="minorEastAsia" w:hAnsiTheme="minorHAnsi" w:cstheme="minorBidi"/>
          <w:szCs w:val="22"/>
          <w:lang w:eastAsia="en-AU"/>
        </w:rPr>
      </w:pPr>
      <w:r>
        <w:t>23.</w:t>
      </w:r>
      <w:r>
        <w:tab/>
        <w:t>Wyndham</w:t>
      </w:r>
      <w:r>
        <w:tab/>
      </w:r>
      <w:r>
        <w:fldChar w:fldCharType="begin"/>
      </w:r>
      <w:r>
        <w:instrText xml:space="preserve"> PAGEREF _Toc360523364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b w:val="0"/>
        </w:rPr>
        <w:t> — </w:t>
      </w:r>
      <w:r>
        <w:t>Charges, dues and fees not specified in Division 1</w:t>
      </w:r>
    </w:p>
    <w:p>
      <w:pPr>
        <w:pStyle w:val="TOC8"/>
        <w:rPr>
          <w:rFonts w:asciiTheme="minorHAnsi" w:eastAsiaTheme="minorEastAsia" w:hAnsiTheme="minorHAnsi" w:cstheme="minorBidi"/>
          <w:szCs w:val="22"/>
          <w:lang w:eastAsia="en-AU"/>
        </w:rPr>
      </w:pPr>
      <w:r>
        <w:t>24.</w:t>
      </w:r>
      <w:r>
        <w:tab/>
        <w:t>Wharfage (r. 10A)</w:t>
      </w:r>
      <w:r>
        <w:tab/>
      </w:r>
      <w:r>
        <w:fldChar w:fldCharType="begin"/>
      </w:r>
      <w:r>
        <w:instrText xml:space="preserve"> PAGEREF _Toc360523366 \h </w:instrText>
      </w:r>
      <w:r>
        <w:fldChar w:fldCharType="separate"/>
      </w:r>
      <w:r>
        <w:t>96</w:t>
      </w:r>
      <w:r>
        <w:fldChar w:fldCharType="end"/>
      </w:r>
    </w:p>
    <w:p>
      <w:pPr>
        <w:pStyle w:val="TOC8"/>
        <w:rPr>
          <w:rFonts w:asciiTheme="minorHAnsi" w:eastAsiaTheme="minorEastAsia" w:hAnsiTheme="minorHAnsi" w:cstheme="minorBidi"/>
          <w:szCs w:val="22"/>
          <w:lang w:eastAsia="en-AU"/>
        </w:rPr>
      </w:pPr>
      <w:r>
        <w:t>25.</w:t>
      </w:r>
      <w:r>
        <w:tab/>
        <w:t>Rubbish removal (r. 53A)</w:t>
      </w:r>
      <w:r>
        <w:tab/>
      </w:r>
      <w:r>
        <w:fldChar w:fldCharType="begin"/>
      </w:r>
      <w:r>
        <w:instrText xml:space="preserve"> PAGEREF _Toc360523367 \h </w:instrText>
      </w:r>
      <w:r>
        <w:fldChar w:fldCharType="separate"/>
      </w:r>
      <w:r>
        <w:t>96</w:t>
      </w:r>
      <w:r>
        <w:fldChar w:fldCharType="end"/>
      </w:r>
    </w:p>
    <w:p>
      <w:pPr>
        <w:pStyle w:val="TOC8"/>
        <w:rPr>
          <w:rFonts w:asciiTheme="minorHAnsi" w:eastAsiaTheme="minorEastAsia" w:hAnsiTheme="minorHAnsi" w:cstheme="minorBidi"/>
          <w:szCs w:val="22"/>
          <w:lang w:eastAsia="en-AU"/>
        </w:rPr>
      </w:pPr>
      <w:r>
        <w:t>26.</w:t>
      </w:r>
      <w:r>
        <w:tab/>
        <w:t>Pile mooring (r. 94B)</w:t>
      </w:r>
      <w:r>
        <w:tab/>
      </w:r>
      <w:r>
        <w:fldChar w:fldCharType="begin"/>
      </w:r>
      <w:r>
        <w:instrText xml:space="preserve"> PAGEREF _Toc360523368 \h </w:instrText>
      </w:r>
      <w:r>
        <w:fldChar w:fldCharType="separate"/>
      </w:r>
      <w:r>
        <w:t>97</w:t>
      </w:r>
      <w:r>
        <w:fldChar w:fldCharType="end"/>
      </w:r>
    </w:p>
    <w:p>
      <w:pPr>
        <w:pStyle w:val="TOC8"/>
        <w:rPr>
          <w:rFonts w:asciiTheme="minorHAnsi" w:eastAsiaTheme="minorEastAsia" w:hAnsiTheme="minorHAnsi" w:cstheme="minorBidi"/>
          <w:szCs w:val="22"/>
          <w:lang w:eastAsia="en-AU"/>
        </w:rPr>
      </w:pPr>
      <w:r>
        <w:t>27.</w:t>
      </w:r>
      <w:r>
        <w:tab/>
        <w:t>Berthing and mooring (r. 94C)</w:t>
      </w:r>
      <w:r>
        <w:tab/>
      </w:r>
      <w:r>
        <w:fldChar w:fldCharType="begin"/>
      </w:r>
      <w:r>
        <w:instrText xml:space="preserve"> PAGEREF _Toc360523369 \h </w:instrText>
      </w:r>
      <w:r>
        <w:fldChar w:fldCharType="separate"/>
      </w:r>
      <w:r>
        <w:t>97</w:t>
      </w:r>
      <w:r>
        <w:fldChar w:fldCharType="end"/>
      </w:r>
    </w:p>
    <w:p>
      <w:pPr>
        <w:pStyle w:val="TOC8"/>
        <w:rPr>
          <w:rFonts w:asciiTheme="minorHAnsi" w:eastAsiaTheme="minorEastAsia" w:hAnsiTheme="minorHAnsi" w:cstheme="minorBidi"/>
          <w:szCs w:val="22"/>
          <w:lang w:eastAsia="en-AU"/>
        </w:rPr>
      </w:pPr>
      <w:r>
        <w:t>28.</w:t>
      </w:r>
      <w:r>
        <w:tab/>
        <w:t>Slip services (r. 96)</w:t>
      </w:r>
      <w:r>
        <w:tab/>
      </w:r>
      <w:r>
        <w:fldChar w:fldCharType="begin"/>
      </w:r>
      <w:r>
        <w:instrText xml:space="preserve"> PAGEREF _Toc360523370 \h </w:instrText>
      </w:r>
      <w:r>
        <w:fldChar w:fldCharType="separate"/>
      </w:r>
      <w:r>
        <w:t>98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1A — Fuel oil wharfage</w:t>
      </w:r>
    </w:p>
    <w:p>
      <w:pPr>
        <w:pStyle w:val="TOC8"/>
        <w:rPr>
          <w:rFonts w:asciiTheme="minorHAnsi" w:eastAsiaTheme="minorEastAsia" w:hAnsiTheme="minorHAnsi" w:cstheme="minorBidi"/>
          <w:szCs w:val="22"/>
          <w:lang w:eastAsia="en-AU"/>
        </w:rPr>
      </w:pPr>
      <w:r>
        <w:t>1.</w:t>
      </w:r>
      <w:r>
        <w:tab/>
        <w:t>Wharfage for fuel (r. 11B(2))</w:t>
      </w:r>
      <w:r>
        <w:tab/>
      </w:r>
      <w:r>
        <w:fldChar w:fldCharType="begin"/>
      </w:r>
      <w:r>
        <w:instrText xml:space="preserve"> PAGEREF _Toc360523372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Port of Perth fees</w:t>
      </w:r>
    </w:p>
    <w:p>
      <w:pPr>
        <w:pStyle w:val="TOC4"/>
        <w:tabs>
          <w:tab w:val="right" w:leader="dot" w:pos="7086"/>
        </w:tabs>
        <w:rPr>
          <w:rFonts w:asciiTheme="minorHAnsi" w:eastAsiaTheme="minorEastAsia" w:hAnsiTheme="minorHAnsi" w:cstheme="minorBidi"/>
          <w:b w:val="0"/>
          <w:szCs w:val="22"/>
          <w:lang w:eastAsia="en-AU"/>
        </w:rPr>
      </w:pPr>
      <w:r>
        <w:t>Division 1</w:t>
      </w:r>
      <w:r>
        <w:rPr>
          <w:bCs/>
        </w:rPr>
        <w:t> — </w:t>
      </w:r>
      <w:r>
        <w:t>Fees for jetties</w:t>
      </w:r>
    </w:p>
    <w:p>
      <w:pPr>
        <w:pStyle w:val="TOC8"/>
        <w:rPr>
          <w:rFonts w:asciiTheme="minorHAnsi" w:eastAsiaTheme="minorEastAsia" w:hAnsiTheme="minorHAnsi" w:cstheme="minorBidi"/>
          <w:szCs w:val="22"/>
          <w:lang w:eastAsia="en-AU"/>
        </w:rPr>
      </w:pPr>
      <w:r>
        <w:t>1.</w:t>
      </w:r>
      <w:r>
        <w:tab/>
        <w:t>Barrack Street and Mends Street jetties</w:t>
      </w:r>
      <w:r>
        <w:tab/>
      </w:r>
      <w:r>
        <w:fldChar w:fldCharType="begin"/>
      </w:r>
      <w:r>
        <w:instrText xml:space="preserve"> PAGEREF _Toc360523375 \h </w:instrText>
      </w:r>
      <w:r>
        <w:fldChar w:fldCharType="separate"/>
      </w:r>
      <w:r>
        <w:t>101</w:t>
      </w:r>
      <w:r>
        <w:fldChar w:fldCharType="end"/>
      </w:r>
    </w:p>
    <w:p>
      <w:pPr>
        <w:pStyle w:val="TOC8"/>
        <w:rPr>
          <w:rFonts w:asciiTheme="minorHAnsi" w:eastAsiaTheme="minorEastAsia" w:hAnsiTheme="minorHAnsi" w:cstheme="minorBidi"/>
          <w:szCs w:val="22"/>
          <w:lang w:eastAsia="en-AU"/>
        </w:rPr>
      </w:pPr>
      <w:r>
        <w:t>2.</w:t>
      </w:r>
      <w:r>
        <w:tab/>
        <w:t>Other jetties in Swan and Canning Rivers</w:t>
      </w:r>
      <w:r>
        <w:tab/>
      </w:r>
      <w:r>
        <w:fldChar w:fldCharType="begin"/>
      </w:r>
      <w:r>
        <w:instrText xml:space="preserve"> PAGEREF _Toc360523376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bCs/>
        </w:rPr>
        <w:t> — </w:t>
      </w:r>
      <w:r>
        <w:t>Fees for boat pens</w:t>
      </w:r>
    </w:p>
    <w:p>
      <w:pPr>
        <w:pStyle w:val="TOC8"/>
        <w:rPr>
          <w:rFonts w:asciiTheme="minorHAnsi" w:eastAsiaTheme="minorEastAsia" w:hAnsiTheme="minorHAnsi" w:cstheme="minorBidi"/>
          <w:szCs w:val="22"/>
          <w:lang w:eastAsia="en-AU"/>
        </w:rPr>
      </w:pPr>
      <w:r>
        <w:t>3.</w:t>
      </w:r>
      <w:r>
        <w:tab/>
        <w:t>Fremantle, Challenger Boat Harbour</w:t>
      </w:r>
      <w:r>
        <w:tab/>
      </w:r>
      <w:r>
        <w:fldChar w:fldCharType="begin"/>
      </w:r>
      <w:r>
        <w:instrText xml:space="preserve"> PAGEREF _Toc360523378 \h </w:instrText>
      </w:r>
      <w:r>
        <w:fldChar w:fldCharType="separate"/>
      </w:r>
      <w:r>
        <w:t>102</w:t>
      </w:r>
      <w:r>
        <w:fldChar w:fldCharType="end"/>
      </w:r>
    </w:p>
    <w:p>
      <w:pPr>
        <w:pStyle w:val="TOC8"/>
        <w:rPr>
          <w:rFonts w:asciiTheme="minorHAnsi" w:eastAsiaTheme="minorEastAsia" w:hAnsiTheme="minorHAnsi" w:cstheme="minorBidi"/>
          <w:szCs w:val="22"/>
          <w:lang w:eastAsia="en-AU"/>
        </w:rPr>
      </w:pPr>
      <w:r>
        <w:t>4.</w:t>
      </w:r>
      <w:r>
        <w:tab/>
        <w:t>Hillarys Boat Harbour</w:t>
      </w:r>
      <w:r>
        <w:tab/>
      </w:r>
      <w:r>
        <w:fldChar w:fldCharType="begin"/>
      </w:r>
      <w:r>
        <w:instrText xml:space="preserve"> PAGEREF _Toc360523379 \h </w:instrText>
      </w:r>
      <w:r>
        <w:fldChar w:fldCharType="separate"/>
      </w:r>
      <w:r>
        <w:t>103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Forms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_Toc360523382 \h </w:instrText>
      </w:r>
      <w:r>
        <w:fldChar w:fldCharType="separate"/>
      </w:r>
      <w:r>
        <w:t>109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1" w:name="_Toc360523201"/>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2" w:name="_Toc360523202"/>
      <w:r>
        <w:rPr>
          <w:rStyle w:val="CharSectno"/>
        </w:rPr>
        <w:t>2</w:t>
      </w:r>
      <w:r>
        <w:t>.</w:t>
      </w:r>
      <w:r>
        <w:tab/>
        <w:t>Liability for dues, charges and fees</w:t>
      </w:r>
      <w:bookmarkEnd w:id="2"/>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3" w:name="_Toc360523203"/>
      <w:r>
        <w:rPr>
          <w:rStyle w:val="CharSectno"/>
        </w:rPr>
        <w:t>3</w:t>
      </w:r>
      <w:r>
        <w:rPr>
          <w:snapToGrid w:val="0"/>
        </w:rPr>
        <w:t>.</w:t>
      </w:r>
      <w:r>
        <w:rPr>
          <w:snapToGrid w:val="0"/>
        </w:rPr>
        <w:tab/>
        <w:t>Terms used</w:t>
      </w:r>
      <w:bookmarkEnd w:id="3"/>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800; 24 Jun 2005 p. 2815-16; 22 Jun 2007 p. 2908; 8 Feb 2008 p. 315; 13 Jul 2012 p. 3173</w:t>
      </w:r>
      <w:r>
        <w:noBreakHyphen/>
        <w:t xml:space="preserve">4.] </w:t>
      </w:r>
    </w:p>
    <w:p>
      <w:pPr>
        <w:pStyle w:val="Heading2"/>
      </w:pPr>
      <w:bookmarkStart w:id="4" w:name="_Toc190232003"/>
      <w:bookmarkStart w:id="5" w:name="_Toc202676713"/>
      <w:bookmarkStart w:id="6" w:name="_Toc202691487"/>
      <w:bookmarkStart w:id="7" w:name="_Toc219773345"/>
      <w:bookmarkStart w:id="8" w:name="_Toc219773600"/>
      <w:bookmarkStart w:id="9" w:name="_Toc221592534"/>
      <w:bookmarkStart w:id="10" w:name="_Toc221609220"/>
      <w:bookmarkStart w:id="11" w:name="_Toc221609402"/>
      <w:bookmarkStart w:id="12" w:name="_Toc223835723"/>
      <w:bookmarkStart w:id="13" w:name="_Toc233539413"/>
      <w:bookmarkStart w:id="14" w:name="_Toc236796512"/>
      <w:bookmarkStart w:id="15" w:name="_Toc266960772"/>
      <w:bookmarkStart w:id="16" w:name="_Toc297293676"/>
      <w:bookmarkStart w:id="17" w:name="_Toc329788375"/>
      <w:bookmarkStart w:id="18" w:name="_Toc329850687"/>
      <w:bookmarkStart w:id="19" w:name="_Toc329850887"/>
      <w:bookmarkStart w:id="20" w:name="_Toc329863166"/>
      <w:bookmarkStart w:id="21" w:name="_Toc329864504"/>
      <w:bookmarkStart w:id="22" w:name="_Toc346790934"/>
      <w:bookmarkStart w:id="23" w:name="_Toc355611557"/>
      <w:bookmarkStart w:id="24" w:name="_Toc360457427"/>
      <w:bookmarkStart w:id="25" w:name="_Toc360458010"/>
      <w:bookmarkStart w:id="26" w:name="_Toc360523204"/>
      <w:r>
        <w:rPr>
          <w:rStyle w:val="CharPartNo"/>
        </w:rPr>
        <w:t>Part 1</w:t>
      </w:r>
      <w:r>
        <w:t> — </w:t>
      </w:r>
      <w:r>
        <w:rPr>
          <w:rStyle w:val="CharPartText"/>
        </w:rPr>
        <w:t>Regulations applying to jetties controlled by the Department</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Footnoteheading"/>
      </w:pPr>
      <w:r>
        <w:tab/>
        <w:t xml:space="preserve">[Heading inserted in Gazette 19 May 1989 p. 1494.] </w:t>
      </w:r>
    </w:p>
    <w:p>
      <w:pPr>
        <w:pStyle w:val="Heading3"/>
        <w:rPr>
          <w:snapToGrid w:val="0"/>
        </w:rPr>
      </w:pPr>
      <w:bookmarkStart w:id="27" w:name="_Toc190232004"/>
      <w:bookmarkStart w:id="28" w:name="_Toc202676714"/>
      <w:bookmarkStart w:id="29" w:name="_Toc202691488"/>
      <w:bookmarkStart w:id="30" w:name="_Toc219773346"/>
      <w:bookmarkStart w:id="31" w:name="_Toc219773601"/>
      <w:bookmarkStart w:id="32" w:name="_Toc221592535"/>
      <w:bookmarkStart w:id="33" w:name="_Toc221609221"/>
      <w:bookmarkStart w:id="34" w:name="_Toc221609403"/>
      <w:bookmarkStart w:id="35" w:name="_Toc223835724"/>
      <w:bookmarkStart w:id="36" w:name="_Toc233539414"/>
      <w:bookmarkStart w:id="37" w:name="_Toc236796513"/>
      <w:bookmarkStart w:id="38" w:name="_Toc266960773"/>
      <w:bookmarkStart w:id="39" w:name="_Toc297293677"/>
      <w:bookmarkStart w:id="40" w:name="_Toc329788376"/>
      <w:bookmarkStart w:id="41" w:name="_Toc329850688"/>
      <w:bookmarkStart w:id="42" w:name="_Toc329850888"/>
      <w:bookmarkStart w:id="43" w:name="_Toc329863167"/>
      <w:bookmarkStart w:id="44" w:name="_Toc329864505"/>
      <w:bookmarkStart w:id="45" w:name="_Toc346790935"/>
      <w:bookmarkStart w:id="46" w:name="_Toc355611558"/>
      <w:bookmarkStart w:id="47" w:name="_Toc360457428"/>
      <w:bookmarkStart w:id="48" w:name="_Toc360458011"/>
      <w:bookmarkStart w:id="49" w:name="_Toc360523205"/>
      <w:r>
        <w:rPr>
          <w:rStyle w:val="CharDivNo"/>
        </w:rPr>
        <w:t>Division 1</w:t>
      </w:r>
      <w:r>
        <w:rPr>
          <w:snapToGrid w:val="0"/>
        </w:rPr>
        <w:t> — </w:t>
      </w:r>
      <w:r>
        <w:rPr>
          <w:rStyle w:val="CharDivText"/>
        </w:rPr>
        <w:t>Application of this Part</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DivText"/>
        </w:rPr>
        <w:t xml:space="preserve"> </w:t>
      </w:r>
    </w:p>
    <w:p>
      <w:pPr>
        <w:pStyle w:val="Footnoteheading"/>
      </w:pPr>
      <w:r>
        <w:tab/>
        <w:t xml:space="preserve">[Heading inserted in Gazette 19 May 1989 p. 1494.] </w:t>
      </w:r>
    </w:p>
    <w:p>
      <w:pPr>
        <w:pStyle w:val="Heading5"/>
        <w:rPr>
          <w:snapToGrid w:val="0"/>
        </w:rPr>
      </w:pPr>
      <w:bookmarkStart w:id="50" w:name="_Toc360523206"/>
      <w:r>
        <w:rPr>
          <w:rStyle w:val="CharSectno"/>
        </w:rPr>
        <w:t>3A</w:t>
      </w:r>
      <w:r>
        <w:rPr>
          <w:snapToGrid w:val="0"/>
        </w:rPr>
        <w:t>.</w:t>
      </w:r>
      <w:r>
        <w:rPr>
          <w:snapToGrid w:val="0"/>
        </w:rPr>
        <w:tab/>
        <w:t>Application</w:t>
      </w:r>
      <w:bookmarkEnd w:id="50"/>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51" w:name="_Toc190232006"/>
      <w:bookmarkStart w:id="52" w:name="_Toc202676716"/>
      <w:bookmarkStart w:id="53" w:name="_Toc202691490"/>
      <w:bookmarkStart w:id="54" w:name="_Toc219773348"/>
      <w:bookmarkStart w:id="55" w:name="_Toc219773603"/>
      <w:bookmarkStart w:id="56" w:name="_Toc221592537"/>
      <w:bookmarkStart w:id="57" w:name="_Toc221609223"/>
      <w:bookmarkStart w:id="58" w:name="_Toc221609405"/>
      <w:bookmarkStart w:id="59" w:name="_Toc223835726"/>
      <w:bookmarkStart w:id="60" w:name="_Toc233539416"/>
      <w:bookmarkStart w:id="61" w:name="_Toc236796515"/>
      <w:bookmarkStart w:id="62" w:name="_Toc266960775"/>
      <w:bookmarkStart w:id="63" w:name="_Toc297293679"/>
      <w:bookmarkStart w:id="64" w:name="_Toc329788378"/>
      <w:bookmarkStart w:id="65" w:name="_Toc329850690"/>
      <w:bookmarkStart w:id="66" w:name="_Toc329850890"/>
      <w:bookmarkStart w:id="67" w:name="_Toc329863169"/>
      <w:bookmarkStart w:id="68" w:name="_Toc329864507"/>
      <w:bookmarkStart w:id="69" w:name="_Toc346790937"/>
      <w:bookmarkStart w:id="70" w:name="_Toc355611560"/>
      <w:bookmarkStart w:id="71" w:name="_Toc360457430"/>
      <w:bookmarkStart w:id="72" w:name="_Toc360458013"/>
      <w:bookmarkStart w:id="73" w:name="_Toc360523207"/>
      <w:r>
        <w:rPr>
          <w:rStyle w:val="CharDivNo"/>
        </w:rPr>
        <w:t>Division 2</w:t>
      </w:r>
      <w:r>
        <w:rPr>
          <w:snapToGrid w:val="0"/>
        </w:rPr>
        <w:t> — </w:t>
      </w:r>
      <w:r>
        <w:rPr>
          <w:rStyle w:val="CharDivText"/>
        </w:rPr>
        <w:t>Arrival and movement of vessels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DivText"/>
        </w:rPr>
        <w:t xml:space="preserve"> </w:t>
      </w:r>
    </w:p>
    <w:p>
      <w:pPr>
        <w:pStyle w:val="Footnoteheading"/>
      </w:pPr>
      <w:r>
        <w:tab/>
        <w:t xml:space="preserve">[Heading inserted in Gazette 19 May 1989 p. 1494.] </w:t>
      </w:r>
    </w:p>
    <w:p>
      <w:pPr>
        <w:pStyle w:val="Heading5"/>
        <w:rPr>
          <w:snapToGrid w:val="0"/>
        </w:rPr>
      </w:pPr>
      <w:bookmarkStart w:id="74" w:name="_Toc360523208"/>
      <w:r>
        <w:rPr>
          <w:rStyle w:val="CharSectno"/>
        </w:rPr>
        <w:t>4</w:t>
      </w:r>
      <w:r>
        <w:rPr>
          <w:snapToGrid w:val="0"/>
        </w:rPr>
        <w:t>.</w:t>
      </w:r>
      <w:r>
        <w:rPr>
          <w:snapToGrid w:val="0"/>
        </w:rPr>
        <w:tab/>
        <w:t>Master or agent to report arrival</w:t>
      </w:r>
      <w:bookmarkEnd w:id="74"/>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75" w:name="_Toc360523209"/>
      <w:r>
        <w:rPr>
          <w:rStyle w:val="CharSectno"/>
        </w:rPr>
        <w:t>5</w:t>
      </w:r>
      <w:r>
        <w:rPr>
          <w:snapToGrid w:val="0"/>
        </w:rPr>
        <w:t>.</w:t>
      </w:r>
      <w:r>
        <w:rPr>
          <w:snapToGrid w:val="0"/>
        </w:rPr>
        <w:tab/>
        <w:t>Vessels to change berths</w:t>
      </w:r>
      <w:bookmarkEnd w:id="75"/>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76" w:name="_Toc190232009"/>
      <w:bookmarkStart w:id="77" w:name="_Toc202676719"/>
      <w:bookmarkStart w:id="78" w:name="_Toc202691493"/>
      <w:bookmarkStart w:id="79" w:name="_Toc219773351"/>
      <w:bookmarkStart w:id="80" w:name="_Toc219773606"/>
      <w:bookmarkStart w:id="81" w:name="_Toc221592540"/>
      <w:bookmarkStart w:id="82" w:name="_Toc221609226"/>
      <w:bookmarkStart w:id="83" w:name="_Toc221609408"/>
      <w:bookmarkStart w:id="84" w:name="_Toc223835729"/>
      <w:bookmarkStart w:id="85" w:name="_Toc233539419"/>
      <w:bookmarkStart w:id="86" w:name="_Toc236796518"/>
      <w:bookmarkStart w:id="87" w:name="_Toc266960778"/>
      <w:bookmarkStart w:id="88" w:name="_Toc297293682"/>
      <w:bookmarkStart w:id="89" w:name="_Toc329788381"/>
      <w:bookmarkStart w:id="90" w:name="_Toc329850693"/>
      <w:bookmarkStart w:id="91" w:name="_Toc329850893"/>
      <w:bookmarkStart w:id="92" w:name="_Toc329863172"/>
      <w:bookmarkStart w:id="93" w:name="_Toc329864510"/>
      <w:bookmarkStart w:id="94" w:name="_Toc346790940"/>
      <w:bookmarkStart w:id="95" w:name="_Toc355611563"/>
      <w:bookmarkStart w:id="96" w:name="_Toc360457433"/>
      <w:bookmarkStart w:id="97" w:name="_Toc360458016"/>
      <w:bookmarkStart w:id="98" w:name="_Toc360523210"/>
      <w:r>
        <w:rPr>
          <w:rStyle w:val="CharDivNo"/>
        </w:rPr>
        <w:t>Division 3</w:t>
      </w:r>
      <w:r>
        <w:rPr>
          <w:snapToGrid w:val="0"/>
        </w:rPr>
        <w:t> — </w:t>
      </w:r>
      <w:r>
        <w:rPr>
          <w:rStyle w:val="CharDivText"/>
        </w:rPr>
        <w:t>Berthing dues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99" w:name="_Toc360523211"/>
      <w:r>
        <w:rPr>
          <w:rStyle w:val="CharSectno"/>
        </w:rPr>
        <w:t>6</w:t>
      </w:r>
      <w:r>
        <w:rPr>
          <w:snapToGrid w:val="0"/>
        </w:rPr>
        <w:t>.</w:t>
      </w:r>
      <w:r>
        <w:rPr>
          <w:snapToGrid w:val="0"/>
        </w:rPr>
        <w:tab/>
        <w:t>Berthing dues to be charged</w:t>
      </w:r>
      <w:bookmarkEnd w:id="99"/>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100" w:name="_Toc360523212"/>
      <w:r>
        <w:rPr>
          <w:rStyle w:val="CharSectno"/>
        </w:rPr>
        <w:t>6A</w:t>
      </w:r>
      <w:r>
        <w:t>.</w:t>
      </w:r>
      <w:r>
        <w:tab/>
        <w:t>Requirement to pay berthing dues</w:t>
      </w:r>
      <w:bookmarkEnd w:id="100"/>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101" w:name="_Toc360523213"/>
      <w:r>
        <w:rPr>
          <w:rStyle w:val="CharSectno"/>
        </w:rPr>
        <w:t>7</w:t>
      </w:r>
      <w:r>
        <w:rPr>
          <w:snapToGrid w:val="0"/>
        </w:rPr>
        <w:t>.</w:t>
      </w:r>
      <w:r>
        <w:rPr>
          <w:snapToGrid w:val="0"/>
        </w:rPr>
        <w:tab/>
        <w:t>Computation of berthing dues</w:t>
      </w:r>
      <w:bookmarkEnd w:id="101"/>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spacing w:before="240"/>
        <w:rPr>
          <w:snapToGrid w:val="0"/>
        </w:rPr>
      </w:pPr>
      <w:bookmarkStart w:id="102" w:name="_Toc360523214"/>
      <w:r>
        <w:rPr>
          <w:rStyle w:val="CharSectno"/>
        </w:rPr>
        <w:t>8</w:t>
      </w:r>
      <w:r>
        <w:rPr>
          <w:snapToGrid w:val="0"/>
        </w:rPr>
        <w:t>.</w:t>
      </w:r>
      <w:r>
        <w:rPr>
          <w:snapToGrid w:val="0"/>
        </w:rPr>
        <w:tab/>
        <w:t>Inwards manifests</w:t>
      </w:r>
      <w:bookmarkEnd w:id="102"/>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103" w:name="_Toc360523215"/>
      <w:r>
        <w:rPr>
          <w:rStyle w:val="CharSectno"/>
        </w:rPr>
        <w:t>9</w:t>
      </w:r>
      <w:r>
        <w:rPr>
          <w:snapToGrid w:val="0"/>
        </w:rPr>
        <w:t>.</w:t>
      </w:r>
      <w:r>
        <w:rPr>
          <w:snapToGrid w:val="0"/>
        </w:rPr>
        <w:tab/>
        <w:t>Outwards manifests</w:t>
      </w:r>
      <w:bookmarkEnd w:id="103"/>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104" w:name="_Toc190232015"/>
      <w:bookmarkStart w:id="105" w:name="_Toc202676725"/>
      <w:bookmarkStart w:id="106" w:name="_Toc202691499"/>
      <w:bookmarkStart w:id="107" w:name="_Toc219773357"/>
      <w:bookmarkStart w:id="108" w:name="_Toc219773612"/>
      <w:bookmarkStart w:id="109" w:name="_Toc221592546"/>
      <w:bookmarkStart w:id="110" w:name="_Toc221609232"/>
      <w:bookmarkStart w:id="111" w:name="_Toc221609414"/>
      <w:bookmarkStart w:id="112" w:name="_Toc223835735"/>
      <w:bookmarkStart w:id="113" w:name="_Toc233539425"/>
      <w:bookmarkStart w:id="114" w:name="_Toc236796524"/>
      <w:bookmarkStart w:id="115" w:name="_Toc266960784"/>
      <w:bookmarkStart w:id="116" w:name="_Toc297293688"/>
      <w:bookmarkStart w:id="117" w:name="_Toc329788387"/>
      <w:bookmarkStart w:id="118" w:name="_Toc329850699"/>
      <w:bookmarkStart w:id="119" w:name="_Toc329850899"/>
      <w:bookmarkStart w:id="120" w:name="_Toc329863178"/>
      <w:bookmarkStart w:id="121" w:name="_Toc329864516"/>
      <w:bookmarkStart w:id="122" w:name="_Toc346790946"/>
      <w:bookmarkStart w:id="123" w:name="_Toc355611569"/>
      <w:bookmarkStart w:id="124" w:name="_Toc360457439"/>
      <w:bookmarkStart w:id="125" w:name="_Toc360458022"/>
      <w:bookmarkStart w:id="126" w:name="_Toc360523216"/>
      <w:r>
        <w:rPr>
          <w:rStyle w:val="CharDivNo"/>
        </w:rPr>
        <w:t>Division 4</w:t>
      </w:r>
      <w:r>
        <w:rPr>
          <w:snapToGrid w:val="0"/>
        </w:rPr>
        <w:t> — </w:t>
      </w:r>
      <w:r>
        <w:rPr>
          <w:rStyle w:val="CharDivText"/>
        </w:rPr>
        <w:t>Wharfage dues, handling and haulage charges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127" w:name="_Toc360523217"/>
      <w:r>
        <w:rPr>
          <w:rStyle w:val="CharSectno"/>
        </w:rPr>
        <w:t>10A</w:t>
      </w:r>
      <w:r>
        <w:rPr>
          <w:snapToGrid w:val="0"/>
        </w:rPr>
        <w:t>.</w:t>
      </w:r>
      <w:r>
        <w:rPr>
          <w:snapToGrid w:val="0"/>
        </w:rPr>
        <w:tab/>
        <w:t>Payment of dues and charges</w:t>
      </w:r>
      <w:bookmarkEnd w:id="127"/>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128" w:name="_Toc360523218"/>
      <w:r>
        <w:rPr>
          <w:rStyle w:val="CharSectno"/>
        </w:rPr>
        <w:t>11</w:t>
      </w:r>
      <w:r>
        <w:rPr>
          <w:snapToGrid w:val="0"/>
        </w:rPr>
        <w:t>.</w:t>
      </w:r>
      <w:r>
        <w:rPr>
          <w:snapToGrid w:val="0"/>
        </w:rPr>
        <w:tab/>
        <w:t>Charges for transhipment cargo</w:t>
      </w:r>
      <w:bookmarkEnd w:id="128"/>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129" w:name="_Toc360523219"/>
      <w:r>
        <w:rPr>
          <w:rStyle w:val="CharSectno"/>
        </w:rPr>
        <w:t>11B</w:t>
      </w:r>
      <w:r>
        <w:rPr>
          <w:snapToGrid w:val="0"/>
        </w:rPr>
        <w:t>.</w:t>
      </w:r>
      <w:r>
        <w:rPr>
          <w:snapToGrid w:val="0"/>
        </w:rPr>
        <w:tab/>
        <w:t>Charges on vessels’ stores, including fuel oil</w:t>
      </w:r>
      <w:bookmarkEnd w:id="129"/>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130" w:name="_Toc360523220"/>
      <w:r>
        <w:rPr>
          <w:rStyle w:val="CharSectno"/>
        </w:rPr>
        <w:t>12</w:t>
      </w:r>
      <w:r>
        <w:rPr>
          <w:snapToGrid w:val="0"/>
        </w:rPr>
        <w:t>.</w:t>
      </w:r>
      <w:r>
        <w:rPr>
          <w:snapToGrid w:val="0"/>
        </w:rPr>
        <w:tab/>
        <w:t>Charges to be paid before delivery of cargo</w:t>
      </w:r>
      <w:bookmarkEnd w:id="130"/>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131" w:name="_Toc360523221"/>
      <w:r>
        <w:rPr>
          <w:rStyle w:val="CharSectno"/>
        </w:rPr>
        <w:t>13</w:t>
      </w:r>
      <w:r>
        <w:rPr>
          <w:snapToGrid w:val="0"/>
        </w:rPr>
        <w:t>.</w:t>
      </w:r>
      <w:r>
        <w:rPr>
          <w:snapToGrid w:val="0"/>
        </w:rPr>
        <w:tab/>
        <w:t>Extra charges</w:t>
      </w:r>
      <w:bookmarkEnd w:id="131"/>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132" w:name="_Toc190232021"/>
      <w:bookmarkStart w:id="133" w:name="_Toc202676731"/>
      <w:bookmarkStart w:id="134" w:name="_Toc202691505"/>
      <w:bookmarkStart w:id="135" w:name="_Toc219773363"/>
      <w:bookmarkStart w:id="136" w:name="_Toc219773618"/>
      <w:bookmarkStart w:id="137" w:name="_Toc221592552"/>
      <w:bookmarkStart w:id="138" w:name="_Toc221609238"/>
      <w:bookmarkStart w:id="139" w:name="_Toc221609420"/>
      <w:bookmarkStart w:id="140" w:name="_Toc223835741"/>
      <w:bookmarkStart w:id="141" w:name="_Toc233539431"/>
      <w:bookmarkStart w:id="142" w:name="_Toc236796530"/>
      <w:bookmarkStart w:id="143" w:name="_Toc266960790"/>
      <w:bookmarkStart w:id="144" w:name="_Toc297293694"/>
      <w:bookmarkStart w:id="145" w:name="_Toc329788393"/>
      <w:bookmarkStart w:id="146" w:name="_Toc329850705"/>
      <w:bookmarkStart w:id="147" w:name="_Toc329850905"/>
      <w:bookmarkStart w:id="148" w:name="_Toc329863184"/>
      <w:bookmarkStart w:id="149" w:name="_Toc329864522"/>
      <w:bookmarkStart w:id="150" w:name="_Toc346790952"/>
      <w:bookmarkStart w:id="151" w:name="_Toc355611575"/>
      <w:bookmarkStart w:id="152" w:name="_Toc360457445"/>
      <w:bookmarkStart w:id="153" w:name="_Toc360458028"/>
      <w:bookmarkStart w:id="154" w:name="_Toc360523222"/>
      <w:r>
        <w:rPr>
          <w:rStyle w:val="CharDivNo"/>
        </w:rPr>
        <w:t>Division 5</w:t>
      </w:r>
      <w:r>
        <w:rPr>
          <w:snapToGrid w:val="0"/>
        </w:rPr>
        <w:t> — </w:t>
      </w:r>
      <w:r>
        <w:rPr>
          <w:rStyle w:val="CharDivText"/>
        </w:rPr>
        <w:t>Handling of cargo</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155" w:name="_Toc360523223"/>
      <w:r>
        <w:rPr>
          <w:rStyle w:val="CharSectno"/>
        </w:rPr>
        <w:t>14</w:t>
      </w:r>
      <w:r>
        <w:rPr>
          <w:snapToGrid w:val="0"/>
        </w:rPr>
        <w:t>.</w:t>
      </w:r>
      <w:r>
        <w:rPr>
          <w:snapToGrid w:val="0"/>
        </w:rPr>
        <w:tab/>
        <w:t>Cargo not to be placed on jetties or premises without authority</w:t>
      </w:r>
      <w:bookmarkEnd w:id="155"/>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156" w:name="_Toc360523224"/>
      <w:r>
        <w:rPr>
          <w:rStyle w:val="CharSectno"/>
        </w:rPr>
        <w:t>15</w:t>
      </w:r>
      <w:r>
        <w:rPr>
          <w:snapToGrid w:val="0"/>
        </w:rPr>
        <w:t>.</w:t>
      </w:r>
      <w:r>
        <w:rPr>
          <w:snapToGrid w:val="0"/>
        </w:rPr>
        <w:tab/>
        <w:t>Discharging of cargo may be stopped</w:t>
      </w:r>
      <w:bookmarkEnd w:id="156"/>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157" w:name="_Toc360523225"/>
      <w:r>
        <w:rPr>
          <w:rStyle w:val="CharSectno"/>
        </w:rPr>
        <w:t>16</w:t>
      </w:r>
      <w:r>
        <w:rPr>
          <w:snapToGrid w:val="0"/>
        </w:rPr>
        <w:t>.</w:t>
      </w:r>
      <w:r>
        <w:rPr>
          <w:snapToGrid w:val="0"/>
        </w:rPr>
        <w:tab/>
        <w:t>Goods not to be shifted without authority</w:t>
      </w:r>
      <w:bookmarkEnd w:id="157"/>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158" w:name="_Toc360523226"/>
      <w:r>
        <w:rPr>
          <w:rStyle w:val="CharSectno"/>
        </w:rPr>
        <w:t>17</w:t>
      </w:r>
      <w:r>
        <w:rPr>
          <w:snapToGrid w:val="0"/>
        </w:rPr>
        <w:t>.</w:t>
      </w:r>
      <w:r>
        <w:rPr>
          <w:snapToGrid w:val="0"/>
        </w:rPr>
        <w:tab/>
        <w:t>Bulk cargo not to be deposited without authority</w:t>
      </w:r>
      <w:bookmarkEnd w:id="158"/>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159" w:name="_Toc360523227"/>
      <w:r>
        <w:rPr>
          <w:rStyle w:val="CharSectno"/>
        </w:rPr>
        <w:t>18</w:t>
      </w:r>
      <w:r>
        <w:rPr>
          <w:snapToGrid w:val="0"/>
        </w:rPr>
        <w:t>.</w:t>
      </w:r>
      <w:r>
        <w:rPr>
          <w:snapToGrid w:val="0"/>
        </w:rPr>
        <w:tab/>
        <w:t>Outward cargo advice notes</w:t>
      </w:r>
      <w:bookmarkEnd w:id="159"/>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160" w:name="_Toc360523228"/>
      <w:r>
        <w:rPr>
          <w:rStyle w:val="CharSectno"/>
        </w:rPr>
        <w:t>19</w:t>
      </w:r>
      <w:r>
        <w:rPr>
          <w:snapToGrid w:val="0"/>
        </w:rPr>
        <w:t>.</w:t>
      </w:r>
      <w:r>
        <w:rPr>
          <w:snapToGrid w:val="0"/>
        </w:rPr>
        <w:tab/>
        <w:t>Outward cargo</w:t>
      </w:r>
      <w:bookmarkEnd w:id="160"/>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161" w:name="_Toc360523229"/>
      <w:r>
        <w:rPr>
          <w:rStyle w:val="CharSectno"/>
        </w:rPr>
        <w:t>20</w:t>
      </w:r>
      <w:r>
        <w:rPr>
          <w:snapToGrid w:val="0"/>
        </w:rPr>
        <w:t>.</w:t>
      </w:r>
      <w:r>
        <w:rPr>
          <w:snapToGrid w:val="0"/>
        </w:rPr>
        <w:tab/>
        <w:t>Dangerous cargo not to be shipped without permission</w:t>
      </w:r>
      <w:bookmarkEnd w:id="161"/>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162" w:name="_Toc360523230"/>
      <w:r>
        <w:rPr>
          <w:rStyle w:val="CharSectno"/>
        </w:rPr>
        <w:t>21</w:t>
      </w:r>
      <w:r>
        <w:rPr>
          <w:snapToGrid w:val="0"/>
        </w:rPr>
        <w:t>.</w:t>
      </w:r>
      <w:r>
        <w:rPr>
          <w:snapToGrid w:val="0"/>
        </w:rPr>
        <w:tab/>
        <w:t>Dangerous cargo may be refused or examined</w:t>
      </w:r>
      <w:bookmarkEnd w:id="162"/>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163" w:name="_Toc360523231"/>
      <w:r>
        <w:rPr>
          <w:rStyle w:val="CharSectno"/>
        </w:rPr>
        <w:t>22</w:t>
      </w:r>
      <w:r>
        <w:rPr>
          <w:snapToGrid w:val="0"/>
        </w:rPr>
        <w:t>.</w:t>
      </w:r>
      <w:r>
        <w:rPr>
          <w:snapToGrid w:val="0"/>
        </w:rPr>
        <w:tab/>
        <w:t>Marking of heavy packages</w:t>
      </w:r>
      <w:bookmarkEnd w:id="163"/>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164" w:name="_Toc360523232"/>
      <w:r>
        <w:rPr>
          <w:rStyle w:val="CharSectno"/>
        </w:rPr>
        <w:t>23</w:t>
      </w:r>
      <w:r>
        <w:rPr>
          <w:snapToGrid w:val="0"/>
        </w:rPr>
        <w:t>.</w:t>
      </w:r>
      <w:r>
        <w:rPr>
          <w:snapToGrid w:val="0"/>
        </w:rPr>
        <w:tab/>
        <w:t>False statements</w:t>
      </w:r>
      <w:bookmarkEnd w:id="164"/>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165" w:name="_Toc190232032"/>
      <w:bookmarkStart w:id="166" w:name="_Toc202676742"/>
      <w:bookmarkStart w:id="167" w:name="_Toc202691516"/>
      <w:bookmarkStart w:id="168" w:name="_Toc219773374"/>
      <w:bookmarkStart w:id="169" w:name="_Toc219773629"/>
      <w:bookmarkStart w:id="170" w:name="_Toc221592563"/>
      <w:bookmarkStart w:id="171" w:name="_Toc221609249"/>
      <w:bookmarkStart w:id="172" w:name="_Toc221609431"/>
      <w:bookmarkStart w:id="173" w:name="_Toc223835752"/>
      <w:bookmarkStart w:id="174" w:name="_Toc233539442"/>
      <w:bookmarkStart w:id="175" w:name="_Toc236796541"/>
      <w:bookmarkStart w:id="176" w:name="_Toc266960801"/>
      <w:bookmarkStart w:id="177" w:name="_Toc297293705"/>
      <w:bookmarkStart w:id="178" w:name="_Toc329788404"/>
      <w:bookmarkStart w:id="179" w:name="_Toc329850716"/>
      <w:bookmarkStart w:id="180" w:name="_Toc329850916"/>
      <w:bookmarkStart w:id="181" w:name="_Toc329863195"/>
      <w:bookmarkStart w:id="182" w:name="_Toc329864533"/>
      <w:bookmarkStart w:id="183" w:name="_Toc346790963"/>
      <w:bookmarkStart w:id="184" w:name="_Toc355611586"/>
      <w:bookmarkStart w:id="185" w:name="_Toc360457456"/>
      <w:bookmarkStart w:id="186" w:name="_Toc360458039"/>
      <w:bookmarkStart w:id="187" w:name="_Toc360523233"/>
      <w:r>
        <w:rPr>
          <w:rStyle w:val="CharDivNo"/>
        </w:rPr>
        <w:t>Division 6</w:t>
      </w:r>
      <w:r>
        <w:rPr>
          <w:snapToGrid w:val="0"/>
        </w:rPr>
        <w:t> — </w:t>
      </w:r>
      <w:r>
        <w:rPr>
          <w:rStyle w:val="CharDivText"/>
        </w:rPr>
        <w:t>Receipt, delivery and storage of cargo</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DivText"/>
        </w:rPr>
        <w:t xml:space="preserve"> </w:t>
      </w:r>
    </w:p>
    <w:p>
      <w:pPr>
        <w:pStyle w:val="Footnoteheading"/>
      </w:pPr>
      <w:r>
        <w:tab/>
        <w:t xml:space="preserve">[Heading inserted in Gazette 19 May 1989 p. 1494.] </w:t>
      </w:r>
    </w:p>
    <w:p>
      <w:pPr>
        <w:pStyle w:val="Heading5"/>
        <w:spacing w:before="180"/>
        <w:rPr>
          <w:snapToGrid w:val="0"/>
        </w:rPr>
      </w:pPr>
      <w:bookmarkStart w:id="188" w:name="_Toc360523234"/>
      <w:r>
        <w:rPr>
          <w:rStyle w:val="CharSectno"/>
        </w:rPr>
        <w:t>24</w:t>
      </w:r>
      <w:r>
        <w:rPr>
          <w:snapToGrid w:val="0"/>
        </w:rPr>
        <w:t>.</w:t>
      </w:r>
      <w:r>
        <w:rPr>
          <w:snapToGrid w:val="0"/>
        </w:rPr>
        <w:tab/>
        <w:t>Removal of cargo</w:t>
      </w:r>
      <w:bookmarkEnd w:id="188"/>
      <w:r>
        <w:rPr>
          <w:snapToGrid w:val="0"/>
        </w:rPr>
        <w:t xml:space="preserve"> </w:t>
      </w:r>
    </w:p>
    <w:p>
      <w:pPr>
        <w:pStyle w:val="Subsection"/>
        <w:spacing w:before="120"/>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spacing w:before="120"/>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spacing w:before="120"/>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89" w:name="_Toc360523235"/>
      <w:r>
        <w:rPr>
          <w:rStyle w:val="CharSectno"/>
        </w:rPr>
        <w:t>25</w:t>
      </w:r>
      <w:r>
        <w:rPr>
          <w:snapToGrid w:val="0"/>
        </w:rPr>
        <w:t>.</w:t>
      </w:r>
      <w:r>
        <w:rPr>
          <w:snapToGrid w:val="0"/>
        </w:rPr>
        <w:tab/>
        <w:t>Storage charges</w:t>
      </w:r>
      <w:bookmarkEnd w:id="189"/>
      <w:r>
        <w:rPr>
          <w:snapToGrid w:val="0"/>
        </w:rPr>
        <w:t xml:space="preserve"> </w:t>
      </w:r>
    </w:p>
    <w:p>
      <w:pPr>
        <w:pStyle w:val="Subsection"/>
        <w:spacing w:before="120"/>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spacing w:before="120"/>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190" w:name="_Toc360523236"/>
      <w:r>
        <w:rPr>
          <w:rStyle w:val="CharSectno"/>
        </w:rPr>
        <w:t>26</w:t>
      </w:r>
      <w:r>
        <w:rPr>
          <w:snapToGrid w:val="0"/>
        </w:rPr>
        <w:t>.</w:t>
      </w:r>
      <w:r>
        <w:rPr>
          <w:snapToGrid w:val="0"/>
        </w:rPr>
        <w:tab/>
        <w:t>Department not bound to find storage accommodation</w:t>
      </w:r>
      <w:bookmarkEnd w:id="190"/>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spacing w:before="180"/>
        <w:rPr>
          <w:snapToGrid w:val="0"/>
        </w:rPr>
      </w:pPr>
      <w:bookmarkStart w:id="191" w:name="_Toc360523237"/>
      <w:r>
        <w:rPr>
          <w:rStyle w:val="CharSectno"/>
        </w:rPr>
        <w:t>27</w:t>
      </w:r>
      <w:r>
        <w:rPr>
          <w:snapToGrid w:val="0"/>
        </w:rPr>
        <w:t>.</w:t>
      </w:r>
      <w:r>
        <w:rPr>
          <w:snapToGrid w:val="0"/>
        </w:rPr>
        <w:tab/>
        <w:t>Goods may be disposed of</w:t>
      </w:r>
      <w:bookmarkEnd w:id="191"/>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92" w:name="_Toc360523238"/>
      <w:r>
        <w:rPr>
          <w:rStyle w:val="CharSectno"/>
        </w:rPr>
        <w:t>28</w:t>
      </w:r>
      <w:r>
        <w:rPr>
          <w:snapToGrid w:val="0"/>
        </w:rPr>
        <w:t>.</w:t>
      </w:r>
      <w:r>
        <w:rPr>
          <w:snapToGrid w:val="0"/>
        </w:rPr>
        <w:tab/>
        <w:t>Goods to be checked before delivery</w:t>
      </w:r>
      <w:bookmarkEnd w:id="192"/>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93" w:name="_Toc360523239"/>
      <w:r>
        <w:rPr>
          <w:rStyle w:val="CharSectno"/>
        </w:rPr>
        <w:t>29</w:t>
      </w:r>
      <w:r>
        <w:rPr>
          <w:snapToGrid w:val="0"/>
        </w:rPr>
        <w:t>.</w:t>
      </w:r>
      <w:r>
        <w:rPr>
          <w:snapToGrid w:val="0"/>
        </w:rPr>
        <w:tab/>
        <w:t>Delay in delivery</w:t>
      </w:r>
      <w:bookmarkEnd w:id="193"/>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94" w:name="_Toc360523240"/>
      <w:r>
        <w:rPr>
          <w:rStyle w:val="CharSectno"/>
        </w:rPr>
        <w:t>30</w:t>
      </w:r>
      <w:r>
        <w:rPr>
          <w:snapToGrid w:val="0"/>
        </w:rPr>
        <w:t>.</w:t>
      </w:r>
      <w:r>
        <w:rPr>
          <w:snapToGrid w:val="0"/>
        </w:rPr>
        <w:tab/>
        <w:t>Wrong delivery</w:t>
      </w:r>
      <w:bookmarkEnd w:id="194"/>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95" w:name="_Toc190232040"/>
      <w:bookmarkStart w:id="196" w:name="_Toc202676750"/>
      <w:bookmarkStart w:id="197" w:name="_Toc202691524"/>
      <w:bookmarkStart w:id="198" w:name="_Toc219773382"/>
      <w:bookmarkStart w:id="199" w:name="_Toc219773637"/>
      <w:bookmarkStart w:id="200" w:name="_Toc221592571"/>
      <w:bookmarkStart w:id="201" w:name="_Toc221609257"/>
      <w:bookmarkStart w:id="202" w:name="_Toc221609439"/>
      <w:bookmarkStart w:id="203" w:name="_Toc223835760"/>
      <w:bookmarkStart w:id="204" w:name="_Toc233539450"/>
      <w:bookmarkStart w:id="205" w:name="_Toc236796549"/>
      <w:bookmarkStart w:id="206" w:name="_Toc266960809"/>
      <w:bookmarkStart w:id="207" w:name="_Toc297293713"/>
      <w:bookmarkStart w:id="208" w:name="_Toc329788412"/>
      <w:bookmarkStart w:id="209" w:name="_Toc329850724"/>
      <w:bookmarkStart w:id="210" w:name="_Toc329850924"/>
      <w:bookmarkStart w:id="211" w:name="_Toc329863203"/>
      <w:bookmarkStart w:id="212" w:name="_Toc329864541"/>
      <w:bookmarkStart w:id="213" w:name="_Toc346790971"/>
      <w:bookmarkStart w:id="214" w:name="_Toc355611594"/>
      <w:bookmarkStart w:id="215" w:name="_Toc360457464"/>
      <w:bookmarkStart w:id="216" w:name="_Toc360458047"/>
      <w:bookmarkStart w:id="217" w:name="_Toc360523241"/>
      <w:r>
        <w:rPr>
          <w:rStyle w:val="CharDivNo"/>
        </w:rPr>
        <w:t>Division 7</w:t>
      </w:r>
      <w:r>
        <w:rPr>
          <w:snapToGrid w:val="0"/>
        </w:rPr>
        <w:t> — </w:t>
      </w:r>
      <w:r>
        <w:rPr>
          <w:rStyle w:val="CharDivText"/>
        </w:rPr>
        <w:t>Responsibility of Department</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Footnoteheading"/>
      </w:pPr>
      <w:r>
        <w:tab/>
        <w:t xml:space="preserve">[Heading inserted in Gazette of 19 May 1989 p. 1494.] </w:t>
      </w:r>
    </w:p>
    <w:p>
      <w:pPr>
        <w:pStyle w:val="Heading5"/>
        <w:rPr>
          <w:snapToGrid w:val="0"/>
        </w:rPr>
      </w:pPr>
      <w:bookmarkStart w:id="218" w:name="_Toc360523242"/>
      <w:r>
        <w:rPr>
          <w:rStyle w:val="CharSectno"/>
        </w:rPr>
        <w:t>31</w:t>
      </w:r>
      <w:r>
        <w:rPr>
          <w:snapToGrid w:val="0"/>
        </w:rPr>
        <w:t>.</w:t>
      </w:r>
      <w:r>
        <w:rPr>
          <w:snapToGrid w:val="0"/>
        </w:rPr>
        <w:tab/>
        <w:t>Custody of cargo</w:t>
      </w:r>
      <w:bookmarkEnd w:id="218"/>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219" w:name="_Toc360523243"/>
      <w:r>
        <w:rPr>
          <w:rStyle w:val="CharSectno"/>
        </w:rPr>
        <w:t>32</w:t>
      </w:r>
      <w:r>
        <w:rPr>
          <w:snapToGrid w:val="0"/>
        </w:rPr>
        <w:t>.</w:t>
      </w:r>
      <w:r>
        <w:rPr>
          <w:snapToGrid w:val="0"/>
        </w:rPr>
        <w:tab/>
        <w:t>Goods without receipts</w:t>
      </w:r>
      <w:bookmarkEnd w:id="219"/>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220" w:name="_Toc360523244"/>
      <w:r>
        <w:rPr>
          <w:rStyle w:val="CharSectno"/>
        </w:rPr>
        <w:t>33</w:t>
      </w:r>
      <w:r>
        <w:rPr>
          <w:snapToGrid w:val="0"/>
        </w:rPr>
        <w:t>.</w:t>
      </w:r>
      <w:r>
        <w:rPr>
          <w:snapToGrid w:val="0"/>
        </w:rPr>
        <w:tab/>
        <w:t>Goods stacked on jetties</w:t>
      </w:r>
      <w:bookmarkEnd w:id="220"/>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221" w:name="_Toc360523245"/>
      <w:r>
        <w:rPr>
          <w:rStyle w:val="CharSectno"/>
        </w:rPr>
        <w:t>34</w:t>
      </w:r>
      <w:r>
        <w:rPr>
          <w:snapToGrid w:val="0"/>
        </w:rPr>
        <w:t>.</w:t>
      </w:r>
      <w:r>
        <w:rPr>
          <w:snapToGrid w:val="0"/>
        </w:rPr>
        <w:tab/>
        <w:t>Cargo damaged by fire etc.</w:t>
      </w:r>
      <w:bookmarkEnd w:id="221"/>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222" w:name="_Toc360523246"/>
      <w:r>
        <w:rPr>
          <w:rStyle w:val="CharSectno"/>
        </w:rPr>
        <w:t>35</w:t>
      </w:r>
      <w:r>
        <w:rPr>
          <w:snapToGrid w:val="0"/>
        </w:rPr>
        <w:t>.</w:t>
      </w:r>
      <w:r>
        <w:rPr>
          <w:snapToGrid w:val="0"/>
        </w:rPr>
        <w:tab/>
        <w:t>Goods insufficiently packed</w:t>
      </w:r>
      <w:bookmarkEnd w:id="222"/>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223" w:name="_Toc360523247"/>
      <w:r>
        <w:rPr>
          <w:rStyle w:val="CharSectno"/>
        </w:rPr>
        <w:t>36</w:t>
      </w:r>
      <w:r>
        <w:rPr>
          <w:snapToGrid w:val="0"/>
        </w:rPr>
        <w:t>.</w:t>
      </w:r>
      <w:r>
        <w:rPr>
          <w:snapToGrid w:val="0"/>
        </w:rPr>
        <w:tab/>
        <w:t>Claims in respect of cargo</w:t>
      </w:r>
      <w:bookmarkEnd w:id="223"/>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224" w:name="_Toc190232047"/>
      <w:bookmarkStart w:id="225" w:name="_Toc202676757"/>
      <w:bookmarkStart w:id="226" w:name="_Toc202691531"/>
      <w:bookmarkStart w:id="227" w:name="_Toc219773389"/>
      <w:bookmarkStart w:id="228" w:name="_Toc219773644"/>
      <w:bookmarkStart w:id="229" w:name="_Toc221592578"/>
      <w:bookmarkStart w:id="230" w:name="_Toc221609264"/>
      <w:bookmarkStart w:id="231" w:name="_Toc221609446"/>
      <w:bookmarkStart w:id="232" w:name="_Toc223835767"/>
      <w:bookmarkStart w:id="233" w:name="_Toc233539457"/>
      <w:bookmarkStart w:id="234" w:name="_Toc236796556"/>
      <w:bookmarkStart w:id="235" w:name="_Toc266960816"/>
      <w:bookmarkStart w:id="236" w:name="_Toc297293720"/>
      <w:bookmarkStart w:id="237" w:name="_Toc329788419"/>
      <w:bookmarkStart w:id="238" w:name="_Toc329850731"/>
      <w:bookmarkStart w:id="239" w:name="_Toc329850931"/>
      <w:bookmarkStart w:id="240" w:name="_Toc329863210"/>
      <w:bookmarkStart w:id="241" w:name="_Toc329864548"/>
      <w:bookmarkStart w:id="242" w:name="_Toc346790978"/>
      <w:bookmarkStart w:id="243" w:name="_Toc355611601"/>
      <w:bookmarkStart w:id="244" w:name="_Toc360457471"/>
      <w:bookmarkStart w:id="245" w:name="_Toc360458054"/>
      <w:bookmarkStart w:id="246" w:name="_Toc360523248"/>
      <w:r>
        <w:rPr>
          <w:rStyle w:val="CharDivNo"/>
        </w:rPr>
        <w:t>Division 8</w:t>
      </w:r>
      <w:r>
        <w:rPr>
          <w:snapToGrid w:val="0"/>
        </w:rPr>
        <w:t> — </w:t>
      </w:r>
      <w:r>
        <w:rPr>
          <w:rStyle w:val="CharDivText"/>
        </w:rPr>
        <w:t>Working hours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247" w:name="_Toc360523249"/>
      <w:r>
        <w:rPr>
          <w:rStyle w:val="CharSectno"/>
        </w:rPr>
        <w:t>37</w:t>
      </w:r>
      <w:r>
        <w:rPr>
          <w:snapToGrid w:val="0"/>
        </w:rPr>
        <w:t>.</w:t>
      </w:r>
      <w:r>
        <w:rPr>
          <w:snapToGrid w:val="0"/>
        </w:rPr>
        <w:tab/>
        <w:t>Ordinary time</w:t>
      </w:r>
      <w:bookmarkEnd w:id="247"/>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248" w:name="_Toc360523250"/>
      <w:r>
        <w:rPr>
          <w:rStyle w:val="CharSectno"/>
        </w:rPr>
        <w:t>38</w:t>
      </w:r>
      <w:r>
        <w:rPr>
          <w:snapToGrid w:val="0"/>
        </w:rPr>
        <w:t>.</w:t>
      </w:r>
      <w:r>
        <w:rPr>
          <w:snapToGrid w:val="0"/>
        </w:rPr>
        <w:tab/>
        <w:t>Overtime</w:t>
      </w:r>
      <w:bookmarkEnd w:id="248"/>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249" w:name="_Toc360523251"/>
      <w:r>
        <w:rPr>
          <w:rStyle w:val="CharSectno"/>
        </w:rPr>
        <w:t>38A</w:t>
      </w:r>
      <w:r>
        <w:rPr>
          <w:snapToGrid w:val="0"/>
        </w:rPr>
        <w:t>.</w:t>
      </w:r>
      <w:r>
        <w:rPr>
          <w:snapToGrid w:val="0"/>
        </w:rPr>
        <w:tab/>
        <w:t>Wages incurred through ships’ delays to be paid for</w:t>
      </w:r>
      <w:bookmarkEnd w:id="249"/>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250" w:name="_Toc360523252"/>
      <w:r>
        <w:rPr>
          <w:rStyle w:val="CharSectno"/>
        </w:rPr>
        <w:t>39</w:t>
      </w:r>
      <w:r>
        <w:rPr>
          <w:snapToGrid w:val="0"/>
        </w:rPr>
        <w:t>.</w:t>
      </w:r>
      <w:r>
        <w:rPr>
          <w:snapToGrid w:val="0"/>
        </w:rPr>
        <w:tab/>
        <w:t>Master to give notice of desire to work</w:t>
      </w:r>
      <w:bookmarkEnd w:id="250"/>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251" w:name="_Toc190232052"/>
      <w:bookmarkStart w:id="252" w:name="_Toc202676762"/>
      <w:bookmarkStart w:id="253" w:name="_Toc202691536"/>
      <w:bookmarkStart w:id="254" w:name="_Toc219773394"/>
      <w:bookmarkStart w:id="255" w:name="_Toc219773649"/>
      <w:bookmarkStart w:id="256" w:name="_Toc221592583"/>
      <w:bookmarkStart w:id="257" w:name="_Toc221609269"/>
      <w:bookmarkStart w:id="258" w:name="_Toc221609451"/>
      <w:bookmarkStart w:id="259" w:name="_Toc223835772"/>
      <w:bookmarkStart w:id="260" w:name="_Toc233539462"/>
      <w:bookmarkStart w:id="261" w:name="_Toc236796561"/>
      <w:bookmarkStart w:id="262" w:name="_Toc266960821"/>
      <w:bookmarkStart w:id="263" w:name="_Toc297293725"/>
      <w:bookmarkStart w:id="264" w:name="_Toc329788424"/>
      <w:bookmarkStart w:id="265" w:name="_Toc329850736"/>
      <w:bookmarkStart w:id="266" w:name="_Toc329850936"/>
      <w:bookmarkStart w:id="267" w:name="_Toc329863215"/>
      <w:bookmarkStart w:id="268" w:name="_Toc329864553"/>
      <w:bookmarkStart w:id="269" w:name="_Toc346790983"/>
      <w:bookmarkStart w:id="270" w:name="_Toc355611606"/>
      <w:bookmarkStart w:id="271" w:name="_Toc360457476"/>
      <w:bookmarkStart w:id="272" w:name="_Toc360458059"/>
      <w:bookmarkStart w:id="273" w:name="_Toc360523253"/>
      <w:r>
        <w:rPr>
          <w:rStyle w:val="CharDivNo"/>
        </w:rPr>
        <w:t>Division 9</w:t>
      </w:r>
      <w:r>
        <w:rPr>
          <w:snapToGrid w:val="0"/>
        </w:rPr>
        <w:t> — </w:t>
      </w:r>
      <w:r>
        <w:rPr>
          <w:rStyle w:val="CharDivText"/>
        </w:rPr>
        <w:t>Livestock or vehicles on jetties or premises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DivText"/>
        </w:rPr>
        <w:t xml:space="preserve"> </w:t>
      </w:r>
    </w:p>
    <w:p>
      <w:pPr>
        <w:pStyle w:val="Footnoteheading"/>
      </w:pPr>
      <w:r>
        <w:tab/>
        <w:t xml:space="preserve">[Heading inserted in Gazette 19 May 1989 p. 1494.] </w:t>
      </w:r>
    </w:p>
    <w:p>
      <w:pPr>
        <w:pStyle w:val="Heading5"/>
        <w:rPr>
          <w:snapToGrid w:val="0"/>
        </w:rPr>
      </w:pPr>
      <w:bookmarkStart w:id="274" w:name="_Toc360523254"/>
      <w:r>
        <w:rPr>
          <w:rStyle w:val="CharSectno"/>
        </w:rPr>
        <w:t>40</w:t>
      </w:r>
      <w:r>
        <w:rPr>
          <w:snapToGrid w:val="0"/>
        </w:rPr>
        <w:t>.</w:t>
      </w:r>
      <w:r>
        <w:rPr>
          <w:snapToGrid w:val="0"/>
        </w:rPr>
        <w:tab/>
        <w:t>Livestock on jetties or premises</w:t>
      </w:r>
      <w:bookmarkEnd w:id="274"/>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275" w:name="_Toc360523255"/>
      <w:r>
        <w:rPr>
          <w:rStyle w:val="CharSectno"/>
        </w:rPr>
        <w:t>41</w:t>
      </w:r>
      <w:r>
        <w:rPr>
          <w:snapToGrid w:val="0"/>
        </w:rPr>
        <w:t>.</w:t>
      </w:r>
      <w:r>
        <w:rPr>
          <w:snapToGrid w:val="0"/>
        </w:rPr>
        <w:tab/>
        <w:t>Riding vehicles etc. on jetties or premises</w:t>
      </w:r>
      <w:bookmarkEnd w:id="275"/>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276" w:name="_Toc360523256"/>
      <w:r>
        <w:rPr>
          <w:rStyle w:val="CharSectno"/>
        </w:rPr>
        <w:t>41A</w:t>
      </w:r>
      <w:r>
        <w:rPr>
          <w:snapToGrid w:val="0"/>
        </w:rPr>
        <w:t>.</w:t>
      </w:r>
      <w:r>
        <w:rPr>
          <w:snapToGrid w:val="0"/>
        </w:rPr>
        <w:tab/>
        <w:t>Vehicles not to be parked on jetties</w:t>
      </w:r>
      <w:bookmarkEnd w:id="276"/>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277" w:name="_Toc360523257"/>
      <w:r>
        <w:rPr>
          <w:rStyle w:val="CharSectno"/>
        </w:rPr>
        <w:t>41B</w:t>
      </w:r>
      <w:r>
        <w:rPr>
          <w:snapToGrid w:val="0"/>
        </w:rPr>
        <w:t>.</w:t>
      </w:r>
      <w:r>
        <w:rPr>
          <w:snapToGrid w:val="0"/>
        </w:rPr>
        <w:tab/>
        <w:t>Department not responsible for vehicles on jetties</w:t>
      </w:r>
      <w:bookmarkEnd w:id="277"/>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278" w:name="_Toc360523258"/>
      <w:r>
        <w:rPr>
          <w:rStyle w:val="CharSectno"/>
        </w:rPr>
        <w:t>42</w:t>
      </w:r>
      <w:r>
        <w:rPr>
          <w:snapToGrid w:val="0"/>
        </w:rPr>
        <w:t>.</w:t>
      </w:r>
      <w:r>
        <w:rPr>
          <w:snapToGrid w:val="0"/>
        </w:rPr>
        <w:tab/>
        <w:t>Drivers of vehicles to obey instructions</w:t>
      </w:r>
      <w:bookmarkEnd w:id="278"/>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279" w:name="_Toc360523259"/>
      <w:r>
        <w:rPr>
          <w:rStyle w:val="CharSectno"/>
        </w:rPr>
        <w:t>42A</w:t>
      </w:r>
      <w:r>
        <w:t>.</w:t>
      </w:r>
      <w:r>
        <w:tab/>
        <w:t>Fees for vehicular use of jetty</w:t>
      </w:r>
      <w:bookmarkEnd w:id="279"/>
    </w:p>
    <w:p>
      <w:pPr>
        <w:pStyle w:val="Subsection"/>
      </w:pPr>
      <w:r>
        <w:tab/>
      </w:r>
      <w:r>
        <w:tab/>
        <w:t>The fees (if any) payable for vehicular use of a jetty and land adjacent to it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rPr>
          <w:rStyle w:val="CharSectno"/>
        </w:rPr>
      </w:pPr>
      <w:r>
        <w:tab/>
        <w:t>[Regulation 42A inserted in Gazette 22 Jun 2007 p. 2908</w:t>
      </w:r>
      <w:r>
        <w:noBreakHyphen/>
        <w:t>9.]</w:t>
      </w:r>
    </w:p>
    <w:p>
      <w:pPr>
        <w:pStyle w:val="Heading5"/>
        <w:rPr>
          <w:snapToGrid w:val="0"/>
        </w:rPr>
      </w:pPr>
      <w:bookmarkStart w:id="280" w:name="_Toc360523260"/>
      <w:r>
        <w:rPr>
          <w:rStyle w:val="CharSectno"/>
        </w:rPr>
        <w:t>43</w:t>
      </w:r>
      <w:r>
        <w:rPr>
          <w:snapToGrid w:val="0"/>
        </w:rPr>
        <w:t>.</w:t>
      </w:r>
      <w:r>
        <w:rPr>
          <w:snapToGrid w:val="0"/>
        </w:rPr>
        <w:tab/>
        <w:t>Persons not to be on jetties when livestock is being handled</w:t>
      </w:r>
      <w:bookmarkEnd w:id="280"/>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281" w:name="_Toc190232060"/>
      <w:bookmarkStart w:id="282" w:name="_Toc202676770"/>
      <w:bookmarkStart w:id="283" w:name="_Toc202691544"/>
      <w:bookmarkStart w:id="284" w:name="_Toc219773402"/>
      <w:bookmarkStart w:id="285" w:name="_Toc219773657"/>
      <w:bookmarkStart w:id="286" w:name="_Toc221592591"/>
      <w:bookmarkStart w:id="287" w:name="_Toc221609277"/>
      <w:bookmarkStart w:id="288" w:name="_Toc221609459"/>
      <w:bookmarkStart w:id="289" w:name="_Toc223835780"/>
      <w:bookmarkStart w:id="290" w:name="_Toc233539470"/>
      <w:bookmarkStart w:id="291" w:name="_Toc236796569"/>
      <w:bookmarkStart w:id="292" w:name="_Toc266960829"/>
      <w:bookmarkStart w:id="293" w:name="_Toc297293733"/>
      <w:bookmarkStart w:id="294" w:name="_Toc329788432"/>
      <w:bookmarkStart w:id="295" w:name="_Toc329850744"/>
      <w:bookmarkStart w:id="296" w:name="_Toc329850944"/>
      <w:bookmarkStart w:id="297" w:name="_Toc329863223"/>
      <w:bookmarkStart w:id="298" w:name="_Toc329864561"/>
      <w:bookmarkStart w:id="299" w:name="_Toc346790991"/>
      <w:bookmarkStart w:id="300" w:name="_Toc355611614"/>
      <w:bookmarkStart w:id="301" w:name="_Toc360457484"/>
      <w:bookmarkStart w:id="302" w:name="_Toc360458067"/>
      <w:bookmarkStart w:id="303" w:name="_Toc360523261"/>
      <w:r>
        <w:rPr>
          <w:rStyle w:val="CharDivNo"/>
        </w:rPr>
        <w:t>Division 10</w:t>
      </w:r>
      <w:r>
        <w:rPr>
          <w:snapToGrid w:val="0"/>
        </w:rPr>
        <w:t> — </w:t>
      </w:r>
      <w:r>
        <w:rPr>
          <w:rStyle w:val="CharDivText"/>
        </w:rPr>
        <w:t>Miscellaneous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304" w:name="_Toc360523262"/>
      <w:r>
        <w:rPr>
          <w:rStyle w:val="CharSectno"/>
        </w:rPr>
        <w:t>44</w:t>
      </w:r>
      <w:r>
        <w:rPr>
          <w:snapToGrid w:val="0"/>
        </w:rPr>
        <w:t>.</w:t>
      </w:r>
      <w:r>
        <w:rPr>
          <w:snapToGrid w:val="0"/>
        </w:rPr>
        <w:tab/>
        <w:t>Bill posting, defacement and obscenity</w:t>
      </w:r>
      <w:bookmarkEnd w:id="304"/>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305" w:name="_Toc360523263"/>
      <w:r>
        <w:rPr>
          <w:rStyle w:val="CharSectno"/>
        </w:rPr>
        <w:t>45</w:t>
      </w:r>
      <w:r>
        <w:rPr>
          <w:snapToGrid w:val="0"/>
        </w:rPr>
        <w:t>.</w:t>
      </w:r>
      <w:r>
        <w:rPr>
          <w:snapToGrid w:val="0"/>
        </w:rPr>
        <w:tab/>
        <w:t>Disorderly persons</w:t>
      </w:r>
      <w:bookmarkEnd w:id="305"/>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306" w:name="_Toc360523264"/>
      <w:r>
        <w:rPr>
          <w:rStyle w:val="CharSectno"/>
        </w:rPr>
        <w:t>46</w:t>
      </w:r>
      <w:r>
        <w:rPr>
          <w:snapToGrid w:val="0"/>
        </w:rPr>
        <w:t>.</w:t>
      </w:r>
      <w:r>
        <w:rPr>
          <w:snapToGrid w:val="0"/>
        </w:rPr>
        <w:tab/>
        <w:t>Fires not to be lit</w:t>
      </w:r>
      <w:bookmarkEnd w:id="306"/>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307" w:name="_Toc360523265"/>
      <w:r>
        <w:rPr>
          <w:rStyle w:val="CharSectno"/>
        </w:rPr>
        <w:t>47</w:t>
      </w:r>
      <w:r>
        <w:rPr>
          <w:snapToGrid w:val="0"/>
        </w:rPr>
        <w:t>.</w:t>
      </w:r>
      <w:r>
        <w:rPr>
          <w:snapToGrid w:val="0"/>
        </w:rPr>
        <w:tab/>
        <w:t>Gates to be shut</w:t>
      </w:r>
      <w:bookmarkEnd w:id="307"/>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308" w:name="_Toc360523266"/>
      <w:r>
        <w:rPr>
          <w:rStyle w:val="CharSectno"/>
        </w:rPr>
        <w:t>48</w:t>
      </w:r>
      <w:r>
        <w:rPr>
          <w:snapToGrid w:val="0"/>
        </w:rPr>
        <w:t>.</w:t>
      </w:r>
      <w:r>
        <w:rPr>
          <w:snapToGrid w:val="0"/>
        </w:rPr>
        <w:tab/>
        <w:t>Interference with lights</w:t>
      </w:r>
      <w:bookmarkEnd w:id="308"/>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309" w:name="_Toc360523267"/>
      <w:r>
        <w:rPr>
          <w:rStyle w:val="CharSectno"/>
        </w:rPr>
        <w:t>49</w:t>
      </w:r>
      <w:r>
        <w:rPr>
          <w:snapToGrid w:val="0"/>
        </w:rPr>
        <w:t>.</w:t>
      </w:r>
      <w:r>
        <w:rPr>
          <w:snapToGrid w:val="0"/>
        </w:rPr>
        <w:tab/>
        <w:t>Interference with or damaging property</w:t>
      </w:r>
      <w:bookmarkEnd w:id="30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310" w:name="_Toc360523268"/>
      <w:r>
        <w:rPr>
          <w:rStyle w:val="CharSectno"/>
        </w:rPr>
        <w:t>50</w:t>
      </w:r>
      <w:r>
        <w:rPr>
          <w:snapToGrid w:val="0"/>
        </w:rPr>
        <w:t>.</w:t>
      </w:r>
      <w:r>
        <w:rPr>
          <w:snapToGrid w:val="0"/>
        </w:rPr>
        <w:tab/>
        <w:t>Lost property</w:t>
      </w:r>
      <w:bookmarkEnd w:id="310"/>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311" w:name="_Toc360523269"/>
      <w:r>
        <w:rPr>
          <w:rStyle w:val="CharSectno"/>
        </w:rPr>
        <w:t>51</w:t>
      </w:r>
      <w:r>
        <w:rPr>
          <w:snapToGrid w:val="0"/>
        </w:rPr>
        <w:t>.</w:t>
      </w:r>
      <w:r>
        <w:rPr>
          <w:snapToGrid w:val="0"/>
        </w:rPr>
        <w:tab/>
        <w:t>Obstruction of officers, or premises</w:t>
      </w:r>
      <w:bookmarkEnd w:id="311"/>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312" w:name="_Toc360523270"/>
      <w:r>
        <w:rPr>
          <w:rStyle w:val="CharSectno"/>
        </w:rPr>
        <w:t>52</w:t>
      </w:r>
      <w:r>
        <w:rPr>
          <w:snapToGrid w:val="0"/>
        </w:rPr>
        <w:t>.</w:t>
      </w:r>
      <w:r>
        <w:rPr>
          <w:snapToGrid w:val="0"/>
        </w:rPr>
        <w:tab/>
        <w:t>Obstruction of or damage to jetties or premises</w:t>
      </w:r>
      <w:bookmarkEnd w:id="312"/>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313" w:name="_Toc360523271"/>
      <w:r>
        <w:rPr>
          <w:rStyle w:val="CharSectno"/>
        </w:rPr>
        <w:t>53</w:t>
      </w:r>
      <w:r>
        <w:rPr>
          <w:snapToGrid w:val="0"/>
        </w:rPr>
        <w:t>.</w:t>
      </w:r>
      <w:r>
        <w:rPr>
          <w:snapToGrid w:val="0"/>
        </w:rPr>
        <w:tab/>
        <w:t>Rubbish etc. not to be thrown</w:t>
      </w:r>
      <w:bookmarkEnd w:id="313"/>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314" w:name="_Toc360523272"/>
      <w:r>
        <w:rPr>
          <w:rStyle w:val="CharSectno"/>
        </w:rPr>
        <w:t>53A</w:t>
      </w:r>
      <w:r>
        <w:t>.</w:t>
      </w:r>
      <w:r>
        <w:tab/>
        <w:t>Fees for rubbish removal</w:t>
      </w:r>
      <w:bookmarkEnd w:id="314"/>
    </w:p>
    <w:p>
      <w:pPr>
        <w:pStyle w:val="Subsection"/>
      </w:pPr>
      <w:r>
        <w:tab/>
      </w:r>
      <w:r>
        <w:tab/>
        <w:t>The fees (if any) payable for removal of rubbish by the Department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pPr>
      <w:r>
        <w:tab/>
        <w:t>[Regulation 53A inserted in Gazette 22 Jun 2007 p. 2909.]</w:t>
      </w:r>
    </w:p>
    <w:p>
      <w:pPr>
        <w:pStyle w:val="Heading5"/>
        <w:rPr>
          <w:snapToGrid w:val="0"/>
        </w:rPr>
      </w:pPr>
      <w:bookmarkStart w:id="315" w:name="_Toc360523273"/>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315"/>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316" w:name="_Toc360523274"/>
      <w:r>
        <w:rPr>
          <w:rStyle w:val="CharSectno"/>
        </w:rPr>
        <w:t>55</w:t>
      </w:r>
      <w:r>
        <w:rPr>
          <w:snapToGrid w:val="0"/>
        </w:rPr>
        <w:t>.</w:t>
      </w:r>
      <w:r>
        <w:rPr>
          <w:snapToGrid w:val="0"/>
        </w:rPr>
        <w:tab/>
        <w:t>Smoking and loitering</w:t>
      </w:r>
      <w:bookmarkEnd w:id="316"/>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317" w:name="_Toc360523275"/>
      <w:r>
        <w:rPr>
          <w:rStyle w:val="CharSectno"/>
        </w:rPr>
        <w:t>56</w:t>
      </w:r>
      <w:r>
        <w:rPr>
          <w:snapToGrid w:val="0"/>
        </w:rPr>
        <w:t>.</w:t>
      </w:r>
      <w:r>
        <w:rPr>
          <w:snapToGrid w:val="0"/>
        </w:rPr>
        <w:tab/>
        <w:t>Trespassing</w:t>
      </w:r>
      <w:bookmarkEnd w:id="317"/>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318" w:name="_Toc360523276"/>
      <w:r>
        <w:rPr>
          <w:rStyle w:val="CharSectno"/>
        </w:rPr>
        <w:t>67A</w:t>
      </w:r>
      <w:r>
        <w:rPr>
          <w:snapToGrid w:val="0"/>
        </w:rPr>
        <w:t>.</w:t>
      </w:r>
      <w:r>
        <w:rPr>
          <w:snapToGrid w:val="0"/>
        </w:rPr>
        <w:tab/>
        <w:t>Conditions for construction and installation of pipelines</w:t>
      </w:r>
      <w:bookmarkEnd w:id="318"/>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319" w:name="_Toc360523277"/>
      <w:r>
        <w:rPr>
          <w:rStyle w:val="CharSectno"/>
        </w:rPr>
        <w:t>67B</w:t>
      </w:r>
      <w:r>
        <w:rPr>
          <w:snapToGrid w:val="0"/>
        </w:rPr>
        <w:t>.</w:t>
      </w:r>
      <w:r>
        <w:rPr>
          <w:snapToGrid w:val="0"/>
        </w:rPr>
        <w:tab/>
        <w:t>Maintenance and operation of pipelines</w:t>
      </w:r>
      <w:bookmarkEnd w:id="319"/>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keepLines/>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320" w:name="_Toc360523278"/>
      <w:r>
        <w:rPr>
          <w:rStyle w:val="CharSectno"/>
        </w:rPr>
        <w:t>67D</w:t>
      </w:r>
      <w:r>
        <w:rPr>
          <w:snapToGrid w:val="0"/>
        </w:rPr>
        <w:t>.</w:t>
      </w:r>
      <w:r>
        <w:rPr>
          <w:snapToGrid w:val="0"/>
        </w:rPr>
        <w:tab/>
        <w:t>Penalty for failure to remove or amend pipeline</w:t>
      </w:r>
      <w:bookmarkEnd w:id="320"/>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321" w:name="_Toc360523279"/>
      <w:r>
        <w:rPr>
          <w:rStyle w:val="CharSectno"/>
        </w:rPr>
        <w:t>67DA</w:t>
      </w:r>
      <w:r>
        <w:t>.</w:t>
      </w:r>
      <w:r>
        <w:tab/>
        <w:t>Fuelling vessels at service jetties limited</w:t>
      </w:r>
      <w:bookmarkEnd w:id="321"/>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322" w:name="_Toc190232079"/>
      <w:bookmarkStart w:id="323" w:name="_Toc202676789"/>
      <w:bookmarkStart w:id="324" w:name="_Toc202691563"/>
      <w:bookmarkStart w:id="325" w:name="_Toc219773421"/>
      <w:bookmarkStart w:id="326" w:name="_Toc219773676"/>
      <w:bookmarkStart w:id="327" w:name="_Toc221592610"/>
      <w:bookmarkStart w:id="328" w:name="_Toc221609296"/>
      <w:bookmarkStart w:id="329" w:name="_Toc221609478"/>
      <w:bookmarkStart w:id="330" w:name="_Toc223835799"/>
      <w:bookmarkStart w:id="331" w:name="_Toc233539489"/>
      <w:bookmarkStart w:id="332" w:name="_Toc236796588"/>
      <w:bookmarkStart w:id="333" w:name="_Toc266960848"/>
      <w:bookmarkStart w:id="334" w:name="_Toc297293752"/>
      <w:bookmarkStart w:id="335" w:name="_Toc329788451"/>
      <w:bookmarkStart w:id="336" w:name="_Toc329850763"/>
      <w:bookmarkStart w:id="337" w:name="_Toc329850963"/>
      <w:bookmarkStart w:id="338" w:name="_Toc329863242"/>
      <w:bookmarkStart w:id="339" w:name="_Toc329864580"/>
      <w:bookmarkStart w:id="340" w:name="_Toc346791010"/>
      <w:bookmarkStart w:id="341" w:name="_Toc355611633"/>
      <w:bookmarkStart w:id="342" w:name="_Toc360457503"/>
      <w:bookmarkStart w:id="343" w:name="_Toc360458086"/>
      <w:bookmarkStart w:id="344" w:name="_Toc360523280"/>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Footnoteheading"/>
      </w:pPr>
      <w:r>
        <w:tab/>
        <w:t xml:space="preserve">[Heading inserted in Gazette 19 May 1989 p. 1494.] </w:t>
      </w:r>
    </w:p>
    <w:p>
      <w:pPr>
        <w:pStyle w:val="Heading3"/>
        <w:rPr>
          <w:snapToGrid w:val="0"/>
        </w:rPr>
      </w:pPr>
      <w:bookmarkStart w:id="345" w:name="_Toc190232080"/>
      <w:bookmarkStart w:id="346" w:name="_Toc202676790"/>
      <w:bookmarkStart w:id="347" w:name="_Toc202691564"/>
      <w:bookmarkStart w:id="348" w:name="_Toc219773422"/>
      <w:bookmarkStart w:id="349" w:name="_Toc219773677"/>
      <w:bookmarkStart w:id="350" w:name="_Toc221592611"/>
      <w:bookmarkStart w:id="351" w:name="_Toc221609297"/>
      <w:bookmarkStart w:id="352" w:name="_Toc221609479"/>
      <w:bookmarkStart w:id="353" w:name="_Toc223835800"/>
      <w:bookmarkStart w:id="354" w:name="_Toc233539490"/>
      <w:bookmarkStart w:id="355" w:name="_Toc236796589"/>
      <w:bookmarkStart w:id="356" w:name="_Toc266960849"/>
      <w:bookmarkStart w:id="357" w:name="_Toc297293753"/>
      <w:bookmarkStart w:id="358" w:name="_Toc329788452"/>
      <w:bookmarkStart w:id="359" w:name="_Toc329850764"/>
      <w:bookmarkStart w:id="360" w:name="_Toc329850964"/>
      <w:bookmarkStart w:id="361" w:name="_Toc329863243"/>
      <w:bookmarkStart w:id="362" w:name="_Toc329864581"/>
      <w:bookmarkStart w:id="363" w:name="_Toc346791011"/>
      <w:bookmarkStart w:id="364" w:name="_Toc355611634"/>
      <w:bookmarkStart w:id="365" w:name="_Toc360457504"/>
      <w:bookmarkStart w:id="366" w:name="_Toc360458087"/>
      <w:bookmarkStart w:id="367" w:name="_Toc360523281"/>
      <w:r>
        <w:rPr>
          <w:rStyle w:val="CharDivNo"/>
        </w:rPr>
        <w:t>Division 1</w:t>
      </w:r>
      <w:r>
        <w:rPr>
          <w:snapToGrid w:val="0"/>
        </w:rPr>
        <w:t> — </w:t>
      </w:r>
      <w:r>
        <w:rPr>
          <w:rStyle w:val="CharDivText"/>
        </w:rPr>
        <w:t>Application of this Part</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rStyle w:val="CharDivText"/>
        </w:rPr>
        <w:t xml:space="preserve"> </w:t>
      </w:r>
    </w:p>
    <w:p>
      <w:pPr>
        <w:pStyle w:val="Footnoteheading"/>
      </w:pPr>
      <w:r>
        <w:tab/>
        <w:t xml:space="preserve">[Heading inserted in Gazette 19 May 1989 p. 1494.] </w:t>
      </w:r>
    </w:p>
    <w:p>
      <w:pPr>
        <w:pStyle w:val="Heading5"/>
        <w:rPr>
          <w:snapToGrid w:val="0"/>
        </w:rPr>
      </w:pPr>
      <w:bookmarkStart w:id="368" w:name="_Toc360523282"/>
      <w:r>
        <w:rPr>
          <w:rStyle w:val="CharSectno"/>
        </w:rPr>
        <w:t>67E</w:t>
      </w:r>
      <w:r>
        <w:rPr>
          <w:snapToGrid w:val="0"/>
        </w:rPr>
        <w:t>.</w:t>
      </w:r>
      <w:r>
        <w:rPr>
          <w:snapToGrid w:val="0"/>
        </w:rPr>
        <w:tab/>
        <w:t>Application</w:t>
      </w:r>
      <w:bookmarkEnd w:id="368"/>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369" w:name="_Toc190232082"/>
      <w:bookmarkStart w:id="370" w:name="_Toc202676792"/>
      <w:bookmarkStart w:id="371" w:name="_Toc202691566"/>
      <w:bookmarkStart w:id="372" w:name="_Toc219773424"/>
      <w:bookmarkStart w:id="373" w:name="_Toc219773679"/>
      <w:bookmarkStart w:id="374" w:name="_Toc221592613"/>
      <w:bookmarkStart w:id="375" w:name="_Toc221609299"/>
      <w:bookmarkStart w:id="376" w:name="_Toc221609481"/>
      <w:bookmarkStart w:id="377" w:name="_Toc223835802"/>
      <w:bookmarkStart w:id="378" w:name="_Toc233539492"/>
      <w:bookmarkStart w:id="379" w:name="_Toc236796591"/>
      <w:bookmarkStart w:id="380" w:name="_Toc266960851"/>
      <w:bookmarkStart w:id="381" w:name="_Toc297293755"/>
      <w:bookmarkStart w:id="382" w:name="_Toc329788454"/>
      <w:bookmarkStart w:id="383" w:name="_Toc329850766"/>
      <w:bookmarkStart w:id="384" w:name="_Toc329850966"/>
      <w:bookmarkStart w:id="385" w:name="_Toc329863245"/>
      <w:bookmarkStart w:id="386" w:name="_Toc329864583"/>
      <w:bookmarkStart w:id="387" w:name="_Toc346791013"/>
      <w:bookmarkStart w:id="388" w:name="_Toc355611636"/>
      <w:bookmarkStart w:id="389" w:name="_Toc360457506"/>
      <w:bookmarkStart w:id="390" w:name="_Toc360458089"/>
      <w:bookmarkStart w:id="391" w:name="_Toc360523283"/>
      <w:r>
        <w:rPr>
          <w:rStyle w:val="CharDivNo"/>
        </w:rPr>
        <w:t>Division 2</w:t>
      </w:r>
      <w:r>
        <w:rPr>
          <w:snapToGrid w:val="0"/>
        </w:rPr>
        <w:t> — </w:t>
      </w:r>
      <w:r>
        <w:rPr>
          <w:rStyle w:val="CharDivText"/>
        </w:rPr>
        <w:t>Management and use of jetties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392" w:name="_Toc360523284"/>
      <w:r>
        <w:rPr>
          <w:rStyle w:val="CharSectno"/>
        </w:rPr>
        <w:t>68</w:t>
      </w:r>
      <w:r>
        <w:rPr>
          <w:snapToGrid w:val="0"/>
        </w:rPr>
        <w:t>.</w:t>
      </w:r>
      <w:r>
        <w:rPr>
          <w:snapToGrid w:val="0"/>
        </w:rPr>
        <w:tab/>
        <w:t>Control of jetties</w:t>
      </w:r>
      <w:bookmarkEnd w:id="392"/>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393" w:name="_Toc360523285"/>
      <w:r>
        <w:rPr>
          <w:rStyle w:val="CharSectno"/>
        </w:rPr>
        <w:t>69</w:t>
      </w:r>
      <w:r>
        <w:rPr>
          <w:snapToGrid w:val="0"/>
        </w:rPr>
        <w:t>.</w:t>
      </w:r>
      <w:r>
        <w:rPr>
          <w:snapToGrid w:val="0"/>
        </w:rPr>
        <w:tab/>
        <w:t>Use of jetties</w:t>
      </w:r>
      <w:bookmarkEnd w:id="393"/>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394" w:name="_Toc360523286"/>
      <w:r>
        <w:rPr>
          <w:rStyle w:val="CharSectno"/>
        </w:rPr>
        <w:t>70</w:t>
      </w:r>
      <w:r>
        <w:rPr>
          <w:snapToGrid w:val="0"/>
        </w:rPr>
        <w:t>.</w:t>
      </w:r>
      <w:r>
        <w:rPr>
          <w:snapToGrid w:val="0"/>
        </w:rPr>
        <w:tab/>
        <w:t>Jetties may be closed</w:t>
      </w:r>
      <w:bookmarkEnd w:id="394"/>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395" w:name="_Toc190232086"/>
      <w:bookmarkStart w:id="396" w:name="_Toc202676796"/>
      <w:bookmarkStart w:id="397" w:name="_Toc202691570"/>
      <w:bookmarkStart w:id="398" w:name="_Toc219773428"/>
      <w:bookmarkStart w:id="399" w:name="_Toc219773683"/>
      <w:bookmarkStart w:id="400" w:name="_Toc221592617"/>
      <w:bookmarkStart w:id="401" w:name="_Toc221609303"/>
      <w:bookmarkStart w:id="402" w:name="_Toc221609485"/>
      <w:bookmarkStart w:id="403" w:name="_Toc223835806"/>
      <w:bookmarkStart w:id="404" w:name="_Toc233539496"/>
      <w:bookmarkStart w:id="405" w:name="_Toc236796595"/>
      <w:bookmarkStart w:id="406" w:name="_Toc266960855"/>
      <w:bookmarkStart w:id="407" w:name="_Toc297293759"/>
      <w:bookmarkStart w:id="408" w:name="_Toc329788458"/>
      <w:bookmarkStart w:id="409" w:name="_Toc329850770"/>
      <w:bookmarkStart w:id="410" w:name="_Toc329850970"/>
      <w:bookmarkStart w:id="411" w:name="_Toc329863249"/>
      <w:bookmarkStart w:id="412" w:name="_Toc329864587"/>
      <w:bookmarkStart w:id="413" w:name="_Toc346791017"/>
      <w:bookmarkStart w:id="414" w:name="_Toc355611640"/>
      <w:bookmarkStart w:id="415" w:name="_Toc360457510"/>
      <w:bookmarkStart w:id="416" w:name="_Toc360458093"/>
      <w:bookmarkStart w:id="417" w:name="_Toc360523287"/>
      <w:r>
        <w:rPr>
          <w:rStyle w:val="CharDivNo"/>
        </w:rPr>
        <w:t>Division 3</w:t>
      </w:r>
      <w:r>
        <w:rPr>
          <w:snapToGrid w:val="0"/>
        </w:rPr>
        <w:t> — </w:t>
      </w:r>
      <w:r>
        <w:rPr>
          <w:rStyle w:val="CharDivText"/>
        </w:rPr>
        <w:t>Mooring and berthing of vessels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418" w:name="_Toc360523288"/>
      <w:r>
        <w:rPr>
          <w:rStyle w:val="CharSectno"/>
        </w:rPr>
        <w:t>71</w:t>
      </w:r>
      <w:r>
        <w:rPr>
          <w:snapToGrid w:val="0"/>
        </w:rPr>
        <w:t>.</w:t>
      </w:r>
      <w:r>
        <w:rPr>
          <w:snapToGrid w:val="0"/>
        </w:rPr>
        <w:tab/>
        <w:t>Permit required to moor etc. alongside jetty or buoy</w:t>
      </w:r>
      <w:bookmarkEnd w:id="418"/>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419" w:name="_Toc360523289"/>
      <w:r>
        <w:rPr>
          <w:rStyle w:val="CharSectno"/>
        </w:rPr>
        <w:t>72</w:t>
      </w:r>
      <w:r>
        <w:rPr>
          <w:snapToGrid w:val="0"/>
        </w:rPr>
        <w:t>.</w:t>
      </w:r>
      <w:r>
        <w:rPr>
          <w:snapToGrid w:val="0"/>
        </w:rPr>
        <w:tab/>
        <w:t>Duration of, and charges for, permits</w:t>
      </w:r>
      <w:bookmarkEnd w:id="41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420" w:name="_Toc360523290"/>
      <w:r>
        <w:rPr>
          <w:rStyle w:val="CharSectno"/>
        </w:rPr>
        <w:t>73</w:t>
      </w:r>
      <w:r>
        <w:rPr>
          <w:snapToGrid w:val="0"/>
        </w:rPr>
        <w:t>.</w:t>
      </w:r>
      <w:r>
        <w:rPr>
          <w:snapToGrid w:val="0"/>
        </w:rPr>
        <w:tab/>
        <w:t>Permit for exclusive use of a berth</w:t>
      </w:r>
      <w:bookmarkEnd w:id="420"/>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421" w:name="_Toc360523291"/>
      <w:r>
        <w:rPr>
          <w:rStyle w:val="CharSectno"/>
        </w:rPr>
        <w:t>74</w:t>
      </w:r>
      <w:r>
        <w:rPr>
          <w:snapToGrid w:val="0"/>
        </w:rPr>
        <w:t>.</w:t>
      </w:r>
      <w:r>
        <w:rPr>
          <w:snapToGrid w:val="0"/>
        </w:rPr>
        <w:tab/>
        <w:t>Manner of mooring vessels</w:t>
      </w:r>
      <w:bookmarkEnd w:id="421"/>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422" w:name="_Toc360523292"/>
      <w:r>
        <w:rPr>
          <w:rStyle w:val="CharSectno"/>
        </w:rPr>
        <w:t>75</w:t>
      </w:r>
      <w:r>
        <w:rPr>
          <w:snapToGrid w:val="0"/>
        </w:rPr>
        <w:t>.</w:t>
      </w:r>
      <w:r>
        <w:rPr>
          <w:snapToGrid w:val="0"/>
        </w:rPr>
        <w:tab/>
        <w:t>Vessels not to remain at jetties longer than necessary</w:t>
      </w:r>
      <w:bookmarkEnd w:id="422"/>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423" w:name="_Toc360523293"/>
      <w:r>
        <w:rPr>
          <w:rStyle w:val="CharSectno"/>
        </w:rPr>
        <w:t>76</w:t>
      </w:r>
      <w:r>
        <w:rPr>
          <w:snapToGrid w:val="0"/>
        </w:rPr>
        <w:t>.</w:t>
      </w:r>
      <w:r>
        <w:rPr>
          <w:snapToGrid w:val="0"/>
        </w:rPr>
        <w:tab/>
        <w:t>Mooring of rafts and boathouses</w:t>
      </w:r>
      <w:bookmarkEnd w:id="423"/>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424" w:name="_Toc360523294"/>
      <w:r>
        <w:rPr>
          <w:rStyle w:val="CharSectno"/>
        </w:rPr>
        <w:t>77</w:t>
      </w:r>
      <w:r>
        <w:rPr>
          <w:snapToGrid w:val="0"/>
        </w:rPr>
        <w:t>.</w:t>
      </w:r>
      <w:r>
        <w:rPr>
          <w:snapToGrid w:val="0"/>
        </w:rPr>
        <w:tab/>
        <w:t>Vessels to be in charge of a competent person</w:t>
      </w:r>
      <w:bookmarkEnd w:id="424"/>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425" w:name="_Toc360523295"/>
      <w:r>
        <w:rPr>
          <w:rStyle w:val="CharSectno"/>
        </w:rPr>
        <w:t>78</w:t>
      </w:r>
      <w:r>
        <w:rPr>
          <w:snapToGrid w:val="0"/>
        </w:rPr>
        <w:t>.</w:t>
      </w:r>
      <w:r>
        <w:rPr>
          <w:snapToGrid w:val="0"/>
        </w:rPr>
        <w:tab/>
        <w:t>Approaching jetties after sunset</w:t>
      </w:r>
      <w:bookmarkEnd w:id="42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426" w:name="_Toc190232095"/>
      <w:bookmarkStart w:id="427" w:name="_Toc202676805"/>
      <w:bookmarkStart w:id="428" w:name="_Toc202691579"/>
      <w:bookmarkStart w:id="429" w:name="_Toc219773437"/>
      <w:bookmarkStart w:id="430" w:name="_Toc219773692"/>
      <w:bookmarkStart w:id="431" w:name="_Toc221592626"/>
      <w:bookmarkStart w:id="432" w:name="_Toc221609312"/>
      <w:bookmarkStart w:id="433" w:name="_Toc221609494"/>
      <w:bookmarkStart w:id="434" w:name="_Toc223835815"/>
      <w:bookmarkStart w:id="435" w:name="_Toc233539505"/>
      <w:bookmarkStart w:id="436" w:name="_Toc236796604"/>
      <w:bookmarkStart w:id="437" w:name="_Toc266960864"/>
      <w:bookmarkStart w:id="438" w:name="_Toc297293768"/>
      <w:bookmarkStart w:id="439" w:name="_Toc329788467"/>
      <w:bookmarkStart w:id="440" w:name="_Toc329850779"/>
      <w:bookmarkStart w:id="441" w:name="_Toc329850979"/>
      <w:bookmarkStart w:id="442" w:name="_Toc329863258"/>
      <w:bookmarkStart w:id="443" w:name="_Toc329864596"/>
      <w:bookmarkStart w:id="444" w:name="_Toc346791026"/>
      <w:bookmarkStart w:id="445" w:name="_Toc355611649"/>
      <w:bookmarkStart w:id="446" w:name="_Toc360457519"/>
      <w:bookmarkStart w:id="447" w:name="_Toc360458102"/>
      <w:bookmarkStart w:id="448" w:name="_Toc360523296"/>
      <w:r>
        <w:rPr>
          <w:rStyle w:val="CharDivNo"/>
        </w:rPr>
        <w:t>Division 4</w:t>
      </w:r>
      <w:r>
        <w:rPr>
          <w:snapToGrid w:val="0"/>
        </w:rPr>
        <w:t> — </w:t>
      </w:r>
      <w:r>
        <w:rPr>
          <w:rStyle w:val="CharDivText"/>
        </w:rPr>
        <w:t>Loading or discharging cargo</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449" w:name="_Toc360523297"/>
      <w:r>
        <w:rPr>
          <w:rStyle w:val="CharSectno"/>
        </w:rPr>
        <w:t>80</w:t>
      </w:r>
      <w:r>
        <w:rPr>
          <w:snapToGrid w:val="0"/>
        </w:rPr>
        <w:t>.</w:t>
      </w:r>
      <w:r>
        <w:rPr>
          <w:snapToGrid w:val="0"/>
        </w:rPr>
        <w:tab/>
        <w:t>Vessels loading or discharging</w:t>
      </w:r>
      <w:bookmarkEnd w:id="449"/>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450" w:name="_Toc360523298"/>
      <w:r>
        <w:rPr>
          <w:rStyle w:val="CharSectno"/>
        </w:rPr>
        <w:t>81</w:t>
      </w:r>
      <w:r>
        <w:rPr>
          <w:snapToGrid w:val="0"/>
        </w:rPr>
        <w:t>.</w:t>
      </w:r>
      <w:r>
        <w:rPr>
          <w:snapToGrid w:val="0"/>
        </w:rPr>
        <w:tab/>
        <w:t>Cargo to be removed</w:t>
      </w:r>
      <w:bookmarkEnd w:id="450"/>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451" w:name="_Toc360523299"/>
      <w:r>
        <w:rPr>
          <w:rStyle w:val="CharSectno"/>
        </w:rPr>
        <w:t>82</w:t>
      </w:r>
      <w:r>
        <w:rPr>
          <w:snapToGrid w:val="0"/>
        </w:rPr>
        <w:t>.</w:t>
      </w:r>
      <w:r>
        <w:rPr>
          <w:snapToGrid w:val="0"/>
        </w:rPr>
        <w:tab/>
        <w:t>Cargo not to remain on jetties overnight</w:t>
      </w:r>
      <w:bookmarkEnd w:id="451"/>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452" w:name="_Toc360523300"/>
      <w:r>
        <w:rPr>
          <w:rStyle w:val="CharSectno"/>
        </w:rPr>
        <w:t>83</w:t>
      </w:r>
      <w:r>
        <w:rPr>
          <w:snapToGrid w:val="0"/>
        </w:rPr>
        <w:t>.</w:t>
      </w:r>
      <w:r>
        <w:rPr>
          <w:snapToGrid w:val="0"/>
        </w:rPr>
        <w:tab/>
        <w:t>Explosives not to be handled without permission</w:t>
      </w:r>
      <w:bookmarkEnd w:id="452"/>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453" w:name="_Toc360523301"/>
      <w:r>
        <w:rPr>
          <w:rStyle w:val="CharSectno"/>
        </w:rPr>
        <w:t>84</w:t>
      </w:r>
      <w:r>
        <w:rPr>
          <w:snapToGrid w:val="0"/>
        </w:rPr>
        <w:t>.</w:t>
      </w:r>
      <w:r>
        <w:rPr>
          <w:snapToGrid w:val="0"/>
        </w:rPr>
        <w:tab/>
        <w:t>Manner of handling cargo</w:t>
      </w:r>
      <w:bookmarkEnd w:id="453"/>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454" w:name="_Toc190232101"/>
      <w:bookmarkStart w:id="455" w:name="_Toc202676811"/>
      <w:bookmarkStart w:id="456" w:name="_Toc202691585"/>
      <w:bookmarkStart w:id="457" w:name="_Toc219773443"/>
      <w:bookmarkStart w:id="458" w:name="_Toc219773698"/>
      <w:bookmarkStart w:id="459" w:name="_Toc221592632"/>
      <w:bookmarkStart w:id="460" w:name="_Toc221609318"/>
      <w:bookmarkStart w:id="461" w:name="_Toc221609500"/>
      <w:bookmarkStart w:id="462" w:name="_Toc223835821"/>
      <w:bookmarkStart w:id="463" w:name="_Toc233539511"/>
      <w:bookmarkStart w:id="464" w:name="_Toc236796610"/>
      <w:bookmarkStart w:id="465" w:name="_Toc266960870"/>
      <w:bookmarkStart w:id="466" w:name="_Toc297293774"/>
      <w:bookmarkStart w:id="467" w:name="_Toc329788473"/>
      <w:bookmarkStart w:id="468" w:name="_Toc329850785"/>
      <w:bookmarkStart w:id="469" w:name="_Toc329850985"/>
      <w:bookmarkStart w:id="470" w:name="_Toc329863264"/>
      <w:bookmarkStart w:id="471" w:name="_Toc329864602"/>
      <w:bookmarkStart w:id="472" w:name="_Toc346791032"/>
      <w:bookmarkStart w:id="473" w:name="_Toc355611655"/>
      <w:bookmarkStart w:id="474" w:name="_Toc360457525"/>
      <w:bookmarkStart w:id="475" w:name="_Toc360458108"/>
      <w:bookmarkStart w:id="476" w:name="_Toc360523302"/>
      <w:r>
        <w:rPr>
          <w:rStyle w:val="CharDivNo"/>
        </w:rPr>
        <w:t>Division 5</w:t>
      </w:r>
      <w:r>
        <w:rPr>
          <w:snapToGrid w:val="0"/>
        </w:rPr>
        <w:t> — </w:t>
      </w:r>
      <w:r>
        <w:rPr>
          <w:rStyle w:val="CharDivText"/>
        </w:rPr>
        <w:t>Navigation of vessels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DivText"/>
        </w:rPr>
        <w:t xml:space="preserve"> </w:t>
      </w:r>
    </w:p>
    <w:p>
      <w:pPr>
        <w:pStyle w:val="Footnoteheading"/>
      </w:pPr>
      <w:r>
        <w:tab/>
        <w:t xml:space="preserve">[Heading inserted in Gazette 19 May 1989 p. 1494.] </w:t>
      </w:r>
    </w:p>
    <w:p>
      <w:pPr>
        <w:pStyle w:val="Heading5"/>
        <w:rPr>
          <w:snapToGrid w:val="0"/>
        </w:rPr>
      </w:pPr>
      <w:bookmarkStart w:id="477" w:name="_Toc360523303"/>
      <w:r>
        <w:rPr>
          <w:rStyle w:val="CharSectno"/>
        </w:rPr>
        <w:t>85</w:t>
      </w:r>
      <w:r>
        <w:rPr>
          <w:snapToGrid w:val="0"/>
        </w:rPr>
        <w:t>.</w:t>
      </w:r>
      <w:r>
        <w:rPr>
          <w:snapToGrid w:val="0"/>
        </w:rPr>
        <w:tab/>
        <w:t>Power vessels approaching jetties</w:t>
      </w:r>
      <w:bookmarkEnd w:id="477"/>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478" w:name="_Toc190232103"/>
      <w:bookmarkStart w:id="479" w:name="_Toc202676813"/>
      <w:bookmarkStart w:id="480" w:name="_Toc202691587"/>
      <w:bookmarkStart w:id="481" w:name="_Toc219773445"/>
      <w:bookmarkStart w:id="482" w:name="_Toc219773700"/>
      <w:bookmarkStart w:id="483" w:name="_Toc221592634"/>
      <w:bookmarkStart w:id="484" w:name="_Toc221609320"/>
      <w:bookmarkStart w:id="485" w:name="_Toc221609502"/>
      <w:bookmarkStart w:id="486" w:name="_Toc223835823"/>
      <w:bookmarkStart w:id="487" w:name="_Toc233539513"/>
      <w:bookmarkStart w:id="488" w:name="_Toc236796612"/>
      <w:bookmarkStart w:id="489" w:name="_Toc266960872"/>
      <w:bookmarkStart w:id="490" w:name="_Toc297293776"/>
      <w:bookmarkStart w:id="491" w:name="_Toc329788475"/>
      <w:bookmarkStart w:id="492" w:name="_Toc329850787"/>
      <w:bookmarkStart w:id="493" w:name="_Toc329850987"/>
      <w:bookmarkStart w:id="494" w:name="_Toc329863266"/>
      <w:bookmarkStart w:id="495" w:name="_Toc329864604"/>
      <w:bookmarkStart w:id="496" w:name="_Toc346791034"/>
      <w:bookmarkStart w:id="497" w:name="_Toc355611657"/>
      <w:bookmarkStart w:id="498" w:name="_Toc360457527"/>
      <w:bookmarkStart w:id="499" w:name="_Toc360458110"/>
      <w:bookmarkStart w:id="500" w:name="_Toc360523304"/>
      <w:r>
        <w:rPr>
          <w:rStyle w:val="CharDivNo"/>
        </w:rPr>
        <w:t>Division 6</w:t>
      </w:r>
      <w:r>
        <w:rPr>
          <w:snapToGrid w:val="0"/>
        </w:rPr>
        <w:t> — </w:t>
      </w:r>
      <w:r>
        <w:rPr>
          <w:rStyle w:val="CharDivText"/>
        </w:rPr>
        <w:t>Miscellaneous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DivText"/>
        </w:rPr>
        <w:t xml:space="preserve"> </w:t>
      </w:r>
    </w:p>
    <w:p>
      <w:pPr>
        <w:pStyle w:val="Footnoteheading"/>
      </w:pPr>
      <w:r>
        <w:tab/>
        <w:t xml:space="preserve">[Heading inserted in Gazette 19 May 1989 p. 1494.] </w:t>
      </w:r>
    </w:p>
    <w:p>
      <w:pPr>
        <w:pStyle w:val="Heading5"/>
        <w:rPr>
          <w:snapToGrid w:val="0"/>
        </w:rPr>
      </w:pPr>
      <w:bookmarkStart w:id="501" w:name="_Toc360523305"/>
      <w:r>
        <w:rPr>
          <w:rStyle w:val="CharSectno"/>
        </w:rPr>
        <w:t>86</w:t>
      </w:r>
      <w:r>
        <w:rPr>
          <w:snapToGrid w:val="0"/>
        </w:rPr>
        <w:t>.</w:t>
      </w:r>
      <w:r>
        <w:rPr>
          <w:snapToGrid w:val="0"/>
        </w:rPr>
        <w:tab/>
        <w:t>Bathing from jetties</w:t>
      </w:r>
      <w:bookmarkEnd w:id="501"/>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502" w:name="_Toc360523306"/>
      <w:r>
        <w:rPr>
          <w:rStyle w:val="CharSectno"/>
        </w:rPr>
        <w:t>87</w:t>
      </w:r>
      <w:r>
        <w:rPr>
          <w:snapToGrid w:val="0"/>
        </w:rPr>
        <w:t>.</w:t>
      </w:r>
      <w:r>
        <w:rPr>
          <w:snapToGrid w:val="0"/>
        </w:rPr>
        <w:tab/>
        <w:t>Damage to jetties</w:t>
      </w:r>
      <w:bookmarkEnd w:id="502"/>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503" w:name="_Toc360523307"/>
      <w:r>
        <w:rPr>
          <w:rStyle w:val="CharSectno"/>
        </w:rPr>
        <w:t>88</w:t>
      </w:r>
      <w:r>
        <w:rPr>
          <w:snapToGrid w:val="0"/>
        </w:rPr>
        <w:t>.</w:t>
      </w:r>
      <w:r>
        <w:rPr>
          <w:snapToGrid w:val="0"/>
        </w:rPr>
        <w:tab/>
        <w:t>Fishing from certain places prohibited</w:t>
      </w:r>
      <w:bookmarkEnd w:id="503"/>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504" w:name="_Toc360523308"/>
      <w:r>
        <w:rPr>
          <w:rStyle w:val="CharSectno"/>
        </w:rPr>
        <w:t>89</w:t>
      </w:r>
      <w:r>
        <w:rPr>
          <w:snapToGrid w:val="0"/>
        </w:rPr>
        <w:t>.</w:t>
      </w:r>
      <w:r>
        <w:rPr>
          <w:snapToGrid w:val="0"/>
        </w:rPr>
        <w:tab/>
        <w:t>Fishing nets on jetties</w:t>
      </w:r>
      <w:bookmarkEnd w:id="504"/>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505" w:name="_Toc360523309"/>
      <w:r>
        <w:rPr>
          <w:rStyle w:val="CharSectno"/>
        </w:rPr>
        <w:t>90</w:t>
      </w:r>
      <w:r>
        <w:rPr>
          <w:snapToGrid w:val="0"/>
        </w:rPr>
        <w:t>.</w:t>
      </w:r>
      <w:r>
        <w:rPr>
          <w:snapToGrid w:val="0"/>
        </w:rPr>
        <w:tab/>
        <w:t>Gangways to be provided</w:t>
      </w:r>
      <w:bookmarkEnd w:id="505"/>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506" w:name="_Toc360523310"/>
      <w:r>
        <w:rPr>
          <w:rStyle w:val="CharSectno"/>
        </w:rPr>
        <w:t>91</w:t>
      </w:r>
      <w:r>
        <w:rPr>
          <w:snapToGrid w:val="0"/>
        </w:rPr>
        <w:t>.</w:t>
      </w:r>
      <w:r>
        <w:rPr>
          <w:snapToGrid w:val="0"/>
        </w:rPr>
        <w:tab/>
        <w:t>Interference with jetties or approaches</w:t>
      </w:r>
      <w:bookmarkEnd w:id="506"/>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507" w:name="_Toc360523311"/>
      <w:r>
        <w:rPr>
          <w:rStyle w:val="CharSectno"/>
        </w:rPr>
        <w:t>92</w:t>
      </w:r>
      <w:r>
        <w:rPr>
          <w:snapToGrid w:val="0"/>
        </w:rPr>
        <w:t>.</w:t>
      </w:r>
      <w:r>
        <w:rPr>
          <w:snapToGrid w:val="0"/>
        </w:rPr>
        <w:tab/>
        <w:t>Lifebuoys on jetties</w:t>
      </w:r>
      <w:bookmarkEnd w:id="507"/>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508" w:name="_Toc360523312"/>
      <w:r>
        <w:rPr>
          <w:rStyle w:val="CharSectno"/>
        </w:rPr>
        <w:t>93</w:t>
      </w:r>
      <w:r>
        <w:rPr>
          <w:snapToGrid w:val="0"/>
        </w:rPr>
        <w:t>.</w:t>
      </w:r>
      <w:r>
        <w:rPr>
          <w:snapToGrid w:val="0"/>
        </w:rPr>
        <w:tab/>
        <w:t>Obstruction of jetties or officers</w:t>
      </w:r>
      <w:bookmarkEnd w:id="508"/>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509" w:name="_Toc360523313"/>
      <w:r>
        <w:rPr>
          <w:rStyle w:val="CharSectno"/>
        </w:rPr>
        <w:t>94</w:t>
      </w:r>
      <w:r>
        <w:rPr>
          <w:snapToGrid w:val="0"/>
        </w:rPr>
        <w:t>.</w:t>
      </w:r>
      <w:r>
        <w:rPr>
          <w:snapToGrid w:val="0"/>
        </w:rPr>
        <w:tab/>
        <w:t>Rubbish not to be thrown in river etc.</w:t>
      </w:r>
      <w:bookmarkEnd w:id="509"/>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510" w:name="_Toc190232113"/>
      <w:bookmarkStart w:id="511" w:name="_Toc202676823"/>
      <w:bookmarkStart w:id="512" w:name="_Toc202691597"/>
      <w:bookmarkStart w:id="513" w:name="_Toc219773455"/>
      <w:bookmarkStart w:id="514" w:name="_Toc219773710"/>
      <w:bookmarkStart w:id="515" w:name="_Toc221592644"/>
      <w:bookmarkStart w:id="516" w:name="_Toc221609330"/>
      <w:bookmarkStart w:id="517" w:name="_Toc221609512"/>
      <w:bookmarkStart w:id="518" w:name="_Toc223835833"/>
      <w:bookmarkStart w:id="519" w:name="_Toc233539523"/>
      <w:bookmarkStart w:id="520" w:name="_Toc236796622"/>
      <w:bookmarkStart w:id="521" w:name="_Toc266960882"/>
      <w:bookmarkStart w:id="522" w:name="_Toc297293786"/>
      <w:bookmarkStart w:id="523" w:name="_Toc329788485"/>
      <w:bookmarkStart w:id="524" w:name="_Toc329850797"/>
      <w:bookmarkStart w:id="525" w:name="_Toc329850997"/>
      <w:bookmarkStart w:id="526" w:name="_Toc329863276"/>
      <w:bookmarkStart w:id="527" w:name="_Toc329864614"/>
      <w:bookmarkStart w:id="528" w:name="_Toc346791044"/>
      <w:bookmarkStart w:id="529" w:name="_Toc355611667"/>
      <w:bookmarkStart w:id="530" w:name="_Toc360457537"/>
      <w:bookmarkStart w:id="531" w:name="_Toc360458120"/>
      <w:bookmarkStart w:id="532" w:name="_Toc360523314"/>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PartText"/>
        </w:rPr>
        <w:t xml:space="preserve"> </w:t>
      </w:r>
    </w:p>
    <w:p>
      <w:pPr>
        <w:pStyle w:val="Footnoteheading"/>
      </w:pPr>
      <w:r>
        <w:tab/>
        <w:t>[Heading inserted in Gazette 1 Aug 1990 p. 3633</w:t>
      </w:r>
      <w:r>
        <w:noBreakHyphen/>
        <w:t xml:space="preserve">4.] </w:t>
      </w:r>
    </w:p>
    <w:p>
      <w:pPr>
        <w:pStyle w:val="Heading5"/>
      </w:pPr>
      <w:bookmarkStart w:id="533" w:name="_Toc360523315"/>
      <w:r>
        <w:rPr>
          <w:rStyle w:val="CharSectno"/>
        </w:rPr>
        <w:t>94A</w:t>
      </w:r>
      <w:r>
        <w:t>.</w:t>
      </w:r>
      <w:r>
        <w:tab/>
        <w:t>Fees etc. for pen rentals and services</w:t>
      </w:r>
      <w:bookmarkEnd w:id="533"/>
    </w:p>
    <w:p>
      <w:pPr>
        <w:pStyle w:val="Subsection"/>
      </w:pPr>
      <w:r>
        <w:tab/>
      </w:r>
      <w:r>
        <w:tab/>
        <w:t xml:space="preserve">The fees and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534" w:name="_Toc360523316"/>
      <w:r>
        <w:rPr>
          <w:rStyle w:val="CharSectno"/>
        </w:rPr>
        <w:t>94B</w:t>
      </w:r>
      <w:r>
        <w:rPr>
          <w:snapToGrid w:val="0"/>
        </w:rPr>
        <w:t>.</w:t>
      </w:r>
      <w:r>
        <w:rPr>
          <w:snapToGrid w:val="0"/>
        </w:rPr>
        <w:tab/>
        <w:t>Fees for pile mooring</w:t>
      </w:r>
      <w:bookmarkEnd w:id="534"/>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535" w:name="_Toc360523317"/>
      <w:r>
        <w:rPr>
          <w:rStyle w:val="CharSectno"/>
        </w:rPr>
        <w:t>94C</w:t>
      </w:r>
      <w:r>
        <w:rPr>
          <w:snapToGrid w:val="0"/>
        </w:rPr>
        <w:t>.</w:t>
      </w:r>
      <w:r>
        <w:rPr>
          <w:snapToGrid w:val="0"/>
        </w:rPr>
        <w:tab/>
        <w:t>Fees for berthing or mooring on a casual basis</w:t>
      </w:r>
      <w:bookmarkEnd w:id="535"/>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536" w:name="_Toc360523318"/>
      <w:r>
        <w:rPr>
          <w:rStyle w:val="CharSectno"/>
        </w:rPr>
        <w:t>94D</w:t>
      </w:r>
      <w:r>
        <w:t>.</w:t>
      </w:r>
      <w:r>
        <w:tab/>
        <w:t>Waiving fees or charges in emergencies</w:t>
      </w:r>
      <w:bookmarkEnd w:id="536"/>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537" w:name="_Toc190232118"/>
      <w:bookmarkStart w:id="538" w:name="_Toc202676828"/>
      <w:bookmarkStart w:id="539" w:name="_Toc202691602"/>
      <w:bookmarkStart w:id="540" w:name="_Toc219773460"/>
      <w:bookmarkStart w:id="541" w:name="_Toc219773715"/>
      <w:bookmarkStart w:id="542" w:name="_Toc221592649"/>
      <w:bookmarkStart w:id="543" w:name="_Toc221609335"/>
      <w:bookmarkStart w:id="544" w:name="_Toc221609517"/>
      <w:bookmarkStart w:id="545" w:name="_Toc223835838"/>
      <w:bookmarkStart w:id="546" w:name="_Toc233539528"/>
      <w:bookmarkStart w:id="547" w:name="_Toc236796627"/>
      <w:bookmarkStart w:id="548" w:name="_Toc266960887"/>
      <w:bookmarkStart w:id="549" w:name="_Toc297293791"/>
      <w:bookmarkStart w:id="550" w:name="_Toc329788490"/>
      <w:bookmarkStart w:id="551" w:name="_Toc329850802"/>
      <w:bookmarkStart w:id="552" w:name="_Toc329851002"/>
      <w:bookmarkStart w:id="553" w:name="_Toc329863281"/>
      <w:bookmarkStart w:id="554" w:name="_Toc329864619"/>
      <w:bookmarkStart w:id="555" w:name="_Toc346791049"/>
      <w:bookmarkStart w:id="556" w:name="_Toc355611672"/>
      <w:bookmarkStart w:id="557" w:name="_Toc360457542"/>
      <w:bookmarkStart w:id="558" w:name="_Toc360458125"/>
      <w:bookmarkStart w:id="559" w:name="_Toc360523319"/>
      <w:r>
        <w:rPr>
          <w:rStyle w:val="CharPartNo"/>
        </w:rPr>
        <w:t>Part 3</w:t>
      </w:r>
      <w:r>
        <w:t> — </w:t>
      </w:r>
      <w:r>
        <w:rPr>
          <w:rStyle w:val="CharPartText"/>
        </w:rPr>
        <w:t>Special provisions applying at particular ports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PartText"/>
        </w:rPr>
        <w:t xml:space="preserve"> </w:t>
      </w:r>
    </w:p>
    <w:p>
      <w:pPr>
        <w:pStyle w:val="Footnoteheading"/>
      </w:pPr>
      <w:r>
        <w:tab/>
        <w:t xml:space="preserve">[Heading inserted in Gazette 19 May 1989 p. 1494.] </w:t>
      </w:r>
    </w:p>
    <w:p>
      <w:pPr>
        <w:pStyle w:val="Heading3"/>
        <w:rPr>
          <w:snapToGrid w:val="0"/>
        </w:rPr>
      </w:pPr>
      <w:bookmarkStart w:id="560" w:name="_Toc190232119"/>
      <w:bookmarkStart w:id="561" w:name="_Toc202676829"/>
      <w:bookmarkStart w:id="562" w:name="_Toc202691603"/>
      <w:bookmarkStart w:id="563" w:name="_Toc219773461"/>
      <w:bookmarkStart w:id="564" w:name="_Toc219773716"/>
      <w:bookmarkStart w:id="565" w:name="_Toc221592650"/>
      <w:bookmarkStart w:id="566" w:name="_Toc221609336"/>
      <w:bookmarkStart w:id="567" w:name="_Toc221609518"/>
      <w:bookmarkStart w:id="568" w:name="_Toc223835839"/>
      <w:bookmarkStart w:id="569" w:name="_Toc233539529"/>
      <w:bookmarkStart w:id="570" w:name="_Toc236796628"/>
      <w:bookmarkStart w:id="571" w:name="_Toc266960888"/>
      <w:bookmarkStart w:id="572" w:name="_Toc297293792"/>
      <w:bookmarkStart w:id="573" w:name="_Toc329788491"/>
      <w:bookmarkStart w:id="574" w:name="_Toc329850803"/>
      <w:bookmarkStart w:id="575" w:name="_Toc329851003"/>
      <w:bookmarkStart w:id="576" w:name="_Toc329863282"/>
      <w:bookmarkStart w:id="577" w:name="_Toc329864620"/>
      <w:bookmarkStart w:id="578" w:name="_Toc346791050"/>
      <w:bookmarkStart w:id="579" w:name="_Toc355611673"/>
      <w:bookmarkStart w:id="580" w:name="_Toc360457543"/>
      <w:bookmarkStart w:id="581" w:name="_Toc360458126"/>
      <w:bookmarkStart w:id="582" w:name="_Toc360523320"/>
      <w:r>
        <w:rPr>
          <w:rStyle w:val="CharDivNo"/>
        </w:rPr>
        <w:t>Division 1</w:t>
      </w:r>
      <w:r>
        <w:rPr>
          <w:snapToGrid w:val="0"/>
        </w:rPr>
        <w:t> — </w:t>
      </w:r>
      <w:r>
        <w:rPr>
          <w:rStyle w:val="CharDivText"/>
        </w:rPr>
        <w:t>Use of slipways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rStyle w:val="CharDivText"/>
        </w:rPr>
        <w:t xml:space="preserve"> </w:t>
      </w:r>
    </w:p>
    <w:p>
      <w:pPr>
        <w:pStyle w:val="Footnoteheading"/>
      </w:pPr>
      <w:r>
        <w:tab/>
        <w:t xml:space="preserve">[Heading inserted in Gazette 19 May 1989 p. 1494.] </w:t>
      </w:r>
    </w:p>
    <w:p>
      <w:pPr>
        <w:pStyle w:val="Heading5"/>
      </w:pPr>
      <w:bookmarkStart w:id="583" w:name="_Toc360523321"/>
      <w:r>
        <w:rPr>
          <w:rStyle w:val="CharSectno"/>
        </w:rPr>
        <w:t>95</w:t>
      </w:r>
      <w:r>
        <w:t>.</w:t>
      </w:r>
      <w:r>
        <w:tab/>
        <w:t>Management and control of departmental slipways</w:t>
      </w:r>
      <w:bookmarkEnd w:id="583"/>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584" w:name="_Toc360523322"/>
      <w:r>
        <w:rPr>
          <w:rStyle w:val="CharSectno"/>
        </w:rPr>
        <w:t>95A</w:t>
      </w:r>
      <w:r>
        <w:rPr>
          <w:snapToGrid w:val="0"/>
        </w:rPr>
        <w:t>.</w:t>
      </w:r>
      <w:r>
        <w:rPr>
          <w:snapToGrid w:val="0"/>
        </w:rPr>
        <w:tab/>
        <w:t>Application for use of slipway</w:t>
      </w:r>
      <w:bookmarkEnd w:id="584"/>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585" w:name="_Toc360523323"/>
      <w:r>
        <w:rPr>
          <w:rStyle w:val="CharSectno"/>
        </w:rPr>
        <w:t>96</w:t>
      </w:r>
      <w:r>
        <w:rPr>
          <w:snapToGrid w:val="0"/>
        </w:rPr>
        <w:t>.</w:t>
      </w:r>
      <w:r>
        <w:rPr>
          <w:snapToGrid w:val="0"/>
        </w:rPr>
        <w:tab/>
        <w:t>Charges for use of slipway</w:t>
      </w:r>
      <w:bookmarkEnd w:id="585"/>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586" w:name="_Toc360523324"/>
      <w:r>
        <w:rPr>
          <w:rStyle w:val="CharSectno"/>
        </w:rPr>
        <w:t>97</w:t>
      </w:r>
      <w:r>
        <w:rPr>
          <w:snapToGrid w:val="0"/>
        </w:rPr>
        <w:t>.</w:t>
      </w:r>
      <w:r>
        <w:rPr>
          <w:snapToGrid w:val="0"/>
        </w:rPr>
        <w:tab/>
        <w:t>Government vessels may take precedence</w:t>
      </w:r>
      <w:bookmarkEnd w:id="586"/>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587" w:name="_Toc360523325"/>
      <w:r>
        <w:rPr>
          <w:rStyle w:val="CharSectno"/>
        </w:rPr>
        <w:t>98</w:t>
      </w:r>
      <w:r>
        <w:rPr>
          <w:snapToGrid w:val="0"/>
        </w:rPr>
        <w:t>.</w:t>
      </w:r>
      <w:r>
        <w:rPr>
          <w:snapToGrid w:val="0"/>
        </w:rPr>
        <w:tab/>
        <w:t>Vessels may forfeit their turn</w:t>
      </w:r>
      <w:bookmarkEnd w:id="587"/>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588" w:name="_Toc360523326"/>
      <w:r>
        <w:rPr>
          <w:rStyle w:val="CharSectno"/>
        </w:rPr>
        <w:t>99</w:t>
      </w:r>
      <w:r>
        <w:rPr>
          <w:snapToGrid w:val="0"/>
        </w:rPr>
        <w:t>.</w:t>
      </w:r>
      <w:r>
        <w:rPr>
          <w:snapToGrid w:val="0"/>
        </w:rPr>
        <w:tab/>
        <w:t>Department will not undertake repairs etc.</w:t>
      </w:r>
      <w:bookmarkEnd w:id="588"/>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589" w:name="_Toc360523327"/>
      <w:r>
        <w:rPr>
          <w:rStyle w:val="CharSectno"/>
        </w:rPr>
        <w:t>100</w:t>
      </w:r>
      <w:r>
        <w:rPr>
          <w:snapToGrid w:val="0"/>
        </w:rPr>
        <w:t>.</w:t>
      </w:r>
      <w:r>
        <w:rPr>
          <w:snapToGrid w:val="0"/>
        </w:rPr>
        <w:tab/>
        <w:t>Department not responsible for damage to vessel when in use of slip</w:t>
      </w:r>
      <w:bookmarkEnd w:id="589"/>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590" w:name="_Toc360523328"/>
      <w:r>
        <w:rPr>
          <w:rStyle w:val="CharSectno"/>
        </w:rPr>
        <w:t>101</w:t>
      </w:r>
      <w:r>
        <w:rPr>
          <w:snapToGrid w:val="0"/>
        </w:rPr>
        <w:t>.</w:t>
      </w:r>
      <w:r>
        <w:rPr>
          <w:snapToGrid w:val="0"/>
        </w:rPr>
        <w:tab/>
        <w:t>Duties of owner or master using slipway</w:t>
      </w:r>
      <w:bookmarkEnd w:id="590"/>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591" w:name="_Toc360523329"/>
      <w:r>
        <w:rPr>
          <w:rStyle w:val="CharSectno"/>
        </w:rPr>
        <w:t>101A</w:t>
      </w:r>
      <w:r>
        <w:rPr>
          <w:snapToGrid w:val="0"/>
        </w:rPr>
        <w:t>.</w:t>
      </w:r>
      <w:r>
        <w:rPr>
          <w:snapToGrid w:val="0"/>
        </w:rPr>
        <w:tab/>
        <w:t>Slipping of more than one vessel at a time</w:t>
      </w:r>
      <w:bookmarkEnd w:id="591"/>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592" w:name="_Toc360523330"/>
      <w:r>
        <w:rPr>
          <w:rStyle w:val="CharSectno"/>
        </w:rPr>
        <w:t>101B</w:t>
      </w:r>
      <w:r>
        <w:rPr>
          <w:snapToGrid w:val="0"/>
        </w:rPr>
        <w:t>.</w:t>
      </w:r>
      <w:r>
        <w:rPr>
          <w:snapToGrid w:val="0"/>
        </w:rPr>
        <w:tab/>
        <w:t>Dispute procedure</w:t>
      </w:r>
      <w:bookmarkEnd w:id="592"/>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593" w:name="_Toc190232130"/>
      <w:bookmarkStart w:id="594" w:name="_Toc202676840"/>
      <w:bookmarkStart w:id="595" w:name="_Toc202691614"/>
      <w:bookmarkStart w:id="596" w:name="_Toc219773472"/>
      <w:bookmarkStart w:id="597" w:name="_Toc219773727"/>
      <w:bookmarkStart w:id="598" w:name="_Toc221592661"/>
      <w:bookmarkStart w:id="599" w:name="_Toc221609347"/>
      <w:bookmarkStart w:id="600" w:name="_Toc221609529"/>
      <w:bookmarkStart w:id="601" w:name="_Toc223835850"/>
      <w:bookmarkStart w:id="602" w:name="_Toc233539540"/>
      <w:bookmarkStart w:id="603" w:name="_Toc236796639"/>
      <w:bookmarkStart w:id="604" w:name="_Toc266960899"/>
      <w:bookmarkStart w:id="605" w:name="_Toc297293803"/>
      <w:bookmarkStart w:id="606" w:name="_Toc329788502"/>
      <w:bookmarkStart w:id="607" w:name="_Toc329850814"/>
      <w:bookmarkStart w:id="608" w:name="_Toc329851014"/>
      <w:bookmarkStart w:id="609" w:name="_Toc329863293"/>
      <w:bookmarkStart w:id="610" w:name="_Toc329864631"/>
      <w:bookmarkStart w:id="611" w:name="_Toc346791061"/>
      <w:bookmarkStart w:id="612" w:name="_Toc355611684"/>
      <w:bookmarkStart w:id="613" w:name="_Toc360457554"/>
      <w:bookmarkStart w:id="614" w:name="_Toc360458137"/>
      <w:bookmarkStart w:id="615" w:name="_Toc360523331"/>
      <w:r>
        <w:rPr>
          <w:rStyle w:val="CharDivNo"/>
        </w:rPr>
        <w:t>Division 2</w:t>
      </w:r>
      <w:r>
        <w:rPr>
          <w:snapToGrid w:val="0"/>
        </w:rPr>
        <w:t> — </w:t>
      </w:r>
      <w:r>
        <w:rPr>
          <w:rStyle w:val="CharDivText"/>
        </w:rPr>
        <w:t>Use of mooring springs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616" w:name="_Toc360523332"/>
      <w:r>
        <w:rPr>
          <w:rStyle w:val="CharSectno"/>
        </w:rPr>
        <w:t>105F</w:t>
      </w:r>
      <w:r>
        <w:rPr>
          <w:snapToGrid w:val="0"/>
        </w:rPr>
        <w:t>.</w:t>
      </w:r>
      <w:r>
        <w:rPr>
          <w:snapToGrid w:val="0"/>
        </w:rPr>
        <w:tab/>
        <w:t>Approaching bollard or jetty to which mooring spring or rope fastened</w:t>
      </w:r>
      <w:bookmarkEnd w:id="616"/>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617" w:name="_Toc190232132"/>
      <w:bookmarkStart w:id="618" w:name="_Toc202676842"/>
      <w:bookmarkStart w:id="619" w:name="_Toc202691616"/>
      <w:bookmarkStart w:id="620" w:name="_Toc219773474"/>
      <w:bookmarkStart w:id="621" w:name="_Toc219773729"/>
      <w:bookmarkStart w:id="622" w:name="_Toc221592663"/>
      <w:bookmarkStart w:id="623" w:name="_Toc221609349"/>
      <w:bookmarkStart w:id="624" w:name="_Toc221609531"/>
      <w:bookmarkStart w:id="625" w:name="_Toc223835852"/>
      <w:bookmarkStart w:id="626" w:name="_Toc233539542"/>
      <w:bookmarkStart w:id="627" w:name="_Toc236796641"/>
      <w:bookmarkStart w:id="628" w:name="_Toc266960901"/>
      <w:bookmarkStart w:id="629" w:name="_Toc297293805"/>
      <w:bookmarkStart w:id="630" w:name="_Toc329788504"/>
      <w:bookmarkStart w:id="631" w:name="_Toc329850816"/>
      <w:bookmarkStart w:id="632" w:name="_Toc329851016"/>
      <w:bookmarkStart w:id="633" w:name="_Toc329863295"/>
      <w:bookmarkStart w:id="634" w:name="_Toc329864633"/>
      <w:bookmarkStart w:id="635" w:name="_Toc346791063"/>
      <w:bookmarkStart w:id="636" w:name="_Toc355611686"/>
      <w:bookmarkStart w:id="637" w:name="_Toc360457556"/>
      <w:bookmarkStart w:id="638" w:name="_Toc360458139"/>
      <w:bookmarkStart w:id="639" w:name="_Toc360523333"/>
      <w:r>
        <w:rPr>
          <w:rStyle w:val="CharDivNo"/>
        </w:rPr>
        <w:t>Division 4</w:t>
      </w:r>
      <w:r>
        <w:rPr>
          <w:snapToGrid w:val="0"/>
        </w:rPr>
        <w:t> — </w:t>
      </w:r>
      <w:r>
        <w:rPr>
          <w:rStyle w:val="CharDivText"/>
        </w:rPr>
        <w:t>Use of weighbridges at Wyndham</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640" w:name="_Toc360523334"/>
      <w:r>
        <w:rPr>
          <w:rStyle w:val="CharSectno"/>
        </w:rPr>
        <w:t>105I</w:t>
      </w:r>
      <w:r>
        <w:rPr>
          <w:snapToGrid w:val="0"/>
        </w:rPr>
        <w:t>.</w:t>
      </w:r>
      <w:r>
        <w:rPr>
          <w:snapToGrid w:val="0"/>
        </w:rPr>
        <w:tab/>
        <w:t>Weighbridge fees</w:t>
      </w:r>
      <w:bookmarkEnd w:id="640"/>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deleted in Gazette 30 Jun 1992 p. 2893.]</w:t>
      </w:r>
    </w:p>
    <w:p>
      <w:pPr>
        <w:pStyle w:val="Heading2"/>
      </w:pPr>
      <w:bookmarkStart w:id="641" w:name="_Toc190232134"/>
      <w:bookmarkStart w:id="642" w:name="_Toc202676844"/>
      <w:bookmarkStart w:id="643" w:name="_Toc202691618"/>
      <w:bookmarkStart w:id="644" w:name="_Toc219773476"/>
      <w:bookmarkStart w:id="645" w:name="_Toc219773731"/>
      <w:bookmarkStart w:id="646" w:name="_Toc221592665"/>
      <w:bookmarkStart w:id="647" w:name="_Toc221609351"/>
      <w:bookmarkStart w:id="648" w:name="_Toc221609533"/>
      <w:bookmarkStart w:id="649" w:name="_Toc223835854"/>
      <w:bookmarkStart w:id="650" w:name="_Toc233539544"/>
      <w:bookmarkStart w:id="651" w:name="_Toc236796643"/>
      <w:bookmarkStart w:id="652" w:name="_Toc266960903"/>
      <w:bookmarkStart w:id="653" w:name="_Toc297293807"/>
      <w:bookmarkStart w:id="654" w:name="_Toc329788506"/>
      <w:bookmarkStart w:id="655" w:name="_Toc329850818"/>
      <w:bookmarkStart w:id="656" w:name="_Toc329851018"/>
      <w:bookmarkStart w:id="657" w:name="_Toc329863297"/>
      <w:bookmarkStart w:id="658" w:name="_Toc329864635"/>
      <w:bookmarkStart w:id="659" w:name="_Toc346791065"/>
      <w:bookmarkStart w:id="660" w:name="_Toc355611688"/>
      <w:bookmarkStart w:id="661" w:name="_Toc360457558"/>
      <w:bookmarkStart w:id="662" w:name="_Toc360458141"/>
      <w:bookmarkStart w:id="663" w:name="_Toc360523335"/>
      <w:r>
        <w:rPr>
          <w:rStyle w:val="CharPartNo"/>
        </w:rPr>
        <w:t>Part 4</w:t>
      </w:r>
      <w:r>
        <w:rPr>
          <w:rStyle w:val="CharDivNo"/>
        </w:rPr>
        <w:t> </w:t>
      </w:r>
      <w:r>
        <w:t>—</w:t>
      </w:r>
      <w:r>
        <w:rPr>
          <w:rStyle w:val="CharDivText"/>
        </w:rPr>
        <w:t> </w:t>
      </w:r>
      <w:r>
        <w:rPr>
          <w:rStyle w:val="CharPartText"/>
        </w:rPr>
        <w:t>Breach of regulations and penalties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PartText"/>
        </w:rPr>
        <w:t xml:space="preserve"> </w:t>
      </w:r>
    </w:p>
    <w:p>
      <w:pPr>
        <w:pStyle w:val="Footnoteheading"/>
      </w:pPr>
      <w:r>
        <w:tab/>
        <w:t xml:space="preserve">[Heading inserted in Gazette 19 May 1989 p. 1494.] </w:t>
      </w:r>
    </w:p>
    <w:p>
      <w:pPr>
        <w:pStyle w:val="Heading5"/>
        <w:rPr>
          <w:snapToGrid w:val="0"/>
        </w:rPr>
      </w:pPr>
      <w:bookmarkStart w:id="664" w:name="_Toc360523336"/>
      <w:r>
        <w:rPr>
          <w:rStyle w:val="CharSectno"/>
        </w:rPr>
        <w:t>106</w:t>
      </w:r>
      <w:r>
        <w:rPr>
          <w:snapToGrid w:val="0"/>
        </w:rPr>
        <w:t>.</w:t>
      </w:r>
      <w:r>
        <w:rPr>
          <w:snapToGrid w:val="0"/>
        </w:rPr>
        <w:tab/>
        <w:t>Powers of officer of Department</w:t>
      </w:r>
      <w:bookmarkEnd w:id="664"/>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665" w:name="_Toc360523337"/>
      <w:r>
        <w:rPr>
          <w:rStyle w:val="CharSectno"/>
        </w:rPr>
        <w:t>107</w:t>
      </w:r>
      <w:r>
        <w:rPr>
          <w:snapToGrid w:val="0"/>
        </w:rPr>
        <w:t>.</w:t>
      </w:r>
      <w:r>
        <w:rPr>
          <w:snapToGrid w:val="0"/>
        </w:rPr>
        <w:tab/>
        <w:t>Recovery of expenses incurred by breaches of regulations</w:t>
      </w:r>
      <w:bookmarkEnd w:id="665"/>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666" w:name="_Toc360523338"/>
      <w:r>
        <w:rPr>
          <w:rStyle w:val="CharSectno"/>
        </w:rPr>
        <w:t>107A</w:t>
      </w:r>
      <w:r>
        <w:rPr>
          <w:snapToGrid w:val="0"/>
        </w:rPr>
        <w:t>.</w:t>
      </w:r>
      <w:r>
        <w:rPr>
          <w:snapToGrid w:val="0"/>
        </w:rPr>
        <w:tab/>
        <w:t>Police have authority to enforce regulations</w:t>
      </w:r>
      <w:bookmarkEnd w:id="666"/>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667" w:name="_Toc360523339"/>
      <w:r>
        <w:rPr>
          <w:rStyle w:val="CharSectno"/>
        </w:rPr>
        <w:t>108</w:t>
      </w:r>
      <w:r>
        <w:rPr>
          <w:snapToGrid w:val="0"/>
        </w:rPr>
        <w:t>.</w:t>
      </w:r>
      <w:r>
        <w:rPr>
          <w:snapToGrid w:val="0"/>
        </w:rPr>
        <w:tab/>
        <w:t>Penalty for offences</w:t>
      </w:r>
      <w:bookmarkEnd w:id="667"/>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68" w:name="_Toc360457563"/>
      <w:bookmarkStart w:id="669" w:name="_Toc360458146"/>
      <w:bookmarkStart w:id="670" w:name="_Toc360523340"/>
      <w:bookmarkStart w:id="671" w:name="_Toc329788511"/>
      <w:bookmarkStart w:id="672" w:name="_Toc329850823"/>
      <w:bookmarkStart w:id="673" w:name="_Toc329851023"/>
      <w:bookmarkStart w:id="674" w:name="_Toc329863302"/>
      <w:bookmarkStart w:id="675" w:name="_Toc329864640"/>
      <w:bookmarkStart w:id="676" w:name="_Toc346791070"/>
      <w:bookmarkStart w:id="677" w:name="_Toc355611693"/>
      <w:bookmarkStart w:id="678" w:name="_Toc190232169"/>
      <w:bookmarkStart w:id="679" w:name="_Toc202676879"/>
      <w:bookmarkStart w:id="680" w:name="_Toc202691653"/>
      <w:bookmarkStart w:id="681" w:name="_Toc219773511"/>
      <w:bookmarkStart w:id="682" w:name="_Toc219773766"/>
      <w:bookmarkStart w:id="683" w:name="_Toc221592700"/>
      <w:bookmarkStart w:id="684" w:name="_Toc221609386"/>
      <w:bookmarkStart w:id="685" w:name="_Toc221609568"/>
      <w:bookmarkStart w:id="686" w:name="_Toc223835889"/>
      <w:bookmarkStart w:id="687" w:name="_Toc233539579"/>
      <w:bookmarkStart w:id="688" w:name="_Toc236796678"/>
      <w:bookmarkStart w:id="689" w:name="_Toc266960908"/>
      <w:bookmarkStart w:id="690" w:name="_Toc297293812"/>
      <w:r>
        <w:rPr>
          <w:rStyle w:val="CharSchNo"/>
        </w:rPr>
        <w:t>Schedule 1</w:t>
      </w:r>
      <w:r>
        <w:t> — </w:t>
      </w:r>
      <w:r>
        <w:rPr>
          <w:rStyle w:val="CharSchText"/>
        </w:rPr>
        <w:t>Charges, dues and fees at places outside the Port of Perth</w:t>
      </w:r>
      <w:bookmarkEnd w:id="668"/>
      <w:bookmarkEnd w:id="669"/>
      <w:bookmarkEnd w:id="670"/>
    </w:p>
    <w:p>
      <w:pPr>
        <w:pStyle w:val="yShoulderClause"/>
      </w:pPr>
      <w:r>
        <w:t>[r. 6, 10A, 11, 25, 42A, 53A, 94A, 94B, 94C, 96 and 105I]</w:t>
      </w:r>
    </w:p>
    <w:p>
      <w:pPr>
        <w:pStyle w:val="yFootnoteheading"/>
      </w:pPr>
      <w:r>
        <w:tab/>
        <w:t>[Heading inserted in Gazette 28 Jun 2013 p. 2831.]</w:t>
      </w:r>
    </w:p>
    <w:p>
      <w:pPr>
        <w:pStyle w:val="yHeading3"/>
      </w:pPr>
      <w:bookmarkStart w:id="691" w:name="_Toc360457564"/>
      <w:bookmarkStart w:id="692" w:name="_Toc360458147"/>
      <w:bookmarkStart w:id="693" w:name="_Toc360523341"/>
      <w:r>
        <w:rPr>
          <w:rStyle w:val="CharSDivNo"/>
        </w:rPr>
        <w:t>Division 1</w:t>
      </w:r>
      <w:r>
        <w:rPr>
          <w:b w:val="0"/>
        </w:rPr>
        <w:t> — </w:t>
      </w:r>
      <w:r>
        <w:rPr>
          <w:rStyle w:val="CharSDivText"/>
        </w:rPr>
        <w:t>Specified places</w:t>
      </w:r>
      <w:bookmarkEnd w:id="691"/>
      <w:bookmarkEnd w:id="692"/>
      <w:bookmarkEnd w:id="693"/>
    </w:p>
    <w:p>
      <w:pPr>
        <w:pStyle w:val="yFootnoteheading"/>
      </w:pPr>
      <w:bookmarkStart w:id="694" w:name="_Toc346791072"/>
      <w:r>
        <w:tab/>
        <w:t>[Heading inserted in Gazette 28 Jun 2013 p. 2832.]</w:t>
      </w:r>
    </w:p>
    <w:p>
      <w:pPr>
        <w:pStyle w:val="yHeading5"/>
      </w:pPr>
      <w:bookmarkStart w:id="695" w:name="_Toc360523342"/>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694"/>
      <w:bookmarkEnd w:id="695"/>
    </w:p>
    <w:p>
      <w:pPr>
        <w:pStyle w:val="ySubsection"/>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1.1.</w:t>
      </w:r>
    </w:p>
    <w:p>
      <w:pPr>
        <w:pStyle w:val="yTHeadingNAm"/>
      </w:pPr>
      <w:r>
        <w:t>Table 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pen for commercial vessel, per m of the longer of the vessel’s length and the pen’s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389.54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38.95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58.43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week or more, per week, paid in advance</w:t>
            </w:r>
          </w:p>
        </w:tc>
        <w:tc>
          <w:tcPr>
            <w:tcW w:w="992" w:type="dxa"/>
          </w:tcPr>
          <w:p>
            <w:pPr>
              <w:pStyle w:val="yTableNAm"/>
              <w:jc w:val="right"/>
            </w:pPr>
            <w:r>
              <w:br/>
              <w:t>40.57</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otherwise, per day </w:t>
            </w:r>
          </w:p>
        </w:tc>
        <w:tc>
          <w:tcPr>
            <w:tcW w:w="992" w:type="dxa"/>
          </w:tcPr>
          <w:p>
            <w:pPr>
              <w:pStyle w:val="yTableNAm"/>
              <w:jc w:val="right"/>
            </w:pPr>
            <w:r>
              <w:t>8.12</w:t>
            </w:r>
          </w:p>
        </w:tc>
      </w:tr>
      <w:tr>
        <w:trPr>
          <w:cantSplit/>
        </w:trPr>
        <w:tc>
          <w:tcPr>
            <w:tcW w:w="567" w:type="dxa"/>
          </w:tcPr>
          <w:p>
            <w:pPr>
              <w:pStyle w:val="yTableNAm"/>
            </w:pPr>
            <w:r>
              <w:t>2.</w:t>
            </w:r>
          </w:p>
        </w:tc>
        <w:tc>
          <w:tcPr>
            <w:tcW w:w="4394" w:type="dxa"/>
          </w:tcPr>
          <w:p>
            <w:pPr>
              <w:pStyle w:val="yTableNAm"/>
            </w:pPr>
            <w:r>
              <w:t xml:space="preserve">For pen for recreational vessel, per m of the longer of the vessel’s length and the pen’s length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for 12 months paid in advance </w:t>
            </w:r>
          </w:p>
        </w:tc>
        <w:tc>
          <w:tcPr>
            <w:tcW w:w="992" w:type="dxa"/>
          </w:tcPr>
          <w:p>
            <w:pPr>
              <w:pStyle w:val="yTableNAm"/>
              <w:jc w:val="right"/>
            </w:pPr>
            <w:r>
              <w:t>389.54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38.95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58.43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week or more, per week, paid in advance</w:t>
            </w:r>
          </w:p>
        </w:tc>
        <w:tc>
          <w:tcPr>
            <w:tcW w:w="992" w:type="dxa"/>
          </w:tcPr>
          <w:p>
            <w:pPr>
              <w:pStyle w:val="yTableNAm"/>
              <w:jc w:val="right"/>
            </w:pPr>
            <w:r>
              <w:br/>
              <w:t>26.13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otherwise, per day</w:t>
            </w:r>
          </w:p>
        </w:tc>
        <w:tc>
          <w:tcPr>
            <w:tcW w:w="992" w:type="dxa"/>
          </w:tcPr>
          <w:p>
            <w:pPr>
              <w:pStyle w:val="yTableNAm"/>
              <w:jc w:val="right"/>
            </w:pPr>
            <w:r>
              <w:t>5.23</w:t>
            </w:r>
          </w:p>
        </w:tc>
      </w:tr>
      <w:tr>
        <w:trPr>
          <w:cantSplit/>
        </w:trPr>
        <w:tc>
          <w:tcPr>
            <w:tcW w:w="567" w:type="dxa"/>
          </w:tcPr>
          <w:p>
            <w:pPr>
              <w:pStyle w:val="yTableNAm"/>
            </w:pPr>
            <w:r>
              <w:t>3.</w:t>
            </w:r>
          </w:p>
        </w:tc>
        <w:tc>
          <w:tcPr>
            <w:tcW w:w="4394" w:type="dxa"/>
          </w:tcPr>
          <w:p>
            <w:pPr>
              <w:pStyle w:val="yTableNAm"/>
            </w:pPr>
            <w:r>
              <w:t xml:space="preserve">For pen, or berth at service jetty or old timber jetty, per m of the vessel’s length, per day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commercial vessel</w:t>
            </w:r>
          </w:p>
        </w:tc>
        <w:tc>
          <w:tcPr>
            <w:tcW w:w="992" w:type="dxa"/>
          </w:tcPr>
          <w:p>
            <w:pPr>
              <w:pStyle w:val="yTableNAm"/>
              <w:jc w:val="right"/>
            </w:pPr>
            <w:r>
              <w:t>8.12</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recreational vessel</w:t>
            </w:r>
          </w:p>
        </w:tc>
        <w:tc>
          <w:tcPr>
            <w:tcW w:w="992" w:type="dxa"/>
          </w:tcPr>
          <w:p>
            <w:pPr>
              <w:pStyle w:val="yTableNAm"/>
              <w:jc w:val="right"/>
            </w:pPr>
            <w:r>
              <w:t>5.23</w:t>
            </w:r>
          </w:p>
        </w:tc>
      </w:tr>
      <w:tr>
        <w:trPr>
          <w:cantSplit/>
        </w:trPr>
        <w:tc>
          <w:tcPr>
            <w:tcW w:w="567" w:type="dxa"/>
          </w:tcPr>
          <w:p>
            <w:pPr>
              <w:pStyle w:val="yTableNAm"/>
            </w:pPr>
            <w:r>
              <w:t>4.</w:t>
            </w:r>
          </w:p>
        </w:tc>
        <w:tc>
          <w:tcPr>
            <w:tcW w:w="4394" w:type="dxa"/>
          </w:tcPr>
          <w:p>
            <w:pPr>
              <w:pStyle w:val="yTableNAm"/>
            </w:pPr>
            <w:r>
              <w:t>For use of service jetty for short time just to load or unload vessel for which the item 1, 2 or 3 fee has not been paid, per m of the vessel’s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149.37</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per day</w:t>
            </w:r>
          </w:p>
        </w:tc>
        <w:tc>
          <w:tcPr>
            <w:tcW w:w="992" w:type="dxa"/>
            <w:tcBorders>
              <w:bottom w:val="single" w:sz="4" w:space="0" w:color="auto"/>
            </w:tcBorders>
          </w:tcPr>
          <w:p>
            <w:pPr>
              <w:pStyle w:val="yTableNAm"/>
              <w:jc w:val="right"/>
            </w:pPr>
            <w:r>
              <w:t>4.87</w:t>
            </w:r>
          </w:p>
        </w:tc>
      </w:tr>
    </w:tbl>
    <w:p>
      <w:pPr>
        <w:pStyle w:val="yFootnotesection"/>
      </w:pPr>
      <w:bookmarkStart w:id="696" w:name="_Toc346791073"/>
      <w:r>
        <w:tab/>
        <w:t>[Clause 1 inserted in Gazette 28 Jun 2013 p. 2832</w:t>
      </w:r>
      <w:r>
        <w:noBreakHyphen/>
        <w:t>3.]</w:t>
      </w:r>
    </w:p>
    <w:p>
      <w:pPr>
        <w:pStyle w:val="yHeading5"/>
      </w:pPr>
      <w:bookmarkStart w:id="697" w:name="_Toc360523343"/>
      <w:r>
        <w:rPr>
          <w:rStyle w:val="CharSClsNo"/>
        </w:rPr>
        <w:t>2</w:t>
      </w:r>
      <w:r>
        <w:t>.</w:t>
      </w:r>
      <w:r>
        <w:rPr>
          <w:b w:val="0"/>
        </w:rPr>
        <w:tab/>
      </w:r>
      <w:r>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96"/>
      <w:bookmarkEnd w:id="697"/>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2.1.</w:t>
      </w:r>
    </w:p>
    <w:p>
      <w:pPr>
        <w:pStyle w:val="yTHeadingNAm"/>
      </w:pPr>
      <w:r>
        <w:t>Table 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pen for commercial vessel 20 m or over, per m of the vessel’s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288.96</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28.89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43.34</w:t>
            </w:r>
          </w:p>
        </w:tc>
      </w:tr>
      <w:tr>
        <w:trPr>
          <w:cantSplit/>
        </w:trPr>
        <w:tc>
          <w:tcPr>
            <w:tcW w:w="567" w:type="dxa"/>
          </w:tcPr>
          <w:p>
            <w:pPr>
              <w:pStyle w:val="yTableNAm"/>
            </w:pPr>
            <w:r>
              <w:t>2.</w:t>
            </w:r>
          </w:p>
        </w:tc>
        <w:tc>
          <w:tcPr>
            <w:tcW w:w="4394" w:type="dxa"/>
          </w:tcPr>
          <w:p>
            <w:pPr>
              <w:pStyle w:val="yTableNAm"/>
            </w:pPr>
            <w:r>
              <w:t xml:space="preserve">For pen for commercial vessel not over 20 m, per m of the vessel’s length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243.54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24.34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36.53</w:t>
            </w:r>
          </w:p>
        </w:tc>
      </w:tr>
      <w:tr>
        <w:trPr>
          <w:cantSplit/>
        </w:trPr>
        <w:tc>
          <w:tcPr>
            <w:tcW w:w="567" w:type="dxa"/>
          </w:tcPr>
          <w:p>
            <w:pPr>
              <w:pStyle w:val="yTableNAm"/>
            </w:pPr>
            <w:r>
              <w:t>3.</w:t>
            </w:r>
          </w:p>
        </w:tc>
        <w:tc>
          <w:tcPr>
            <w:tcW w:w="4394" w:type="dxa"/>
          </w:tcPr>
          <w:p>
            <w:pPr>
              <w:pStyle w:val="yTableNAm"/>
            </w:pPr>
            <w:r>
              <w:t xml:space="preserve">For pen or berth for recreational vessel, per m of the vessel’s length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220.79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22.07</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33.12</w:t>
            </w:r>
          </w:p>
        </w:tc>
      </w:tr>
      <w:tr>
        <w:trPr>
          <w:cantSplit/>
        </w:trPr>
        <w:tc>
          <w:tcPr>
            <w:tcW w:w="567" w:type="dxa"/>
          </w:tcPr>
          <w:p>
            <w:pPr>
              <w:pStyle w:val="yTableNAm"/>
            </w:pPr>
            <w:r>
              <w:t>4.</w:t>
            </w:r>
          </w:p>
        </w:tc>
        <w:tc>
          <w:tcPr>
            <w:tcW w:w="4394" w:type="dxa"/>
          </w:tcPr>
          <w:p>
            <w:pPr>
              <w:pStyle w:val="yTableNAm"/>
            </w:pPr>
            <w:r>
              <w:t xml:space="preserve">For pen, or berth at service jetty, per m of the vessel’s length, per day — </w:t>
            </w:r>
          </w:p>
        </w:tc>
        <w:tc>
          <w:tcPr>
            <w:tcW w:w="992" w:type="dxa"/>
          </w:tcPr>
          <w:p>
            <w:pPr>
              <w:pStyle w:val="yTableNAm"/>
              <w:jc w:val="right"/>
            </w:pPr>
            <w:r>
              <w:br/>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commercial vessel</w:t>
            </w:r>
          </w:p>
        </w:tc>
        <w:tc>
          <w:tcPr>
            <w:tcW w:w="992" w:type="dxa"/>
          </w:tcPr>
          <w:p>
            <w:pPr>
              <w:pStyle w:val="yTableNAm"/>
              <w:jc w:val="right"/>
            </w:pPr>
            <w:r>
              <w:t>8.12</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recreational vessel</w:t>
            </w:r>
          </w:p>
        </w:tc>
        <w:tc>
          <w:tcPr>
            <w:tcW w:w="992" w:type="dxa"/>
          </w:tcPr>
          <w:p>
            <w:pPr>
              <w:pStyle w:val="yTableNAm"/>
              <w:jc w:val="right"/>
            </w:pPr>
            <w:r>
              <w:t>5.23</w:t>
            </w:r>
          </w:p>
        </w:tc>
      </w:tr>
      <w:tr>
        <w:trPr>
          <w:cantSplit/>
        </w:trPr>
        <w:tc>
          <w:tcPr>
            <w:tcW w:w="567" w:type="dxa"/>
          </w:tcPr>
          <w:p>
            <w:pPr>
              <w:pStyle w:val="yTableNAm"/>
            </w:pPr>
            <w:r>
              <w:t>5.</w:t>
            </w:r>
          </w:p>
        </w:tc>
        <w:tc>
          <w:tcPr>
            <w:tcW w:w="4394" w:type="dxa"/>
          </w:tcPr>
          <w:p>
            <w:pPr>
              <w:pStyle w:val="yTableNAm"/>
            </w:pPr>
            <w:r>
              <w:t>For use of service jetty for short time just to load or unload vessel for which the item 1, 2, 3 or 4 fee has not been paid, per m of the vessel’s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149.37</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per day</w:t>
            </w:r>
          </w:p>
        </w:tc>
        <w:tc>
          <w:tcPr>
            <w:tcW w:w="992" w:type="dxa"/>
          </w:tcPr>
          <w:p>
            <w:pPr>
              <w:pStyle w:val="yTableNAm"/>
              <w:jc w:val="right"/>
            </w:pPr>
            <w:r>
              <w:t>4.87</w:t>
            </w:r>
          </w:p>
        </w:tc>
      </w:tr>
      <w:tr>
        <w:trPr>
          <w:cantSplit/>
        </w:trPr>
        <w:tc>
          <w:tcPr>
            <w:tcW w:w="567" w:type="dxa"/>
          </w:tcPr>
          <w:p>
            <w:pPr>
              <w:pStyle w:val="yTableNAm"/>
              <w:keepNext/>
            </w:pPr>
            <w:r>
              <w:t>6.</w:t>
            </w:r>
          </w:p>
        </w:tc>
        <w:tc>
          <w:tcPr>
            <w:tcW w:w="4394" w:type="dxa"/>
          </w:tcPr>
          <w:p>
            <w:pPr>
              <w:pStyle w:val="yTableNAm"/>
              <w:keepNext/>
            </w:pPr>
            <w:r>
              <w:t>For electricity supply, 3</w:t>
            </w:r>
            <w:r>
              <w:noBreakHyphen/>
              <w:t xml:space="preserve">phase per day — </w:t>
            </w:r>
          </w:p>
        </w:tc>
        <w:tc>
          <w:tcPr>
            <w:tcW w:w="992" w:type="dxa"/>
          </w:tcPr>
          <w:p>
            <w:pPr>
              <w:pStyle w:val="yTableNAm"/>
              <w:keepNext/>
              <w:jc w:val="right"/>
            </w:pPr>
          </w:p>
        </w:tc>
      </w:tr>
      <w:tr>
        <w:trPr>
          <w:cantSplit/>
        </w:trPr>
        <w:tc>
          <w:tcPr>
            <w:tcW w:w="567" w:type="dxa"/>
          </w:tcPr>
          <w:p>
            <w:pPr>
              <w:pStyle w:val="yTableNAm"/>
              <w:keepNext/>
            </w:pPr>
          </w:p>
        </w:tc>
        <w:tc>
          <w:tcPr>
            <w:tcW w:w="4394" w:type="dxa"/>
          </w:tcPr>
          <w:p>
            <w:pPr>
              <w:pStyle w:val="yTableNAm"/>
              <w:keepNext/>
              <w:tabs>
                <w:tab w:val="clear" w:pos="567"/>
                <w:tab w:val="left" w:pos="415"/>
              </w:tabs>
              <w:ind w:left="415" w:hanging="415"/>
            </w:pPr>
            <w:r>
              <w:t>•</w:t>
            </w:r>
            <w:r>
              <w:tab/>
              <w:t>if metering indicates usage of more than $37.35 in a day</w:t>
            </w:r>
          </w:p>
        </w:tc>
        <w:tc>
          <w:tcPr>
            <w:tcW w:w="992" w:type="dxa"/>
          </w:tcPr>
          <w:p>
            <w:pPr>
              <w:pStyle w:val="yTableNAm"/>
              <w:keepNext/>
              <w:jc w:val="right"/>
            </w:pPr>
            <w:r>
              <w:br/>
              <w:t>cost</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otherwise, per day</w:t>
            </w:r>
          </w:p>
        </w:tc>
        <w:tc>
          <w:tcPr>
            <w:tcW w:w="992" w:type="dxa"/>
            <w:tcBorders>
              <w:bottom w:val="single" w:sz="4" w:space="0" w:color="auto"/>
            </w:tcBorders>
          </w:tcPr>
          <w:p>
            <w:pPr>
              <w:pStyle w:val="yTableNAm"/>
              <w:jc w:val="right"/>
            </w:pPr>
            <w:r>
              <w:t>37.35</w:t>
            </w:r>
          </w:p>
        </w:tc>
      </w:tr>
    </w:tbl>
    <w:p>
      <w:pPr>
        <w:pStyle w:val="yFootnotesection"/>
      </w:pPr>
      <w:bookmarkStart w:id="698" w:name="_Toc346791074"/>
      <w:r>
        <w:tab/>
        <w:t>[Clause 2 inserted in Gazette 28 Jun 2013 p. 2833</w:t>
      </w:r>
      <w:r>
        <w:noBreakHyphen/>
        <w:t>5.]</w:t>
      </w:r>
    </w:p>
    <w:p>
      <w:pPr>
        <w:pStyle w:val="yHeading5"/>
      </w:pPr>
      <w:bookmarkStart w:id="699" w:name="_Toc360523344"/>
      <w:r>
        <w:rPr>
          <w:rStyle w:val="CharSClsNo"/>
        </w:rPr>
        <w:t>3</w:t>
      </w:r>
      <w:r>
        <w:t>.</w:t>
      </w:r>
      <w:r>
        <w:rPr>
          <w:b w:val="0"/>
        </w:rPr>
        <w:tab/>
      </w:r>
      <w:smartTag w:uri="urn:schemas-microsoft-com:office:smarttags" w:element="place">
        <w:smartTag w:uri="urn:schemas-microsoft-com:office:smarttags" w:element="City">
          <w:r>
            <w:t>Augusta</w:t>
          </w:r>
        </w:smartTag>
      </w:smartTag>
      <w:bookmarkEnd w:id="698"/>
      <w:bookmarkEnd w:id="699"/>
    </w:p>
    <w:p>
      <w:pPr>
        <w:pStyle w:val="ySubsection"/>
      </w:pPr>
      <w:r>
        <w:tab/>
        <w:t>(1)</w:t>
      </w:r>
      <w:r>
        <w:tab/>
        <w:t xml:space="preserve">This clause applies to </w:t>
      </w:r>
      <w:smartTag w:uri="urn:schemas-microsoft-com:office:smarttags" w:element="place">
        <w:smartTag w:uri="urn:schemas-microsoft-com:office:smarttags" w:element="City">
          <w:r>
            <w:t>Augusta</w:t>
          </w:r>
        </w:smartTag>
      </w:smartTag>
      <w:r>
        <w:t>.</w:t>
      </w:r>
    </w:p>
    <w:p>
      <w:pPr>
        <w:pStyle w:val="ySubsection"/>
      </w:pPr>
      <w:r>
        <w:tab/>
        <w:t>(2)</w:t>
      </w:r>
      <w:r>
        <w:tab/>
        <w:t>The fees and charges to be paid under regulations 6 and 94A are set out in Table 3.1.</w:t>
      </w:r>
    </w:p>
    <w:p>
      <w:pPr>
        <w:pStyle w:val="yTHeadingNAm"/>
      </w:pPr>
      <w:r>
        <w:t>Table 3.1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For shared use of service jetty by vessel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760.69</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otherwise, per m of the vessel’s length, per day</w:t>
            </w:r>
          </w:p>
        </w:tc>
        <w:tc>
          <w:tcPr>
            <w:tcW w:w="992" w:type="dxa"/>
            <w:tcBorders>
              <w:bottom w:val="single" w:sz="4" w:space="0" w:color="auto"/>
            </w:tcBorders>
          </w:tcPr>
          <w:p>
            <w:pPr>
              <w:pStyle w:val="yTableNAm"/>
              <w:jc w:val="right"/>
            </w:pPr>
            <w:r>
              <w:br/>
              <w:t>4.55</w:t>
            </w:r>
          </w:p>
        </w:tc>
      </w:tr>
    </w:tbl>
    <w:p>
      <w:pPr>
        <w:pStyle w:val="yFootnotesection"/>
      </w:pPr>
      <w:bookmarkStart w:id="700" w:name="_Toc346791075"/>
      <w:r>
        <w:tab/>
        <w:t>[Clause 3 inserted in Gazette 28 Jun 2013 p. 2835.]</w:t>
      </w:r>
    </w:p>
    <w:p>
      <w:pPr>
        <w:pStyle w:val="yHeading5"/>
      </w:pPr>
      <w:bookmarkStart w:id="701" w:name="_Toc360523345"/>
      <w:r>
        <w:rPr>
          <w:rStyle w:val="CharSClsNo"/>
        </w:rPr>
        <w:t>4</w:t>
      </w:r>
      <w:r>
        <w:t>.</w:t>
      </w:r>
      <w:r>
        <w:rPr>
          <w:b w:val="0"/>
        </w:rPr>
        <w:tab/>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bookmarkEnd w:id="700"/>
      <w:bookmarkEnd w:id="701"/>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charges and dues to be paid under regulation 10A are set out in Table 4.1.</w:t>
      </w:r>
    </w:p>
    <w:p>
      <w:pPr>
        <w:pStyle w:val="yTHeadingNAm"/>
      </w:pPr>
      <w:r>
        <w:t>Table 4.1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 per tonne</w:t>
            </w:r>
          </w:p>
        </w:tc>
      </w:tr>
      <w:tr>
        <w:trPr>
          <w:cantSplit/>
        </w:trPr>
        <w:tc>
          <w:tcPr>
            <w:tcW w:w="567" w:type="dxa"/>
            <w:tcBorders>
              <w:bottom w:val="single" w:sz="4" w:space="0" w:color="auto"/>
            </w:tcBorders>
          </w:tcPr>
          <w:p>
            <w:pPr>
              <w:pStyle w:val="yTableNAm"/>
            </w:pPr>
            <w:r>
              <w:t>1.</w:t>
            </w:r>
          </w:p>
        </w:tc>
        <w:tc>
          <w:tcPr>
            <w:tcW w:w="4394" w:type="dxa"/>
            <w:tcBorders>
              <w:bottom w:val="single" w:sz="4" w:space="0" w:color="auto"/>
            </w:tcBorders>
          </w:tcPr>
          <w:p>
            <w:pPr>
              <w:pStyle w:val="yTableNAm"/>
            </w:pPr>
            <w:r>
              <w:t>General cargo other than fishing products and fishing bait, per t or m</w:t>
            </w:r>
            <w:r>
              <w:rPr>
                <w:vertAlign w:val="superscript"/>
              </w:rPr>
              <w:t>3</w:t>
            </w:r>
          </w:p>
        </w:tc>
        <w:tc>
          <w:tcPr>
            <w:tcW w:w="992" w:type="dxa"/>
            <w:tcBorders>
              <w:bottom w:val="single" w:sz="4" w:space="0" w:color="auto"/>
            </w:tcBorders>
          </w:tcPr>
          <w:p>
            <w:pPr>
              <w:pStyle w:val="yTableNAm"/>
              <w:jc w:val="right"/>
            </w:pPr>
            <w:r>
              <w:br/>
              <w:t>31.52</w:t>
            </w:r>
          </w:p>
        </w:tc>
      </w:tr>
    </w:tbl>
    <w:p>
      <w:pPr>
        <w:pStyle w:val="ySubsection"/>
      </w:pPr>
      <w:r>
        <w:tab/>
        <w:t>(3)</w:t>
      </w:r>
      <w:r>
        <w:tab/>
        <w:t>The fees to be paid under regulation 6 are set out in Table 4.2.</w:t>
      </w:r>
    </w:p>
    <w:p>
      <w:pPr>
        <w:pStyle w:val="yTHeadingNAm"/>
      </w:pPr>
      <w:r>
        <w:t>Table 4.2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For use of service jetty by vessel for which annual fee under </w:t>
            </w:r>
            <w:r>
              <w:rPr>
                <w:i/>
              </w:rPr>
              <w:t>Shipping and Pilotage (Mooring Control Areas) Regulations 1983</w:t>
            </w:r>
            <w:r>
              <w:t xml:space="preserve"> has not been paid, per m of the vessel’s length, per day</w:t>
            </w:r>
          </w:p>
        </w:tc>
        <w:tc>
          <w:tcPr>
            <w:tcW w:w="992" w:type="dxa"/>
          </w:tcPr>
          <w:p>
            <w:pPr>
              <w:pStyle w:val="yTableNAm"/>
              <w:jc w:val="right"/>
            </w:pPr>
            <w:r>
              <w:br/>
            </w:r>
            <w:r>
              <w:br/>
            </w:r>
            <w:r>
              <w:br/>
            </w:r>
            <w:r>
              <w:br/>
              <w:t>7.87</w:t>
            </w:r>
          </w:p>
        </w:tc>
      </w:tr>
      <w:tr>
        <w:trPr>
          <w:cantSplit/>
        </w:trPr>
        <w:tc>
          <w:tcPr>
            <w:tcW w:w="567" w:type="dxa"/>
            <w:tcBorders>
              <w:bottom w:val="single" w:sz="4" w:space="0" w:color="auto"/>
            </w:tcBorders>
          </w:tcPr>
          <w:p>
            <w:pPr>
              <w:pStyle w:val="yTableNAm"/>
            </w:pPr>
            <w:r>
              <w:t>2.</w:t>
            </w:r>
          </w:p>
        </w:tc>
        <w:tc>
          <w:tcPr>
            <w:tcW w:w="4394" w:type="dxa"/>
            <w:tcBorders>
              <w:bottom w:val="single" w:sz="4" w:space="0" w:color="auto"/>
            </w:tcBorders>
          </w:tcPr>
          <w:p>
            <w:pPr>
              <w:pStyle w:val="yTableNAm"/>
            </w:pPr>
            <w:r>
              <w:t>For water supply at service jetty if metering indicates usage of more than $7.87 in a day</w:t>
            </w:r>
          </w:p>
        </w:tc>
        <w:tc>
          <w:tcPr>
            <w:tcW w:w="992" w:type="dxa"/>
            <w:tcBorders>
              <w:bottom w:val="single" w:sz="4" w:space="0" w:color="auto"/>
            </w:tcBorders>
          </w:tcPr>
          <w:p>
            <w:pPr>
              <w:pStyle w:val="yTableNAm"/>
              <w:jc w:val="right"/>
            </w:pPr>
            <w:r>
              <w:br/>
              <w:t>cost</w:t>
            </w:r>
          </w:p>
        </w:tc>
      </w:tr>
    </w:tbl>
    <w:p>
      <w:pPr>
        <w:pStyle w:val="yFootnotesection"/>
      </w:pPr>
      <w:bookmarkStart w:id="702" w:name="_Toc346791076"/>
      <w:r>
        <w:tab/>
        <w:t>[Clause 4 inserted in Gazette 28 Jun 2013 p. 2835</w:t>
      </w:r>
      <w:r>
        <w:noBreakHyphen/>
        <w:t>6.]</w:t>
      </w:r>
    </w:p>
    <w:p>
      <w:pPr>
        <w:pStyle w:val="yHeading5"/>
      </w:pPr>
      <w:bookmarkStart w:id="703" w:name="_Toc360523346"/>
      <w:r>
        <w:rPr>
          <w:rStyle w:val="CharSClsNo"/>
        </w:rPr>
        <w:t>5</w:t>
      </w:r>
      <w:r>
        <w:t>.</w:t>
      </w:r>
      <w:r>
        <w:rPr>
          <w:b w:val="0"/>
        </w:rPr>
        <w:tab/>
      </w:r>
      <w:r>
        <w:t xml:space="preserve">Bunbury,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02"/>
      <w:bookmarkEnd w:id="703"/>
    </w:p>
    <w:p>
      <w:pPr>
        <w:pStyle w:val="ySubsection"/>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THeadingNAm"/>
      </w:pPr>
      <w:r>
        <w:t>Table 5.1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252"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252" w:type="dxa"/>
          </w:tcPr>
          <w:p>
            <w:pPr>
              <w:pStyle w:val="yTableNAm"/>
            </w:pPr>
            <w:r>
              <w:t xml:space="preserve">For pen, per m of the longer of the vessel’s length and the chargeable length for the pen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months paid in advance</w:t>
            </w:r>
          </w:p>
        </w:tc>
        <w:tc>
          <w:tcPr>
            <w:tcW w:w="1134" w:type="dxa"/>
          </w:tcPr>
          <w:p>
            <w:pPr>
              <w:pStyle w:val="yTableNAm"/>
              <w:jc w:val="right"/>
            </w:pPr>
            <w:r>
              <w:t>321.34</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3 months or more, per month, paid in advance</w:t>
            </w:r>
          </w:p>
        </w:tc>
        <w:tc>
          <w:tcPr>
            <w:tcW w:w="1134" w:type="dxa"/>
          </w:tcPr>
          <w:p>
            <w:pPr>
              <w:pStyle w:val="yTableNAm"/>
              <w:jc w:val="right"/>
            </w:pPr>
            <w:r>
              <w:br/>
              <w:t>32.13</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month or more, per month, paid in advance</w:t>
            </w:r>
          </w:p>
        </w:tc>
        <w:tc>
          <w:tcPr>
            <w:tcW w:w="1134" w:type="dxa"/>
          </w:tcPr>
          <w:p>
            <w:pPr>
              <w:pStyle w:val="yTableNAm"/>
              <w:jc w:val="right"/>
            </w:pPr>
            <w:r>
              <w:br/>
              <w:t>48.20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week or more, per week, paid in advance</w:t>
            </w:r>
          </w:p>
        </w:tc>
        <w:tc>
          <w:tcPr>
            <w:tcW w:w="1134" w:type="dxa"/>
          </w:tcPr>
          <w:p>
            <w:pPr>
              <w:pStyle w:val="yTableNAm"/>
              <w:jc w:val="right"/>
            </w:pPr>
            <w:r>
              <w:br/>
              <w:t>24.14</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otherwise, per day</w:t>
            </w:r>
          </w:p>
        </w:tc>
        <w:tc>
          <w:tcPr>
            <w:tcW w:w="1134" w:type="dxa"/>
          </w:tcPr>
          <w:p>
            <w:pPr>
              <w:pStyle w:val="yTableNAm"/>
              <w:jc w:val="right"/>
            </w:pPr>
            <w:r>
              <w:t>4.82</w:t>
            </w:r>
          </w:p>
        </w:tc>
      </w:tr>
      <w:tr>
        <w:trPr>
          <w:cantSplit/>
        </w:trPr>
        <w:tc>
          <w:tcPr>
            <w:tcW w:w="567" w:type="dxa"/>
          </w:tcPr>
          <w:p>
            <w:pPr>
              <w:pStyle w:val="yTableNAm"/>
            </w:pPr>
            <w:r>
              <w:t>2.</w:t>
            </w:r>
          </w:p>
        </w:tc>
        <w:tc>
          <w:tcPr>
            <w:tcW w:w="4252" w:type="dxa"/>
          </w:tcPr>
          <w:p>
            <w:pPr>
              <w:pStyle w:val="yTableNAm"/>
            </w:pPr>
            <w:r>
              <w:t>For berth on jetty, per m of the vessel’s length</w:t>
            </w:r>
          </w:p>
        </w:tc>
        <w:tc>
          <w:tcPr>
            <w:tcW w:w="1134" w:type="dxa"/>
          </w:tcPr>
          <w:p>
            <w:pPr>
              <w:pStyle w:val="yTableNAm"/>
              <w:jc w:val="center"/>
            </w:pPr>
            <w:r>
              <w:t>Item 1 fee</w:t>
            </w:r>
          </w:p>
        </w:tc>
      </w:tr>
      <w:tr>
        <w:trPr>
          <w:cantSplit/>
        </w:trPr>
        <w:tc>
          <w:tcPr>
            <w:tcW w:w="567" w:type="dxa"/>
            <w:tcBorders>
              <w:bottom w:val="single" w:sz="4" w:space="0" w:color="auto"/>
            </w:tcBorders>
          </w:tcPr>
          <w:p>
            <w:pPr>
              <w:pStyle w:val="yTableNAm"/>
            </w:pPr>
            <w:r>
              <w:t>3.</w:t>
            </w:r>
          </w:p>
        </w:tc>
        <w:tc>
          <w:tcPr>
            <w:tcW w:w="4252" w:type="dxa"/>
            <w:tcBorders>
              <w:bottom w:val="single" w:sz="4" w:space="0" w:color="auto"/>
            </w:tcBorders>
          </w:tcPr>
          <w:p>
            <w:pPr>
              <w:pStyle w:val="yTableNAm"/>
            </w:pPr>
            <w:r>
              <w:t>For living on board a vessel, per vessel, per month</w:t>
            </w:r>
          </w:p>
        </w:tc>
        <w:tc>
          <w:tcPr>
            <w:tcW w:w="1134" w:type="dxa"/>
            <w:tcBorders>
              <w:bottom w:val="single" w:sz="4" w:space="0" w:color="auto"/>
            </w:tcBorders>
          </w:tcPr>
          <w:p>
            <w:pPr>
              <w:pStyle w:val="yTableNAm"/>
              <w:jc w:val="right"/>
            </w:pPr>
            <w:r>
              <w:br/>
              <w:t>42.99</w:t>
            </w:r>
          </w:p>
        </w:tc>
      </w:tr>
    </w:tbl>
    <w:p>
      <w:pPr>
        <w:pStyle w:val="ySubsection"/>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THeadingNAm"/>
      </w:pPr>
      <w:r>
        <w:t>Table 5.2 (Slip charges)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252"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252" w:type="dxa"/>
          </w:tcPr>
          <w:p>
            <w:pPr>
              <w:pStyle w:val="yTableNAm"/>
            </w:pPr>
            <w:r>
              <w:t xml:space="preserve">For use of slip per day, during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1 April to 31 August</w:t>
            </w:r>
          </w:p>
        </w:tc>
        <w:tc>
          <w:tcPr>
            <w:tcW w:w="1134" w:type="dxa"/>
          </w:tcPr>
          <w:p>
            <w:pPr>
              <w:pStyle w:val="yTableNAm"/>
              <w:jc w:val="right"/>
            </w:pPr>
            <w:r>
              <w:t>67.47</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1 September to 31 March</w:t>
            </w:r>
          </w:p>
        </w:tc>
        <w:tc>
          <w:tcPr>
            <w:tcW w:w="1134" w:type="dxa"/>
          </w:tcPr>
          <w:p>
            <w:pPr>
              <w:pStyle w:val="yTableNAm"/>
              <w:jc w:val="right"/>
            </w:pPr>
            <w:r>
              <w:t>134.98</w:t>
            </w:r>
          </w:p>
        </w:tc>
      </w:tr>
      <w:tr>
        <w:trPr>
          <w:cantSplit/>
        </w:trPr>
        <w:tc>
          <w:tcPr>
            <w:tcW w:w="567" w:type="dxa"/>
          </w:tcPr>
          <w:p>
            <w:pPr>
              <w:pStyle w:val="yTableNAm"/>
            </w:pPr>
            <w:r>
              <w:t>2.</w:t>
            </w:r>
          </w:p>
        </w:tc>
        <w:tc>
          <w:tcPr>
            <w:tcW w:w="4252" w:type="dxa"/>
          </w:tcPr>
          <w:p>
            <w:pPr>
              <w:pStyle w:val="yTableNAm"/>
            </w:pPr>
            <w:r>
              <w:t xml:space="preserve">For haulage up and down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 xml:space="preserve">for a vessel for which fees under the </w:t>
            </w:r>
            <w:r>
              <w:rPr>
                <w:i/>
              </w:rPr>
              <w:t>Shipping and Pilotage (Mooring Control Areas) Regulations 1983</w:t>
            </w:r>
            <w:r>
              <w:t>, or the annual fee in item 1 of Table 5.1, have been paid</w:t>
            </w:r>
          </w:p>
        </w:tc>
        <w:tc>
          <w:tcPr>
            <w:tcW w:w="1134" w:type="dxa"/>
            <w:vAlign w:val="bottom"/>
          </w:tcPr>
          <w:p>
            <w:pPr>
              <w:pStyle w:val="yTableNAm"/>
              <w:jc w:val="right"/>
            </w:pPr>
            <w:r>
              <w:t>229.53</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any other vessel</w:t>
            </w:r>
          </w:p>
        </w:tc>
        <w:tc>
          <w:tcPr>
            <w:tcW w:w="1134" w:type="dxa"/>
          </w:tcPr>
          <w:p>
            <w:pPr>
              <w:pStyle w:val="yTableNAm"/>
              <w:jc w:val="right"/>
            </w:pPr>
            <w:r>
              <w:t>267.79</w:t>
            </w:r>
          </w:p>
        </w:tc>
      </w:tr>
      <w:tr>
        <w:trPr>
          <w:cantSplit/>
        </w:trPr>
        <w:tc>
          <w:tcPr>
            <w:tcW w:w="567" w:type="dxa"/>
          </w:tcPr>
          <w:p>
            <w:pPr>
              <w:pStyle w:val="yTableNAm"/>
            </w:pPr>
            <w:r>
              <w:t>3.</w:t>
            </w:r>
          </w:p>
        </w:tc>
        <w:tc>
          <w:tcPr>
            <w:tcW w:w="4252" w:type="dxa"/>
          </w:tcPr>
          <w:p>
            <w:pPr>
              <w:pStyle w:val="yTableNAm"/>
            </w:pPr>
            <w:r>
              <w:t xml:space="preserve">For using the Department’s land immediately adjacent to the slip for maintenance or storage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the first 30 days, per day</w:t>
            </w:r>
          </w:p>
        </w:tc>
        <w:tc>
          <w:tcPr>
            <w:tcW w:w="1134" w:type="dxa"/>
          </w:tcPr>
          <w:p>
            <w:pPr>
              <w:pStyle w:val="yTableNAm"/>
              <w:jc w:val="right"/>
            </w:pPr>
            <w:r>
              <w:t>9.63</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after the first 30 days, per day</w:t>
            </w:r>
          </w:p>
        </w:tc>
        <w:tc>
          <w:tcPr>
            <w:tcW w:w="1134" w:type="dxa"/>
          </w:tcPr>
          <w:p>
            <w:pPr>
              <w:pStyle w:val="yTableNAm"/>
              <w:jc w:val="right"/>
            </w:pPr>
            <w:r>
              <w:t>40.16</w:t>
            </w:r>
          </w:p>
        </w:tc>
      </w:tr>
      <w:tr>
        <w:trPr>
          <w:cantSplit/>
        </w:trPr>
        <w:tc>
          <w:tcPr>
            <w:tcW w:w="567" w:type="dxa"/>
          </w:tcPr>
          <w:p>
            <w:pPr>
              <w:pStyle w:val="yTableNAm"/>
            </w:pPr>
            <w:r>
              <w:t>4.</w:t>
            </w:r>
          </w:p>
        </w:tc>
        <w:tc>
          <w:tcPr>
            <w:tcW w:w="4252" w:type="dxa"/>
          </w:tcPr>
          <w:p>
            <w:pPr>
              <w:pStyle w:val="yTableNAm"/>
            </w:pPr>
            <w:r>
              <w:t xml:space="preserve">For using the Department’s land in the harbour not immediately adjacent to the slip for maintenance or storage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the first 90 days, per day</w:t>
            </w:r>
          </w:p>
        </w:tc>
        <w:tc>
          <w:tcPr>
            <w:tcW w:w="1134" w:type="dxa"/>
          </w:tcPr>
          <w:p>
            <w:pPr>
              <w:pStyle w:val="yTableNAm"/>
              <w:jc w:val="right"/>
            </w:pPr>
            <w:r>
              <w:t>9.63</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after the first 90 days, per day</w:t>
            </w:r>
          </w:p>
        </w:tc>
        <w:tc>
          <w:tcPr>
            <w:tcW w:w="1134" w:type="dxa"/>
          </w:tcPr>
          <w:p>
            <w:pPr>
              <w:pStyle w:val="yTableNAm"/>
              <w:jc w:val="right"/>
            </w:pPr>
            <w:r>
              <w:t>40.16</w:t>
            </w:r>
          </w:p>
        </w:tc>
      </w:tr>
      <w:tr>
        <w:trPr>
          <w:cantSplit/>
        </w:trPr>
        <w:tc>
          <w:tcPr>
            <w:tcW w:w="567" w:type="dxa"/>
          </w:tcPr>
          <w:p>
            <w:pPr>
              <w:pStyle w:val="yTableNAm"/>
            </w:pPr>
            <w:r>
              <w:t>5.</w:t>
            </w:r>
          </w:p>
        </w:tc>
        <w:tc>
          <w:tcPr>
            <w:tcW w:w="4252" w:type="dxa"/>
          </w:tcPr>
          <w:p>
            <w:pPr>
              <w:pStyle w:val="yTableNAm"/>
            </w:pPr>
            <w:r>
              <w:t>For water supply, if metered, per day</w:t>
            </w:r>
          </w:p>
        </w:tc>
        <w:tc>
          <w:tcPr>
            <w:tcW w:w="1134" w:type="dxa"/>
          </w:tcPr>
          <w:p>
            <w:pPr>
              <w:pStyle w:val="yTableNAm"/>
              <w:jc w:val="right"/>
            </w:pPr>
            <w:r>
              <w:t>cost</w:t>
            </w:r>
          </w:p>
        </w:tc>
      </w:tr>
      <w:tr>
        <w:trPr>
          <w:cantSplit/>
        </w:trPr>
        <w:tc>
          <w:tcPr>
            <w:tcW w:w="567" w:type="dxa"/>
            <w:tcBorders>
              <w:bottom w:val="single" w:sz="4" w:space="0" w:color="auto"/>
            </w:tcBorders>
          </w:tcPr>
          <w:p>
            <w:pPr>
              <w:pStyle w:val="yTableNAm"/>
            </w:pPr>
            <w:r>
              <w:t>6.</w:t>
            </w:r>
          </w:p>
        </w:tc>
        <w:tc>
          <w:tcPr>
            <w:tcW w:w="4252" w:type="dxa"/>
            <w:tcBorders>
              <w:bottom w:val="single" w:sz="4" w:space="0" w:color="auto"/>
            </w:tcBorders>
          </w:tcPr>
          <w:p>
            <w:pPr>
              <w:pStyle w:val="yTableNAm"/>
            </w:pPr>
            <w:r>
              <w:t>For electricity supply, if metered, per day</w:t>
            </w:r>
          </w:p>
        </w:tc>
        <w:tc>
          <w:tcPr>
            <w:tcW w:w="1134" w:type="dxa"/>
            <w:tcBorders>
              <w:bottom w:val="single" w:sz="4" w:space="0" w:color="auto"/>
            </w:tcBorders>
          </w:tcPr>
          <w:p>
            <w:pPr>
              <w:pStyle w:val="yTableNAm"/>
              <w:jc w:val="right"/>
            </w:pPr>
            <w:r>
              <w:t>cost</w:t>
            </w:r>
          </w:p>
        </w:tc>
      </w:tr>
    </w:tbl>
    <w:p>
      <w:pPr>
        <w:pStyle w:val="yFootnotesection"/>
      </w:pPr>
      <w:bookmarkStart w:id="704" w:name="_Toc346791077"/>
      <w:r>
        <w:tab/>
        <w:t>[Clause 5 inserted in Gazette 28 Jun 2013 p. 2836</w:t>
      </w:r>
      <w:r>
        <w:noBreakHyphen/>
        <w:t>8.]</w:t>
      </w:r>
    </w:p>
    <w:p>
      <w:pPr>
        <w:pStyle w:val="yHeading5"/>
      </w:pPr>
      <w:bookmarkStart w:id="705" w:name="_Toc360523347"/>
      <w:r>
        <w:rPr>
          <w:rStyle w:val="CharSClsNo"/>
        </w:rPr>
        <w:t>6</w:t>
      </w:r>
      <w:r>
        <w:t>.</w:t>
      </w:r>
      <w:r>
        <w:rPr>
          <w:b w:val="0"/>
        </w:rP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04"/>
      <w:bookmarkEnd w:id="705"/>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THeadingNAm"/>
      </w:pPr>
      <w:r>
        <w:t>Table 6.1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1" w:type="dxa"/>
            <w:tcBorders>
              <w:top w:val="single" w:sz="4" w:space="0" w:color="auto"/>
              <w:bottom w:val="single" w:sz="4" w:space="0" w:color="auto"/>
            </w:tcBorders>
          </w:tcPr>
          <w:p>
            <w:pPr>
              <w:pStyle w:val="yTableNAm"/>
              <w:rPr>
                <w:b/>
              </w:rPr>
            </w:pPr>
            <w:r>
              <w:rPr>
                <w:b/>
              </w:rPr>
              <w:t>Service</w:t>
            </w:r>
          </w:p>
        </w:tc>
        <w:tc>
          <w:tcPr>
            <w:tcW w:w="995"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1" w:type="dxa"/>
          </w:tcPr>
          <w:p>
            <w:pPr>
              <w:pStyle w:val="yTableNAm"/>
            </w:pPr>
            <w:r>
              <w:t>For use by vessel of T</w:t>
            </w:r>
            <w:r>
              <w:noBreakHyphen/>
              <w:t>jetty, T</w:t>
            </w:r>
            <w:r>
              <w:noBreakHyphen/>
              <w:t>jetty pen and land</w:t>
            </w:r>
            <w:r>
              <w:noBreakHyphen/>
              <w:t xml:space="preserve">backed wharf, per m of the longer of the vessel’s length and the chargeable length for the pen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280.25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28.03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42.03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42.02</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8.39</w:t>
            </w:r>
          </w:p>
        </w:tc>
      </w:tr>
      <w:tr>
        <w:trPr>
          <w:cantSplit/>
        </w:trPr>
        <w:tc>
          <w:tcPr>
            <w:tcW w:w="567" w:type="dxa"/>
          </w:tcPr>
          <w:p>
            <w:pPr>
              <w:pStyle w:val="yTableNAm"/>
            </w:pPr>
            <w:r>
              <w:t>2.</w:t>
            </w:r>
          </w:p>
        </w:tc>
        <w:tc>
          <w:tcPr>
            <w:tcW w:w="4391" w:type="dxa"/>
          </w:tcPr>
          <w:p>
            <w:pPr>
              <w:pStyle w:val="yTableNAm"/>
            </w:pPr>
            <w:r>
              <w:t xml:space="preserve">For shared use by vessel of snapper jetty, attached partly serviced pen and low level landing, per m of the longer of the vessel’s length and the chargeable length for the pen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217.21</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21.70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32.58</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22.30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4.46</w:t>
            </w:r>
          </w:p>
        </w:tc>
      </w:tr>
      <w:tr>
        <w:trPr>
          <w:cantSplit/>
        </w:trPr>
        <w:tc>
          <w:tcPr>
            <w:tcW w:w="567" w:type="dxa"/>
          </w:tcPr>
          <w:p>
            <w:pPr>
              <w:pStyle w:val="yTableNAm"/>
            </w:pPr>
            <w:r>
              <w:t>3.</w:t>
            </w:r>
          </w:p>
        </w:tc>
        <w:tc>
          <w:tcPr>
            <w:tcW w:w="4391" w:type="dxa"/>
          </w:tcPr>
          <w:p>
            <w:pPr>
              <w:pStyle w:val="yTableNAm"/>
            </w:pPr>
            <w:r>
              <w:t>For use of pen not described in item 1 or 2 and of fuel berth for fuelling, per m of the longer of the vessel’s length and the chargeable length for the pen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238.13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23.82</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35.72</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22.30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4.46</w:t>
            </w:r>
          </w:p>
        </w:tc>
      </w:tr>
      <w:tr>
        <w:trPr>
          <w:cantSplit/>
        </w:trPr>
        <w:tc>
          <w:tcPr>
            <w:tcW w:w="567" w:type="dxa"/>
          </w:tcPr>
          <w:p>
            <w:pPr>
              <w:pStyle w:val="yTableNAm"/>
            </w:pPr>
            <w:r>
              <w:t>4.</w:t>
            </w:r>
          </w:p>
        </w:tc>
        <w:tc>
          <w:tcPr>
            <w:tcW w:w="4391" w:type="dxa"/>
          </w:tcPr>
          <w:p>
            <w:pPr>
              <w:pStyle w:val="yTableNAm"/>
            </w:pPr>
            <w:r>
              <w:t xml:space="preserve">For pile mooring,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132.77</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13.29</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19.92</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11.25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2.26</w:t>
            </w:r>
          </w:p>
        </w:tc>
      </w:tr>
      <w:tr>
        <w:trPr>
          <w:cantSplit/>
        </w:trPr>
        <w:tc>
          <w:tcPr>
            <w:tcW w:w="567" w:type="dxa"/>
          </w:tcPr>
          <w:p>
            <w:pPr>
              <w:pStyle w:val="yTableNAm"/>
            </w:pPr>
            <w:r>
              <w:t>5.</w:t>
            </w:r>
          </w:p>
        </w:tc>
        <w:tc>
          <w:tcPr>
            <w:tcW w:w="4391" w:type="dxa"/>
          </w:tcPr>
          <w:p>
            <w:pPr>
              <w:pStyle w:val="yTableNAm"/>
            </w:pPr>
            <w:r>
              <w:t>For living on board a vessel, per vessel, per month</w:t>
            </w:r>
          </w:p>
        </w:tc>
        <w:tc>
          <w:tcPr>
            <w:tcW w:w="995" w:type="dxa"/>
            <w:vAlign w:val="bottom"/>
          </w:tcPr>
          <w:p>
            <w:pPr>
              <w:pStyle w:val="yTableNAm"/>
              <w:jc w:val="right"/>
            </w:pPr>
            <w:r>
              <w:t>42.99</w:t>
            </w:r>
          </w:p>
        </w:tc>
      </w:tr>
      <w:tr>
        <w:trPr>
          <w:cantSplit/>
        </w:trPr>
        <w:tc>
          <w:tcPr>
            <w:tcW w:w="567" w:type="dxa"/>
          </w:tcPr>
          <w:p>
            <w:pPr>
              <w:pStyle w:val="yTableNAm"/>
            </w:pPr>
            <w:r>
              <w:t>6.</w:t>
            </w:r>
          </w:p>
        </w:tc>
        <w:tc>
          <w:tcPr>
            <w:tcW w:w="4391" w:type="dxa"/>
          </w:tcPr>
          <w:p>
            <w:pPr>
              <w:pStyle w:val="yTableNAm"/>
            </w:pPr>
            <w:r>
              <w:t>For electricity supply, 3</w:t>
            </w:r>
            <w:r>
              <w:noBreakHyphen/>
              <w:t xml:space="preserve">phase per day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if metering indicates usage of more than $29.59 in a day</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29.59</w:t>
            </w:r>
          </w:p>
        </w:tc>
      </w:tr>
      <w:tr>
        <w:trPr>
          <w:cantSplit/>
        </w:trPr>
        <w:tc>
          <w:tcPr>
            <w:tcW w:w="567" w:type="dxa"/>
          </w:tcPr>
          <w:p>
            <w:pPr>
              <w:pStyle w:val="yTableNAm"/>
            </w:pPr>
            <w:r>
              <w:t>7.</w:t>
            </w:r>
          </w:p>
        </w:tc>
        <w:tc>
          <w:tcPr>
            <w:tcW w:w="4391" w:type="dxa"/>
          </w:tcPr>
          <w:p>
            <w:pPr>
              <w:pStyle w:val="yTableNAm"/>
            </w:pPr>
            <w:r>
              <w:t xml:space="preserve">For rubbish removal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excess quantity or from vessel not using harbour, minimum per half skip supplied and emptied</w:t>
            </w:r>
          </w:p>
        </w:tc>
        <w:tc>
          <w:tcPr>
            <w:tcW w:w="995" w:type="dxa"/>
            <w:vAlign w:val="bottom"/>
          </w:tcPr>
          <w:p>
            <w:pPr>
              <w:pStyle w:val="yTableNAm"/>
              <w:jc w:val="right"/>
            </w:pPr>
            <w:r>
              <w:b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waste oil from vessels in excess of 150 L</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waste oil drum not removed by owner, per 20 L drum</w:t>
            </w:r>
          </w:p>
        </w:tc>
        <w:tc>
          <w:tcPr>
            <w:tcW w:w="995" w:type="dxa"/>
            <w:vAlign w:val="bottom"/>
          </w:tcPr>
          <w:p>
            <w:pPr>
              <w:pStyle w:val="yTableNAm"/>
              <w:jc w:val="right"/>
            </w:pPr>
            <w:r>
              <w:br/>
              <w:t>cost</w:t>
            </w:r>
          </w:p>
        </w:tc>
      </w:tr>
      <w:tr>
        <w:trPr>
          <w:cantSplit/>
        </w:trPr>
        <w:tc>
          <w:tcPr>
            <w:tcW w:w="567" w:type="dxa"/>
            <w:tcBorders>
              <w:bottom w:val="single" w:sz="4" w:space="0" w:color="auto"/>
            </w:tcBorders>
          </w:tcPr>
          <w:p>
            <w:pPr>
              <w:pStyle w:val="yTableNAm"/>
            </w:pPr>
          </w:p>
        </w:tc>
        <w:tc>
          <w:tcPr>
            <w:tcW w:w="4391"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5" w:type="dxa"/>
            <w:tcBorders>
              <w:bottom w:val="single" w:sz="4" w:space="0" w:color="auto"/>
            </w:tcBorders>
            <w:vAlign w:val="bottom"/>
          </w:tcPr>
          <w:p>
            <w:pPr>
              <w:pStyle w:val="yTableNAm"/>
              <w:jc w:val="right"/>
            </w:pPr>
            <w:r>
              <w:t>cost</w:t>
            </w:r>
          </w:p>
        </w:tc>
      </w:tr>
    </w:tbl>
    <w:p>
      <w:pPr>
        <w:pStyle w:val="yFootnotesection"/>
      </w:pPr>
      <w:bookmarkStart w:id="706" w:name="_Toc346791078"/>
      <w:r>
        <w:tab/>
        <w:t>[Clause 6 inserted in Gazette 28 Jun 2013 p. 2838</w:t>
      </w:r>
      <w:r>
        <w:noBreakHyphen/>
        <w:t>41.]</w:t>
      </w:r>
    </w:p>
    <w:p>
      <w:pPr>
        <w:pStyle w:val="yHeading5"/>
      </w:pPr>
      <w:bookmarkStart w:id="707" w:name="_Toc360523348"/>
      <w:r>
        <w:rPr>
          <w:rStyle w:val="CharSClsNo"/>
        </w:rPr>
        <w:t>7</w:t>
      </w:r>
      <w:r>
        <w:t>.</w:t>
      </w:r>
      <w:r>
        <w:rPr>
          <w:b w:val="0"/>
        </w:rPr>
        <w:tab/>
      </w:r>
      <w:r>
        <w:t>Cervantes</w:t>
      </w:r>
      <w:bookmarkEnd w:id="706"/>
      <w:bookmarkEnd w:id="707"/>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THeadingNAm"/>
      </w:pPr>
      <w:r>
        <w:t>Table 7.1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use of service jetty for short time just to load or unload vessel, per vessel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pPr>
            <w:r>
              <w:t>3 124.96</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paid in advance</w:t>
            </w:r>
          </w:p>
        </w:tc>
        <w:tc>
          <w:tcPr>
            <w:tcW w:w="992" w:type="dxa"/>
            <w:vAlign w:val="bottom"/>
          </w:tcPr>
          <w:p>
            <w:pPr>
              <w:pStyle w:val="yTableNAm"/>
              <w:jc w:val="right"/>
            </w:pPr>
            <w:r>
              <w:t>749.99</w:t>
            </w:r>
          </w:p>
        </w:tc>
      </w:tr>
      <w:tr>
        <w:trPr>
          <w:cantSplit/>
        </w:trPr>
        <w:tc>
          <w:tcPr>
            <w:tcW w:w="567" w:type="dxa"/>
          </w:tcPr>
          <w:p>
            <w:pPr>
              <w:pStyle w:val="yTableNAm"/>
            </w:pPr>
            <w:r>
              <w:t>2.</w:t>
            </w:r>
          </w:p>
        </w:tc>
        <w:tc>
          <w:tcPr>
            <w:tcW w:w="4394" w:type="dxa"/>
          </w:tcPr>
          <w:p>
            <w:pPr>
              <w:pStyle w:val="yTableNAm"/>
            </w:pPr>
            <w:r>
              <w:t>For use of service jetty by vessel, per vessel per day</w:t>
            </w:r>
          </w:p>
        </w:tc>
        <w:tc>
          <w:tcPr>
            <w:tcW w:w="992" w:type="dxa"/>
            <w:vAlign w:val="bottom"/>
          </w:tcPr>
          <w:p>
            <w:pPr>
              <w:pStyle w:val="yTableNAm"/>
              <w:jc w:val="right"/>
            </w:pPr>
            <w:r>
              <w:t>112.50</w:t>
            </w:r>
          </w:p>
        </w:tc>
      </w:tr>
      <w:tr>
        <w:trPr>
          <w:cantSplit/>
        </w:trPr>
        <w:tc>
          <w:tcPr>
            <w:tcW w:w="567" w:type="dxa"/>
            <w:tcBorders>
              <w:bottom w:val="single" w:sz="4" w:space="0" w:color="auto"/>
            </w:tcBorders>
          </w:tcPr>
          <w:p>
            <w:pPr>
              <w:pStyle w:val="yTableNAm"/>
            </w:pPr>
            <w:r>
              <w:t>3.</w:t>
            </w:r>
          </w:p>
        </w:tc>
        <w:tc>
          <w:tcPr>
            <w:tcW w:w="4394" w:type="dxa"/>
            <w:tcBorders>
              <w:bottom w:val="single" w:sz="4" w:space="0" w:color="auto"/>
            </w:tcBorders>
          </w:tcPr>
          <w:p>
            <w:pPr>
              <w:pStyle w:val="yTableNAm"/>
            </w:pPr>
            <w:r>
              <w:t>For vehicular use of service jetty and land adjacent to it by a business (company or registered business name) to load or unload vessels, for 12 months paid in advance, per business</w:t>
            </w:r>
          </w:p>
        </w:tc>
        <w:tc>
          <w:tcPr>
            <w:tcW w:w="992" w:type="dxa"/>
            <w:tcBorders>
              <w:bottom w:val="single" w:sz="4" w:space="0" w:color="auto"/>
            </w:tcBorders>
            <w:vAlign w:val="bottom"/>
          </w:tcPr>
          <w:p>
            <w:pPr>
              <w:pStyle w:val="yTableNAm"/>
              <w:jc w:val="right"/>
            </w:pPr>
            <w:r>
              <w:t>4 374.95</w:t>
            </w:r>
          </w:p>
        </w:tc>
      </w:tr>
    </w:tbl>
    <w:p>
      <w:pPr>
        <w:pStyle w:val="yFootnotesection"/>
      </w:pPr>
      <w:bookmarkStart w:id="708" w:name="_Toc346791079"/>
      <w:r>
        <w:tab/>
        <w:t>[Clause 7 inserted in Gazette 28 Jun 2013 p. 2841</w:t>
      </w:r>
      <w:r>
        <w:noBreakHyphen/>
        <w:t>2.]</w:t>
      </w:r>
    </w:p>
    <w:p>
      <w:pPr>
        <w:pStyle w:val="yHeading5"/>
      </w:pPr>
      <w:bookmarkStart w:id="709" w:name="_Toc360523349"/>
      <w:r>
        <w:rPr>
          <w:rStyle w:val="CharSClsNo"/>
        </w:rPr>
        <w:t>8</w:t>
      </w:r>
      <w:r>
        <w:t>.</w:t>
      </w:r>
      <w:r>
        <w:tab/>
      </w:r>
      <w:smartTag w:uri="urn:schemas-microsoft-com:office:smarttags" w:element="place">
        <w:smartTag w:uri="urn:schemas-microsoft-com:office:smarttags" w:element="PlaceName">
          <w:r>
            <w:rPr>
              <w:rStyle w:val="CharSClsNo"/>
            </w:rPr>
            <w:t>Coral</w:t>
          </w:r>
        </w:smartTag>
        <w:r>
          <w:t xml:space="preserve"> </w:t>
        </w:r>
        <w:smartTag w:uri="urn:schemas-microsoft-com:office:smarttags" w:element="PlaceType">
          <w:r>
            <w:t>Bay</w:t>
          </w:r>
        </w:smartTag>
      </w:smartTag>
      <w:r>
        <w:t xml:space="preserve"> Maritime Facility</w:t>
      </w:r>
      <w:bookmarkEnd w:id="708"/>
      <w:bookmarkEnd w:id="709"/>
    </w:p>
    <w:p>
      <w:pPr>
        <w:pStyle w:val="ySubsection"/>
      </w:pPr>
      <w:r>
        <w:tab/>
        <w:t>(1)</w:t>
      </w:r>
      <w:r>
        <w:tab/>
        <w:t>This clause applies to the Coral Bay Maritime Facility.</w:t>
      </w:r>
    </w:p>
    <w:p>
      <w:pPr>
        <w:pStyle w:val="ySubsection"/>
      </w:pPr>
      <w:r>
        <w:tab/>
        <w:t>(2)</w:t>
      </w:r>
      <w:r>
        <w:tab/>
        <w:t xml:space="preserve">In this clause a reference to an </w:t>
      </w:r>
      <w:r>
        <w:rPr>
          <w:rStyle w:val="CharDefText"/>
        </w:rPr>
        <w:t>E Class operator</w:t>
      </w:r>
      <w:r>
        <w:t xml:space="preserve"> or a </w:t>
      </w:r>
      <w:r>
        <w:rPr>
          <w:rStyle w:val="CharDefText"/>
        </w:rPr>
        <w:t>T Class operator</w:t>
      </w:r>
      <w:r>
        <w:t xml:space="preserve"> is a reference to an operator who is the holder of either an E Class licence or a T Class licence issued for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Subsection"/>
      </w:pPr>
      <w:r>
        <w:tab/>
        <w:t>(3)</w:t>
      </w:r>
      <w:r>
        <w:tab/>
        <w:t>The fees and charges to be paid under regulations 94A and 94C are set out in Table 8.1.</w:t>
      </w:r>
    </w:p>
    <w:p>
      <w:pPr>
        <w:pStyle w:val="yTHeadingNAm"/>
      </w:pPr>
      <w:r>
        <w:t>Table 8.1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6"/>
        <w:gridCol w:w="993"/>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3" w:type="dxa"/>
            <w:gridSpan w:val="2"/>
            <w:tcBorders>
              <w:top w:val="single" w:sz="4" w:space="0" w:color="auto"/>
              <w:bottom w:val="single" w:sz="4" w:space="0" w:color="auto"/>
            </w:tcBorders>
          </w:tcPr>
          <w:p>
            <w:pPr>
              <w:pStyle w:val="yTableNAm"/>
              <w:rPr>
                <w:b/>
              </w:rPr>
            </w:pPr>
            <w:r>
              <w:rPr>
                <w:b/>
              </w:rPr>
              <w:t>Service</w:t>
            </w:r>
          </w:p>
        </w:tc>
        <w:tc>
          <w:tcPr>
            <w:tcW w:w="993"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keepNext/>
            </w:pPr>
            <w:r>
              <w:t>1.</w:t>
            </w:r>
          </w:p>
        </w:tc>
        <w:tc>
          <w:tcPr>
            <w:tcW w:w="4387" w:type="dxa"/>
          </w:tcPr>
          <w:p>
            <w:pPr>
              <w:pStyle w:val="yTableNAm"/>
              <w:keepNext/>
              <w:rPr>
                <w:rStyle w:val="DraftersNotes"/>
              </w:rPr>
            </w:pPr>
            <w:r>
              <w:t>E Class operators — for use of service jetty, low level landing, transfer moorings and tender pontoon for short time to load or unload passengers and equipment from vessel, per vessel —</w:t>
            </w:r>
          </w:p>
        </w:tc>
        <w:tc>
          <w:tcPr>
            <w:tcW w:w="999" w:type="dxa"/>
            <w:gridSpan w:val="2"/>
          </w:tcPr>
          <w:p>
            <w:pPr>
              <w:pStyle w:val="yTableNAm"/>
              <w:keepNext/>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2 343.72</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one month paid in advance</w:t>
            </w:r>
          </w:p>
        </w:tc>
        <w:tc>
          <w:tcPr>
            <w:tcW w:w="999" w:type="dxa"/>
            <w:gridSpan w:val="2"/>
          </w:tcPr>
          <w:p>
            <w:pPr>
              <w:pStyle w:val="yTableNAm"/>
              <w:jc w:val="right"/>
            </w:pPr>
            <w:r>
              <w:t>562.49</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otherwise, per day</w:t>
            </w:r>
          </w:p>
        </w:tc>
        <w:tc>
          <w:tcPr>
            <w:tcW w:w="999" w:type="dxa"/>
            <w:gridSpan w:val="2"/>
          </w:tcPr>
          <w:p>
            <w:pPr>
              <w:pStyle w:val="yTableNAm"/>
              <w:jc w:val="right"/>
            </w:pPr>
            <w:r>
              <w:t>84.38</w:t>
            </w:r>
          </w:p>
        </w:tc>
      </w:tr>
      <w:tr>
        <w:trPr>
          <w:cantSplit/>
        </w:trPr>
        <w:tc>
          <w:tcPr>
            <w:tcW w:w="567" w:type="dxa"/>
          </w:tcPr>
          <w:p>
            <w:pPr>
              <w:pStyle w:val="yTableNAm"/>
            </w:pPr>
            <w:r>
              <w:t>2.</w:t>
            </w:r>
          </w:p>
        </w:tc>
        <w:tc>
          <w:tcPr>
            <w:tcW w:w="4387" w:type="dxa"/>
          </w:tcPr>
          <w:p>
            <w:pPr>
              <w:pStyle w:val="yTableNAm"/>
            </w:pPr>
            <w:r>
              <w:t>T Class operators — for use of boat ramp, low level landing and transfer moorings for short time (all subject to availability) to load or unload passengers and equipment from vessel, per vessel —</w:t>
            </w:r>
          </w:p>
        </w:tc>
        <w:tc>
          <w:tcPr>
            <w:tcW w:w="999" w:type="dxa"/>
            <w:gridSpan w:val="2"/>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2 343.72</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one month paid in advance</w:t>
            </w:r>
          </w:p>
        </w:tc>
        <w:tc>
          <w:tcPr>
            <w:tcW w:w="999" w:type="dxa"/>
            <w:gridSpan w:val="2"/>
          </w:tcPr>
          <w:p>
            <w:pPr>
              <w:pStyle w:val="yTableNAm"/>
              <w:jc w:val="right"/>
            </w:pPr>
            <w:r>
              <w:t>562.49</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otherwise, per day</w:t>
            </w:r>
          </w:p>
        </w:tc>
        <w:tc>
          <w:tcPr>
            <w:tcW w:w="999" w:type="dxa"/>
            <w:gridSpan w:val="2"/>
          </w:tcPr>
          <w:p>
            <w:pPr>
              <w:pStyle w:val="yTableNAm"/>
              <w:jc w:val="right"/>
            </w:pPr>
            <w:r>
              <w:t>84.38</w:t>
            </w:r>
          </w:p>
        </w:tc>
      </w:tr>
      <w:tr>
        <w:trPr>
          <w:cantSplit/>
        </w:trPr>
        <w:tc>
          <w:tcPr>
            <w:tcW w:w="567" w:type="dxa"/>
          </w:tcPr>
          <w:p>
            <w:pPr>
              <w:pStyle w:val="yTableNAm"/>
            </w:pPr>
            <w:r>
              <w:t>3.</w:t>
            </w:r>
          </w:p>
        </w:tc>
        <w:tc>
          <w:tcPr>
            <w:tcW w:w="4387" w:type="dxa"/>
          </w:tcPr>
          <w:p>
            <w:pPr>
              <w:pStyle w:val="yTableNAm"/>
            </w:pPr>
            <w:r>
              <w:t>Fishing vessels and other vessels — for use of service jetty, transfer moorings and tender moorings for short time (all subject to availability) to load or unload, per vessel —</w:t>
            </w:r>
          </w:p>
        </w:tc>
        <w:tc>
          <w:tcPr>
            <w:tcW w:w="999" w:type="dxa"/>
            <w:gridSpan w:val="2"/>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2 343.72</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one month paid in advance</w:t>
            </w:r>
          </w:p>
        </w:tc>
        <w:tc>
          <w:tcPr>
            <w:tcW w:w="999" w:type="dxa"/>
            <w:gridSpan w:val="2"/>
          </w:tcPr>
          <w:p>
            <w:pPr>
              <w:pStyle w:val="yTableNAm"/>
              <w:jc w:val="right"/>
            </w:pPr>
            <w:r>
              <w:t>562.49</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otherwise, per day</w:t>
            </w:r>
          </w:p>
        </w:tc>
        <w:tc>
          <w:tcPr>
            <w:tcW w:w="999" w:type="dxa"/>
            <w:gridSpan w:val="2"/>
          </w:tcPr>
          <w:p>
            <w:pPr>
              <w:pStyle w:val="yTableNAm"/>
              <w:jc w:val="right"/>
            </w:pPr>
            <w:r>
              <w:t>84.38</w:t>
            </w:r>
          </w:p>
        </w:tc>
      </w:tr>
      <w:tr>
        <w:trPr>
          <w:cantSplit/>
        </w:trPr>
        <w:tc>
          <w:tcPr>
            <w:tcW w:w="567" w:type="dxa"/>
          </w:tcPr>
          <w:p>
            <w:pPr>
              <w:pStyle w:val="yTableNAm"/>
            </w:pPr>
            <w:r>
              <w:t>4.</w:t>
            </w:r>
          </w:p>
        </w:tc>
        <w:tc>
          <w:tcPr>
            <w:tcW w:w="4387" w:type="dxa"/>
          </w:tcPr>
          <w:p>
            <w:pPr>
              <w:pStyle w:val="yTableNAm"/>
            </w:pPr>
            <w:r>
              <w:t xml:space="preserve">For use of floating pen, per vessel — </w:t>
            </w:r>
          </w:p>
          <w:p>
            <w:pPr>
              <w:pStyle w:val="NotesPerm"/>
              <w:tabs>
                <w:tab w:val="clear" w:pos="879"/>
                <w:tab w:val="left" w:pos="653"/>
              </w:tabs>
              <w:ind w:left="653" w:hanging="653"/>
            </w:pPr>
            <w:r>
              <w:t>Note:</w:t>
            </w:r>
            <w:r>
              <w:tab/>
              <w:t>includes, if vessel is a tender vessel for E Class operator, use of service jetty, low level landing, transfer moorings and tender pontoon for short time to load or unload passengers and equipment from E Class operator’s vessel</w:t>
            </w:r>
          </w:p>
        </w:tc>
        <w:tc>
          <w:tcPr>
            <w:tcW w:w="999" w:type="dxa"/>
            <w:gridSpan w:val="2"/>
            <w:vAlign w:val="bottom"/>
          </w:tcPr>
          <w:p>
            <w:pPr>
              <w:pStyle w:val="yTableNAm"/>
              <w:jc w:val="right"/>
            </w:pPr>
            <w:r>
              <w:br/>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2 500.00</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otherwise, per day</w:t>
            </w:r>
          </w:p>
        </w:tc>
        <w:tc>
          <w:tcPr>
            <w:tcW w:w="999" w:type="dxa"/>
            <w:gridSpan w:val="2"/>
          </w:tcPr>
          <w:p>
            <w:pPr>
              <w:pStyle w:val="yTableNAm"/>
              <w:jc w:val="right"/>
            </w:pPr>
            <w:r>
              <w:t>50.00</w:t>
            </w:r>
          </w:p>
        </w:tc>
      </w:tr>
    </w:tbl>
    <w:p>
      <w:pPr>
        <w:pStyle w:val="yFootnotesection"/>
      </w:pPr>
      <w:bookmarkStart w:id="710" w:name="_Toc346791080"/>
      <w:r>
        <w:tab/>
        <w:t>[Clause 8 inserted in Gazette 28 Jun 2013 p. 2842</w:t>
      </w:r>
      <w:r>
        <w:noBreakHyphen/>
        <w:t>3.]</w:t>
      </w:r>
    </w:p>
    <w:p>
      <w:pPr>
        <w:pStyle w:val="yHeading5"/>
      </w:pPr>
      <w:bookmarkStart w:id="711" w:name="_Toc360523350"/>
      <w:r>
        <w:rPr>
          <w:rStyle w:val="CharSClsNo"/>
        </w:rPr>
        <w:t>9</w:t>
      </w:r>
      <w:r>
        <w:t>.</w:t>
      </w:r>
      <w:r>
        <w:rPr>
          <w:b w:val="0"/>
        </w:rPr>
        <w:tab/>
      </w:r>
      <w:r>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710"/>
      <w:bookmarkEnd w:id="711"/>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fees and charges to be paid under regulations 6 and 94A are set out in Table 9.1.</w:t>
      </w:r>
    </w:p>
    <w:p>
      <w:pPr>
        <w:pStyle w:val="yTHeadingNAm"/>
      </w:pPr>
      <w:r>
        <w:t>Table 9.1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1" w:type="dxa"/>
            <w:tcBorders>
              <w:top w:val="single" w:sz="4" w:space="0" w:color="auto"/>
              <w:bottom w:val="single" w:sz="4" w:space="0" w:color="auto"/>
            </w:tcBorders>
          </w:tcPr>
          <w:p>
            <w:pPr>
              <w:pStyle w:val="yTableNAm"/>
              <w:rPr>
                <w:b/>
              </w:rPr>
            </w:pPr>
            <w:r>
              <w:rPr>
                <w:b/>
              </w:rPr>
              <w:t>Service</w:t>
            </w:r>
          </w:p>
        </w:tc>
        <w:tc>
          <w:tcPr>
            <w:tcW w:w="995"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1" w:type="dxa"/>
          </w:tcPr>
          <w:p>
            <w:pPr>
              <w:pStyle w:val="yTableNAm"/>
            </w:pPr>
            <w:r>
              <w:t xml:space="preserve">For pen on east side of harbour,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285.73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28.56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42.86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8.12</w:t>
            </w:r>
          </w:p>
        </w:tc>
      </w:tr>
      <w:tr>
        <w:trPr>
          <w:cantSplit/>
        </w:trPr>
        <w:tc>
          <w:tcPr>
            <w:tcW w:w="567" w:type="dxa"/>
          </w:tcPr>
          <w:p>
            <w:pPr>
              <w:pStyle w:val="yTableNAm"/>
            </w:pPr>
            <w:r>
              <w:t>2.</w:t>
            </w:r>
          </w:p>
        </w:tc>
        <w:tc>
          <w:tcPr>
            <w:tcW w:w="4391" w:type="dxa"/>
          </w:tcPr>
          <w:p>
            <w:pPr>
              <w:pStyle w:val="yTableNAm"/>
            </w:pPr>
            <w:r>
              <w:t xml:space="preserve">For pen on west side of harbour for commercial vessel,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228.91</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22.89</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34.33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40.57</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8.12</w:t>
            </w:r>
          </w:p>
        </w:tc>
      </w:tr>
      <w:tr>
        <w:trPr>
          <w:cantSplit/>
        </w:trPr>
        <w:tc>
          <w:tcPr>
            <w:tcW w:w="567" w:type="dxa"/>
          </w:tcPr>
          <w:p>
            <w:pPr>
              <w:pStyle w:val="yTableNAm"/>
            </w:pPr>
            <w:r>
              <w:t>3.</w:t>
            </w:r>
          </w:p>
        </w:tc>
        <w:tc>
          <w:tcPr>
            <w:tcW w:w="4391" w:type="dxa"/>
          </w:tcPr>
          <w:p>
            <w:pPr>
              <w:pStyle w:val="yTableNAm"/>
            </w:pPr>
            <w:r>
              <w:t xml:space="preserve">For pen on west side of harbour for recreational vessel,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199.68</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19.96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29.95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24.34</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4.87</w:t>
            </w:r>
          </w:p>
        </w:tc>
      </w:tr>
      <w:tr>
        <w:trPr>
          <w:cantSplit/>
        </w:trPr>
        <w:tc>
          <w:tcPr>
            <w:tcW w:w="567" w:type="dxa"/>
          </w:tcPr>
          <w:p>
            <w:pPr>
              <w:pStyle w:val="yTableNAm"/>
            </w:pPr>
            <w:r>
              <w:t>4.</w:t>
            </w:r>
          </w:p>
        </w:tc>
        <w:tc>
          <w:tcPr>
            <w:tcW w:w="4391" w:type="dxa"/>
          </w:tcPr>
          <w:p>
            <w:pPr>
              <w:pStyle w:val="yTableNAm"/>
            </w:pPr>
            <w:r>
              <w:t>For living on board a vessel, per vessel, per month</w:t>
            </w:r>
          </w:p>
        </w:tc>
        <w:tc>
          <w:tcPr>
            <w:tcW w:w="995" w:type="dxa"/>
            <w:vAlign w:val="bottom"/>
          </w:tcPr>
          <w:p>
            <w:pPr>
              <w:pStyle w:val="yTableNAm"/>
              <w:jc w:val="right"/>
            </w:pPr>
            <w:r>
              <w:t>42.99</w:t>
            </w:r>
          </w:p>
        </w:tc>
      </w:tr>
      <w:tr>
        <w:trPr>
          <w:cantSplit/>
        </w:trPr>
        <w:tc>
          <w:tcPr>
            <w:tcW w:w="567" w:type="dxa"/>
          </w:tcPr>
          <w:p>
            <w:pPr>
              <w:pStyle w:val="yTableNAm"/>
            </w:pPr>
            <w:r>
              <w:t>5.</w:t>
            </w:r>
          </w:p>
        </w:tc>
        <w:tc>
          <w:tcPr>
            <w:tcW w:w="4391" w:type="dxa"/>
          </w:tcPr>
          <w:p>
            <w:pPr>
              <w:pStyle w:val="yTableNAm"/>
            </w:pPr>
            <w:r>
              <w:t>For use of service jetty or wharf for less than 3 hours by vessel, per m of the vessel’s length</w:t>
            </w:r>
          </w:p>
        </w:tc>
        <w:tc>
          <w:tcPr>
            <w:tcW w:w="995" w:type="dxa"/>
            <w:vAlign w:val="bottom"/>
          </w:tcPr>
          <w:p>
            <w:pPr>
              <w:pStyle w:val="yTableNAm"/>
              <w:jc w:val="right"/>
            </w:pPr>
            <w:r>
              <w:t>4.07</w:t>
            </w:r>
          </w:p>
        </w:tc>
      </w:tr>
      <w:tr>
        <w:trPr>
          <w:cantSplit/>
        </w:trPr>
        <w:tc>
          <w:tcPr>
            <w:tcW w:w="567" w:type="dxa"/>
          </w:tcPr>
          <w:p>
            <w:pPr>
              <w:pStyle w:val="yTableNAm"/>
            </w:pPr>
            <w:r>
              <w:t>6.</w:t>
            </w:r>
          </w:p>
        </w:tc>
        <w:tc>
          <w:tcPr>
            <w:tcW w:w="4391" w:type="dxa"/>
          </w:tcPr>
          <w:p>
            <w:pPr>
              <w:pStyle w:val="yTableNAm"/>
            </w:pPr>
            <w:r>
              <w:t>For use of boat launching ramp by commercial vessel, per vessel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811.72</w:t>
            </w:r>
          </w:p>
        </w:tc>
      </w:tr>
      <w:tr>
        <w:trPr>
          <w:cantSplit/>
        </w:trPr>
        <w:tc>
          <w:tcPr>
            <w:tcW w:w="567" w:type="dxa"/>
          </w:tcPr>
          <w:p>
            <w:pPr>
              <w:pStyle w:val="yTableNAm"/>
            </w:pPr>
          </w:p>
        </w:tc>
        <w:tc>
          <w:tcPr>
            <w:tcW w:w="4391" w:type="dxa"/>
          </w:tcPr>
          <w:p>
            <w:pPr>
              <w:pStyle w:val="yTableNAm"/>
              <w:tabs>
                <w:tab w:val="clear" w:pos="567"/>
                <w:tab w:val="left" w:pos="415"/>
              </w:tabs>
              <w:ind w:left="415" w:hanging="415"/>
              <w:rPr>
                <w:b/>
                <w:i/>
              </w:rPr>
            </w:pPr>
            <w:r>
              <w:t>•</w:t>
            </w:r>
            <w:r>
              <w:tab/>
              <w:t>for one month paid in advance</w:t>
            </w:r>
          </w:p>
        </w:tc>
        <w:tc>
          <w:tcPr>
            <w:tcW w:w="995" w:type="dxa"/>
            <w:vAlign w:val="bottom"/>
          </w:tcPr>
          <w:p>
            <w:pPr>
              <w:pStyle w:val="yTableNAm"/>
              <w:jc w:val="right"/>
            </w:pPr>
            <w:r>
              <w:t>162.36</w:t>
            </w:r>
          </w:p>
        </w:tc>
      </w:tr>
      <w:tr>
        <w:trPr>
          <w:cantSplit/>
        </w:trPr>
        <w:tc>
          <w:tcPr>
            <w:tcW w:w="567" w:type="dxa"/>
          </w:tcPr>
          <w:p>
            <w:pPr>
              <w:pStyle w:val="yTableNAm"/>
            </w:pPr>
            <w:r>
              <w:t>7.</w:t>
            </w:r>
          </w:p>
        </w:tc>
        <w:tc>
          <w:tcPr>
            <w:tcW w:w="4391" w:type="dxa"/>
          </w:tcPr>
          <w:p>
            <w:pPr>
              <w:pStyle w:val="yTableNAm"/>
            </w:pPr>
            <w:r>
              <w:t>For use of jetty or hardstand controlled by Department to lift vessel to or from harbour, per lift</w:t>
            </w:r>
          </w:p>
        </w:tc>
        <w:tc>
          <w:tcPr>
            <w:tcW w:w="995" w:type="dxa"/>
            <w:vAlign w:val="bottom"/>
          </w:tcPr>
          <w:p>
            <w:pPr>
              <w:pStyle w:val="yTableNAm"/>
              <w:jc w:val="right"/>
            </w:pPr>
            <w:r>
              <w:t>243.54</w:t>
            </w:r>
          </w:p>
        </w:tc>
      </w:tr>
      <w:tr>
        <w:trPr>
          <w:cantSplit/>
        </w:trPr>
        <w:tc>
          <w:tcPr>
            <w:tcW w:w="567" w:type="dxa"/>
          </w:tcPr>
          <w:p>
            <w:pPr>
              <w:pStyle w:val="yTableNAm"/>
            </w:pPr>
            <w:r>
              <w:t>8.</w:t>
            </w:r>
          </w:p>
        </w:tc>
        <w:tc>
          <w:tcPr>
            <w:tcW w:w="4391" w:type="dxa"/>
          </w:tcPr>
          <w:p>
            <w:pPr>
              <w:pStyle w:val="yTableNAm"/>
            </w:pPr>
            <w:r>
              <w:t>For electricity supply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single phase, if metered</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3</w:t>
            </w:r>
            <w:r>
              <w:noBreakHyphen/>
              <w:t>phase, if metering indicates usage of more than $32.48 in a day</w:t>
            </w:r>
          </w:p>
        </w:tc>
        <w:tc>
          <w:tcPr>
            <w:tcW w:w="995"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1" w:type="dxa"/>
            <w:tcBorders>
              <w:bottom w:val="single" w:sz="4" w:space="0" w:color="auto"/>
            </w:tcBorders>
          </w:tcPr>
          <w:p>
            <w:pPr>
              <w:pStyle w:val="yTableNAm"/>
              <w:tabs>
                <w:tab w:val="clear" w:pos="567"/>
                <w:tab w:val="left" w:pos="415"/>
              </w:tabs>
              <w:ind w:left="415" w:hanging="415"/>
            </w:pPr>
            <w:r>
              <w:t>•</w:t>
            </w:r>
            <w:r>
              <w:tab/>
              <w:t>3</w:t>
            </w:r>
            <w:r>
              <w:noBreakHyphen/>
              <w:t>phase, otherwise, per day</w:t>
            </w:r>
          </w:p>
        </w:tc>
        <w:tc>
          <w:tcPr>
            <w:tcW w:w="995" w:type="dxa"/>
            <w:tcBorders>
              <w:bottom w:val="single" w:sz="4" w:space="0" w:color="auto"/>
            </w:tcBorders>
            <w:vAlign w:val="bottom"/>
          </w:tcPr>
          <w:p>
            <w:pPr>
              <w:pStyle w:val="yTableNAm"/>
              <w:jc w:val="right"/>
            </w:pPr>
            <w:r>
              <w:t>32.48</w:t>
            </w:r>
          </w:p>
        </w:tc>
      </w:tr>
    </w:tbl>
    <w:p>
      <w:pPr>
        <w:pStyle w:val="yFootnotesection"/>
      </w:pPr>
      <w:bookmarkStart w:id="712" w:name="_Toc346791081"/>
      <w:r>
        <w:tab/>
        <w:t>[Clause 9 inserted in Gazette 28 Jun 2013 p. 2843</w:t>
      </w:r>
      <w:r>
        <w:noBreakHyphen/>
        <w:t>5.]</w:t>
      </w:r>
    </w:p>
    <w:p>
      <w:pPr>
        <w:pStyle w:val="yHeading5"/>
      </w:pPr>
      <w:bookmarkStart w:id="713" w:name="_Toc360523351"/>
      <w:r>
        <w:rPr>
          <w:rStyle w:val="CharSClsNo"/>
        </w:rPr>
        <w:t>10</w:t>
      </w:r>
      <w:r>
        <w:t>.</w:t>
      </w:r>
      <w:r>
        <w:rPr>
          <w:b w:val="0"/>
        </w:rPr>
        <w:tab/>
      </w:r>
      <w:r>
        <w:t>Exmouth</w:t>
      </w:r>
      <w:bookmarkEnd w:id="712"/>
      <w:bookmarkEnd w:id="713"/>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charges and dues to be paid under regulation 10A are set out in Table 10.1.</w:t>
      </w:r>
    </w:p>
    <w:p>
      <w:pPr>
        <w:pStyle w:val="yTHeadingNAm"/>
      </w:pPr>
      <w:r>
        <w:t>Table 10.1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General cargo at the service wharf or an appurtenant area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if loaded from or into vessel, per t or m</w:t>
            </w:r>
            <w:r>
              <w:rPr>
                <w:vertAlign w:val="superscript"/>
              </w:rPr>
              <w:t>3</w:t>
            </w:r>
          </w:p>
        </w:tc>
        <w:tc>
          <w:tcPr>
            <w:tcW w:w="992" w:type="dxa"/>
          </w:tcPr>
          <w:p>
            <w:pPr>
              <w:pStyle w:val="yTableNAm"/>
              <w:jc w:val="right"/>
            </w:pPr>
            <w:r>
              <w:t>6.24</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if vessel is lifted, per m of vessel’s length</w:t>
            </w:r>
          </w:p>
        </w:tc>
        <w:tc>
          <w:tcPr>
            <w:tcW w:w="992" w:type="dxa"/>
            <w:tcBorders>
              <w:bottom w:val="single" w:sz="4" w:space="0" w:color="auto"/>
            </w:tcBorders>
          </w:tcPr>
          <w:p>
            <w:pPr>
              <w:pStyle w:val="yTableNAm"/>
              <w:jc w:val="right"/>
            </w:pPr>
            <w:r>
              <w:t>14.07</w:t>
            </w:r>
          </w:p>
        </w:tc>
      </w:tr>
    </w:tbl>
    <w:p>
      <w:pPr>
        <w:pStyle w:val="ySubsection"/>
      </w:pPr>
      <w:r>
        <w:tab/>
        <w:t>(4)</w:t>
      </w:r>
      <w:r>
        <w:tab/>
        <w:t>The fees and charges to be paid under regulations 6, 94A and 94B are set out in Table 10.2.</w:t>
      </w:r>
    </w:p>
    <w:p>
      <w:pPr>
        <w:pStyle w:val="yTHeadingNAm"/>
        <w:keepLines/>
        <w:widowControl w:val="0"/>
      </w:pPr>
      <w:bookmarkStart w:id="714" w:name="_Toc346791082"/>
      <w:r>
        <w:t>Table 10.2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0" w:type="dxa"/>
            <w:tcBorders>
              <w:top w:val="single" w:sz="4" w:space="0" w:color="auto"/>
              <w:bottom w:val="single" w:sz="4" w:space="0" w:color="auto"/>
            </w:tcBorders>
          </w:tcPr>
          <w:p>
            <w:pPr>
              <w:pStyle w:val="yTableNAm"/>
              <w:keepNext/>
              <w:keepLines/>
              <w:rPr>
                <w:b/>
              </w:rPr>
            </w:pPr>
            <w:r>
              <w:rPr>
                <w:b/>
              </w:rPr>
              <w:t>Service</w:t>
            </w:r>
          </w:p>
        </w:tc>
        <w:tc>
          <w:tcPr>
            <w:tcW w:w="996"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keepNext/>
              <w:keepLines/>
            </w:pPr>
            <w:r>
              <w:t>1.</w:t>
            </w:r>
          </w:p>
        </w:tc>
        <w:tc>
          <w:tcPr>
            <w:tcW w:w="4390" w:type="dxa"/>
          </w:tcPr>
          <w:p>
            <w:pPr>
              <w:pStyle w:val="yTableNAm"/>
              <w:keepNext/>
              <w:keepLines/>
            </w:pPr>
            <w:r>
              <w:t>For use, except in Pen System B, of either a non</w:t>
            </w:r>
            <w:r>
              <w:noBreakHyphen/>
              <w:t xml:space="preserve">floating pen with walkway or a floating pen by a recreational vessel, per m of the vessel’s length — </w:t>
            </w:r>
          </w:p>
        </w:tc>
        <w:tc>
          <w:tcPr>
            <w:tcW w:w="996" w:type="dxa"/>
            <w:vAlign w:val="bottom"/>
          </w:tcPr>
          <w:p>
            <w:pPr>
              <w:pStyle w:val="yTableNAm"/>
              <w:keepNext/>
              <w:keepLines/>
              <w:jc w:val="right"/>
            </w:pPr>
            <w:r>
              <w:br/>
            </w:r>
          </w:p>
        </w:tc>
      </w:tr>
      <w:tr>
        <w:trPr>
          <w:cantSplit/>
        </w:trPr>
        <w:tc>
          <w:tcPr>
            <w:tcW w:w="567" w:type="dxa"/>
          </w:tcPr>
          <w:p>
            <w:pPr>
              <w:pStyle w:val="yTableNAm"/>
            </w:pPr>
          </w:p>
        </w:tc>
        <w:tc>
          <w:tcPr>
            <w:tcW w:w="4390" w:type="dxa"/>
          </w:tcPr>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413.96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41.40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62.09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413.96</w:t>
            </w:r>
          </w:p>
        </w:tc>
      </w:tr>
      <w:tr>
        <w:trPr>
          <w:cantSplit/>
        </w:trPr>
        <w:tc>
          <w:tcPr>
            <w:tcW w:w="567" w:type="dxa"/>
          </w:tcPr>
          <w:p>
            <w:pPr>
              <w:pStyle w:val="yTableNAm"/>
            </w:pPr>
            <w:r>
              <w:t>2.</w:t>
            </w:r>
          </w:p>
        </w:tc>
        <w:tc>
          <w:tcPr>
            <w:tcW w:w="4390" w:type="dxa"/>
          </w:tcPr>
          <w:p>
            <w:pPr>
              <w:pStyle w:val="yTableNAm"/>
            </w:pPr>
            <w:r>
              <w:t>For use, except in Pen System B, of either a non</w:t>
            </w:r>
            <w:r>
              <w:noBreakHyphen/>
              <w:t xml:space="preserve">floating pen with walkway or a floating pen by a tourism vessel or fishing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477.30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47.73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71.59</w:t>
            </w:r>
          </w:p>
        </w:tc>
      </w:tr>
      <w:tr>
        <w:trPr>
          <w:cantSplit/>
        </w:trPr>
        <w:tc>
          <w:tcPr>
            <w:tcW w:w="567" w:type="dxa"/>
          </w:tcPr>
          <w:p>
            <w:pPr>
              <w:pStyle w:val="yTableNAm"/>
              <w:keepNext/>
            </w:pPr>
          </w:p>
        </w:tc>
        <w:tc>
          <w:tcPr>
            <w:tcW w:w="4390" w:type="dxa"/>
          </w:tcPr>
          <w:p>
            <w:pPr>
              <w:pStyle w:val="yTableNAm"/>
              <w:keepNext/>
              <w:tabs>
                <w:tab w:val="clear" w:pos="567"/>
                <w:tab w:val="left" w:pos="415"/>
              </w:tabs>
              <w:ind w:left="415" w:hanging="415"/>
            </w:pPr>
            <w:r>
              <w:t>•</w:t>
            </w:r>
            <w:r>
              <w:tab/>
              <w:t>for shared use for 12 months, paid in advance</w:t>
            </w:r>
          </w:p>
        </w:tc>
        <w:tc>
          <w:tcPr>
            <w:tcW w:w="996" w:type="dxa"/>
            <w:vAlign w:val="bottom"/>
          </w:tcPr>
          <w:p>
            <w:pPr>
              <w:pStyle w:val="yTableNAm"/>
              <w:keepNext/>
              <w:jc w:val="right"/>
            </w:pPr>
            <w:r>
              <w:t>477.30</w:t>
            </w:r>
          </w:p>
        </w:tc>
      </w:tr>
      <w:tr>
        <w:trPr>
          <w:cantSplit/>
        </w:trPr>
        <w:tc>
          <w:tcPr>
            <w:tcW w:w="567" w:type="dxa"/>
          </w:tcPr>
          <w:p>
            <w:pPr>
              <w:pStyle w:val="yTableNAm"/>
              <w:keepNext/>
            </w:pPr>
            <w:r>
              <w:t>3.</w:t>
            </w:r>
          </w:p>
        </w:tc>
        <w:tc>
          <w:tcPr>
            <w:tcW w:w="4390" w:type="dxa"/>
          </w:tcPr>
          <w:p>
            <w:pPr>
              <w:pStyle w:val="yTableNAm"/>
              <w:keepNext/>
            </w:pPr>
            <w:r>
              <w:t>For use, except in Pen System B, of either a non</w:t>
            </w:r>
            <w:r>
              <w:noBreakHyphen/>
              <w:t>floating pen with walkway or a floating pen by a service vessel, per m of the vessel’s length —</w:t>
            </w:r>
          </w:p>
        </w:tc>
        <w:tc>
          <w:tcPr>
            <w:tcW w:w="996" w:type="dxa"/>
            <w:vAlign w:val="bottom"/>
          </w:tcPr>
          <w:p>
            <w:pPr>
              <w:pStyle w:val="yTableNAm"/>
              <w:keepNext/>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523.20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52.31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78.49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523.20</w:t>
            </w:r>
          </w:p>
        </w:tc>
      </w:tr>
      <w:tr>
        <w:trPr>
          <w:cantSplit/>
        </w:trPr>
        <w:tc>
          <w:tcPr>
            <w:tcW w:w="567" w:type="dxa"/>
          </w:tcPr>
          <w:p>
            <w:pPr>
              <w:pStyle w:val="yTableNAm"/>
            </w:pPr>
            <w:r>
              <w:t>4.</w:t>
            </w:r>
          </w:p>
        </w:tc>
        <w:tc>
          <w:tcPr>
            <w:tcW w:w="4390" w:type="dxa"/>
          </w:tcPr>
          <w:p>
            <w:pPr>
              <w:pStyle w:val="yTableNAm"/>
            </w:pPr>
            <w:r>
              <w:t xml:space="preserve">For use of a pen with pile moorings by a recreational vessel, tourism vessel or fishing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332.79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33.28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49.92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39.36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7.87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332.79</w:t>
            </w:r>
          </w:p>
        </w:tc>
      </w:tr>
      <w:tr>
        <w:trPr>
          <w:cantSplit/>
        </w:trPr>
        <w:tc>
          <w:tcPr>
            <w:tcW w:w="567" w:type="dxa"/>
          </w:tcPr>
          <w:p>
            <w:pPr>
              <w:pStyle w:val="yTableNAm"/>
            </w:pPr>
            <w:r>
              <w:t>5.</w:t>
            </w:r>
          </w:p>
        </w:tc>
        <w:tc>
          <w:tcPr>
            <w:tcW w:w="4390" w:type="dxa"/>
          </w:tcPr>
          <w:p>
            <w:pPr>
              <w:pStyle w:val="yTableNAm"/>
            </w:pPr>
            <w:r>
              <w:t>For use of a pen with pile moorings by a service vessel, per m of the vessel’s length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364.79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36.48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54.72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43.16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8.63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364.79</w:t>
            </w:r>
          </w:p>
        </w:tc>
      </w:tr>
      <w:tr>
        <w:trPr>
          <w:cantSplit/>
        </w:trPr>
        <w:tc>
          <w:tcPr>
            <w:tcW w:w="567" w:type="dxa"/>
          </w:tcPr>
          <w:p>
            <w:pPr>
              <w:pStyle w:val="yTableNAm"/>
            </w:pPr>
            <w:r>
              <w:t>6.</w:t>
            </w:r>
          </w:p>
        </w:tc>
        <w:tc>
          <w:tcPr>
            <w:tcW w:w="4390" w:type="dxa"/>
          </w:tcPr>
          <w:p>
            <w:pPr>
              <w:pStyle w:val="yTableNAm"/>
            </w:pPr>
            <w:r>
              <w:t xml:space="preserve">For use, in Pen System B, of a floating pen by a recreational vessel 20 m long or under, per m of the pen’s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500.00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50.00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75.00</w:t>
            </w:r>
          </w:p>
        </w:tc>
      </w:tr>
      <w:tr>
        <w:trPr>
          <w:cantSplit/>
        </w:trPr>
        <w:tc>
          <w:tcPr>
            <w:tcW w:w="567" w:type="dxa"/>
          </w:tcPr>
          <w:p>
            <w:pPr>
              <w:pStyle w:val="yTableNAm"/>
            </w:pPr>
            <w:r>
              <w:t>7.</w:t>
            </w:r>
          </w:p>
        </w:tc>
        <w:tc>
          <w:tcPr>
            <w:tcW w:w="4390" w:type="dxa"/>
          </w:tcPr>
          <w:p>
            <w:pPr>
              <w:pStyle w:val="yTableNAm"/>
            </w:pPr>
            <w:r>
              <w:t xml:space="preserve">For use, in Pen System B, of a floating pen by a tourism vessel or fishing vessel, 20 m long or under, per m of the pen’s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650.00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65.00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97.49</w:t>
            </w:r>
          </w:p>
        </w:tc>
      </w:tr>
      <w:tr>
        <w:trPr>
          <w:cantSplit/>
        </w:trPr>
        <w:tc>
          <w:tcPr>
            <w:tcW w:w="567" w:type="dxa"/>
          </w:tcPr>
          <w:p>
            <w:pPr>
              <w:pStyle w:val="yTableNAm"/>
            </w:pPr>
            <w:r>
              <w:t>8.</w:t>
            </w:r>
          </w:p>
        </w:tc>
        <w:tc>
          <w:tcPr>
            <w:tcW w:w="4390" w:type="dxa"/>
          </w:tcPr>
          <w:p>
            <w:pPr>
              <w:pStyle w:val="yTableNAm"/>
            </w:pPr>
            <w:r>
              <w:t xml:space="preserve">For use, in Pen System B, of a floating pen by a service vessel, 20 m long or under, per m of the pen’s length — </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800.00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80.00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120.00</w:t>
            </w:r>
          </w:p>
        </w:tc>
      </w:tr>
      <w:tr>
        <w:trPr>
          <w:cantSplit/>
        </w:trPr>
        <w:tc>
          <w:tcPr>
            <w:tcW w:w="567" w:type="dxa"/>
          </w:tcPr>
          <w:p>
            <w:pPr>
              <w:pStyle w:val="yTableNAm"/>
            </w:pPr>
            <w:r>
              <w:t>9.</w:t>
            </w:r>
          </w:p>
        </w:tc>
        <w:tc>
          <w:tcPr>
            <w:tcW w:w="4390" w:type="dxa"/>
          </w:tcPr>
          <w:p>
            <w:pPr>
              <w:pStyle w:val="yTableNAm"/>
            </w:pPr>
            <w:r>
              <w:t xml:space="preserve">For use, in Pen System B, of a floating pen by a recreational vessel, tourism vessel, fishing vessel or service vessel, over 20 m long, per m of the pen’s length — </w:t>
            </w:r>
          </w:p>
          <w:p>
            <w:pPr>
              <w:pStyle w:val="NotesPerm"/>
              <w:tabs>
                <w:tab w:val="clear" w:pos="879"/>
                <w:tab w:val="left" w:pos="653"/>
              </w:tabs>
              <w:ind w:left="653" w:hanging="653"/>
            </w:pPr>
            <w:r>
              <w:t>Note:</w:t>
            </w:r>
            <w:r>
              <w:tab/>
              <w:t>includes (except for a vessel to which item 16 applies)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1 000.00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100.00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150.00</w:t>
            </w:r>
          </w:p>
        </w:tc>
      </w:tr>
      <w:tr>
        <w:trPr>
          <w:cantSplit/>
        </w:trPr>
        <w:tc>
          <w:tcPr>
            <w:tcW w:w="567" w:type="dxa"/>
          </w:tcPr>
          <w:p>
            <w:pPr>
              <w:pStyle w:val="yTableNAm"/>
            </w:pPr>
            <w:r>
              <w:t>10.</w:t>
            </w:r>
          </w:p>
        </w:tc>
        <w:tc>
          <w:tcPr>
            <w:tcW w:w="4390" w:type="dxa"/>
          </w:tcPr>
          <w:p>
            <w:pPr>
              <w:pStyle w:val="yTableNAm"/>
            </w:pPr>
            <w:r>
              <w:t>For use, in Pen System B, of an extra</w:t>
            </w:r>
            <w:r>
              <w:noBreakHyphen/>
              <w:t>wide floating pen by a vessel referred to in item 6, 7, 8 or 9: the relevant amount payable in that item plus 50% of that amount</w:t>
            </w:r>
          </w:p>
          <w:p>
            <w:pPr>
              <w:pStyle w:val="NotesPerm"/>
              <w:tabs>
                <w:tab w:val="clear" w:pos="879"/>
                <w:tab w:val="left" w:pos="653"/>
              </w:tabs>
              <w:ind w:left="653" w:hanging="653"/>
            </w:pPr>
            <w:r>
              <w:t>Note:</w:t>
            </w:r>
            <w:r>
              <w:tab/>
              <w:t>includes, if appropriate to the relevant item,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r>
              <w:t>11.</w:t>
            </w:r>
          </w:p>
        </w:tc>
        <w:tc>
          <w:tcPr>
            <w:tcW w:w="4390" w:type="dxa"/>
          </w:tcPr>
          <w:p>
            <w:pPr>
              <w:pStyle w:val="yTableNAm"/>
            </w:pPr>
            <w:r>
              <w:t>For use of either a non</w:t>
            </w:r>
            <w:r>
              <w:noBreakHyphen/>
              <w:t xml:space="preserve">floating pen with walkway or a floating pen by a recreational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23.65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4.73</w:t>
            </w:r>
          </w:p>
        </w:tc>
      </w:tr>
      <w:tr>
        <w:trPr>
          <w:cantSplit/>
        </w:trPr>
        <w:tc>
          <w:tcPr>
            <w:tcW w:w="567" w:type="dxa"/>
          </w:tcPr>
          <w:p>
            <w:pPr>
              <w:pStyle w:val="yTableNAm"/>
            </w:pPr>
            <w:r>
              <w:t>12.</w:t>
            </w:r>
          </w:p>
        </w:tc>
        <w:tc>
          <w:tcPr>
            <w:tcW w:w="4390" w:type="dxa"/>
          </w:tcPr>
          <w:p>
            <w:pPr>
              <w:pStyle w:val="yTableNAm"/>
            </w:pPr>
            <w:r>
              <w:t>For use of either a non</w:t>
            </w:r>
            <w:r>
              <w:noBreakHyphen/>
              <w:t xml:space="preserve">floating pen with walkway or a floating pen by a tourism vessel or fishing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47.27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9.45</w:t>
            </w:r>
          </w:p>
        </w:tc>
      </w:tr>
      <w:tr>
        <w:trPr>
          <w:cantSplit/>
        </w:trPr>
        <w:tc>
          <w:tcPr>
            <w:tcW w:w="567" w:type="dxa"/>
          </w:tcPr>
          <w:p>
            <w:pPr>
              <w:pStyle w:val="yTableNAm"/>
            </w:pPr>
            <w:r>
              <w:t>13.</w:t>
            </w:r>
          </w:p>
        </w:tc>
        <w:tc>
          <w:tcPr>
            <w:tcW w:w="4390" w:type="dxa"/>
          </w:tcPr>
          <w:p>
            <w:pPr>
              <w:pStyle w:val="yTableNAm"/>
            </w:pPr>
            <w:r>
              <w:t>For use of either a non</w:t>
            </w:r>
            <w:r>
              <w:noBreakHyphen/>
              <w:t xml:space="preserve">floating pen with walkway or a floating pen by a service vessel, per m of the vessel’s length — </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51.81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10.36</w:t>
            </w:r>
          </w:p>
        </w:tc>
      </w:tr>
      <w:tr>
        <w:trPr>
          <w:cantSplit/>
        </w:trPr>
        <w:tc>
          <w:tcPr>
            <w:tcW w:w="567" w:type="dxa"/>
          </w:tcPr>
          <w:p>
            <w:pPr>
              <w:pStyle w:val="yTableNAm"/>
            </w:pPr>
            <w:r>
              <w:t>14.</w:t>
            </w:r>
          </w:p>
        </w:tc>
        <w:tc>
          <w:tcPr>
            <w:tcW w:w="4390" w:type="dxa"/>
          </w:tcPr>
          <w:p>
            <w:pPr>
              <w:pStyle w:val="yTableNAm"/>
            </w:pPr>
            <w:r>
              <w:t>For living on board a vessel, per vessel, per month</w:t>
            </w:r>
          </w:p>
        </w:tc>
        <w:tc>
          <w:tcPr>
            <w:tcW w:w="996" w:type="dxa"/>
            <w:vAlign w:val="bottom"/>
          </w:tcPr>
          <w:p>
            <w:pPr>
              <w:pStyle w:val="yTableNAm"/>
              <w:jc w:val="right"/>
            </w:pPr>
            <w:r>
              <w:t>42.99</w:t>
            </w:r>
          </w:p>
        </w:tc>
      </w:tr>
      <w:tr>
        <w:trPr>
          <w:cantSplit/>
        </w:trPr>
        <w:tc>
          <w:tcPr>
            <w:tcW w:w="567" w:type="dxa"/>
          </w:tcPr>
          <w:p>
            <w:pPr>
              <w:pStyle w:val="yTableNAm"/>
            </w:pPr>
            <w:r>
              <w:t>15.</w:t>
            </w:r>
          </w:p>
        </w:tc>
        <w:tc>
          <w:tcPr>
            <w:tcW w:w="4390" w:type="dxa"/>
          </w:tcPr>
          <w:p>
            <w:pPr>
              <w:pStyle w:val="yTableNAm"/>
            </w:pPr>
            <w:r>
              <w:t>For use of pen, berth or service jetty by cruise liner transfer vessel to load or unload passengers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 of the vessel’s length, per day</w:t>
            </w:r>
          </w:p>
        </w:tc>
        <w:tc>
          <w:tcPr>
            <w:tcW w:w="996" w:type="dxa"/>
            <w:vAlign w:val="bottom"/>
          </w:tcPr>
          <w:p>
            <w:pPr>
              <w:pStyle w:val="yTableNAm"/>
              <w:jc w:val="right"/>
            </w:pPr>
            <w:r>
              <w:t>9.45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plus, per passenger</w:t>
            </w:r>
          </w:p>
        </w:tc>
        <w:tc>
          <w:tcPr>
            <w:tcW w:w="996" w:type="dxa"/>
            <w:vAlign w:val="bottom"/>
          </w:tcPr>
          <w:p>
            <w:pPr>
              <w:pStyle w:val="yTableNAm"/>
              <w:jc w:val="right"/>
            </w:pPr>
            <w:r>
              <w:t>4.04</w:t>
            </w:r>
          </w:p>
        </w:tc>
      </w:tr>
      <w:tr>
        <w:trPr>
          <w:cantSplit/>
        </w:trPr>
        <w:tc>
          <w:tcPr>
            <w:tcW w:w="567" w:type="dxa"/>
          </w:tcPr>
          <w:p>
            <w:pPr>
              <w:pStyle w:val="yTableNAm"/>
            </w:pPr>
            <w:r>
              <w:t>16.</w:t>
            </w:r>
          </w:p>
        </w:tc>
        <w:tc>
          <w:tcPr>
            <w:tcW w:w="4390" w:type="dxa"/>
          </w:tcPr>
          <w:p>
            <w:pPr>
              <w:pStyle w:val="yTableNAm"/>
            </w:pPr>
            <w:r>
              <w:t>For short</w:t>
            </w:r>
            <w:r>
              <w:noBreakHyphen/>
              <w:t>term use of service wharf, other than while refuelling, by a service vessel, for up to 12 hours in a 24 hour period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per m of the vessel’s length</w:t>
            </w:r>
          </w:p>
        </w:tc>
        <w:tc>
          <w:tcPr>
            <w:tcW w:w="996" w:type="dxa"/>
            <w:vAlign w:val="bottom"/>
          </w:tcPr>
          <w:p>
            <w:pPr>
              <w:pStyle w:val="yTableNAm"/>
              <w:jc w:val="right"/>
            </w:pPr>
            <w:r>
              <w:t>16.00</w:t>
            </w:r>
          </w:p>
        </w:tc>
      </w:tr>
      <w:tr>
        <w:trPr>
          <w:cantSplit/>
        </w:trPr>
        <w:tc>
          <w:tcPr>
            <w:tcW w:w="567" w:type="dxa"/>
          </w:tcPr>
          <w:p>
            <w:pPr>
              <w:pStyle w:val="yTableNAm"/>
            </w:pPr>
            <w:r>
              <w:t>17.</w:t>
            </w:r>
          </w:p>
        </w:tc>
        <w:tc>
          <w:tcPr>
            <w:tcW w:w="4390" w:type="dxa"/>
          </w:tcPr>
          <w:p>
            <w:pPr>
              <w:pStyle w:val="yTableNAm"/>
            </w:pPr>
            <w:r>
              <w:t>For short</w:t>
            </w:r>
            <w:r>
              <w:noBreakHyphen/>
              <w:t>term use of service wharf by vessel, except as described in item 15 or by a vessel mentioned in item 16, per m of the vessel’s length, per day</w:t>
            </w:r>
          </w:p>
        </w:tc>
        <w:tc>
          <w:tcPr>
            <w:tcW w:w="996" w:type="dxa"/>
            <w:vAlign w:val="bottom"/>
          </w:tcPr>
          <w:p>
            <w:pPr>
              <w:pStyle w:val="yTableNAm"/>
              <w:jc w:val="right"/>
            </w:pPr>
            <w:r>
              <w:t>9.45</w:t>
            </w:r>
          </w:p>
        </w:tc>
      </w:tr>
      <w:tr>
        <w:trPr>
          <w:cantSplit/>
        </w:trPr>
        <w:tc>
          <w:tcPr>
            <w:tcW w:w="567" w:type="dxa"/>
          </w:tcPr>
          <w:p>
            <w:pPr>
              <w:pStyle w:val="yTableNAm"/>
            </w:pPr>
            <w:r>
              <w:t>18.</w:t>
            </w:r>
          </w:p>
        </w:tc>
        <w:tc>
          <w:tcPr>
            <w:tcW w:w="4390" w:type="dxa"/>
          </w:tcPr>
          <w:p>
            <w:pPr>
              <w:pStyle w:val="yTableNAm"/>
            </w:pPr>
            <w:r>
              <w:t>For use of service wharf hardstand or an appurtenant area for storage or maintenance (for short</w:t>
            </w:r>
            <w:r>
              <w:noBreakHyphen/>
              <w:t>term use only), per day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w:t>
            </w:r>
            <w:r>
              <w:rPr>
                <w:vertAlign w:val="superscript"/>
              </w:rPr>
              <w:t>2</w:t>
            </w:r>
          </w:p>
        </w:tc>
        <w:tc>
          <w:tcPr>
            <w:tcW w:w="996" w:type="dxa"/>
            <w:vAlign w:val="bottom"/>
          </w:tcPr>
          <w:p>
            <w:pPr>
              <w:pStyle w:val="yTableNAm"/>
              <w:jc w:val="right"/>
            </w:pPr>
            <w:r>
              <w:t>1.57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minimum fee</w:t>
            </w:r>
          </w:p>
        </w:tc>
        <w:tc>
          <w:tcPr>
            <w:tcW w:w="996" w:type="dxa"/>
            <w:vAlign w:val="bottom"/>
          </w:tcPr>
          <w:p>
            <w:pPr>
              <w:pStyle w:val="yTableNAm"/>
              <w:jc w:val="right"/>
            </w:pPr>
            <w:r>
              <w:t>28.73</w:t>
            </w:r>
          </w:p>
        </w:tc>
      </w:tr>
      <w:tr>
        <w:trPr>
          <w:cantSplit/>
        </w:trPr>
        <w:tc>
          <w:tcPr>
            <w:tcW w:w="567" w:type="dxa"/>
          </w:tcPr>
          <w:p>
            <w:pPr>
              <w:pStyle w:val="yTableNAm"/>
              <w:keepNext/>
            </w:pPr>
            <w:r>
              <w:t>19.</w:t>
            </w:r>
          </w:p>
        </w:tc>
        <w:tc>
          <w:tcPr>
            <w:tcW w:w="4390" w:type="dxa"/>
          </w:tcPr>
          <w:p>
            <w:pPr>
              <w:pStyle w:val="yTableNAm"/>
              <w:keepNext/>
            </w:pPr>
            <w:r>
              <w:t xml:space="preserve">For use of boat ramp by commercial vessel — </w:t>
            </w:r>
          </w:p>
        </w:tc>
        <w:tc>
          <w:tcPr>
            <w:tcW w:w="996" w:type="dxa"/>
            <w:vAlign w:val="bottom"/>
          </w:tcPr>
          <w:p>
            <w:pPr>
              <w:pStyle w:val="yTableNAm"/>
              <w:keepNext/>
              <w:jc w:val="right"/>
            </w:pPr>
          </w:p>
        </w:tc>
      </w:tr>
      <w:tr>
        <w:trPr>
          <w:cantSplit/>
        </w:trPr>
        <w:tc>
          <w:tcPr>
            <w:tcW w:w="567" w:type="dxa"/>
          </w:tcPr>
          <w:p>
            <w:pPr>
              <w:pStyle w:val="yTableNAm"/>
              <w:keepNext/>
            </w:pPr>
          </w:p>
        </w:tc>
        <w:tc>
          <w:tcPr>
            <w:tcW w:w="4390" w:type="dxa"/>
          </w:tcPr>
          <w:p>
            <w:pPr>
              <w:pStyle w:val="yTableNAm"/>
              <w:keepNext/>
              <w:tabs>
                <w:tab w:val="clear" w:pos="567"/>
                <w:tab w:val="left" w:pos="415"/>
              </w:tabs>
              <w:ind w:left="415" w:hanging="415"/>
            </w:pPr>
            <w:r>
              <w:t>•</w:t>
            </w:r>
            <w:r>
              <w:tab/>
              <w:t>for 12 months paid in advance</w:t>
            </w:r>
          </w:p>
        </w:tc>
        <w:tc>
          <w:tcPr>
            <w:tcW w:w="996" w:type="dxa"/>
            <w:vAlign w:val="bottom"/>
          </w:tcPr>
          <w:p>
            <w:pPr>
              <w:pStyle w:val="yTableNAm"/>
              <w:keepNext/>
              <w:jc w:val="right"/>
            </w:pPr>
            <w:r>
              <w:t>780.50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w:t>
            </w:r>
          </w:p>
        </w:tc>
        <w:tc>
          <w:tcPr>
            <w:tcW w:w="996" w:type="dxa"/>
            <w:vAlign w:val="bottom"/>
          </w:tcPr>
          <w:p>
            <w:pPr>
              <w:pStyle w:val="yTableNAm"/>
              <w:jc w:val="right"/>
            </w:pPr>
            <w:r>
              <w:t>156.12</w:t>
            </w:r>
          </w:p>
        </w:tc>
      </w:tr>
      <w:tr>
        <w:trPr>
          <w:cantSplit/>
        </w:trPr>
        <w:tc>
          <w:tcPr>
            <w:tcW w:w="567" w:type="dxa"/>
          </w:tcPr>
          <w:p>
            <w:pPr>
              <w:pStyle w:val="yTableNAm"/>
            </w:pPr>
            <w:r>
              <w:t>20.</w:t>
            </w:r>
          </w:p>
        </w:tc>
        <w:tc>
          <w:tcPr>
            <w:tcW w:w="4390" w:type="dxa"/>
          </w:tcPr>
          <w:p>
            <w:pPr>
              <w:pStyle w:val="yTableNAm"/>
            </w:pPr>
            <w:r>
              <w:t>For electricity supply, 3</w:t>
            </w:r>
            <w:r>
              <w:noBreakHyphen/>
              <w:t>phase or single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50 units</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meter reading</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21.</w:t>
            </w:r>
          </w:p>
        </w:tc>
        <w:tc>
          <w:tcPr>
            <w:tcW w:w="4390" w:type="dxa"/>
          </w:tcPr>
          <w:p>
            <w:pPr>
              <w:pStyle w:val="yTableNAm"/>
            </w:pPr>
            <w:r>
              <w:t xml:space="preserve">For water supply —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to non</w:t>
            </w:r>
            <w:r>
              <w:noBreakHyphen/>
              <w:t>floating pen with walkway, metered</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to service wharf or hardstand or elsewhere in large quantity, metered</w:t>
            </w:r>
          </w:p>
        </w:tc>
        <w:tc>
          <w:tcPr>
            <w:tcW w:w="996" w:type="dxa"/>
            <w:vAlign w:val="bottom"/>
          </w:tcPr>
          <w:p>
            <w:pPr>
              <w:pStyle w:val="yTableNAm"/>
              <w:jc w:val="right"/>
            </w:pPr>
            <w:r>
              <w:t>cost</w:t>
            </w:r>
          </w:p>
        </w:tc>
      </w:tr>
      <w:tr>
        <w:trPr>
          <w:cantSplit/>
        </w:trPr>
        <w:tc>
          <w:tcPr>
            <w:tcW w:w="567" w:type="dxa"/>
          </w:tcPr>
          <w:p>
            <w:pPr>
              <w:pStyle w:val="yTableNAm"/>
            </w:pPr>
            <w:r>
              <w:t>22.</w:t>
            </w:r>
          </w:p>
        </w:tc>
        <w:tc>
          <w:tcPr>
            <w:tcW w:w="4390" w:type="dxa"/>
          </w:tcPr>
          <w:p>
            <w:pPr>
              <w:pStyle w:val="yTableNAm"/>
            </w:pPr>
            <w:r>
              <w:t xml:space="preserve">For rubbish removal — </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excess quantity or from vessel not using harbour, minimum per half skip supplied and emptied</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drum not removed by owner, per 20 L drum</w:t>
            </w:r>
          </w:p>
        </w:tc>
        <w:tc>
          <w:tcPr>
            <w:tcW w:w="996"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6" w:type="dxa"/>
            <w:tcBorders>
              <w:bottom w:val="single" w:sz="4" w:space="0" w:color="auto"/>
            </w:tcBorders>
            <w:vAlign w:val="bottom"/>
          </w:tcPr>
          <w:p>
            <w:pPr>
              <w:pStyle w:val="yTableNAm"/>
              <w:jc w:val="right"/>
            </w:pPr>
            <w:r>
              <w:t>cost</w:t>
            </w:r>
          </w:p>
        </w:tc>
      </w:tr>
    </w:tbl>
    <w:p>
      <w:pPr>
        <w:pStyle w:val="yFootnotesection"/>
      </w:pPr>
      <w:r>
        <w:tab/>
        <w:t>[Clause 10 inserted in Gazette 28 Jun 2013 p. 2845</w:t>
      </w:r>
      <w:r>
        <w:noBreakHyphen/>
        <w:t>53.]</w:t>
      </w:r>
    </w:p>
    <w:p>
      <w:pPr>
        <w:pStyle w:val="yHeading5"/>
      </w:pPr>
      <w:bookmarkStart w:id="715" w:name="_Toc360523352"/>
      <w:r>
        <w:rPr>
          <w:rStyle w:val="CharSClsNo"/>
        </w:rPr>
        <w:t>11</w:t>
      </w:r>
      <w:r>
        <w:t>.</w:t>
      </w:r>
      <w:r>
        <w:rPr>
          <w:b w:val="0"/>
        </w:rP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14"/>
      <w:bookmarkEnd w:id="715"/>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 94A are set out in Table 11.1.</w:t>
      </w:r>
    </w:p>
    <w:p>
      <w:pPr>
        <w:pStyle w:val="yTHeadingNAm"/>
      </w:pPr>
      <w:r>
        <w:t>Table 11.1 (Pen or berth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pen or berth for commercial vessel under 20 m long,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309.76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tcPr>
          <w:p>
            <w:pPr>
              <w:pStyle w:val="yTableNAm"/>
              <w:jc w:val="right"/>
            </w:pPr>
            <w:r>
              <w:br/>
              <w:t>30.98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46.46</w:t>
            </w:r>
          </w:p>
        </w:tc>
      </w:tr>
      <w:tr>
        <w:trPr>
          <w:cantSplit/>
        </w:trPr>
        <w:tc>
          <w:tcPr>
            <w:tcW w:w="567" w:type="dxa"/>
          </w:tcPr>
          <w:p>
            <w:pPr>
              <w:pStyle w:val="yTableNAm"/>
            </w:pPr>
            <w:r>
              <w:t>2.</w:t>
            </w:r>
          </w:p>
        </w:tc>
        <w:tc>
          <w:tcPr>
            <w:tcW w:w="4390" w:type="dxa"/>
          </w:tcPr>
          <w:p>
            <w:pPr>
              <w:pStyle w:val="yTableNAm"/>
            </w:pPr>
            <w:r>
              <w:t xml:space="preserve">For pen or berth for commercial vessel 20 m long or over,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404.62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tcPr>
          <w:p>
            <w:pPr>
              <w:pStyle w:val="yTableNAm"/>
              <w:jc w:val="right"/>
            </w:pPr>
            <w:r>
              <w:br/>
              <w:t>40.47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60.70</w:t>
            </w:r>
          </w:p>
        </w:tc>
      </w:tr>
      <w:tr>
        <w:trPr>
          <w:cantSplit/>
        </w:trPr>
        <w:tc>
          <w:tcPr>
            <w:tcW w:w="567" w:type="dxa"/>
          </w:tcPr>
          <w:p>
            <w:pPr>
              <w:pStyle w:val="yTableNAm"/>
            </w:pPr>
            <w:r>
              <w:t>3.</w:t>
            </w:r>
          </w:p>
        </w:tc>
        <w:tc>
          <w:tcPr>
            <w:tcW w:w="4390" w:type="dxa"/>
          </w:tcPr>
          <w:p>
            <w:pPr>
              <w:pStyle w:val="yTableNAm"/>
            </w:pPr>
            <w:r>
              <w:t xml:space="preserve">For berth at end of floating jetty (Jetty 1) for commercial vessel,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88.37</w:t>
            </w:r>
          </w:p>
        </w:tc>
      </w:tr>
      <w:tr>
        <w:trPr>
          <w:cantSplit/>
        </w:trPr>
        <w:tc>
          <w:tcPr>
            <w:tcW w:w="567" w:type="dxa"/>
          </w:tcPr>
          <w:p>
            <w:pPr>
              <w:pStyle w:val="yTableNAm"/>
            </w:pPr>
            <w:r>
              <w:t>4.</w:t>
            </w:r>
          </w:p>
        </w:tc>
        <w:tc>
          <w:tcPr>
            <w:tcW w:w="4390" w:type="dxa"/>
          </w:tcPr>
          <w:p>
            <w:pPr>
              <w:pStyle w:val="yTableNAm"/>
            </w:pPr>
            <w:r>
              <w:t xml:space="preserve">For berth at end of floating jetty (Jetty 1) for recreational vessel,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81.77</w:t>
            </w:r>
          </w:p>
        </w:tc>
      </w:tr>
      <w:tr>
        <w:trPr>
          <w:cantSplit/>
        </w:trPr>
        <w:tc>
          <w:tcPr>
            <w:tcW w:w="567" w:type="dxa"/>
          </w:tcPr>
          <w:p>
            <w:pPr>
              <w:pStyle w:val="yTableNAm"/>
            </w:pPr>
            <w:r>
              <w:t>5.</w:t>
            </w:r>
          </w:p>
        </w:tc>
        <w:tc>
          <w:tcPr>
            <w:tcW w:w="4390" w:type="dxa"/>
          </w:tcPr>
          <w:p>
            <w:pPr>
              <w:pStyle w:val="yTableNAm"/>
            </w:pPr>
            <w:r>
              <w:t xml:space="preserve">For pen or berth for recreational vessel,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441.71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tcPr>
          <w:p>
            <w:pPr>
              <w:pStyle w:val="yTableNAm"/>
              <w:jc w:val="right"/>
            </w:pPr>
            <w:r>
              <w:br/>
              <w:t>44.18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66.26</w:t>
            </w:r>
          </w:p>
        </w:tc>
      </w:tr>
      <w:tr>
        <w:trPr>
          <w:cantSplit/>
        </w:trPr>
        <w:tc>
          <w:tcPr>
            <w:tcW w:w="567" w:type="dxa"/>
          </w:tcPr>
          <w:p>
            <w:pPr>
              <w:pStyle w:val="yTableNAm"/>
            </w:pPr>
            <w:r>
              <w:t>6.</w:t>
            </w:r>
          </w:p>
        </w:tc>
        <w:tc>
          <w:tcPr>
            <w:tcW w:w="4390" w:type="dxa"/>
          </w:tcPr>
          <w:p>
            <w:pPr>
              <w:pStyle w:val="yTableNAm"/>
            </w:pPr>
            <w:r>
              <w:t>For pen or berth for vessel, per m of the vessel’s length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tcPr>
          <w:p>
            <w:pPr>
              <w:pStyle w:val="yTableNAm"/>
              <w:jc w:val="right"/>
            </w:pPr>
            <w:r>
              <w:br/>
              <w:t>45.05</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otherwise, per day</w:t>
            </w:r>
          </w:p>
        </w:tc>
        <w:tc>
          <w:tcPr>
            <w:tcW w:w="996" w:type="dxa"/>
            <w:tcBorders>
              <w:bottom w:val="single" w:sz="4" w:space="0" w:color="auto"/>
            </w:tcBorders>
          </w:tcPr>
          <w:p>
            <w:pPr>
              <w:pStyle w:val="yTableNAm"/>
              <w:jc w:val="right"/>
            </w:pPr>
            <w:r>
              <w:t>9.01</w:t>
            </w:r>
          </w:p>
        </w:tc>
      </w:tr>
    </w:tbl>
    <w:p>
      <w:pPr>
        <w:pStyle w:val="yFootnotesection"/>
      </w:pPr>
      <w:bookmarkStart w:id="716" w:name="_Toc346791083"/>
      <w:r>
        <w:tab/>
        <w:t>[Clause 11 inserted in Gazette 28 Jun 2013 p. 2853</w:t>
      </w:r>
      <w:r>
        <w:noBreakHyphen/>
        <w:t>5.]</w:t>
      </w:r>
    </w:p>
    <w:p>
      <w:pPr>
        <w:pStyle w:val="yHeading5"/>
      </w:pPr>
      <w:bookmarkStart w:id="717" w:name="_Toc360523353"/>
      <w:r>
        <w:rPr>
          <w:rStyle w:val="CharSClsNo"/>
        </w:rPr>
        <w:t>12</w:t>
      </w:r>
      <w:r>
        <w:t>.</w:t>
      </w:r>
      <w:r>
        <w:rPr>
          <w:b w:val="0"/>
        </w:rPr>
        <w:tab/>
      </w:r>
      <w:r>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16"/>
      <w:bookmarkEnd w:id="717"/>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fees and charges to be paid under regulations 6 and 94A are set out in Table 12.1.</w:t>
      </w:r>
    </w:p>
    <w:p>
      <w:pPr>
        <w:pStyle w:val="ySubsection"/>
      </w:pPr>
      <w:r>
        <w:tab/>
        <w:t>(3)</w:t>
      </w:r>
      <w:r>
        <w:tab/>
        <w:t>In Table 12.1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THeadingNAm"/>
      </w:pPr>
      <w:r>
        <w:tab/>
        <w:t>Table 12.1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252"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252" w:type="dxa"/>
          </w:tcPr>
          <w:p>
            <w:pPr>
              <w:pStyle w:val="yTableNAm"/>
            </w:pPr>
            <w:r>
              <w:t xml:space="preserve">For pen for commercial vessel, per m of the longer of the vessel’s length and the chargeable length for the pen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months paid in advance</w:t>
            </w:r>
          </w:p>
        </w:tc>
        <w:tc>
          <w:tcPr>
            <w:tcW w:w="1134" w:type="dxa"/>
          </w:tcPr>
          <w:p>
            <w:pPr>
              <w:pStyle w:val="yTableNAm"/>
              <w:jc w:val="right"/>
            </w:pPr>
            <w:r>
              <w:t>394.00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3 months or more, per month, paid in advance</w:t>
            </w:r>
          </w:p>
        </w:tc>
        <w:tc>
          <w:tcPr>
            <w:tcW w:w="1134" w:type="dxa"/>
          </w:tcPr>
          <w:p>
            <w:pPr>
              <w:pStyle w:val="yTableNAm"/>
              <w:jc w:val="right"/>
            </w:pPr>
            <w:r>
              <w:br/>
              <w:t>39.41</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month or more, per month, paid in advance</w:t>
            </w:r>
          </w:p>
        </w:tc>
        <w:tc>
          <w:tcPr>
            <w:tcW w:w="1134" w:type="dxa"/>
          </w:tcPr>
          <w:p>
            <w:pPr>
              <w:pStyle w:val="yTableNAm"/>
              <w:jc w:val="right"/>
            </w:pPr>
            <w:r>
              <w:br/>
              <w:t>59.10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week or more, per week, paid in advance</w:t>
            </w:r>
          </w:p>
        </w:tc>
        <w:tc>
          <w:tcPr>
            <w:tcW w:w="1134" w:type="dxa"/>
          </w:tcPr>
          <w:p>
            <w:pPr>
              <w:pStyle w:val="yTableNAm"/>
              <w:jc w:val="right"/>
            </w:pPr>
            <w:r>
              <w:br/>
              <w:t>37.53</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3 days paid in advance</w:t>
            </w:r>
          </w:p>
        </w:tc>
        <w:tc>
          <w:tcPr>
            <w:tcW w:w="1134" w:type="dxa"/>
          </w:tcPr>
          <w:p>
            <w:pPr>
              <w:pStyle w:val="yTableNAm"/>
              <w:jc w:val="right"/>
            </w:pPr>
            <w:r>
              <w:t>15.01</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otherwise, per day</w:t>
            </w:r>
          </w:p>
        </w:tc>
        <w:tc>
          <w:tcPr>
            <w:tcW w:w="1134" w:type="dxa"/>
          </w:tcPr>
          <w:p>
            <w:pPr>
              <w:pStyle w:val="yTableNAm"/>
              <w:jc w:val="right"/>
            </w:pPr>
            <w:r>
              <w:t>7.50</w:t>
            </w:r>
          </w:p>
        </w:tc>
      </w:tr>
      <w:tr>
        <w:trPr>
          <w:cantSplit/>
        </w:trPr>
        <w:tc>
          <w:tcPr>
            <w:tcW w:w="567" w:type="dxa"/>
          </w:tcPr>
          <w:p>
            <w:pPr>
              <w:pStyle w:val="yTableNAm"/>
            </w:pPr>
            <w:r>
              <w:t>2.</w:t>
            </w:r>
          </w:p>
        </w:tc>
        <w:tc>
          <w:tcPr>
            <w:tcW w:w="4252" w:type="dxa"/>
          </w:tcPr>
          <w:p>
            <w:pPr>
              <w:pStyle w:val="yTableNAm"/>
            </w:pPr>
            <w:r>
              <w:t xml:space="preserve">For pen for recreational vessel, per m of the longer of the vessel’s length and the chargeable length for the pen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months paid in advance</w:t>
            </w:r>
          </w:p>
        </w:tc>
        <w:tc>
          <w:tcPr>
            <w:tcW w:w="1134" w:type="dxa"/>
          </w:tcPr>
          <w:p>
            <w:pPr>
              <w:pStyle w:val="yTableNAm"/>
              <w:jc w:val="right"/>
            </w:pPr>
            <w:r>
              <w:t>394.00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3 months or more, per month, paid in advance</w:t>
            </w:r>
          </w:p>
        </w:tc>
        <w:tc>
          <w:tcPr>
            <w:tcW w:w="1134" w:type="dxa"/>
          </w:tcPr>
          <w:p>
            <w:pPr>
              <w:pStyle w:val="yTableNAm"/>
              <w:jc w:val="right"/>
            </w:pPr>
            <w:r>
              <w:br/>
              <w:t>39.41</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month or more, per month, paid in advance</w:t>
            </w:r>
          </w:p>
        </w:tc>
        <w:tc>
          <w:tcPr>
            <w:tcW w:w="1134" w:type="dxa"/>
          </w:tcPr>
          <w:p>
            <w:pPr>
              <w:pStyle w:val="yTableNAm"/>
              <w:jc w:val="right"/>
            </w:pPr>
            <w:r>
              <w:br/>
              <w:t>59.10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week or more, per week, paid in advance</w:t>
            </w:r>
          </w:p>
        </w:tc>
        <w:tc>
          <w:tcPr>
            <w:tcW w:w="1134" w:type="dxa"/>
          </w:tcPr>
          <w:p>
            <w:pPr>
              <w:pStyle w:val="yTableNAm"/>
              <w:jc w:val="right"/>
            </w:pPr>
            <w:r>
              <w:br/>
              <w:t>26.27</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3 days paid in advance</w:t>
            </w:r>
          </w:p>
        </w:tc>
        <w:tc>
          <w:tcPr>
            <w:tcW w:w="1134" w:type="dxa"/>
          </w:tcPr>
          <w:p>
            <w:pPr>
              <w:pStyle w:val="yTableNAm"/>
              <w:jc w:val="right"/>
            </w:pPr>
            <w:r>
              <w:t>10.51</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otherwise, per day</w:t>
            </w:r>
          </w:p>
        </w:tc>
        <w:tc>
          <w:tcPr>
            <w:tcW w:w="1134" w:type="dxa"/>
          </w:tcPr>
          <w:p>
            <w:pPr>
              <w:pStyle w:val="yTableNAm"/>
              <w:jc w:val="right"/>
            </w:pPr>
            <w:r>
              <w:t>5.27</w:t>
            </w:r>
          </w:p>
        </w:tc>
      </w:tr>
      <w:tr>
        <w:trPr>
          <w:cantSplit/>
        </w:trPr>
        <w:tc>
          <w:tcPr>
            <w:tcW w:w="567" w:type="dxa"/>
          </w:tcPr>
          <w:p>
            <w:pPr>
              <w:pStyle w:val="yTableNAm"/>
            </w:pPr>
            <w:r>
              <w:t>3.</w:t>
            </w:r>
          </w:p>
        </w:tc>
        <w:tc>
          <w:tcPr>
            <w:tcW w:w="4252" w:type="dxa"/>
          </w:tcPr>
          <w:p>
            <w:pPr>
              <w:pStyle w:val="yTableNAm"/>
            </w:pPr>
            <w:r>
              <w:t>For living on board a vessel, per vessel, per month</w:t>
            </w:r>
          </w:p>
        </w:tc>
        <w:tc>
          <w:tcPr>
            <w:tcW w:w="1134" w:type="dxa"/>
          </w:tcPr>
          <w:p>
            <w:pPr>
              <w:pStyle w:val="yTableNAm"/>
              <w:jc w:val="right"/>
            </w:pPr>
            <w:r>
              <w:br/>
              <w:t>130.69</w:t>
            </w:r>
          </w:p>
        </w:tc>
      </w:tr>
      <w:tr>
        <w:trPr>
          <w:cantSplit/>
        </w:trPr>
        <w:tc>
          <w:tcPr>
            <w:tcW w:w="567" w:type="dxa"/>
          </w:tcPr>
          <w:p>
            <w:pPr>
              <w:pStyle w:val="yTableNAm"/>
            </w:pPr>
            <w:r>
              <w:t>4.</w:t>
            </w:r>
          </w:p>
        </w:tc>
        <w:tc>
          <w:tcPr>
            <w:tcW w:w="4252" w:type="dxa"/>
          </w:tcPr>
          <w:p>
            <w:pPr>
              <w:pStyle w:val="yTableNAm"/>
            </w:pPr>
            <w:r>
              <w:t>For use of service jetty for short time just to load or unload vessel, unless the item 1 or 2 fee has been paid for the vessel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months, per vessel paid in advance</w:t>
            </w:r>
          </w:p>
        </w:tc>
        <w:tc>
          <w:tcPr>
            <w:tcW w:w="1134" w:type="dxa"/>
          </w:tcPr>
          <w:p>
            <w:pPr>
              <w:pStyle w:val="yTableNAm"/>
              <w:jc w:val="right"/>
            </w:pPr>
            <w:r>
              <w:t>1 126.12</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per m of the vessel’s length, per day</w:t>
            </w:r>
          </w:p>
        </w:tc>
        <w:tc>
          <w:tcPr>
            <w:tcW w:w="1134" w:type="dxa"/>
          </w:tcPr>
          <w:p>
            <w:pPr>
              <w:pStyle w:val="yTableNAm"/>
              <w:jc w:val="right"/>
            </w:pPr>
            <w:r>
              <w:t>3.75</w:t>
            </w:r>
          </w:p>
        </w:tc>
      </w:tr>
      <w:tr>
        <w:trPr>
          <w:cantSplit/>
        </w:trPr>
        <w:tc>
          <w:tcPr>
            <w:tcW w:w="567" w:type="dxa"/>
          </w:tcPr>
          <w:p>
            <w:pPr>
              <w:pStyle w:val="yTableNAm"/>
            </w:pPr>
            <w:r>
              <w:t>5.</w:t>
            </w:r>
          </w:p>
        </w:tc>
        <w:tc>
          <w:tcPr>
            <w:tcW w:w="4252" w:type="dxa"/>
          </w:tcPr>
          <w:p>
            <w:pPr>
              <w:pStyle w:val="yTableNAm"/>
            </w:pPr>
            <w:r>
              <w:t>For use of pen, berth or service jetty by cruise liner transfer vessel to load or unload passengers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per m of the vessel’s length, per day</w:t>
            </w:r>
          </w:p>
        </w:tc>
        <w:tc>
          <w:tcPr>
            <w:tcW w:w="1134" w:type="dxa"/>
          </w:tcPr>
          <w:p>
            <w:pPr>
              <w:pStyle w:val="yTableNAm"/>
              <w:jc w:val="right"/>
            </w:pPr>
            <w:r>
              <w:t>9.45</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plus, per passenger</w:t>
            </w:r>
          </w:p>
        </w:tc>
        <w:tc>
          <w:tcPr>
            <w:tcW w:w="1134" w:type="dxa"/>
          </w:tcPr>
          <w:p>
            <w:pPr>
              <w:pStyle w:val="yTableNAm"/>
              <w:jc w:val="right"/>
            </w:pPr>
            <w:r>
              <w:t>4.04</w:t>
            </w:r>
          </w:p>
        </w:tc>
      </w:tr>
      <w:tr>
        <w:trPr>
          <w:cantSplit/>
        </w:trPr>
        <w:tc>
          <w:tcPr>
            <w:tcW w:w="567" w:type="dxa"/>
          </w:tcPr>
          <w:p>
            <w:pPr>
              <w:pStyle w:val="yTableNAm"/>
            </w:pPr>
            <w:r>
              <w:t>6.</w:t>
            </w:r>
          </w:p>
        </w:tc>
        <w:tc>
          <w:tcPr>
            <w:tcW w:w="4252" w:type="dxa"/>
          </w:tcPr>
          <w:p>
            <w:pPr>
              <w:pStyle w:val="yTableNAm"/>
            </w:pPr>
            <w:r>
              <w:t>For use of pen at Jetty B for commercial or recreational vessel for 12 months, per vessel paid in advance</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 pen</w:t>
            </w:r>
          </w:p>
        </w:tc>
        <w:tc>
          <w:tcPr>
            <w:tcW w:w="1134" w:type="dxa"/>
          </w:tcPr>
          <w:p>
            <w:pPr>
              <w:pStyle w:val="yTableNAm"/>
              <w:jc w:val="right"/>
            </w:pPr>
            <w:r>
              <w:t>6 171.66</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15 m pen</w:t>
            </w:r>
          </w:p>
        </w:tc>
        <w:tc>
          <w:tcPr>
            <w:tcW w:w="1134" w:type="dxa"/>
          </w:tcPr>
          <w:p>
            <w:pPr>
              <w:pStyle w:val="yTableNAm"/>
              <w:jc w:val="right"/>
            </w:pPr>
            <w:r>
              <w:t>7 714.58</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18 m pen</w:t>
            </w:r>
          </w:p>
        </w:tc>
        <w:tc>
          <w:tcPr>
            <w:tcW w:w="1134" w:type="dxa"/>
          </w:tcPr>
          <w:p>
            <w:pPr>
              <w:pStyle w:val="yTableNAm"/>
              <w:jc w:val="right"/>
            </w:pPr>
            <w:r>
              <w:t>9 257.49</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20 m pen</w:t>
            </w:r>
          </w:p>
        </w:tc>
        <w:tc>
          <w:tcPr>
            <w:tcW w:w="1134" w:type="dxa"/>
          </w:tcPr>
          <w:p>
            <w:pPr>
              <w:pStyle w:val="yTableNAm"/>
              <w:jc w:val="right"/>
            </w:pPr>
            <w:r>
              <w:t>10 286.10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22 m pen</w:t>
            </w:r>
          </w:p>
        </w:tc>
        <w:tc>
          <w:tcPr>
            <w:tcW w:w="1134" w:type="dxa"/>
          </w:tcPr>
          <w:p>
            <w:pPr>
              <w:pStyle w:val="yTableNAm"/>
              <w:jc w:val="right"/>
            </w:pPr>
            <w:r>
              <w:t>11 314.71</w:t>
            </w:r>
          </w:p>
        </w:tc>
      </w:tr>
      <w:tr>
        <w:trPr>
          <w:cantSplit/>
        </w:trPr>
        <w:tc>
          <w:tcPr>
            <w:tcW w:w="567" w:type="dxa"/>
          </w:tcPr>
          <w:p>
            <w:pPr>
              <w:pStyle w:val="yTableNAm"/>
            </w:pPr>
            <w:r>
              <w:t>7.</w:t>
            </w:r>
          </w:p>
        </w:tc>
        <w:tc>
          <w:tcPr>
            <w:tcW w:w="4252" w:type="dxa"/>
          </w:tcPr>
          <w:p>
            <w:pPr>
              <w:pStyle w:val="yTableNAm"/>
            </w:pPr>
            <w:r>
              <w:t>For use of pen at Jetty B for commercial or recreational vessel for 3 months or more, per vessel, per month, paid in advance</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 pen</w:t>
            </w:r>
          </w:p>
        </w:tc>
        <w:tc>
          <w:tcPr>
            <w:tcW w:w="1134" w:type="dxa"/>
          </w:tcPr>
          <w:p>
            <w:pPr>
              <w:pStyle w:val="yTableNAm"/>
              <w:jc w:val="right"/>
            </w:pPr>
            <w:r>
              <w:t>617.17</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15 m pen</w:t>
            </w:r>
          </w:p>
        </w:tc>
        <w:tc>
          <w:tcPr>
            <w:tcW w:w="1134" w:type="dxa"/>
          </w:tcPr>
          <w:p>
            <w:pPr>
              <w:pStyle w:val="yTableNAm"/>
              <w:jc w:val="right"/>
            </w:pPr>
            <w:r>
              <w:t>771.46</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18 m pen</w:t>
            </w:r>
          </w:p>
        </w:tc>
        <w:tc>
          <w:tcPr>
            <w:tcW w:w="1134" w:type="dxa"/>
          </w:tcPr>
          <w:p>
            <w:pPr>
              <w:pStyle w:val="yTableNAm"/>
              <w:jc w:val="right"/>
            </w:pPr>
            <w:r>
              <w:t>925.75</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20 m pen</w:t>
            </w:r>
          </w:p>
        </w:tc>
        <w:tc>
          <w:tcPr>
            <w:tcW w:w="1134" w:type="dxa"/>
          </w:tcPr>
          <w:p>
            <w:pPr>
              <w:pStyle w:val="yTableNAm"/>
              <w:jc w:val="right"/>
            </w:pPr>
            <w:r>
              <w:t>1 028.61</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22 m pen</w:t>
            </w:r>
          </w:p>
        </w:tc>
        <w:tc>
          <w:tcPr>
            <w:tcW w:w="1134" w:type="dxa"/>
          </w:tcPr>
          <w:p>
            <w:pPr>
              <w:pStyle w:val="yTableNAm"/>
              <w:jc w:val="right"/>
            </w:pPr>
            <w:r>
              <w:t>1 131.47</w:t>
            </w:r>
          </w:p>
        </w:tc>
      </w:tr>
      <w:tr>
        <w:trPr>
          <w:cantSplit/>
        </w:trPr>
        <w:tc>
          <w:tcPr>
            <w:tcW w:w="567" w:type="dxa"/>
          </w:tcPr>
          <w:p>
            <w:pPr>
              <w:pStyle w:val="yTableNAm"/>
            </w:pPr>
            <w:r>
              <w:t>8.</w:t>
            </w:r>
          </w:p>
        </w:tc>
        <w:tc>
          <w:tcPr>
            <w:tcW w:w="4252" w:type="dxa"/>
          </w:tcPr>
          <w:p>
            <w:pPr>
              <w:pStyle w:val="yTableNAm"/>
            </w:pPr>
            <w:r>
              <w:t>For use of pen at Jetty B for commercial or recreational vessel for one month or more, per vessel, per month, paid in advance</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 pen</w:t>
            </w:r>
          </w:p>
        </w:tc>
        <w:tc>
          <w:tcPr>
            <w:tcW w:w="1134" w:type="dxa"/>
          </w:tcPr>
          <w:p>
            <w:pPr>
              <w:pStyle w:val="yTableNAm"/>
              <w:jc w:val="right"/>
            </w:pPr>
            <w:r>
              <w:t>925.75</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15 m pen</w:t>
            </w:r>
          </w:p>
        </w:tc>
        <w:tc>
          <w:tcPr>
            <w:tcW w:w="1134" w:type="dxa"/>
          </w:tcPr>
          <w:p>
            <w:pPr>
              <w:pStyle w:val="yTableNAm"/>
              <w:jc w:val="right"/>
            </w:pPr>
            <w:r>
              <w:t>1 157.19</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18 m pen</w:t>
            </w:r>
          </w:p>
        </w:tc>
        <w:tc>
          <w:tcPr>
            <w:tcW w:w="1134" w:type="dxa"/>
          </w:tcPr>
          <w:p>
            <w:pPr>
              <w:pStyle w:val="yTableNAm"/>
              <w:jc w:val="right"/>
            </w:pPr>
            <w:r>
              <w:t>1 388.62</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20 m pen</w:t>
            </w:r>
          </w:p>
        </w:tc>
        <w:tc>
          <w:tcPr>
            <w:tcW w:w="1134" w:type="dxa"/>
          </w:tcPr>
          <w:p>
            <w:pPr>
              <w:pStyle w:val="yTableNAm"/>
              <w:jc w:val="right"/>
            </w:pPr>
            <w:r>
              <w:t>1 542.92</w:t>
            </w:r>
          </w:p>
        </w:tc>
      </w:tr>
      <w:tr>
        <w:trPr>
          <w:cantSplit/>
        </w:trPr>
        <w:tc>
          <w:tcPr>
            <w:tcW w:w="567" w:type="dxa"/>
            <w:tcBorders>
              <w:bottom w:val="single" w:sz="4" w:space="0" w:color="auto"/>
            </w:tcBorders>
          </w:tcPr>
          <w:p>
            <w:pPr>
              <w:pStyle w:val="yTableNAm"/>
            </w:pPr>
          </w:p>
        </w:tc>
        <w:tc>
          <w:tcPr>
            <w:tcW w:w="4252" w:type="dxa"/>
            <w:tcBorders>
              <w:bottom w:val="single" w:sz="4" w:space="0" w:color="auto"/>
            </w:tcBorders>
          </w:tcPr>
          <w:p>
            <w:pPr>
              <w:pStyle w:val="yTableNAm"/>
              <w:tabs>
                <w:tab w:val="clear" w:pos="567"/>
                <w:tab w:val="left" w:pos="415"/>
              </w:tabs>
              <w:ind w:left="415" w:hanging="415"/>
            </w:pPr>
            <w:r>
              <w:t>•</w:t>
            </w:r>
            <w:r>
              <w:tab/>
              <w:t>for 22 m pen</w:t>
            </w:r>
          </w:p>
        </w:tc>
        <w:tc>
          <w:tcPr>
            <w:tcW w:w="1134" w:type="dxa"/>
            <w:tcBorders>
              <w:bottom w:val="single" w:sz="4" w:space="0" w:color="auto"/>
            </w:tcBorders>
          </w:tcPr>
          <w:p>
            <w:pPr>
              <w:pStyle w:val="yTableNAm"/>
              <w:jc w:val="right"/>
            </w:pPr>
            <w:r>
              <w:t>1 697.21</w:t>
            </w:r>
          </w:p>
        </w:tc>
      </w:tr>
    </w:tbl>
    <w:p>
      <w:pPr>
        <w:pStyle w:val="yFootnotesection"/>
      </w:pPr>
      <w:bookmarkStart w:id="718" w:name="_Toc346791084"/>
      <w:r>
        <w:tab/>
        <w:t>[Clause 12 inserted in Gazette 28 Jun 2013 p. 2855</w:t>
      </w:r>
      <w:r>
        <w:noBreakHyphen/>
        <w:t>7.]</w:t>
      </w:r>
    </w:p>
    <w:p>
      <w:pPr>
        <w:pStyle w:val="yHeading5"/>
      </w:pPr>
      <w:bookmarkStart w:id="719" w:name="_Toc360523354"/>
      <w:r>
        <w:rPr>
          <w:rStyle w:val="CharSClsNo"/>
        </w:rPr>
        <w:t>13</w:t>
      </w:r>
      <w:r>
        <w:t>.</w:t>
      </w:r>
      <w:r>
        <w:rPr>
          <w:b w:val="0"/>
        </w:rPr>
        <w:tab/>
      </w:r>
      <w:r>
        <w:t>Green Head</w:t>
      </w:r>
      <w:bookmarkEnd w:id="718"/>
      <w:bookmarkEnd w:id="719"/>
    </w:p>
    <w:p>
      <w:pPr>
        <w:pStyle w:val="ySubsection"/>
      </w:pPr>
      <w:r>
        <w:tab/>
        <w:t>(1)</w:t>
      </w:r>
      <w:r>
        <w:tab/>
        <w:t>This clause applies to Green Head.</w:t>
      </w:r>
    </w:p>
    <w:p>
      <w:pPr>
        <w:pStyle w:val="ySubsection"/>
      </w:pPr>
      <w:r>
        <w:tab/>
        <w:t>(2)</w:t>
      </w:r>
      <w:r>
        <w:tab/>
        <w:t>The fees and charges to be paid under regulation 6 are set out in Table 13.1.</w:t>
      </w:r>
    </w:p>
    <w:p>
      <w:pPr>
        <w:pStyle w:val="yTHeadingNAm"/>
      </w:pPr>
      <w:r>
        <w:t>Table 13.1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For use of service jetty by vessel, per m of the vessel’s length, per day</w:t>
            </w:r>
          </w:p>
        </w:tc>
        <w:tc>
          <w:tcPr>
            <w:tcW w:w="996" w:type="dxa"/>
            <w:tcBorders>
              <w:top w:val="single" w:sz="4" w:space="0" w:color="auto"/>
              <w:bottom w:val="single" w:sz="4" w:space="0" w:color="auto"/>
            </w:tcBorders>
          </w:tcPr>
          <w:p>
            <w:pPr>
              <w:pStyle w:val="yTableNAm"/>
              <w:jc w:val="right"/>
            </w:pPr>
            <w:r>
              <w:br/>
              <w:t>4.78</w:t>
            </w:r>
          </w:p>
        </w:tc>
      </w:tr>
    </w:tbl>
    <w:p>
      <w:pPr>
        <w:pStyle w:val="yFootnotesection"/>
      </w:pPr>
      <w:bookmarkStart w:id="720" w:name="_Toc346791085"/>
      <w:r>
        <w:tab/>
        <w:t>[Clause 13 inserted in Gazette 28 Jun 2013 p. 2858.]</w:t>
      </w:r>
    </w:p>
    <w:p>
      <w:pPr>
        <w:pStyle w:val="yHeading5"/>
      </w:pPr>
      <w:bookmarkStart w:id="721" w:name="_Toc360523355"/>
      <w:r>
        <w:rPr>
          <w:rStyle w:val="CharSClsNo"/>
        </w:rPr>
        <w:t>14</w:t>
      </w:r>
      <w:r>
        <w:t>.</w:t>
      </w:r>
      <w:r>
        <w:rPr>
          <w:b w:val="0"/>
        </w:rPr>
        <w:tab/>
      </w:r>
      <w:r>
        <w:t>Hopetoun</w:t>
      </w:r>
      <w:bookmarkEnd w:id="720"/>
      <w:bookmarkEnd w:id="721"/>
    </w:p>
    <w:p>
      <w:pPr>
        <w:pStyle w:val="ySubsection"/>
      </w:pPr>
      <w:r>
        <w:tab/>
        <w:t>(1)</w:t>
      </w:r>
      <w:r>
        <w:tab/>
        <w:t>This clause applies to Hopetoun.</w:t>
      </w:r>
    </w:p>
    <w:p>
      <w:pPr>
        <w:pStyle w:val="ySubsection"/>
      </w:pPr>
      <w:r>
        <w:tab/>
        <w:t>(2)</w:t>
      </w:r>
      <w:r>
        <w:tab/>
        <w:t>The fees and charges to be paid under regulation 6 are set out in Table 14.1.</w:t>
      </w:r>
    </w:p>
    <w:p>
      <w:pPr>
        <w:pStyle w:val="yTHeadingNAm"/>
      </w:pPr>
      <w:r>
        <w:t>Table 14.1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For use of service jetty by vessel for short time just to load or unload, per m of the vessel’s length, for 12 months, paid in advance</w:t>
            </w:r>
          </w:p>
        </w:tc>
        <w:tc>
          <w:tcPr>
            <w:tcW w:w="996" w:type="dxa"/>
          </w:tcPr>
          <w:p>
            <w:pPr>
              <w:pStyle w:val="yTableNAm"/>
              <w:jc w:val="right"/>
            </w:pPr>
            <w:r>
              <w:br/>
            </w:r>
            <w:r>
              <w:br/>
              <w:t>94.58</w:t>
            </w:r>
          </w:p>
        </w:tc>
      </w:tr>
      <w:tr>
        <w:trPr>
          <w:cantSplit/>
        </w:trPr>
        <w:tc>
          <w:tcPr>
            <w:tcW w:w="567" w:type="dxa"/>
            <w:tcBorders>
              <w:bottom w:val="single" w:sz="4" w:space="0" w:color="auto"/>
            </w:tcBorders>
          </w:tcPr>
          <w:p>
            <w:pPr>
              <w:pStyle w:val="yTableNAm"/>
            </w:pPr>
            <w:r>
              <w:t>2.</w:t>
            </w:r>
          </w:p>
        </w:tc>
        <w:tc>
          <w:tcPr>
            <w:tcW w:w="4390" w:type="dxa"/>
            <w:tcBorders>
              <w:bottom w:val="single" w:sz="4" w:space="0" w:color="auto"/>
            </w:tcBorders>
          </w:tcPr>
          <w:p>
            <w:pPr>
              <w:pStyle w:val="yTableNAm"/>
            </w:pPr>
            <w:r>
              <w:t>For other use of service jetty by vessel, per m of the vessel’s length, per day</w:t>
            </w:r>
          </w:p>
        </w:tc>
        <w:tc>
          <w:tcPr>
            <w:tcW w:w="996" w:type="dxa"/>
            <w:tcBorders>
              <w:bottom w:val="single" w:sz="4" w:space="0" w:color="auto"/>
            </w:tcBorders>
          </w:tcPr>
          <w:p>
            <w:pPr>
              <w:pStyle w:val="yTableNAm"/>
              <w:jc w:val="right"/>
            </w:pPr>
            <w:r>
              <w:br/>
              <w:t>4.73</w:t>
            </w:r>
          </w:p>
        </w:tc>
      </w:tr>
    </w:tbl>
    <w:p>
      <w:pPr>
        <w:pStyle w:val="yFootnotesection"/>
      </w:pPr>
      <w:bookmarkStart w:id="722" w:name="_Toc346791086"/>
      <w:r>
        <w:tab/>
        <w:t>[Clause 14 inserted in Gazette 28 Jun 2013 p. 2858.]</w:t>
      </w:r>
    </w:p>
    <w:p>
      <w:pPr>
        <w:pStyle w:val="yHeading5"/>
      </w:pPr>
      <w:bookmarkStart w:id="723" w:name="_Toc360523356"/>
      <w:r>
        <w:rPr>
          <w:rStyle w:val="CharSClsNo"/>
        </w:rPr>
        <w:t>15</w:t>
      </w:r>
      <w:r>
        <w:t>.</w:t>
      </w:r>
      <w:r>
        <w:rPr>
          <w:b w:val="0"/>
        </w:rPr>
        <w:tab/>
      </w:r>
      <w:r>
        <w:t>Jurien</w:t>
      </w:r>
      <w:bookmarkEnd w:id="722"/>
      <w:bookmarkEnd w:id="723"/>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42A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15.1 (Berthing, jetty use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pen for commercial vessel, per m of the longer of the vessel’s length and the chargeable length for the pen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397.25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39.74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59.59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38.26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7.66</w:t>
            </w:r>
          </w:p>
        </w:tc>
      </w:tr>
      <w:tr>
        <w:trPr>
          <w:cantSplit/>
        </w:trPr>
        <w:tc>
          <w:tcPr>
            <w:tcW w:w="567" w:type="dxa"/>
          </w:tcPr>
          <w:p>
            <w:pPr>
              <w:pStyle w:val="yTableNAm"/>
            </w:pPr>
            <w:r>
              <w:t>2.</w:t>
            </w:r>
          </w:p>
        </w:tc>
        <w:tc>
          <w:tcPr>
            <w:tcW w:w="4390" w:type="dxa"/>
          </w:tcPr>
          <w:p>
            <w:pPr>
              <w:pStyle w:val="yTableNAm"/>
            </w:pPr>
            <w:r>
              <w:t xml:space="preserve">For pen for recreational vessel, per m of the longer of the vessel’s length and the chargeable length for the pen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381.25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38.13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57.19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25.84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days paid in advance</w:t>
            </w:r>
          </w:p>
        </w:tc>
        <w:tc>
          <w:tcPr>
            <w:tcW w:w="996" w:type="dxa"/>
            <w:vAlign w:val="bottom"/>
          </w:tcPr>
          <w:p>
            <w:pPr>
              <w:pStyle w:val="yTableNAm"/>
              <w:jc w:val="right"/>
              <w:rPr>
                <w:szCs w:val="22"/>
              </w:rPr>
            </w:pPr>
            <w:r>
              <w:rPr>
                <w:szCs w:val="22"/>
              </w:rPr>
              <w:t>10.33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5.17</w:t>
            </w:r>
          </w:p>
        </w:tc>
      </w:tr>
      <w:tr>
        <w:trPr>
          <w:cantSplit/>
        </w:trPr>
        <w:tc>
          <w:tcPr>
            <w:tcW w:w="567" w:type="dxa"/>
          </w:tcPr>
          <w:p>
            <w:pPr>
              <w:pStyle w:val="yTableNAm"/>
            </w:pPr>
            <w:r>
              <w:t>3.</w:t>
            </w:r>
          </w:p>
        </w:tc>
        <w:tc>
          <w:tcPr>
            <w:tcW w:w="4390" w:type="dxa"/>
          </w:tcPr>
          <w:p>
            <w:pPr>
              <w:pStyle w:val="yTableNAm"/>
            </w:pPr>
            <w:r>
              <w:t>For vehicular use of service jetty and land adjacent to it by a business (company or registered business name), other than lessee of land at Jurien Boat Harbour controlled or managed by the Department, to load or unload vessels, for 12 months paid in advance, per business</w:t>
            </w:r>
          </w:p>
        </w:tc>
        <w:tc>
          <w:tcPr>
            <w:tcW w:w="996" w:type="dxa"/>
            <w:vAlign w:val="bottom"/>
          </w:tcPr>
          <w:p>
            <w:pPr>
              <w:pStyle w:val="yTableNAm"/>
              <w:jc w:val="right"/>
              <w:rPr>
                <w:szCs w:val="22"/>
              </w:rPr>
            </w:pPr>
            <w:r>
              <w:rPr>
                <w:szCs w:val="22"/>
              </w:rPr>
              <w:t>4 713.69</w:t>
            </w:r>
          </w:p>
        </w:tc>
      </w:tr>
      <w:tr>
        <w:trPr>
          <w:cantSplit/>
        </w:trPr>
        <w:tc>
          <w:tcPr>
            <w:tcW w:w="567" w:type="dxa"/>
          </w:tcPr>
          <w:p>
            <w:pPr>
              <w:pStyle w:val="yTableNAm"/>
            </w:pPr>
            <w:r>
              <w:t>4.</w:t>
            </w:r>
          </w:p>
        </w:tc>
        <w:tc>
          <w:tcPr>
            <w:tcW w:w="4390" w:type="dxa"/>
          </w:tcPr>
          <w:p>
            <w:pPr>
              <w:pStyle w:val="yTableNAm"/>
            </w:pPr>
            <w:r>
              <w:t xml:space="preserve">For use of service jetty by vessel for which the item 1 or 2 fee has not been paid, per m of the vessel’s length, per day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a commercial vessel</w:t>
            </w:r>
          </w:p>
        </w:tc>
        <w:tc>
          <w:tcPr>
            <w:tcW w:w="996" w:type="dxa"/>
            <w:vAlign w:val="bottom"/>
          </w:tcPr>
          <w:p>
            <w:pPr>
              <w:pStyle w:val="yTableNAm"/>
              <w:jc w:val="right"/>
              <w:rPr>
                <w:szCs w:val="22"/>
              </w:rPr>
            </w:pPr>
            <w:r>
              <w:rPr>
                <w:szCs w:val="22"/>
              </w:rPr>
              <w:t>3.81</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for a recreational vessel</w:t>
            </w:r>
          </w:p>
        </w:tc>
        <w:tc>
          <w:tcPr>
            <w:tcW w:w="996" w:type="dxa"/>
            <w:tcBorders>
              <w:bottom w:val="single" w:sz="4" w:space="0" w:color="auto"/>
            </w:tcBorders>
            <w:vAlign w:val="bottom"/>
          </w:tcPr>
          <w:p>
            <w:pPr>
              <w:pStyle w:val="yTableNAm"/>
              <w:jc w:val="right"/>
              <w:rPr>
                <w:szCs w:val="22"/>
              </w:rPr>
            </w:pPr>
            <w:r>
              <w:rPr>
                <w:szCs w:val="22"/>
              </w:rPr>
              <w:t>3.67</w:t>
            </w:r>
          </w:p>
        </w:tc>
      </w:tr>
    </w:tbl>
    <w:p>
      <w:pPr>
        <w:pStyle w:val="yFootnotesection"/>
      </w:pPr>
      <w:bookmarkStart w:id="724" w:name="_Toc346791087"/>
      <w:r>
        <w:tab/>
        <w:t>[Clause 15 inserted in Gazette 28 Jun 2013 p. 2858</w:t>
      </w:r>
      <w:r>
        <w:noBreakHyphen/>
        <w:t>60.]</w:t>
      </w:r>
    </w:p>
    <w:p>
      <w:pPr>
        <w:pStyle w:val="yHeading5"/>
      </w:pPr>
      <w:bookmarkStart w:id="725" w:name="_Toc360523357"/>
      <w:r>
        <w:rPr>
          <w:rStyle w:val="CharSClsNo"/>
        </w:rPr>
        <w:t>16</w:t>
      </w:r>
      <w:r>
        <w:t>.</w:t>
      </w:r>
      <w:r>
        <w:rPr>
          <w:b w:val="0"/>
        </w:rPr>
        <w:tab/>
      </w:r>
      <w:r>
        <w:t>Kalbarri</w:t>
      </w:r>
      <w:bookmarkEnd w:id="724"/>
      <w:bookmarkEnd w:id="725"/>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and 94A are set out in Table 16.1.</w:t>
      </w:r>
    </w:p>
    <w:p>
      <w:pPr>
        <w:pStyle w:val="ySubsection"/>
      </w:pPr>
      <w:r>
        <w:tab/>
        <w:t>(3)</w:t>
      </w:r>
      <w:r>
        <w:tab/>
        <w:t>In Table 16.1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16.1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rPr>
                <w:b/>
              </w:rPr>
            </w:pPr>
            <w:r>
              <w:rPr>
                <w:b/>
              </w:rPr>
              <w:t>Item</w:t>
            </w:r>
          </w:p>
        </w:tc>
        <w:tc>
          <w:tcPr>
            <w:tcW w:w="4391" w:type="dxa"/>
            <w:tcBorders>
              <w:top w:val="single" w:sz="4" w:space="0" w:color="auto"/>
              <w:bottom w:val="single" w:sz="4" w:space="0" w:color="auto"/>
            </w:tcBorders>
          </w:tcPr>
          <w:p>
            <w:pPr>
              <w:pStyle w:val="yTableNAm"/>
              <w:keepNext/>
              <w:rPr>
                <w:b/>
              </w:rPr>
            </w:pPr>
            <w:r>
              <w:rPr>
                <w:b/>
              </w:rPr>
              <w:t>Service</w:t>
            </w:r>
          </w:p>
        </w:tc>
        <w:tc>
          <w:tcPr>
            <w:tcW w:w="995" w:type="dxa"/>
            <w:tcBorders>
              <w:top w:val="single" w:sz="4" w:space="0" w:color="auto"/>
              <w:bottom w:val="single" w:sz="4" w:space="0" w:color="auto"/>
            </w:tcBorders>
          </w:tcPr>
          <w:p>
            <w:pPr>
              <w:pStyle w:val="yTableNAm"/>
              <w:keepNext/>
              <w:jc w:val="center"/>
              <w:rPr>
                <w:b/>
              </w:rPr>
            </w:pPr>
            <w:r>
              <w:rPr>
                <w:b/>
              </w:rPr>
              <w:t>$</w:t>
            </w:r>
          </w:p>
        </w:tc>
      </w:tr>
      <w:tr>
        <w:trPr>
          <w:cantSplit/>
        </w:trPr>
        <w:tc>
          <w:tcPr>
            <w:tcW w:w="567" w:type="dxa"/>
          </w:tcPr>
          <w:p>
            <w:pPr>
              <w:pStyle w:val="yTableNAm"/>
              <w:keepNext/>
            </w:pPr>
            <w:r>
              <w:t>1.</w:t>
            </w:r>
          </w:p>
        </w:tc>
        <w:tc>
          <w:tcPr>
            <w:tcW w:w="4391" w:type="dxa"/>
          </w:tcPr>
          <w:p>
            <w:pPr>
              <w:pStyle w:val="yTableNAm"/>
              <w:keepNext/>
            </w:pPr>
            <w:r>
              <w:t>For pen, per m of the longer of the vessel’s length and the chargeable length for the pen —</w:t>
            </w:r>
          </w:p>
        </w:tc>
        <w:tc>
          <w:tcPr>
            <w:tcW w:w="995" w:type="dxa"/>
          </w:tcPr>
          <w:p>
            <w:pPr>
              <w:pStyle w:val="yTableNAm"/>
              <w:keepNext/>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rPr>
                <w:szCs w:val="22"/>
              </w:rPr>
            </w:pPr>
            <w:r>
              <w:rPr>
                <w:szCs w:val="22"/>
              </w:rPr>
              <w:t>259.75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rPr>
                <w:szCs w:val="22"/>
              </w:rPr>
            </w:pPr>
            <w:r>
              <w:rPr>
                <w:szCs w:val="22"/>
              </w:rPr>
              <w:t>25.96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rPr>
                <w:szCs w:val="22"/>
              </w:rPr>
            </w:pPr>
            <w:r>
              <w:rPr>
                <w:szCs w:val="22"/>
              </w:rPr>
              <w:t>38.96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rPr>
                <w:szCs w:val="22"/>
              </w:rPr>
            </w:pPr>
            <w:r>
              <w:rPr>
                <w:szCs w:val="22"/>
              </w:rPr>
              <w:t>29.36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rPr>
                <w:szCs w:val="22"/>
              </w:rPr>
            </w:pPr>
            <w:r>
              <w:rPr>
                <w:szCs w:val="22"/>
              </w:rPr>
              <w:t>5.87</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minimum overnight</w:t>
            </w:r>
          </w:p>
        </w:tc>
        <w:tc>
          <w:tcPr>
            <w:tcW w:w="995" w:type="dxa"/>
            <w:vAlign w:val="bottom"/>
          </w:tcPr>
          <w:p>
            <w:pPr>
              <w:pStyle w:val="yTableNAm"/>
              <w:jc w:val="right"/>
              <w:rPr>
                <w:szCs w:val="22"/>
              </w:rPr>
            </w:pPr>
            <w:r>
              <w:rPr>
                <w:szCs w:val="22"/>
              </w:rPr>
              <w:t>58.71</w:t>
            </w:r>
          </w:p>
        </w:tc>
      </w:tr>
      <w:tr>
        <w:trPr>
          <w:cantSplit/>
        </w:trPr>
        <w:tc>
          <w:tcPr>
            <w:tcW w:w="567" w:type="dxa"/>
          </w:tcPr>
          <w:p>
            <w:pPr>
              <w:pStyle w:val="yTableNAm"/>
            </w:pPr>
            <w:r>
              <w:t>2.</w:t>
            </w:r>
          </w:p>
        </w:tc>
        <w:tc>
          <w:tcPr>
            <w:tcW w:w="4391" w:type="dxa"/>
          </w:tcPr>
          <w:p>
            <w:pPr>
              <w:pStyle w:val="yTableNAm"/>
            </w:pPr>
            <w:r>
              <w:t xml:space="preserve">For use of service jetty by vessel if pen available — </w:t>
            </w:r>
          </w:p>
        </w:tc>
        <w:tc>
          <w:tcPr>
            <w:tcW w:w="995" w:type="dxa"/>
            <w:vAlign w:val="bottom"/>
          </w:tcPr>
          <w:p>
            <w:pPr>
              <w:pStyle w:val="yTableNAm"/>
              <w:jc w:val="right"/>
              <w:rPr>
                <w:szCs w:val="22"/>
              </w:rPr>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per m of the vessel’s length, per day</w:t>
            </w:r>
          </w:p>
        </w:tc>
        <w:tc>
          <w:tcPr>
            <w:tcW w:w="995" w:type="dxa"/>
            <w:vAlign w:val="bottom"/>
          </w:tcPr>
          <w:p>
            <w:pPr>
              <w:pStyle w:val="yTableNAm"/>
              <w:jc w:val="right"/>
              <w:rPr>
                <w:szCs w:val="22"/>
              </w:rPr>
            </w:pPr>
            <w:r>
              <w:rPr>
                <w:szCs w:val="22"/>
              </w:rPr>
              <w:t>7.80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minimum overnight</w:t>
            </w:r>
          </w:p>
        </w:tc>
        <w:tc>
          <w:tcPr>
            <w:tcW w:w="995" w:type="dxa"/>
            <w:vAlign w:val="bottom"/>
          </w:tcPr>
          <w:p>
            <w:pPr>
              <w:pStyle w:val="yTableNAm"/>
              <w:jc w:val="right"/>
              <w:rPr>
                <w:szCs w:val="22"/>
              </w:rPr>
            </w:pPr>
            <w:r>
              <w:rPr>
                <w:szCs w:val="22"/>
              </w:rPr>
              <w:t>78.14</w:t>
            </w:r>
          </w:p>
        </w:tc>
      </w:tr>
      <w:tr>
        <w:trPr>
          <w:cantSplit/>
        </w:trPr>
        <w:tc>
          <w:tcPr>
            <w:tcW w:w="567" w:type="dxa"/>
          </w:tcPr>
          <w:p>
            <w:pPr>
              <w:pStyle w:val="yTableNAm"/>
            </w:pPr>
            <w:r>
              <w:t>3.</w:t>
            </w:r>
          </w:p>
        </w:tc>
        <w:tc>
          <w:tcPr>
            <w:tcW w:w="4391" w:type="dxa"/>
          </w:tcPr>
          <w:p>
            <w:pPr>
              <w:pStyle w:val="yTableNAm"/>
            </w:pPr>
            <w:r>
              <w:t xml:space="preserve">For use of service jetty by vessel if pen not available — </w:t>
            </w:r>
          </w:p>
        </w:tc>
        <w:tc>
          <w:tcPr>
            <w:tcW w:w="995" w:type="dxa"/>
            <w:vAlign w:val="bottom"/>
          </w:tcPr>
          <w:p>
            <w:pPr>
              <w:pStyle w:val="yTableNAm"/>
              <w:jc w:val="right"/>
              <w:rPr>
                <w:szCs w:val="22"/>
              </w:rPr>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per m of the vessel’s length, per day</w:t>
            </w:r>
          </w:p>
        </w:tc>
        <w:tc>
          <w:tcPr>
            <w:tcW w:w="995" w:type="dxa"/>
            <w:vAlign w:val="bottom"/>
          </w:tcPr>
          <w:p>
            <w:pPr>
              <w:pStyle w:val="yTableNAm"/>
              <w:jc w:val="right"/>
              <w:rPr>
                <w:szCs w:val="22"/>
              </w:rPr>
            </w:pPr>
            <w:r>
              <w:rPr>
                <w:szCs w:val="22"/>
              </w:rPr>
              <w:t>5.23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minimum overnight</w:t>
            </w:r>
          </w:p>
        </w:tc>
        <w:tc>
          <w:tcPr>
            <w:tcW w:w="995" w:type="dxa"/>
            <w:vAlign w:val="bottom"/>
          </w:tcPr>
          <w:p>
            <w:pPr>
              <w:pStyle w:val="yTableNAm"/>
              <w:jc w:val="right"/>
              <w:rPr>
                <w:szCs w:val="22"/>
              </w:rPr>
            </w:pPr>
            <w:r>
              <w:rPr>
                <w:szCs w:val="22"/>
              </w:rPr>
              <w:t>52.11</w:t>
            </w:r>
          </w:p>
        </w:tc>
      </w:tr>
      <w:tr>
        <w:trPr>
          <w:cantSplit/>
        </w:trPr>
        <w:tc>
          <w:tcPr>
            <w:tcW w:w="567" w:type="dxa"/>
          </w:tcPr>
          <w:p>
            <w:pPr>
              <w:pStyle w:val="yTableNAm"/>
            </w:pPr>
            <w:r>
              <w:t>4.</w:t>
            </w:r>
          </w:p>
        </w:tc>
        <w:tc>
          <w:tcPr>
            <w:tcW w:w="4391" w:type="dxa"/>
          </w:tcPr>
          <w:p>
            <w:pPr>
              <w:pStyle w:val="yTableNAm"/>
            </w:pPr>
            <w:r>
              <w:t>For use of service jetty by vessel just to load or unload, unless the item 1, 2 or 3 fee has been paid for vessel, per vessel for 12 months paid in advance</w:t>
            </w:r>
          </w:p>
        </w:tc>
        <w:tc>
          <w:tcPr>
            <w:tcW w:w="995" w:type="dxa"/>
            <w:vAlign w:val="bottom"/>
          </w:tcPr>
          <w:p>
            <w:pPr>
              <w:pStyle w:val="yTableNAm"/>
              <w:jc w:val="right"/>
            </w:pPr>
            <w:r>
              <w:t>727.30</w:t>
            </w:r>
          </w:p>
        </w:tc>
      </w:tr>
      <w:tr>
        <w:trPr>
          <w:cantSplit/>
        </w:trPr>
        <w:tc>
          <w:tcPr>
            <w:tcW w:w="567" w:type="dxa"/>
          </w:tcPr>
          <w:p>
            <w:pPr>
              <w:pStyle w:val="yTableNAm"/>
            </w:pPr>
            <w:r>
              <w:t>5.</w:t>
            </w:r>
          </w:p>
        </w:tc>
        <w:tc>
          <w:tcPr>
            <w:tcW w:w="4391" w:type="dxa"/>
          </w:tcPr>
          <w:p>
            <w:pPr>
              <w:pStyle w:val="yTableNAm"/>
            </w:pPr>
            <w:r>
              <w:t>For electricity supply except to vessel for which the item 1, 2 or 3 fee has been paid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single phase, if metering indicates usage of more than $6.51 in a day</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single phase, otherwise, per day</w:t>
            </w:r>
          </w:p>
        </w:tc>
        <w:tc>
          <w:tcPr>
            <w:tcW w:w="995" w:type="dxa"/>
            <w:vAlign w:val="bottom"/>
          </w:tcPr>
          <w:p>
            <w:pPr>
              <w:pStyle w:val="yTableNAm"/>
              <w:jc w:val="right"/>
            </w:pPr>
            <w:r>
              <w:t>6.51</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3</w:t>
            </w:r>
            <w:r>
              <w:noBreakHyphen/>
              <w:t>phase, if metering indicates usage of more than $26.06 in a day</w:t>
            </w:r>
          </w:p>
        </w:tc>
        <w:tc>
          <w:tcPr>
            <w:tcW w:w="995"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1" w:type="dxa"/>
            <w:tcBorders>
              <w:bottom w:val="single" w:sz="4" w:space="0" w:color="auto"/>
            </w:tcBorders>
          </w:tcPr>
          <w:p>
            <w:pPr>
              <w:pStyle w:val="yTableNAm"/>
              <w:tabs>
                <w:tab w:val="clear" w:pos="567"/>
                <w:tab w:val="left" w:pos="415"/>
              </w:tabs>
              <w:ind w:left="415" w:hanging="415"/>
            </w:pPr>
            <w:r>
              <w:t>•</w:t>
            </w:r>
            <w:r>
              <w:tab/>
              <w:t>3</w:t>
            </w:r>
            <w:r>
              <w:noBreakHyphen/>
              <w:t>phase, otherwise, per day</w:t>
            </w:r>
          </w:p>
        </w:tc>
        <w:tc>
          <w:tcPr>
            <w:tcW w:w="995" w:type="dxa"/>
            <w:tcBorders>
              <w:bottom w:val="single" w:sz="4" w:space="0" w:color="auto"/>
            </w:tcBorders>
            <w:vAlign w:val="bottom"/>
          </w:tcPr>
          <w:p>
            <w:pPr>
              <w:pStyle w:val="yTableNAm"/>
              <w:jc w:val="right"/>
            </w:pPr>
            <w:r>
              <w:t>26.06</w:t>
            </w:r>
          </w:p>
        </w:tc>
      </w:tr>
    </w:tbl>
    <w:p>
      <w:pPr>
        <w:pStyle w:val="yFootnotesection"/>
      </w:pPr>
      <w:bookmarkStart w:id="726" w:name="_Toc346791088"/>
      <w:r>
        <w:tab/>
        <w:t>[Clause 16 inserted in Gazette 28 Jun 2013 p. 2860</w:t>
      </w:r>
      <w:r>
        <w:noBreakHyphen/>
        <w:t>2.]</w:t>
      </w:r>
    </w:p>
    <w:p>
      <w:pPr>
        <w:pStyle w:val="yHeading5"/>
      </w:pPr>
      <w:bookmarkStart w:id="727" w:name="_Toc360523358"/>
      <w:r>
        <w:rPr>
          <w:rStyle w:val="CharSClsNo"/>
        </w:rPr>
        <w:t>17</w:t>
      </w:r>
      <w:r>
        <w:t>.</w:t>
      </w:r>
      <w:r>
        <w:rPr>
          <w:b w:val="0"/>
        </w:rPr>
        <w:tab/>
      </w:r>
      <w:r>
        <w:t>Lancelin</w:t>
      </w:r>
      <w:bookmarkEnd w:id="726"/>
      <w:bookmarkEnd w:id="727"/>
    </w:p>
    <w:p>
      <w:pPr>
        <w:pStyle w:val="ySubsection"/>
      </w:pPr>
      <w:r>
        <w:tab/>
        <w:t>(1)</w:t>
      </w:r>
      <w:r>
        <w:tab/>
        <w:t>This clause applies to Lancelin.</w:t>
      </w:r>
    </w:p>
    <w:p>
      <w:pPr>
        <w:pStyle w:val="ySubsection"/>
      </w:pPr>
      <w:r>
        <w:tab/>
        <w:t>(2)</w:t>
      </w:r>
      <w:r>
        <w:tab/>
        <w:t>The fees to be paid under regulation 6 are set out in Table 17.1.</w:t>
      </w:r>
    </w:p>
    <w:p>
      <w:pPr>
        <w:pStyle w:val="yTHeadingNAm"/>
      </w:pPr>
      <w:r>
        <w:t>Table 17.1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For use of service jetty by vessel, per m of the vessel’s length, per day</w:t>
            </w:r>
          </w:p>
        </w:tc>
        <w:tc>
          <w:tcPr>
            <w:tcW w:w="996" w:type="dxa"/>
            <w:tcBorders>
              <w:top w:val="single" w:sz="4" w:space="0" w:color="auto"/>
              <w:bottom w:val="single" w:sz="4" w:space="0" w:color="auto"/>
            </w:tcBorders>
          </w:tcPr>
          <w:p>
            <w:pPr>
              <w:pStyle w:val="yTableNAm"/>
              <w:jc w:val="right"/>
            </w:pPr>
            <w:r>
              <w:br/>
              <w:t>6.55</w:t>
            </w:r>
          </w:p>
        </w:tc>
      </w:tr>
    </w:tbl>
    <w:p>
      <w:pPr>
        <w:pStyle w:val="yFootnotesection"/>
      </w:pPr>
      <w:bookmarkStart w:id="728" w:name="_Toc346791089"/>
      <w:r>
        <w:tab/>
        <w:t>[Clause 17 inserted in Gazette 28 Jun 2013 p. 2862.]</w:t>
      </w:r>
    </w:p>
    <w:p>
      <w:pPr>
        <w:pStyle w:val="yHeading5"/>
      </w:pPr>
      <w:bookmarkStart w:id="729" w:name="_Toc360523359"/>
      <w:r>
        <w:rPr>
          <w:rStyle w:val="CharSClsNo"/>
        </w:rPr>
        <w:t>18</w:t>
      </w:r>
      <w:r>
        <w:t>.</w:t>
      </w:r>
      <w:r>
        <w:rPr>
          <w:b w:val="0"/>
        </w:rPr>
        <w:tab/>
      </w:r>
      <w:r>
        <w:t>Leeman</w:t>
      </w:r>
      <w:bookmarkEnd w:id="728"/>
      <w:bookmarkEnd w:id="729"/>
    </w:p>
    <w:p>
      <w:pPr>
        <w:pStyle w:val="ySubsection"/>
      </w:pPr>
      <w:r>
        <w:tab/>
        <w:t>(1)</w:t>
      </w:r>
      <w:r>
        <w:tab/>
        <w:t>This clause applies to Leeman.</w:t>
      </w:r>
    </w:p>
    <w:p>
      <w:pPr>
        <w:pStyle w:val="ySubsection"/>
      </w:pPr>
      <w:r>
        <w:tab/>
        <w:t>(2)</w:t>
      </w:r>
      <w:r>
        <w:tab/>
        <w:t>The fees and charges to be paid under regulation 6 are set out in Table 18.1.</w:t>
      </w:r>
    </w:p>
    <w:p>
      <w:pPr>
        <w:pStyle w:val="yTHeadingNAm"/>
      </w:pPr>
      <w:r>
        <w:t>Table 18.1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use of service jetty by vessel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 of the vessel’s length, per day</w:t>
            </w:r>
          </w:p>
        </w:tc>
        <w:tc>
          <w:tcPr>
            <w:tcW w:w="996" w:type="dxa"/>
          </w:tcPr>
          <w:p>
            <w:pPr>
              <w:pStyle w:val="yTableNAm"/>
              <w:jc w:val="right"/>
            </w:pPr>
            <w:r>
              <w:t>4.09</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minimum overnight</w:t>
            </w:r>
          </w:p>
        </w:tc>
        <w:tc>
          <w:tcPr>
            <w:tcW w:w="996" w:type="dxa"/>
            <w:tcBorders>
              <w:bottom w:val="single" w:sz="4" w:space="0" w:color="auto"/>
            </w:tcBorders>
          </w:tcPr>
          <w:p>
            <w:pPr>
              <w:pStyle w:val="yTableNAm"/>
              <w:jc w:val="right"/>
            </w:pPr>
            <w:r>
              <w:t>61.44</w:t>
            </w:r>
          </w:p>
        </w:tc>
      </w:tr>
    </w:tbl>
    <w:p>
      <w:pPr>
        <w:pStyle w:val="yFootnotesection"/>
      </w:pPr>
      <w:bookmarkStart w:id="730" w:name="_Toc346791090"/>
      <w:r>
        <w:tab/>
        <w:t>[Clause 18 inserted in Gazette 28 Jun 2013 p. 2862.]</w:t>
      </w:r>
    </w:p>
    <w:p>
      <w:pPr>
        <w:pStyle w:val="yHeading5"/>
      </w:pPr>
      <w:bookmarkStart w:id="731" w:name="_Toc360523360"/>
      <w:r>
        <w:rPr>
          <w:rStyle w:val="CharSClsNo"/>
        </w:rPr>
        <w:t>19</w:t>
      </w:r>
      <w:r>
        <w:t>.</w:t>
      </w:r>
      <w:r>
        <w:rPr>
          <w:b w:val="0"/>
        </w:rPr>
        <w:tab/>
      </w:r>
      <w:r>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30"/>
      <w:bookmarkEnd w:id="731"/>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charges and dues to be paid under regulation 10A are set out in Table 19.1.</w:t>
      </w:r>
    </w:p>
    <w:p>
      <w:pPr>
        <w:pStyle w:val="yTHeadingNAm"/>
      </w:pPr>
      <w:r>
        <w:t>Table 19.1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General cargo at the service wharf or an appurtenant area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if loaded from or into vessel, per t or m</w:t>
            </w:r>
            <w:r>
              <w:rPr>
                <w:vertAlign w:val="superscript"/>
              </w:rPr>
              <w:t>3</w:t>
            </w:r>
          </w:p>
        </w:tc>
        <w:tc>
          <w:tcPr>
            <w:tcW w:w="992" w:type="dxa"/>
          </w:tcPr>
          <w:p>
            <w:pPr>
              <w:pStyle w:val="yTableNAm"/>
              <w:jc w:val="right"/>
            </w:pPr>
            <w:r>
              <w:t>6.24</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if vessel is lifted, per m of the vessel’s length</w:t>
            </w:r>
          </w:p>
        </w:tc>
        <w:tc>
          <w:tcPr>
            <w:tcW w:w="992" w:type="dxa"/>
            <w:tcBorders>
              <w:bottom w:val="single" w:sz="4" w:space="0" w:color="auto"/>
            </w:tcBorders>
          </w:tcPr>
          <w:p>
            <w:pPr>
              <w:pStyle w:val="yTableNAm"/>
              <w:jc w:val="right"/>
            </w:pPr>
            <w:r>
              <w:t>14.07</w:t>
            </w:r>
          </w:p>
        </w:tc>
      </w:tr>
    </w:tbl>
    <w:p>
      <w:pPr>
        <w:pStyle w:val="ySubsection"/>
      </w:pPr>
      <w:r>
        <w:tab/>
        <w:t>(4)</w:t>
      </w:r>
      <w:r>
        <w:tab/>
        <w:t>The fees and charges to be paid under regulations 6, 94A and 94B are set out in Table 19.2.</w:t>
      </w:r>
    </w:p>
    <w:p>
      <w:pPr>
        <w:pStyle w:val="yTHeadingNAm"/>
      </w:pPr>
      <w:r>
        <w:t>Table 19.2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shared berthing on mooring piles or service wharf by recreational vessel, tourism vessel or fishing vessel, per m of the vessel’s length — </w:t>
            </w:r>
          </w:p>
          <w:p>
            <w:pPr>
              <w:pStyle w:val="NotesPerm"/>
              <w:tabs>
                <w:tab w:val="clear" w:pos="879"/>
                <w:tab w:val="left" w:pos="652"/>
              </w:tabs>
              <w:ind w:left="652" w:hanging="652"/>
            </w:pPr>
            <w:r>
              <w:t>Note:</w:t>
            </w:r>
            <w:r>
              <w:tab/>
              <w:t>includes short</w:t>
            </w:r>
            <w:r>
              <w:noBreakHyphen/>
              <w:t>term loading/unloading of goods and passengers on service wharf limited to 2 hours per day, otherwise item 3 fees will apply after 2 hours</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318.26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31.83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47.74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39.75</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otherwise, per day</w:t>
            </w:r>
          </w:p>
        </w:tc>
        <w:tc>
          <w:tcPr>
            <w:tcW w:w="996" w:type="dxa"/>
            <w:vAlign w:val="bottom"/>
          </w:tcPr>
          <w:p>
            <w:pPr>
              <w:pStyle w:val="yTableNAm"/>
              <w:jc w:val="right"/>
              <w:rPr>
                <w:szCs w:val="22"/>
              </w:rPr>
            </w:pPr>
            <w:r>
              <w:rPr>
                <w:szCs w:val="22"/>
              </w:rPr>
              <w:t>7.95</w:t>
            </w:r>
          </w:p>
        </w:tc>
      </w:tr>
      <w:tr>
        <w:trPr>
          <w:cantSplit/>
        </w:trPr>
        <w:tc>
          <w:tcPr>
            <w:tcW w:w="567" w:type="dxa"/>
          </w:tcPr>
          <w:p>
            <w:pPr>
              <w:pStyle w:val="yTableNAm"/>
            </w:pPr>
            <w:r>
              <w:t>2.</w:t>
            </w:r>
          </w:p>
        </w:tc>
        <w:tc>
          <w:tcPr>
            <w:tcW w:w="4390" w:type="dxa"/>
          </w:tcPr>
          <w:p>
            <w:pPr>
              <w:pStyle w:val="yTableNAm"/>
            </w:pPr>
            <w:r>
              <w:t>For berthing on mooring piles by a service vessel, per m of the vessel’s length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339.46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33.94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50.92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42.39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8.47</w:t>
            </w:r>
          </w:p>
        </w:tc>
      </w:tr>
      <w:tr>
        <w:trPr>
          <w:cantSplit/>
        </w:trPr>
        <w:tc>
          <w:tcPr>
            <w:tcW w:w="567" w:type="dxa"/>
          </w:tcPr>
          <w:p>
            <w:pPr>
              <w:pStyle w:val="yTableNAm"/>
            </w:pPr>
            <w:r>
              <w:t>3.</w:t>
            </w:r>
          </w:p>
        </w:tc>
        <w:tc>
          <w:tcPr>
            <w:tcW w:w="4390" w:type="dxa"/>
          </w:tcPr>
          <w:p>
            <w:pPr>
              <w:pStyle w:val="yTableNAm"/>
              <w:rPr>
                <w:rStyle w:val="DraftersNotes"/>
              </w:rPr>
            </w:pPr>
            <w:r>
              <w:t>For short</w:t>
            </w:r>
            <w:r>
              <w:noBreakHyphen/>
              <w:t>term use of service wharf by a service vessel, for up to 6 hours in a 24 hour period, per m of the vessel’s length</w:t>
            </w:r>
          </w:p>
        </w:tc>
        <w:tc>
          <w:tcPr>
            <w:tcW w:w="996" w:type="dxa"/>
            <w:vAlign w:val="bottom"/>
          </w:tcPr>
          <w:p>
            <w:pPr>
              <w:pStyle w:val="yTableNAm"/>
              <w:jc w:val="right"/>
              <w:rPr>
                <w:szCs w:val="22"/>
              </w:rPr>
            </w:pPr>
            <w:r>
              <w:rPr>
                <w:szCs w:val="22"/>
              </w:rPr>
              <w:t>8.00</w:t>
            </w:r>
          </w:p>
        </w:tc>
      </w:tr>
      <w:tr>
        <w:trPr>
          <w:cantSplit/>
        </w:trPr>
        <w:tc>
          <w:tcPr>
            <w:tcW w:w="567" w:type="dxa"/>
          </w:tcPr>
          <w:p>
            <w:pPr>
              <w:pStyle w:val="yTableNAm"/>
            </w:pPr>
            <w:r>
              <w:t>4.</w:t>
            </w:r>
          </w:p>
        </w:tc>
        <w:tc>
          <w:tcPr>
            <w:tcW w:w="4390" w:type="dxa"/>
          </w:tcPr>
          <w:p>
            <w:pPr>
              <w:pStyle w:val="yTableNAm"/>
            </w:pPr>
            <w:r>
              <w:t>For use of service wharf hardstand or appurtenant area for storage or maintenance (for short</w:t>
            </w:r>
            <w:r>
              <w:noBreakHyphen/>
              <w:t>term use only), per day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w:t>
            </w:r>
            <w:r>
              <w:rPr>
                <w:vertAlign w:val="superscript"/>
              </w:rPr>
              <w:t>2</w:t>
            </w:r>
          </w:p>
        </w:tc>
        <w:tc>
          <w:tcPr>
            <w:tcW w:w="996" w:type="dxa"/>
            <w:vAlign w:val="bottom"/>
          </w:tcPr>
          <w:p>
            <w:pPr>
              <w:pStyle w:val="yTableNAm"/>
              <w:jc w:val="right"/>
            </w:pPr>
            <w:r>
              <w:t>1.57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minimum fee</w:t>
            </w:r>
          </w:p>
        </w:tc>
        <w:tc>
          <w:tcPr>
            <w:tcW w:w="996" w:type="dxa"/>
            <w:vAlign w:val="bottom"/>
          </w:tcPr>
          <w:p>
            <w:pPr>
              <w:pStyle w:val="yTableNAm"/>
              <w:jc w:val="right"/>
            </w:pPr>
            <w:r>
              <w:t>28.73</w:t>
            </w:r>
          </w:p>
        </w:tc>
      </w:tr>
      <w:tr>
        <w:trPr>
          <w:cantSplit/>
        </w:trPr>
        <w:tc>
          <w:tcPr>
            <w:tcW w:w="567" w:type="dxa"/>
          </w:tcPr>
          <w:p>
            <w:pPr>
              <w:pStyle w:val="yTableNAm"/>
            </w:pPr>
            <w:r>
              <w:t>5.</w:t>
            </w:r>
          </w:p>
        </w:tc>
        <w:tc>
          <w:tcPr>
            <w:tcW w:w="4390" w:type="dxa"/>
          </w:tcPr>
          <w:p>
            <w:pPr>
              <w:pStyle w:val="yTableNAm"/>
            </w:pPr>
            <w:r>
              <w:t>For electricity supply, 3</w:t>
            </w:r>
            <w:r>
              <w:noBreakHyphen/>
              <w:t>phase or single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50 units</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meter reading</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6.</w:t>
            </w:r>
          </w:p>
        </w:tc>
        <w:tc>
          <w:tcPr>
            <w:tcW w:w="4390" w:type="dxa"/>
          </w:tcPr>
          <w:p>
            <w:pPr>
              <w:pStyle w:val="yTableNAm"/>
            </w:pPr>
            <w:r>
              <w:t xml:space="preserve">For water supply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2 kl</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7.</w:t>
            </w:r>
          </w:p>
        </w:tc>
        <w:tc>
          <w:tcPr>
            <w:tcW w:w="4390" w:type="dxa"/>
          </w:tcPr>
          <w:p>
            <w:pPr>
              <w:pStyle w:val="yTableNAm"/>
            </w:pPr>
            <w:r>
              <w:t xml:space="preserve">For rubbish removal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excess quantity or from vessel not using harbour, minimum per half skip supplied and emptied</w:t>
            </w:r>
          </w:p>
        </w:tc>
        <w:tc>
          <w:tcPr>
            <w:tcW w:w="996" w:type="dxa"/>
            <w:vAlign w:val="bottom"/>
          </w:tcPr>
          <w:p>
            <w:pPr>
              <w:pStyle w:val="yTableNAm"/>
              <w:jc w:val="right"/>
              <w:rPr>
                <w:szCs w:val="22"/>
              </w:rPr>
            </w:pPr>
            <w:r>
              <w:rPr>
                <w:szCs w:val="22"/>
              </w:rPr>
              <w:b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from vessels in excess of 150 L</w:t>
            </w:r>
          </w:p>
        </w:tc>
        <w:tc>
          <w:tcPr>
            <w:tcW w:w="996" w:type="dxa"/>
            <w:vAlign w:val="bottom"/>
          </w:tcPr>
          <w:p>
            <w:pPr>
              <w:pStyle w:val="yTableNAm"/>
              <w:jc w:val="right"/>
              <w:rPr>
                <w:szCs w:val="22"/>
              </w:rPr>
            </w:pPr>
            <w:r>
              <w:rPr>
                <w:szCs w:val="22"/>
              </w:rP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drum not removed by owner, per 20 L drum</w:t>
            </w:r>
          </w:p>
        </w:tc>
        <w:tc>
          <w:tcPr>
            <w:tcW w:w="996" w:type="dxa"/>
            <w:vAlign w:val="bottom"/>
          </w:tcPr>
          <w:p>
            <w:pPr>
              <w:pStyle w:val="yTableNAm"/>
              <w:jc w:val="right"/>
              <w:rPr>
                <w:szCs w:val="22"/>
              </w:rPr>
            </w:pPr>
            <w:r>
              <w:rPr>
                <w:szCs w:val="22"/>
              </w:rPr>
              <w:br/>
              <w:t>cost</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6" w:type="dxa"/>
            <w:tcBorders>
              <w:bottom w:val="single" w:sz="4" w:space="0" w:color="auto"/>
            </w:tcBorders>
            <w:vAlign w:val="bottom"/>
          </w:tcPr>
          <w:p>
            <w:pPr>
              <w:pStyle w:val="yTableNAm"/>
              <w:jc w:val="right"/>
              <w:rPr>
                <w:szCs w:val="22"/>
              </w:rPr>
            </w:pPr>
            <w:r>
              <w:rPr>
                <w:szCs w:val="22"/>
              </w:rPr>
              <w:t>cost</w:t>
            </w:r>
          </w:p>
        </w:tc>
      </w:tr>
    </w:tbl>
    <w:p>
      <w:pPr>
        <w:pStyle w:val="yFootnotesection"/>
      </w:pPr>
      <w:bookmarkStart w:id="732" w:name="_Toc346791091"/>
      <w:r>
        <w:tab/>
        <w:t>[Clause 19 inserted in Gazette 28 Jun 2013 p. 2863</w:t>
      </w:r>
      <w:r>
        <w:noBreakHyphen/>
        <w:t>5.]</w:t>
      </w:r>
    </w:p>
    <w:p>
      <w:pPr>
        <w:pStyle w:val="yHeading5"/>
      </w:pPr>
      <w:bookmarkStart w:id="733" w:name="_Toc360523361"/>
      <w:r>
        <w:rPr>
          <w:rStyle w:val="CharSClsNo"/>
        </w:rPr>
        <w:t>20</w:t>
      </w:r>
      <w:r>
        <w:t>.</w:t>
      </w:r>
      <w:r>
        <w:rPr>
          <w:b w:val="0"/>
        </w:rPr>
        <w:tab/>
      </w:r>
      <w:r>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32"/>
      <w:bookmarkEnd w:id="733"/>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charges and dues to be paid under regulation 10A are set out in Table 20.1.</w:t>
      </w:r>
    </w:p>
    <w:p>
      <w:pPr>
        <w:pStyle w:val="yTHeadingNAm"/>
        <w:keepLines/>
        <w:widowControl w:val="0"/>
      </w:pPr>
      <w:r>
        <w:t>Table 20.1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keepLines/>
              <w:widowControl w:val="0"/>
              <w:rPr>
                <w:b/>
              </w:rPr>
            </w:pPr>
            <w:r>
              <w:rPr>
                <w:b/>
              </w:rPr>
              <w:t>Item</w:t>
            </w:r>
          </w:p>
        </w:tc>
        <w:tc>
          <w:tcPr>
            <w:tcW w:w="4394" w:type="dxa"/>
            <w:tcBorders>
              <w:top w:val="single" w:sz="4" w:space="0" w:color="auto"/>
              <w:bottom w:val="single" w:sz="4" w:space="0" w:color="auto"/>
            </w:tcBorders>
          </w:tcPr>
          <w:p>
            <w:pPr>
              <w:pStyle w:val="yTableNAm"/>
              <w:keepNext/>
              <w:keepLines/>
              <w:widowControl w:val="0"/>
              <w:rPr>
                <w:b/>
              </w:rPr>
            </w:pPr>
            <w:r>
              <w:rPr>
                <w:b/>
              </w:rPr>
              <w:t>Goods</w:t>
            </w:r>
          </w:p>
        </w:tc>
        <w:tc>
          <w:tcPr>
            <w:tcW w:w="992" w:type="dxa"/>
            <w:tcBorders>
              <w:top w:val="single" w:sz="4" w:space="0" w:color="auto"/>
              <w:bottom w:val="single" w:sz="4" w:space="0" w:color="auto"/>
            </w:tcBorders>
          </w:tcPr>
          <w:p>
            <w:pPr>
              <w:pStyle w:val="yTableNAm"/>
              <w:keepNext/>
              <w:keepLines/>
              <w:widowControl w:val="0"/>
              <w:jc w:val="center"/>
              <w:rPr>
                <w:b/>
              </w:rPr>
            </w:pPr>
            <w:r>
              <w:rPr>
                <w:b/>
              </w:rPr>
              <w:t>$</w:t>
            </w:r>
          </w:p>
        </w:tc>
      </w:tr>
      <w:tr>
        <w:trPr>
          <w:cantSplit/>
        </w:trPr>
        <w:tc>
          <w:tcPr>
            <w:tcW w:w="567" w:type="dxa"/>
          </w:tcPr>
          <w:p>
            <w:pPr>
              <w:pStyle w:val="yTableNAm"/>
              <w:keepNext/>
              <w:keepLines/>
              <w:widowControl w:val="0"/>
            </w:pPr>
            <w:r>
              <w:t>1.</w:t>
            </w:r>
          </w:p>
        </w:tc>
        <w:tc>
          <w:tcPr>
            <w:tcW w:w="4394" w:type="dxa"/>
          </w:tcPr>
          <w:p>
            <w:pPr>
              <w:pStyle w:val="yTableNAm"/>
              <w:keepNext/>
              <w:keepLines/>
              <w:widowControl w:val="0"/>
            </w:pPr>
            <w:r>
              <w:t>General cargo at the service wharf or an appurtenant area —</w:t>
            </w:r>
          </w:p>
        </w:tc>
        <w:tc>
          <w:tcPr>
            <w:tcW w:w="992" w:type="dxa"/>
          </w:tcPr>
          <w:p>
            <w:pPr>
              <w:pStyle w:val="yTableNAm"/>
              <w:keepNext/>
              <w:keepLines/>
              <w:widowControl w:val="0"/>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if loaded from or into vessel, per t or m</w:t>
            </w:r>
            <w:r>
              <w:rPr>
                <w:vertAlign w:val="superscript"/>
              </w:rPr>
              <w:t>3</w:t>
            </w:r>
          </w:p>
        </w:tc>
        <w:tc>
          <w:tcPr>
            <w:tcW w:w="992" w:type="dxa"/>
          </w:tcPr>
          <w:p>
            <w:pPr>
              <w:pStyle w:val="yTableNAm"/>
              <w:jc w:val="right"/>
            </w:pPr>
            <w:r>
              <w:t>6.24</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if vessel is lifted, per m of the vessel’s length</w:t>
            </w:r>
          </w:p>
        </w:tc>
        <w:tc>
          <w:tcPr>
            <w:tcW w:w="992" w:type="dxa"/>
            <w:tcBorders>
              <w:bottom w:val="single" w:sz="4" w:space="0" w:color="auto"/>
            </w:tcBorders>
          </w:tcPr>
          <w:p>
            <w:pPr>
              <w:pStyle w:val="yTableNAm"/>
              <w:jc w:val="right"/>
            </w:pPr>
            <w:r>
              <w:t>14.07</w:t>
            </w:r>
          </w:p>
        </w:tc>
      </w:tr>
    </w:tbl>
    <w:p>
      <w:pPr>
        <w:pStyle w:val="ySubsection"/>
      </w:pPr>
      <w:r>
        <w:tab/>
        <w:t>(4)</w:t>
      </w:r>
      <w:r>
        <w:tab/>
        <w:t>The fees and charges to be paid under regulations 6 and 94A are set out in Table 20.2.</w:t>
      </w:r>
    </w:p>
    <w:p>
      <w:pPr>
        <w:pStyle w:val="yTHeadingNAm"/>
      </w:pPr>
      <w:r>
        <w:t>Table 20.2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For use of pen or berth at land</w:t>
            </w:r>
            <w:r>
              <w:noBreakHyphen/>
              <w:t xml:space="preserve">backed wharf or service jetty by recreational vessel, tourism vessel or fishing vessel, per m of the vessel’s length — </w:t>
            </w:r>
          </w:p>
          <w:p>
            <w:pPr>
              <w:pStyle w:val="yTableNAm"/>
            </w:pPr>
            <w:r>
              <w:t>Note:</w:t>
            </w:r>
            <w:r>
              <w:tab/>
              <w:t>Includes short term loading/unloading of goods and passengers</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472.85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47.27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70.93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47.27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9.45</w:t>
            </w:r>
          </w:p>
        </w:tc>
      </w:tr>
      <w:tr>
        <w:trPr>
          <w:cantSplit/>
        </w:trPr>
        <w:tc>
          <w:tcPr>
            <w:tcW w:w="567" w:type="dxa"/>
          </w:tcPr>
          <w:p>
            <w:pPr>
              <w:pStyle w:val="yTableNAm"/>
            </w:pPr>
            <w:r>
              <w:t>2.</w:t>
            </w:r>
          </w:p>
        </w:tc>
        <w:tc>
          <w:tcPr>
            <w:tcW w:w="4390" w:type="dxa"/>
          </w:tcPr>
          <w:p>
            <w:pPr>
              <w:pStyle w:val="yTableNAm"/>
            </w:pPr>
            <w:r>
              <w:t>For use of pen or berth at land</w:t>
            </w:r>
            <w:r>
              <w:noBreakHyphen/>
              <w:t xml:space="preserve">backed wharf or service jetty by a service vessel, per m of the vessel’s length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1 039.00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103.90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155.85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up to 6 hours in a 24 hour period</w:t>
            </w:r>
          </w:p>
        </w:tc>
        <w:tc>
          <w:tcPr>
            <w:tcW w:w="996" w:type="dxa"/>
            <w:vAlign w:val="bottom"/>
          </w:tcPr>
          <w:p>
            <w:pPr>
              <w:pStyle w:val="yTableNAm"/>
              <w:jc w:val="right"/>
              <w:rPr>
                <w:szCs w:val="22"/>
              </w:rPr>
            </w:pPr>
            <w:r>
              <w:rPr>
                <w:szCs w:val="22"/>
              </w:rPr>
              <w:t>8.00</w:t>
            </w:r>
          </w:p>
        </w:tc>
      </w:tr>
      <w:tr>
        <w:trPr>
          <w:cantSplit/>
        </w:trPr>
        <w:tc>
          <w:tcPr>
            <w:tcW w:w="567" w:type="dxa"/>
          </w:tcPr>
          <w:p>
            <w:pPr>
              <w:pStyle w:val="yTableNAm"/>
            </w:pPr>
            <w:r>
              <w:t>3.</w:t>
            </w:r>
          </w:p>
        </w:tc>
        <w:tc>
          <w:tcPr>
            <w:tcW w:w="4390" w:type="dxa"/>
          </w:tcPr>
          <w:p>
            <w:pPr>
              <w:pStyle w:val="yTableNAm"/>
            </w:pPr>
            <w:r>
              <w:t xml:space="preserve">For use of service jetty and mooring/berth within area adjacent to causeway by recreational vessel, tourism vessel or fishing vessel, per m of the vessel’s length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378.28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37.84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56.74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39.36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7.87</w:t>
            </w:r>
          </w:p>
        </w:tc>
      </w:tr>
      <w:tr>
        <w:trPr>
          <w:cantSplit/>
        </w:trPr>
        <w:tc>
          <w:tcPr>
            <w:tcW w:w="567" w:type="dxa"/>
          </w:tcPr>
          <w:p>
            <w:pPr>
              <w:pStyle w:val="yTableNAm"/>
            </w:pPr>
            <w:r>
              <w:t>4.</w:t>
            </w:r>
          </w:p>
        </w:tc>
        <w:tc>
          <w:tcPr>
            <w:tcW w:w="4390" w:type="dxa"/>
          </w:tcPr>
          <w:p>
            <w:pPr>
              <w:pStyle w:val="yTableNAm"/>
            </w:pPr>
            <w:r>
              <w:t xml:space="preserve">For use of service jetty and mooring/berth within area adjacent to causeway by a service vessel, per m of the vessel’s length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831.19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83.16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124.68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up to 6 hours in a 24 hour period</w:t>
            </w:r>
          </w:p>
        </w:tc>
        <w:tc>
          <w:tcPr>
            <w:tcW w:w="996" w:type="dxa"/>
            <w:vAlign w:val="bottom"/>
          </w:tcPr>
          <w:p>
            <w:pPr>
              <w:pStyle w:val="yTableNAm"/>
              <w:jc w:val="right"/>
            </w:pPr>
            <w:r>
              <w:t>6.40</w:t>
            </w:r>
          </w:p>
        </w:tc>
      </w:tr>
      <w:tr>
        <w:trPr>
          <w:cantSplit/>
        </w:trPr>
        <w:tc>
          <w:tcPr>
            <w:tcW w:w="567" w:type="dxa"/>
          </w:tcPr>
          <w:p>
            <w:pPr>
              <w:pStyle w:val="yTableNAm"/>
            </w:pPr>
            <w:r>
              <w:t>5.</w:t>
            </w:r>
          </w:p>
        </w:tc>
        <w:tc>
          <w:tcPr>
            <w:tcW w:w="4390" w:type="dxa"/>
          </w:tcPr>
          <w:p>
            <w:pPr>
              <w:pStyle w:val="yTableNAm"/>
            </w:pPr>
            <w:r>
              <w:t>For use of service wharf hardstand or appurtenant area for storage or maintenance (for short</w:t>
            </w:r>
            <w:r>
              <w:noBreakHyphen/>
              <w:t>term use only), per day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w:t>
            </w:r>
            <w:r>
              <w:rPr>
                <w:vertAlign w:val="superscript"/>
              </w:rPr>
              <w:t>2</w:t>
            </w:r>
          </w:p>
        </w:tc>
        <w:tc>
          <w:tcPr>
            <w:tcW w:w="996" w:type="dxa"/>
            <w:vAlign w:val="bottom"/>
          </w:tcPr>
          <w:p>
            <w:pPr>
              <w:pStyle w:val="yTableNAm"/>
              <w:jc w:val="right"/>
            </w:pPr>
            <w:r>
              <w:t>1.57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minimum fee</w:t>
            </w:r>
          </w:p>
        </w:tc>
        <w:tc>
          <w:tcPr>
            <w:tcW w:w="996" w:type="dxa"/>
            <w:vAlign w:val="bottom"/>
          </w:tcPr>
          <w:p>
            <w:pPr>
              <w:pStyle w:val="yTableNAm"/>
              <w:jc w:val="right"/>
            </w:pPr>
            <w:r>
              <w:t>28.73</w:t>
            </w:r>
          </w:p>
        </w:tc>
      </w:tr>
      <w:tr>
        <w:trPr>
          <w:cantSplit/>
        </w:trPr>
        <w:tc>
          <w:tcPr>
            <w:tcW w:w="567" w:type="dxa"/>
          </w:tcPr>
          <w:p>
            <w:pPr>
              <w:pStyle w:val="yTableNAm"/>
            </w:pPr>
            <w:r>
              <w:t>6.</w:t>
            </w:r>
          </w:p>
        </w:tc>
        <w:tc>
          <w:tcPr>
            <w:tcW w:w="4390" w:type="dxa"/>
          </w:tcPr>
          <w:p>
            <w:pPr>
              <w:pStyle w:val="yTableNAm"/>
            </w:pPr>
            <w:r>
              <w:t>For electricity supply, 3</w:t>
            </w:r>
            <w:r>
              <w:noBreakHyphen/>
              <w:t>phase or single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50 units</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meter reading</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7.</w:t>
            </w:r>
          </w:p>
        </w:tc>
        <w:tc>
          <w:tcPr>
            <w:tcW w:w="4390" w:type="dxa"/>
          </w:tcPr>
          <w:p>
            <w:pPr>
              <w:pStyle w:val="yTableNAm"/>
            </w:pPr>
            <w:r>
              <w:t xml:space="preserve">For rubbish removal —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excess quantity or from vessel not using harbour, minimum per half skip supplied and emptied</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from vessels in excess of 150 L</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drum not removed by owner, per 20 L drum</w:t>
            </w:r>
          </w:p>
        </w:tc>
        <w:tc>
          <w:tcPr>
            <w:tcW w:w="996"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6" w:type="dxa"/>
            <w:tcBorders>
              <w:bottom w:val="single" w:sz="4" w:space="0" w:color="auto"/>
            </w:tcBorders>
            <w:vAlign w:val="bottom"/>
          </w:tcPr>
          <w:p>
            <w:pPr>
              <w:pStyle w:val="yTableNAm"/>
              <w:jc w:val="right"/>
            </w:pPr>
            <w:r>
              <w:t>cost</w:t>
            </w:r>
          </w:p>
        </w:tc>
      </w:tr>
    </w:tbl>
    <w:p>
      <w:pPr>
        <w:pStyle w:val="ySubsection"/>
      </w:pPr>
      <w:r>
        <w:tab/>
        <w:t>(3)</w:t>
      </w:r>
      <w:r>
        <w:tab/>
        <w:t>The fees and charges to be paid under regulation 96 are set out in Table 20.3.</w:t>
      </w:r>
    </w:p>
    <w:p>
      <w:pPr>
        <w:pStyle w:val="yTHeadingNAm"/>
      </w:pPr>
      <w:r>
        <w:t>Table 20.3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water supply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2 kl</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2.</w:t>
            </w:r>
          </w:p>
        </w:tc>
        <w:tc>
          <w:tcPr>
            <w:tcW w:w="4390" w:type="dxa"/>
          </w:tcPr>
          <w:p>
            <w:pPr>
              <w:pStyle w:val="yTableNAm"/>
            </w:pPr>
            <w:r>
              <w:t xml:space="preserve">Use of slip, per day, for a vessel for which the annual pen fee in Table 20.2 has been paid that is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not over 15 m long</w:t>
            </w:r>
          </w:p>
        </w:tc>
        <w:tc>
          <w:tcPr>
            <w:tcW w:w="996" w:type="dxa"/>
            <w:vAlign w:val="bottom"/>
          </w:tcPr>
          <w:p>
            <w:pPr>
              <w:pStyle w:val="yTableNAm"/>
              <w:jc w:val="right"/>
              <w:rPr>
                <w:szCs w:val="22"/>
              </w:rPr>
            </w:pPr>
            <w:r>
              <w:rPr>
                <w:szCs w:val="22"/>
              </w:rPr>
              <w:t>157.61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over 15 m long</w:t>
            </w:r>
          </w:p>
        </w:tc>
        <w:tc>
          <w:tcPr>
            <w:tcW w:w="996" w:type="dxa"/>
            <w:vAlign w:val="bottom"/>
          </w:tcPr>
          <w:p>
            <w:pPr>
              <w:pStyle w:val="yTableNAm"/>
              <w:jc w:val="right"/>
              <w:rPr>
                <w:szCs w:val="22"/>
              </w:rPr>
            </w:pPr>
            <w:r>
              <w:rPr>
                <w:szCs w:val="22"/>
              </w:rPr>
              <w:t>223.80</w:t>
            </w:r>
          </w:p>
        </w:tc>
      </w:tr>
      <w:tr>
        <w:trPr>
          <w:cantSplit/>
        </w:trPr>
        <w:tc>
          <w:tcPr>
            <w:tcW w:w="567" w:type="dxa"/>
          </w:tcPr>
          <w:p>
            <w:pPr>
              <w:pStyle w:val="yTableNAm"/>
            </w:pPr>
            <w:r>
              <w:t>3.</w:t>
            </w:r>
          </w:p>
        </w:tc>
        <w:tc>
          <w:tcPr>
            <w:tcW w:w="4390" w:type="dxa"/>
          </w:tcPr>
          <w:p>
            <w:pPr>
              <w:pStyle w:val="yTableNAm"/>
            </w:pPr>
            <w:r>
              <w:t xml:space="preserve">Use of slip, per day, for any other vessel that is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not over 15 m long</w:t>
            </w:r>
          </w:p>
        </w:tc>
        <w:tc>
          <w:tcPr>
            <w:tcW w:w="996" w:type="dxa"/>
            <w:vAlign w:val="bottom"/>
          </w:tcPr>
          <w:p>
            <w:pPr>
              <w:pStyle w:val="yTableNAm"/>
              <w:jc w:val="right"/>
              <w:rPr>
                <w:szCs w:val="22"/>
              </w:rPr>
            </w:pPr>
            <w:r>
              <w:rPr>
                <w:szCs w:val="22"/>
              </w:rPr>
              <w:t>189.13</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over 15 m long</w:t>
            </w:r>
          </w:p>
        </w:tc>
        <w:tc>
          <w:tcPr>
            <w:tcW w:w="996" w:type="dxa"/>
            <w:tcBorders>
              <w:bottom w:val="single" w:sz="4" w:space="0" w:color="auto"/>
            </w:tcBorders>
            <w:vAlign w:val="bottom"/>
          </w:tcPr>
          <w:p>
            <w:pPr>
              <w:pStyle w:val="yTableNAm"/>
              <w:jc w:val="right"/>
              <w:rPr>
                <w:szCs w:val="22"/>
              </w:rPr>
            </w:pPr>
            <w:r>
              <w:rPr>
                <w:szCs w:val="22"/>
              </w:rPr>
              <w:t>275.81</w:t>
            </w:r>
          </w:p>
        </w:tc>
      </w:tr>
    </w:tbl>
    <w:p>
      <w:pPr>
        <w:pStyle w:val="yFootnotesection"/>
      </w:pPr>
      <w:bookmarkStart w:id="734" w:name="_Toc346791092"/>
      <w:r>
        <w:tab/>
        <w:t>[Clause 20 inserted in Gazette 28 Jun 2013 p. 2865</w:t>
      </w:r>
      <w:r>
        <w:noBreakHyphen/>
        <w:t>9.]</w:t>
      </w:r>
    </w:p>
    <w:p>
      <w:pPr>
        <w:pStyle w:val="yHeading5"/>
      </w:pPr>
      <w:bookmarkStart w:id="735" w:name="_Toc360523362"/>
      <w:r>
        <w:rPr>
          <w:rStyle w:val="CharSClsNo"/>
        </w:rPr>
        <w:t>21</w:t>
      </w:r>
      <w:r>
        <w:t>.</w:t>
      </w:r>
      <w:r>
        <w:tab/>
        <w:t xml:space="preserve">Port </w:t>
      </w:r>
      <w:smartTag w:uri="urn:schemas-microsoft-com:office:smarttags" w:element="place">
        <w:smartTag w:uri="urn:schemas-microsoft-com:office:smarttags" w:element="City">
          <w:r>
            <w:t>Denison</w:t>
          </w:r>
        </w:smartTag>
      </w:smartTag>
      <w:bookmarkEnd w:id="734"/>
      <w:bookmarkEnd w:id="735"/>
    </w:p>
    <w:p>
      <w:pPr>
        <w:pStyle w:val="ySubsection"/>
      </w:pPr>
      <w:r>
        <w:tab/>
        <w:t>(1)</w:t>
      </w:r>
      <w:r>
        <w:tab/>
        <w:t>This clause applies to Port Denison.</w:t>
      </w:r>
    </w:p>
    <w:p>
      <w:pPr>
        <w:pStyle w:val="ySubsection"/>
      </w:pPr>
      <w:r>
        <w:tab/>
        <w:t>(2)</w:t>
      </w:r>
      <w:r>
        <w:tab/>
        <w:t>The fees and charges to be paid under regulations 6 and 94A are set out in Table 21.1.</w:t>
      </w:r>
    </w:p>
    <w:p>
      <w:pPr>
        <w:pStyle w:val="ySubsection"/>
      </w:pPr>
      <w:r>
        <w:tab/>
        <w:t>(3)</w:t>
      </w:r>
      <w:r>
        <w:tab/>
        <w:t>In Table 21.1 the chargeable length for a pen that is 20 m long is 16 m.</w:t>
      </w:r>
    </w:p>
    <w:p>
      <w:pPr>
        <w:pStyle w:val="yTHeadingNAm"/>
      </w:pPr>
      <w:r>
        <w:t>Table 21.1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rPr>
            </w:pPr>
            <w:r>
              <w:rPr>
                <w:b/>
              </w:rPr>
              <w:t>Item</w:t>
            </w:r>
          </w:p>
        </w:tc>
        <w:tc>
          <w:tcPr>
            <w:tcW w:w="4248"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pPr>
            <w:r>
              <w:t>1.</w:t>
            </w:r>
          </w:p>
        </w:tc>
        <w:tc>
          <w:tcPr>
            <w:tcW w:w="4248" w:type="dxa"/>
          </w:tcPr>
          <w:p>
            <w:pPr>
              <w:pStyle w:val="yTableNAm"/>
            </w:pPr>
            <w:r>
              <w:t xml:space="preserve">For pen for commercial or recreational vessel — </w:t>
            </w:r>
          </w:p>
        </w:tc>
        <w:tc>
          <w:tcPr>
            <w:tcW w:w="996" w:type="dxa"/>
          </w:tcPr>
          <w:p>
            <w:pPr>
              <w:pStyle w:val="yTableNAm"/>
              <w:jc w:val="right"/>
            </w:pPr>
          </w:p>
        </w:tc>
      </w:tr>
      <w:tr>
        <w:trPr>
          <w:cantSplit/>
        </w:trPr>
        <w:tc>
          <w:tcPr>
            <w:tcW w:w="709" w:type="dxa"/>
          </w:tcPr>
          <w:p>
            <w:pPr>
              <w:pStyle w:val="yTableNAm"/>
            </w:pPr>
          </w:p>
        </w:tc>
        <w:tc>
          <w:tcPr>
            <w:tcW w:w="4248"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988.61</w:t>
            </w:r>
          </w:p>
        </w:tc>
      </w:tr>
      <w:tr>
        <w:trPr>
          <w:cantSplit/>
        </w:trPr>
        <w:tc>
          <w:tcPr>
            <w:tcW w:w="709" w:type="dxa"/>
          </w:tcPr>
          <w:p>
            <w:pPr>
              <w:pStyle w:val="yTableNAm"/>
            </w:pPr>
          </w:p>
        </w:tc>
        <w:tc>
          <w:tcPr>
            <w:tcW w:w="4248" w:type="dxa"/>
          </w:tcPr>
          <w:p>
            <w:pPr>
              <w:pStyle w:val="yTableNAm"/>
              <w:tabs>
                <w:tab w:val="clear" w:pos="567"/>
                <w:tab w:val="left" w:pos="415"/>
              </w:tabs>
              <w:ind w:left="415" w:hanging="415"/>
            </w:pPr>
            <w:r>
              <w:t>•</w:t>
            </w:r>
            <w:r>
              <w:tab/>
              <w:t>plus per vessel, per m of the longer of the vessel’s length and the chargeable length (if any) for the pen</w:t>
            </w:r>
          </w:p>
        </w:tc>
        <w:tc>
          <w:tcPr>
            <w:tcW w:w="996" w:type="dxa"/>
          </w:tcPr>
          <w:p>
            <w:pPr>
              <w:pStyle w:val="yTableNAm"/>
              <w:jc w:val="right"/>
            </w:pPr>
            <w:r>
              <w:br/>
            </w:r>
            <w:r>
              <w:br/>
              <w:t>80.00</w:t>
            </w:r>
          </w:p>
        </w:tc>
      </w:tr>
      <w:tr>
        <w:trPr>
          <w:cantSplit/>
        </w:trPr>
        <w:tc>
          <w:tcPr>
            <w:tcW w:w="709" w:type="dxa"/>
          </w:tcPr>
          <w:p>
            <w:pPr>
              <w:pStyle w:val="yTableNAm"/>
            </w:pPr>
            <w:r>
              <w:t>2.</w:t>
            </w:r>
          </w:p>
        </w:tc>
        <w:tc>
          <w:tcPr>
            <w:tcW w:w="4248" w:type="dxa"/>
          </w:tcPr>
          <w:p>
            <w:pPr>
              <w:pStyle w:val="yTableNAm"/>
            </w:pPr>
            <w:r>
              <w:t>For dinghy pen for 12 months paid in advance</w:t>
            </w:r>
          </w:p>
        </w:tc>
        <w:tc>
          <w:tcPr>
            <w:tcW w:w="996" w:type="dxa"/>
          </w:tcPr>
          <w:p>
            <w:pPr>
              <w:pStyle w:val="yTableNAm"/>
              <w:jc w:val="right"/>
            </w:pPr>
            <w:r>
              <w:t>259.75</w:t>
            </w:r>
          </w:p>
        </w:tc>
      </w:tr>
      <w:tr>
        <w:trPr>
          <w:cantSplit/>
        </w:trPr>
        <w:tc>
          <w:tcPr>
            <w:tcW w:w="709" w:type="dxa"/>
          </w:tcPr>
          <w:p>
            <w:pPr>
              <w:pStyle w:val="yTableNAm"/>
            </w:pPr>
            <w:r>
              <w:t>3.</w:t>
            </w:r>
          </w:p>
        </w:tc>
        <w:tc>
          <w:tcPr>
            <w:tcW w:w="4248" w:type="dxa"/>
          </w:tcPr>
          <w:p>
            <w:pPr>
              <w:pStyle w:val="yTableNAm"/>
            </w:pPr>
            <w:r>
              <w:t>For use of service jetty other than for short time to load or unload vessel for which an annual fee for the use of a pen or a swing mooring has been paid, per vessel, per day</w:t>
            </w:r>
          </w:p>
        </w:tc>
        <w:tc>
          <w:tcPr>
            <w:tcW w:w="996" w:type="dxa"/>
          </w:tcPr>
          <w:p>
            <w:pPr>
              <w:pStyle w:val="yTableNAm"/>
              <w:jc w:val="right"/>
            </w:pPr>
            <w:r>
              <w:br/>
            </w:r>
            <w:r>
              <w:br/>
            </w:r>
            <w:r>
              <w:br/>
              <w:t>45.72</w:t>
            </w:r>
          </w:p>
        </w:tc>
      </w:tr>
      <w:tr>
        <w:trPr>
          <w:cantSplit/>
        </w:trPr>
        <w:tc>
          <w:tcPr>
            <w:tcW w:w="709" w:type="dxa"/>
          </w:tcPr>
          <w:p>
            <w:pPr>
              <w:pStyle w:val="yTableNAm"/>
            </w:pPr>
            <w:r>
              <w:t>4.</w:t>
            </w:r>
          </w:p>
        </w:tc>
        <w:tc>
          <w:tcPr>
            <w:tcW w:w="4248" w:type="dxa"/>
          </w:tcPr>
          <w:p>
            <w:pPr>
              <w:pStyle w:val="yTableNAm"/>
              <w:rPr>
                <w:rStyle w:val="DraftersNotes"/>
              </w:rPr>
            </w:pPr>
            <w:r>
              <w:t>For use of service jetty for short time just to load or unload vessel for which no annual fee for the use of a pen or a swing mooring has been paid, per vessel for 12 months paid in advance</w:t>
            </w:r>
          </w:p>
        </w:tc>
        <w:tc>
          <w:tcPr>
            <w:tcW w:w="996" w:type="dxa"/>
          </w:tcPr>
          <w:p>
            <w:pPr>
              <w:pStyle w:val="yTableNAm"/>
              <w:jc w:val="right"/>
            </w:pPr>
            <w:r>
              <w:br/>
            </w:r>
            <w:r>
              <w:br/>
            </w:r>
            <w:r>
              <w:br/>
            </w:r>
            <w:r>
              <w:br/>
              <w:t>285.73</w:t>
            </w:r>
          </w:p>
        </w:tc>
      </w:tr>
      <w:tr>
        <w:trPr>
          <w:cantSplit/>
        </w:trPr>
        <w:tc>
          <w:tcPr>
            <w:tcW w:w="709" w:type="dxa"/>
            <w:tcBorders>
              <w:bottom w:val="single" w:sz="4" w:space="0" w:color="auto"/>
            </w:tcBorders>
          </w:tcPr>
          <w:p>
            <w:pPr>
              <w:pStyle w:val="yTableNAm"/>
            </w:pPr>
            <w:r>
              <w:t>5.</w:t>
            </w:r>
          </w:p>
        </w:tc>
        <w:tc>
          <w:tcPr>
            <w:tcW w:w="4248" w:type="dxa"/>
            <w:tcBorders>
              <w:bottom w:val="single" w:sz="4" w:space="0" w:color="auto"/>
            </w:tcBorders>
          </w:tcPr>
          <w:p>
            <w:pPr>
              <w:pStyle w:val="yTableNAm"/>
            </w:pPr>
            <w:r>
              <w:t>For other use of service jetty by vessel, per m of the vessel’s length, per day</w:t>
            </w:r>
          </w:p>
        </w:tc>
        <w:tc>
          <w:tcPr>
            <w:tcW w:w="996" w:type="dxa"/>
            <w:tcBorders>
              <w:bottom w:val="single" w:sz="4" w:space="0" w:color="auto"/>
            </w:tcBorders>
          </w:tcPr>
          <w:p>
            <w:pPr>
              <w:pStyle w:val="yTableNAm"/>
              <w:jc w:val="right"/>
            </w:pPr>
            <w:r>
              <w:br/>
              <w:t>5.71</w:t>
            </w:r>
          </w:p>
        </w:tc>
      </w:tr>
    </w:tbl>
    <w:p>
      <w:pPr>
        <w:pStyle w:val="ySubsection"/>
      </w:pPr>
      <w:r>
        <w:tab/>
        <w:t>(4)</w:t>
      </w:r>
      <w:r>
        <w:tab/>
        <w:t>The fees and charges to be paid under regulation 10A are set out in Table 21.2.</w:t>
      </w:r>
    </w:p>
    <w:p>
      <w:pPr>
        <w:pStyle w:val="yTHeadingNAm"/>
      </w:pPr>
      <w:r>
        <w:t>Table 21.2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rPr>
            </w:pPr>
            <w:r>
              <w:rPr>
                <w:b/>
              </w:rPr>
              <w:t>Item</w:t>
            </w:r>
          </w:p>
        </w:tc>
        <w:tc>
          <w:tcPr>
            <w:tcW w:w="4248"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Borders>
              <w:top w:val="single" w:sz="4" w:space="0" w:color="auto"/>
              <w:bottom w:val="single" w:sz="4" w:space="0" w:color="auto"/>
            </w:tcBorders>
          </w:tcPr>
          <w:p>
            <w:pPr>
              <w:pStyle w:val="yTableNAm"/>
            </w:pPr>
            <w:r>
              <w:t>1.</w:t>
            </w:r>
          </w:p>
        </w:tc>
        <w:tc>
          <w:tcPr>
            <w:tcW w:w="424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NAm"/>
              <w:jc w:val="right"/>
            </w:pPr>
            <w:r>
              <w:br/>
            </w:r>
            <w:r>
              <w:br/>
            </w:r>
            <w:r>
              <w:br/>
              <w:t>571.45</w:t>
            </w:r>
          </w:p>
        </w:tc>
      </w:tr>
    </w:tbl>
    <w:p>
      <w:pPr>
        <w:pStyle w:val="yFootnotesection"/>
      </w:pPr>
      <w:bookmarkStart w:id="736" w:name="_Toc346791093"/>
      <w:r>
        <w:tab/>
        <w:t>[Clause 21 inserted in Gazette 28 Jun 2013 p. 2869</w:t>
      </w:r>
      <w:r>
        <w:noBreakHyphen/>
        <w:t>70.]</w:t>
      </w:r>
    </w:p>
    <w:p>
      <w:pPr>
        <w:pStyle w:val="yHeading5"/>
      </w:pPr>
      <w:bookmarkStart w:id="737" w:name="_Toc360523363"/>
      <w:r>
        <w:rPr>
          <w:rStyle w:val="CharSClsNo"/>
        </w:rPr>
        <w:t>22</w:t>
      </w:r>
      <w:r>
        <w:t>.</w:t>
      </w:r>
      <w:r>
        <w:rPr>
          <w:b w:val="0"/>
        </w:rPr>
        <w:tab/>
      </w:r>
      <w:r>
        <w:t>Port Gregory</w:t>
      </w:r>
      <w:bookmarkEnd w:id="736"/>
      <w:bookmarkEnd w:id="737"/>
    </w:p>
    <w:p>
      <w:pPr>
        <w:pStyle w:val="ySubsection"/>
      </w:pPr>
      <w:r>
        <w:tab/>
        <w:t>(1)</w:t>
      </w:r>
      <w:r>
        <w:tab/>
        <w:t>This clause applies to Port Gregory.</w:t>
      </w:r>
    </w:p>
    <w:p>
      <w:pPr>
        <w:pStyle w:val="ySubsection"/>
      </w:pPr>
      <w:r>
        <w:tab/>
        <w:t>(2)</w:t>
      </w:r>
      <w:r>
        <w:tab/>
        <w:t>The fees and charges to be paid under regulation 6 are set out in Table 22.1.</w:t>
      </w:r>
    </w:p>
    <w:p>
      <w:pPr>
        <w:pStyle w:val="yTHeadingNAm"/>
      </w:pPr>
      <w:r>
        <w:t>Table 22.1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For use of service jetty by vessel just to load or unload, for 12 months, per vessel paid in advance</w:t>
            </w:r>
          </w:p>
        </w:tc>
        <w:tc>
          <w:tcPr>
            <w:tcW w:w="996" w:type="dxa"/>
            <w:vAlign w:val="bottom"/>
          </w:tcPr>
          <w:p>
            <w:pPr>
              <w:pStyle w:val="yTableNAm"/>
              <w:jc w:val="right"/>
            </w:pPr>
            <w:r>
              <w:t>287.39</w:t>
            </w:r>
          </w:p>
        </w:tc>
      </w:tr>
      <w:tr>
        <w:trPr>
          <w:cantSplit/>
        </w:trPr>
        <w:tc>
          <w:tcPr>
            <w:tcW w:w="567" w:type="dxa"/>
          </w:tcPr>
          <w:p>
            <w:pPr>
              <w:pStyle w:val="yTableNAm"/>
            </w:pPr>
            <w:r>
              <w:t>2.</w:t>
            </w:r>
          </w:p>
        </w:tc>
        <w:tc>
          <w:tcPr>
            <w:tcW w:w="4390" w:type="dxa"/>
          </w:tcPr>
          <w:p>
            <w:pPr>
              <w:pStyle w:val="yTableNAm"/>
            </w:pPr>
            <w:r>
              <w:t xml:space="preserve">For other use of service jetty by vessel —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 of the vessel’s length, per day</w:t>
            </w:r>
          </w:p>
        </w:tc>
        <w:tc>
          <w:tcPr>
            <w:tcW w:w="996" w:type="dxa"/>
            <w:vAlign w:val="bottom"/>
          </w:tcPr>
          <w:p>
            <w:pPr>
              <w:pStyle w:val="yTableNAm"/>
              <w:jc w:val="right"/>
            </w:pPr>
            <w:r>
              <w:t>5.02</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minimum overnight</w:t>
            </w:r>
          </w:p>
        </w:tc>
        <w:tc>
          <w:tcPr>
            <w:tcW w:w="996" w:type="dxa"/>
            <w:tcBorders>
              <w:bottom w:val="single" w:sz="4" w:space="0" w:color="auto"/>
            </w:tcBorders>
            <w:vAlign w:val="bottom"/>
          </w:tcPr>
          <w:p>
            <w:pPr>
              <w:pStyle w:val="yTableNAm"/>
              <w:jc w:val="right"/>
            </w:pPr>
            <w:r>
              <w:t>55.85</w:t>
            </w:r>
          </w:p>
        </w:tc>
      </w:tr>
    </w:tbl>
    <w:p>
      <w:pPr>
        <w:pStyle w:val="yFootnotesection"/>
      </w:pPr>
      <w:bookmarkStart w:id="738" w:name="_Toc346791094"/>
      <w:r>
        <w:tab/>
        <w:t>[Clause 22 inserted in Gazette 28 Jun 2013 p. 2871.]</w:t>
      </w:r>
    </w:p>
    <w:p>
      <w:pPr>
        <w:pStyle w:val="yHeading5"/>
      </w:pPr>
      <w:bookmarkStart w:id="739" w:name="_Toc360523364"/>
      <w:r>
        <w:rPr>
          <w:rStyle w:val="CharSClsNo"/>
        </w:rPr>
        <w:t>23</w:t>
      </w:r>
      <w:r>
        <w:t>.</w:t>
      </w:r>
      <w:r>
        <w:rPr>
          <w:b w:val="0"/>
        </w:rPr>
        <w:tab/>
      </w:r>
      <w:r>
        <w:t>Wyndham</w:t>
      </w:r>
      <w:bookmarkEnd w:id="738"/>
      <w:bookmarkEnd w:id="739"/>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dues to be paid under regulation 6 are set out in Table 23.1.</w:t>
      </w:r>
    </w:p>
    <w:p>
      <w:pPr>
        <w:pStyle w:val="yTHeadingNAm"/>
      </w:pPr>
      <w:r>
        <w:t>Table 23.1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1947"/>
        <w:gridCol w:w="2305"/>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1947" w:type="dxa"/>
            <w:tcBorders>
              <w:top w:val="single" w:sz="4" w:space="0" w:color="auto"/>
              <w:bottom w:val="single" w:sz="4" w:space="0" w:color="auto"/>
            </w:tcBorders>
          </w:tcPr>
          <w:p>
            <w:pPr>
              <w:pStyle w:val="yTableNAm"/>
              <w:rPr>
                <w:b/>
              </w:rPr>
            </w:pPr>
            <w:r>
              <w:rPr>
                <w:b/>
              </w:rPr>
              <w:t>Vessel or cargo</w:t>
            </w:r>
          </w:p>
        </w:tc>
        <w:tc>
          <w:tcPr>
            <w:tcW w:w="2305" w:type="dxa"/>
            <w:tcBorders>
              <w:top w:val="single" w:sz="4" w:space="0" w:color="auto"/>
              <w:bottom w:val="single" w:sz="4" w:space="0" w:color="auto"/>
            </w:tcBorders>
          </w:tcPr>
          <w:p>
            <w:pPr>
              <w:pStyle w:val="yTableNAm"/>
              <w:rPr>
                <w:b/>
              </w:rPr>
            </w:pPr>
            <w:r>
              <w:rPr>
                <w:b/>
              </w:rPr>
              <w:t>Dues</w:t>
            </w:r>
          </w:p>
        </w:tc>
        <w:tc>
          <w:tcPr>
            <w:tcW w:w="1134" w:type="dxa"/>
            <w:tcBorders>
              <w:top w:val="single" w:sz="4" w:space="0" w:color="auto"/>
              <w:bottom w:val="single" w:sz="4" w:space="0" w:color="auto"/>
            </w:tcBorders>
          </w:tcPr>
          <w:p>
            <w:pPr>
              <w:pStyle w:val="yTableNAm"/>
              <w:jc w:val="center"/>
              <w:rPr>
                <w:b/>
              </w:rPr>
            </w:pPr>
            <w:r>
              <w:rPr>
                <w:b/>
              </w:rPr>
              <w:t>Minimum per day ($)</w:t>
            </w:r>
          </w:p>
        </w:tc>
      </w:tr>
      <w:tr>
        <w:trPr>
          <w:cantSplit/>
        </w:trPr>
        <w:tc>
          <w:tcPr>
            <w:tcW w:w="567" w:type="dxa"/>
          </w:tcPr>
          <w:p>
            <w:pPr>
              <w:pStyle w:val="yTableNAm"/>
            </w:pPr>
            <w:r>
              <w:t>1.</w:t>
            </w:r>
          </w:p>
        </w:tc>
        <w:tc>
          <w:tcPr>
            <w:tcW w:w="1947" w:type="dxa"/>
          </w:tcPr>
          <w:p>
            <w:pPr>
              <w:pStyle w:val="yTableNAm"/>
            </w:pPr>
            <w:r>
              <w:t>Vessel of 300 gross registered tonnes or over</w:t>
            </w:r>
          </w:p>
        </w:tc>
        <w:tc>
          <w:tcPr>
            <w:tcW w:w="2305" w:type="dxa"/>
          </w:tcPr>
          <w:p>
            <w:pPr>
              <w:pStyle w:val="yTableNAm"/>
            </w:pPr>
            <w:r>
              <w:t>$1.13 per t, per m</w:t>
            </w:r>
            <w:r>
              <w:rPr>
                <w:vertAlign w:val="superscript"/>
              </w:rPr>
              <w:t>3</w:t>
            </w:r>
            <w:r>
              <w:t>, or per kL, at option of officer in charge, on all cargo landed or shipped</w:t>
            </w:r>
          </w:p>
        </w:tc>
        <w:tc>
          <w:tcPr>
            <w:tcW w:w="1134" w:type="dxa"/>
            <w:vAlign w:val="bottom"/>
          </w:tcPr>
          <w:p>
            <w:pPr>
              <w:pStyle w:val="yTableNAm"/>
              <w:jc w:val="right"/>
            </w:pPr>
            <w:r>
              <w:t>169.48</w:t>
            </w:r>
          </w:p>
        </w:tc>
      </w:tr>
      <w:tr>
        <w:trPr>
          <w:cantSplit/>
        </w:trPr>
        <w:tc>
          <w:tcPr>
            <w:tcW w:w="567" w:type="dxa"/>
          </w:tcPr>
          <w:p>
            <w:pPr>
              <w:pStyle w:val="yTableNAm"/>
            </w:pPr>
            <w:r>
              <w:t>2.</w:t>
            </w:r>
          </w:p>
        </w:tc>
        <w:tc>
          <w:tcPr>
            <w:tcW w:w="1947" w:type="dxa"/>
          </w:tcPr>
          <w:p>
            <w:pPr>
              <w:pStyle w:val="yTableNAm"/>
            </w:pPr>
            <w:r>
              <w:t>Vessel under 300 gross registered tonnes</w:t>
            </w:r>
          </w:p>
        </w:tc>
        <w:tc>
          <w:tcPr>
            <w:tcW w:w="2305" w:type="dxa"/>
          </w:tcPr>
          <w:p>
            <w:pPr>
              <w:pStyle w:val="yTableNAm"/>
            </w:pPr>
            <w:r>
              <w:t>$6.13 per m of the vessel’s length, per day</w:t>
            </w:r>
          </w:p>
        </w:tc>
        <w:tc>
          <w:tcPr>
            <w:tcW w:w="1134" w:type="dxa"/>
            <w:vAlign w:val="bottom"/>
          </w:tcPr>
          <w:p>
            <w:pPr>
              <w:pStyle w:val="yTableNAm"/>
              <w:jc w:val="right"/>
            </w:pPr>
            <w:r>
              <w:t>112.94</w:t>
            </w:r>
          </w:p>
        </w:tc>
      </w:tr>
      <w:tr>
        <w:trPr>
          <w:cantSplit/>
        </w:trPr>
        <w:tc>
          <w:tcPr>
            <w:tcW w:w="567" w:type="dxa"/>
          </w:tcPr>
          <w:p>
            <w:pPr>
              <w:pStyle w:val="yTableNAm"/>
            </w:pPr>
            <w:r>
              <w:t>3.</w:t>
            </w:r>
          </w:p>
        </w:tc>
        <w:tc>
          <w:tcPr>
            <w:tcW w:w="1947" w:type="dxa"/>
          </w:tcPr>
          <w:p>
            <w:pPr>
              <w:pStyle w:val="yTableNAm"/>
            </w:pPr>
            <w:r>
              <w:t>Vessel using berth for purposes other than handling cargo</w:t>
            </w:r>
          </w:p>
        </w:tc>
        <w:tc>
          <w:tcPr>
            <w:tcW w:w="2305" w:type="dxa"/>
          </w:tcPr>
          <w:p>
            <w:pPr>
              <w:pStyle w:val="yTableNAm"/>
            </w:pPr>
            <w:r>
              <w:t>$6.13 per m of the vessel’s length, per day</w:t>
            </w:r>
          </w:p>
        </w:tc>
        <w:tc>
          <w:tcPr>
            <w:tcW w:w="1134" w:type="dxa"/>
            <w:vAlign w:val="bottom"/>
          </w:tcPr>
          <w:p>
            <w:pPr>
              <w:pStyle w:val="yTableNAm"/>
              <w:jc w:val="right"/>
            </w:pPr>
            <w:r>
              <w:t>112.94</w:t>
            </w:r>
          </w:p>
        </w:tc>
      </w:tr>
      <w:tr>
        <w:trPr>
          <w:cantSplit/>
        </w:trPr>
        <w:tc>
          <w:tcPr>
            <w:tcW w:w="567" w:type="dxa"/>
          </w:tcPr>
          <w:p>
            <w:pPr>
              <w:pStyle w:val="yTableNAm"/>
            </w:pPr>
            <w:r>
              <w:t>4.</w:t>
            </w:r>
          </w:p>
        </w:tc>
        <w:tc>
          <w:tcPr>
            <w:tcW w:w="1947" w:type="dxa"/>
          </w:tcPr>
          <w:p>
            <w:pPr>
              <w:pStyle w:val="yTableNAm"/>
            </w:pPr>
            <w:r>
              <w:t>Container, empty</w:t>
            </w:r>
          </w:p>
        </w:tc>
        <w:tc>
          <w:tcPr>
            <w:tcW w:w="2305" w:type="dxa"/>
          </w:tcPr>
          <w:p>
            <w:pPr>
              <w:pStyle w:val="yTableNAm"/>
            </w:pPr>
            <w:r>
              <w:t>$8.80 per container</w:t>
            </w:r>
          </w:p>
        </w:tc>
        <w:tc>
          <w:tcPr>
            <w:tcW w:w="1134" w:type="dxa"/>
          </w:tcPr>
          <w:p>
            <w:pPr>
              <w:pStyle w:val="yTableNAm"/>
              <w:jc w:val="right"/>
            </w:pPr>
          </w:p>
        </w:tc>
      </w:tr>
      <w:tr>
        <w:trPr>
          <w:cantSplit/>
        </w:trPr>
        <w:tc>
          <w:tcPr>
            <w:tcW w:w="567" w:type="dxa"/>
            <w:tcBorders>
              <w:bottom w:val="single" w:sz="4" w:space="0" w:color="auto"/>
            </w:tcBorders>
          </w:tcPr>
          <w:p>
            <w:pPr>
              <w:pStyle w:val="yTableNAm"/>
            </w:pPr>
            <w:r>
              <w:t>5.</w:t>
            </w:r>
          </w:p>
        </w:tc>
        <w:tc>
          <w:tcPr>
            <w:tcW w:w="1947" w:type="dxa"/>
            <w:tcBorders>
              <w:bottom w:val="single" w:sz="4" w:space="0" w:color="auto"/>
            </w:tcBorders>
          </w:tcPr>
          <w:p>
            <w:pPr>
              <w:pStyle w:val="yTableNAm"/>
            </w:pPr>
            <w:r>
              <w:t>Container, loaded</w:t>
            </w:r>
          </w:p>
        </w:tc>
        <w:tc>
          <w:tcPr>
            <w:tcW w:w="2305" w:type="dxa"/>
            <w:tcBorders>
              <w:bottom w:val="single" w:sz="4" w:space="0" w:color="auto"/>
            </w:tcBorders>
          </w:tcPr>
          <w:p>
            <w:pPr>
              <w:pStyle w:val="yTableNAm"/>
            </w:pPr>
            <w:r>
              <w:t>$28.30 per container</w:t>
            </w:r>
          </w:p>
        </w:tc>
        <w:tc>
          <w:tcPr>
            <w:tcW w:w="1134" w:type="dxa"/>
            <w:tcBorders>
              <w:bottom w:val="single" w:sz="4" w:space="0" w:color="auto"/>
            </w:tcBorders>
          </w:tcPr>
          <w:p>
            <w:pPr>
              <w:pStyle w:val="yTableNAm"/>
              <w:jc w:val="right"/>
            </w:pPr>
          </w:p>
        </w:tc>
      </w:tr>
    </w:tbl>
    <w:p>
      <w:pPr>
        <w:pStyle w:val="ySubsection"/>
      </w:pPr>
      <w:r>
        <w:tab/>
        <w:t>(3)</w:t>
      </w:r>
      <w:r>
        <w:tab/>
        <w:t>The charges and dues to be paid under regulation 10A are set out in Table 23.2.</w:t>
      </w:r>
    </w:p>
    <w:p>
      <w:pPr>
        <w:pStyle w:val="yTHeadingNAm"/>
      </w:pPr>
      <w:r>
        <w:t>Table 23.2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Cargo in 20 feet equivalent unit (TEU) containers —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fertiliser, per TEU</w:t>
            </w:r>
          </w:p>
        </w:tc>
        <w:tc>
          <w:tcPr>
            <w:tcW w:w="992" w:type="dxa"/>
            <w:vAlign w:val="bottom"/>
          </w:tcPr>
          <w:p>
            <w:pPr>
              <w:pStyle w:val="yTableNAm"/>
              <w:jc w:val="right"/>
            </w:pPr>
            <w:r>
              <w:t>98.25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explosives, per TEU</w:t>
            </w:r>
          </w:p>
        </w:tc>
        <w:tc>
          <w:tcPr>
            <w:tcW w:w="992" w:type="dxa"/>
            <w:vAlign w:val="bottom"/>
          </w:tcPr>
          <w:p>
            <w:pPr>
              <w:pStyle w:val="yTableNAm"/>
              <w:jc w:val="right"/>
            </w:pPr>
            <w:r>
              <w:t>121.55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products of the soil (not otherwise specified), per TEU</w:t>
            </w:r>
          </w:p>
        </w:tc>
        <w:tc>
          <w:tcPr>
            <w:tcW w:w="992" w:type="dxa"/>
            <w:vAlign w:val="bottom"/>
          </w:tcPr>
          <w:p>
            <w:pPr>
              <w:pStyle w:val="yTableNAm"/>
              <w:jc w:val="right"/>
            </w:pPr>
            <w:r>
              <w:t>61.68</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not otherwise specified in this item, per TEU</w:t>
            </w:r>
          </w:p>
        </w:tc>
        <w:tc>
          <w:tcPr>
            <w:tcW w:w="992" w:type="dxa"/>
            <w:vAlign w:val="bottom"/>
          </w:tcPr>
          <w:p>
            <w:pPr>
              <w:pStyle w:val="yTableNAm"/>
              <w:jc w:val="right"/>
            </w:pPr>
            <w:r>
              <w:t>194.81</w:t>
            </w:r>
          </w:p>
        </w:tc>
      </w:tr>
      <w:tr>
        <w:trPr>
          <w:cantSplit/>
        </w:trPr>
        <w:tc>
          <w:tcPr>
            <w:tcW w:w="567" w:type="dxa"/>
          </w:tcPr>
          <w:p>
            <w:pPr>
              <w:pStyle w:val="yTableNAm"/>
            </w:pPr>
            <w:r>
              <w:t>2.</w:t>
            </w:r>
          </w:p>
        </w:tc>
        <w:tc>
          <w:tcPr>
            <w:tcW w:w="4394" w:type="dxa"/>
          </w:tcPr>
          <w:p>
            <w:pPr>
              <w:pStyle w:val="yTableNAm"/>
            </w:pPr>
            <w:r>
              <w:t>Empty TEU containers, per TEU</w:t>
            </w:r>
          </w:p>
        </w:tc>
        <w:tc>
          <w:tcPr>
            <w:tcW w:w="992" w:type="dxa"/>
            <w:vAlign w:val="bottom"/>
          </w:tcPr>
          <w:p>
            <w:pPr>
              <w:pStyle w:val="yTableNAm"/>
              <w:jc w:val="right"/>
            </w:pPr>
            <w:r>
              <w:t>56.62</w:t>
            </w:r>
          </w:p>
        </w:tc>
      </w:tr>
      <w:tr>
        <w:trPr>
          <w:cantSplit/>
        </w:trPr>
        <w:tc>
          <w:tcPr>
            <w:tcW w:w="567" w:type="dxa"/>
          </w:tcPr>
          <w:p>
            <w:pPr>
              <w:pStyle w:val="yTableNAm"/>
            </w:pPr>
            <w:r>
              <w:t>3.</w:t>
            </w:r>
          </w:p>
        </w:tc>
        <w:tc>
          <w:tcPr>
            <w:tcW w:w="4394" w:type="dxa"/>
          </w:tcPr>
          <w:p>
            <w:pPr>
              <w:pStyle w:val="yTableNAm"/>
            </w:pPr>
            <w:r>
              <w:t>Cargo, whether in containers (not TEU containers) or otherwise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animals, live —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43"/>
                <w:tab w:val="left" w:pos="840"/>
              </w:tabs>
            </w:pPr>
            <w:r>
              <w:tab/>
              <w:t>•</w:t>
            </w:r>
            <w:r>
              <w:tab/>
              <w:t>cattle (bullocks, cows, etc.), per head</w:t>
            </w:r>
          </w:p>
        </w:tc>
        <w:tc>
          <w:tcPr>
            <w:tcW w:w="992" w:type="dxa"/>
            <w:vAlign w:val="bottom"/>
          </w:tcPr>
          <w:p>
            <w:pPr>
              <w:pStyle w:val="yTableNAm"/>
              <w:jc w:val="right"/>
            </w:pPr>
            <w:r>
              <w:t>2.42</w:t>
            </w:r>
          </w:p>
        </w:tc>
      </w:tr>
      <w:tr>
        <w:trPr>
          <w:cantSplit/>
        </w:trPr>
        <w:tc>
          <w:tcPr>
            <w:tcW w:w="567" w:type="dxa"/>
          </w:tcPr>
          <w:p>
            <w:pPr>
              <w:pStyle w:val="yTableNAm"/>
            </w:pPr>
          </w:p>
        </w:tc>
        <w:tc>
          <w:tcPr>
            <w:tcW w:w="4394" w:type="dxa"/>
          </w:tcPr>
          <w:p>
            <w:pPr>
              <w:pStyle w:val="yTableNAm"/>
              <w:tabs>
                <w:tab w:val="clear" w:pos="567"/>
                <w:tab w:val="left" w:pos="443"/>
                <w:tab w:val="left" w:pos="840"/>
              </w:tabs>
            </w:pPr>
            <w:r>
              <w:tab/>
              <w:t>•</w:t>
            </w:r>
            <w:r>
              <w:tab/>
              <w:t>dogs, goats, pigs, sheep, per head</w:t>
            </w:r>
          </w:p>
        </w:tc>
        <w:tc>
          <w:tcPr>
            <w:tcW w:w="992" w:type="dxa"/>
            <w:vAlign w:val="bottom"/>
          </w:tcPr>
          <w:p>
            <w:pPr>
              <w:pStyle w:val="yTableNAm"/>
              <w:jc w:val="right"/>
            </w:pPr>
            <w:r>
              <w:t>0.50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bulk, by pipeline, per kL</w:t>
            </w:r>
          </w:p>
        </w:tc>
        <w:tc>
          <w:tcPr>
            <w:tcW w:w="992" w:type="dxa"/>
            <w:vAlign w:val="bottom"/>
          </w:tcPr>
          <w:p>
            <w:pPr>
              <w:pStyle w:val="yTableNAm"/>
              <w:jc w:val="right"/>
            </w:pPr>
            <w:r>
              <w:t>10.31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bulk, by pipeline using road tanker on jetty, per kL</w:t>
            </w:r>
          </w:p>
        </w:tc>
        <w:tc>
          <w:tcPr>
            <w:tcW w:w="992" w:type="dxa"/>
            <w:vAlign w:val="bottom"/>
          </w:tcPr>
          <w:p>
            <w:pPr>
              <w:pStyle w:val="yTableNAm"/>
              <w:jc w:val="right"/>
            </w:pPr>
            <w:r>
              <w:t>10.73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containers (not TEU containers), empty, per t or m</w:t>
            </w:r>
            <w:r>
              <w:rPr>
                <w:vertAlign w:val="superscript"/>
              </w:rPr>
              <w:t>3</w:t>
            </w:r>
          </w:p>
        </w:tc>
        <w:tc>
          <w:tcPr>
            <w:tcW w:w="992" w:type="dxa"/>
            <w:vAlign w:val="bottom"/>
          </w:tcPr>
          <w:p>
            <w:pPr>
              <w:pStyle w:val="yTableNAm"/>
              <w:jc w:val="right"/>
            </w:pPr>
            <w:r>
              <w:t>2.42</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explosives, per t or m</w:t>
            </w:r>
            <w:r>
              <w:rPr>
                <w:vertAlign w:val="superscript"/>
              </w:rPr>
              <w:t>3</w:t>
            </w:r>
          </w:p>
        </w:tc>
        <w:tc>
          <w:tcPr>
            <w:tcW w:w="992" w:type="dxa"/>
            <w:vAlign w:val="bottom"/>
          </w:tcPr>
          <w:p>
            <w:pPr>
              <w:pStyle w:val="yTableNAm"/>
              <w:jc w:val="right"/>
            </w:pPr>
            <w:r>
              <w:t>4.18</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fertiliser, per t or m</w:t>
            </w:r>
            <w:r>
              <w:rPr>
                <w:vertAlign w:val="superscript"/>
              </w:rPr>
              <w:t>3</w:t>
            </w:r>
          </w:p>
        </w:tc>
        <w:tc>
          <w:tcPr>
            <w:tcW w:w="992" w:type="dxa"/>
            <w:vAlign w:val="bottom"/>
          </w:tcPr>
          <w:p>
            <w:pPr>
              <w:pStyle w:val="yTableNAm"/>
              <w:jc w:val="right"/>
            </w:pPr>
            <w:r>
              <w:t>3.40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meat, chilled or frozen, per t or m</w:t>
            </w:r>
            <w:r>
              <w:rPr>
                <w:vertAlign w:val="superscript"/>
              </w:rPr>
              <w:t>3</w:t>
            </w:r>
          </w:p>
        </w:tc>
        <w:tc>
          <w:tcPr>
            <w:tcW w:w="992" w:type="dxa"/>
            <w:vAlign w:val="bottom"/>
          </w:tcPr>
          <w:p>
            <w:pPr>
              <w:pStyle w:val="yTableNAm"/>
              <w:jc w:val="right"/>
            </w:pPr>
            <w:r>
              <w:t>4.00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ore, per t</w:t>
            </w:r>
          </w:p>
        </w:tc>
        <w:tc>
          <w:tcPr>
            <w:tcW w:w="992" w:type="dxa"/>
            <w:vAlign w:val="bottom"/>
          </w:tcPr>
          <w:p>
            <w:pPr>
              <w:pStyle w:val="yTableNAm"/>
              <w:jc w:val="right"/>
            </w:pPr>
            <w:r>
              <w:t>3.31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products of the soil (not otherwise specified), per t or m</w:t>
            </w:r>
            <w:r>
              <w:rPr>
                <w:vertAlign w:val="superscript"/>
              </w:rPr>
              <w:t>3</w:t>
            </w:r>
          </w:p>
        </w:tc>
        <w:tc>
          <w:tcPr>
            <w:tcW w:w="992" w:type="dxa"/>
            <w:vAlign w:val="bottom"/>
          </w:tcPr>
          <w:p>
            <w:pPr>
              <w:pStyle w:val="yTableNAm"/>
              <w:jc w:val="right"/>
            </w:pPr>
            <w:r>
              <w:t>2.28</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vehicles —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43"/>
                <w:tab w:val="left" w:pos="835"/>
              </w:tabs>
              <w:ind w:left="835" w:hanging="835"/>
            </w:pPr>
            <w:r>
              <w:tab/>
              <w:t>•</w:t>
            </w:r>
            <w:r>
              <w:tab/>
              <w:t>commercial vehicles on own wheels, per t or m</w:t>
            </w:r>
            <w:r>
              <w:rPr>
                <w:vertAlign w:val="superscript"/>
              </w:rPr>
              <w:t>3</w:t>
            </w:r>
          </w:p>
        </w:tc>
        <w:tc>
          <w:tcPr>
            <w:tcW w:w="992" w:type="dxa"/>
            <w:vAlign w:val="bottom"/>
          </w:tcPr>
          <w:p>
            <w:pPr>
              <w:pStyle w:val="yTableNAm"/>
              <w:jc w:val="right"/>
            </w:pPr>
            <w:r>
              <w:t>3.99</w:t>
            </w:r>
          </w:p>
        </w:tc>
      </w:tr>
      <w:tr>
        <w:trPr>
          <w:cantSplit/>
        </w:trPr>
        <w:tc>
          <w:tcPr>
            <w:tcW w:w="567" w:type="dxa"/>
          </w:tcPr>
          <w:p>
            <w:pPr>
              <w:pStyle w:val="yTableNAm"/>
            </w:pPr>
          </w:p>
        </w:tc>
        <w:tc>
          <w:tcPr>
            <w:tcW w:w="4394" w:type="dxa"/>
          </w:tcPr>
          <w:p>
            <w:pPr>
              <w:pStyle w:val="yTableNAm"/>
              <w:tabs>
                <w:tab w:val="clear" w:pos="567"/>
                <w:tab w:val="left" w:pos="443"/>
                <w:tab w:val="left" w:pos="793"/>
                <w:tab w:val="left" w:pos="1644"/>
              </w:tabs>
              <w:ind w:left="793" w:hanging="793"/>
            </w:pPr>
            <w:r>
              <w:tab/>
              <w:t>•</w:t>
            </w:r>
            <w:r>
              <w:tab/>
              <w:t>other vehicles on own wheels, per t or m</w:t>
            </w:r>
            <w:r>
              <w:rPr>
                <w:vertAlign w:val="superscript"/>
              </w:rPr>
              <w:t>3</w:t>
            </w:r>
          </w:p>
        </w:tc>
        <w:tc>
          <w:tcPr>
            <w:tcW w:w="992" w:type="dxa"/>
            <w:vAlign w:val="bottom"/>
          </w:tcPr>
          <w:p>
            <w:pPr>
              <w:pStyle w:val="yTableNAm"/>
              <w:jc w:val="right"/>
            </w:pPr>
            <w:r>
              <w:t>3.81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recreational vessel, per m of the vessel’s length</w:t>
            </w:r>
          </w:p>
        </w:tc>
        <w:tc>
          <w:tcPr>
            <w:tcW w:w="992" w:type="dxa"/>
            <w:vAlign w:val="bottom"/>
          </w:tcPr>
          <w:p>
            <w:pPr>
              <w:pStyle w:val="yTableNAm"/>
              <w:jc w:val="right"/>
            </w:pPr>
            <w:r>
              <w:t>15.08</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not otherwise specified in this item, per t or m</w:t>
            </w:r>
            <w:r>
              <w:rPr>
                <w:vertAlign w:val="superscript"/>
              </w:rPr>
              <w:t>3</w:t>
            </w:r>
          </w:p>
        </w:tc>
        <w:tc>
          <w:tcPr>
            <w:tcW w:w="992" w:type="dxa"/>
            <w:tcBorders>
              <w:bottom w:val="single" w:sz="4" w:space="0" w:color="auto"/>
            </w:tcBorders>
            <w:vAlign w:val="bottom"/>
          </w:tcPr>
          <w:p>
            <w:pPr>
              <w:pStyle w:val="yTableNAm"/>
              <w:jc w:val="right"/>
            </w:pPr>
            <w:r>
              <w:t>6.58</w:t>
            </w:r>
          </w:p>
        </w:tc>
      </w:tr>
    </w:tbl>
    <w:p>
      <w:pPr>
        <w:pStyle w:val="ySubsection"/>
      </w:pPr>
      <w:r>
        <w:tab/>
        <w:t>(4)</w:t>
      </w:r>
      <w:r>
        <w:tab/>
        <w:t>The dues to be paid under regulation 11 are set out in Table 23.3.</w:t>
      </w:r>
    </w:p>
    <w:p>
      <w:pPr>
        <w:pStyle w:val="yTHeadingNAm"/>
      </w:pPr>
      <w:r>
        <w:t>Table 23.3 (Transhipment)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3685"/>
        <w:gridCol w:w="1701"/>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3685" w:type="dxa"/>
            <w:tcBorders>
              <w:top w:val="single" w:sz="4" w:space="0" w:color="auto"/>
              <w:bottom w:val="single" w:sz="4" w:space="0" w:color="auto"/>
            </w:tcBorders>
          </w:tcPr>
          <w:p>
            <w:pPr>
              <w:pStyle w:val="yTableNAm"/>
              <w:rPr>
                <w:b/>
              </w:rPr>
            </w:pPr>
            <w:r>
              <w:rPr>
                <w:b/>
              </w:rPr>
              <w:t>Goods</w:t>
            </w:r>
          </w:p>
        </w:tc>
        <w:tc>
          <w:tcPr>
            <w:tcW w:w="1701" w:type="dxa"/>
            <w:tcBorders>
              <w:top w:val="single" w:sz="4" w:space="0" w:color="auto"/>
              <w:bottom w:val="single" w:sz="4" w:space="0" w:color="auto"/>
            </w:tcBorders>
          </w:tcPr>
          <w:p>
            <w:pPr>
              <w:pStyle w:val="yTableNAm"/>
              <w:jc w:val="center"/>
              <w:rPr>
                <w:b/>
              </w:rPr>
            </w:pPr>
            <w:r>
              <w:rPr>
                <w:b/>
              </w:rPr>
              <w:t>Dues</w:t>
            </w:r>
          </w:p>
        </w:tc>
      </w:tr>
      <w:tr>
        <w:trPr>
          <w:cantSplit/>
        </w:trPr>
        <w:tc>
          <w:tcPr>
            <w:tcW w:w="567" w:type="dxa"/>
          </w:tcPr>
          <w:p>
            <w:pPr>
              <w:pStyle w:val="yTableNAm"/>
            </w:pPr>
            <w:r>
              <w:t>1.</w:t>
            </w:r>
          </w:p>
        </w:tc>
        <w:tc>
          <w:tcPr>
            <w:tcW w:w="3685" w:type="dxa"/>
          </w:tcPr>
          <w:p>
            <w:pPr>
              <w:pStyle w:val="yTableNAm"/>
            </w:pPr>
            <w:r>
              <w:t xml:space="preserve">For cargo — </w:t>
            </w:r>
          </w:p>
        </w:tc>
        <w:tc>
          <w:tcPr>
            <w:tcW w:w="1701" w:type="dxa"/>
          </w:tcPr>
          <w:p>
            <w:pPr>
              <w:pStyle w:val="yTableNAm"/>
            </w:pPr>
          </w:p>
        </w:tc>
      </w:tr>
      <w:tr>
        <w:trPr>
          <w:cantSplit/>
        </w:trPr>
        <w:tc>
          <w:tcPr>
            <w:tcW w:w="567" w:type="dxa"/>
          </w:tcPr>
          <w:p>
            <w:pPr>
              <w:pStyle w:val="yTableNAm"/>
            </w:pPr>
          </w:p>
        </w:tc>
        <w:tc>
          <w:tcPr>
            <w:tcW w:w="3685" w:type="dxa"/>
          </w:tcPr>
          <w:p>
            <w:pPr>
              <w:pStyle w:val="yTableNAm"/>
              <w:tabs>
                <w:tab w:val="clear" w:pos="567"/>
                <w:tab w:val="left" w:pos="415"/>
              </w:tabs>
              <w:ind w:left="415" w:hanging="415"/>
            </w:pPr>
            <w:r>
              <w:t>•</w:t>
            </w:r>
            <w:r>
              <w:tab/>
              <w:t>loaded over the side of a vessel to another vessel</w:t>
            </w:r>
          </w:p>
        </w:tc>
        <w:tc>
          <w:tcPr>
            <w:tcW w:w="1701" w:type="dxa"/>
          </w:tcPr>
          <w:p>
            <w:pPr>
              <w:pStyle w:val="yTableNAm"/>
            </w:pPr>
            <w:r>
              <w:t>50% of wharfage for the cargo</w:t>
            </w:r>
          </w:p>
        </w:tc>
      </w:tr>
      <w:tr>
        <w:trPr>
          <w:cantSplit/>
        </w:trPr>
        <w:tc>
          <w:tcPr>
            <w:tcW w:w="567" w:type="dxa"/>
            <w:tcBorders>
              <w:bottom w:val="single" w:sz="4" w:space="0" w:color="auto"/>
            </w:tcBorders>
          </w:tcPr>
          <w:p>
            <w:pPr>
              <w:pStyle w:val="yTableNAm"/>
            </w:pPr>
          </w:p>
        </w:tc>
        <w:tc>
          <w:tcPr>
            <w:tcW w:w="3685" w:type="dxa"/>
            <w:tcBorders>
              <w:bottom w:val="single" w:sz="4" w:space="0" w:color="auto"/>
            </w:tcBorders>
          </w:tcPr>
          <w:p>
            <w:pPr>
              <w:pStyle w:val="yTableNAm"/>
              <w:tabs>
                <w:tab w:val="clear" w:pos="567"/>
                <w:tab w:val="left" w:pos="415"/>
              </w:tabs>
              <w:ind w:left="415" w:hanging="415"/>
            </w:pPr>
            <w:r>
              <w:t>•</w:t>
            </w:r>
            <w:r>
              <w:tab/>
              <w:t>landed on jetty</w:t>
            </w:r>
          </w:p>
        </w:tc>
        <w:tc>
          <w:tcPr>
            <w:tcW w:w="1701" w:type="dxa"/>
            <w:tcBorders>
              <w:bottom w:val="single" w:sz="4" w:space="0" w:color="auto"/>
            </w:tcBorders>
          </w:tcPr>
          <w:p>
            <w:pPr>
              <w:pStyle w:val="yTableNAm"/>
            </w:pPr>
            <w:r>
              <w:t>100% of wharfage for the cargo</w:t>
            </w:r>
          </w:p>
        </w:tc>
      </w:tr>
    </w:tbl>
    <w:p>
      <w:pPr>
        <w:pStyle w:val="ySubsection"/>
      </w:pPr>
      <w:r>
        <w:tab/>
        <w:t>(5)</w:t>
      </w:r>
      <w:r>
        <w:tab/>
        <w:t>The charges to be paid under regulation 25 for storage are set out in Table 23.4.</w:t>
      </w:r>
    </w:p>
    <w:p>
      <w:pPr>
        <w:pStyle w:val="yTHeadingNAm"/>
        <w:keepLines/>
        <w:widowControl w:val="0"/>
      </w:pPr>
      <w:r>
        <w:t>Table 23.4 (Storage)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keepLines/>
              <w:widowControl w:val="0"/>
              <w:rPr>
                <w:b/>
              </w:rPr>
            </w:pPr>
            <w:r>
              <w:rPr>
                <w:b/>
              </w:rPr>
              <w:t>Item</w:t>
            </w:r>
          </w:p>
        </w:tc>
        <w:tc>
          <w:tcPr>
            <w:tcW w:w="4394" w:type="dxa"/>
            <w:tcBorders>
              <w:top w:val="single" w:sz="4" w:space="0" w:color="auto"/>
              <w:bottom w:val="single" w:sz="4" w:space="0" w:color="auto"/>
            </w:tcBorders>
          </w:tcPr>
          <w:p>
            <w:pPr>
              <w:pStyle w:val="yTableNAm"/>
              <w:keepNext/>
              <w:keepLines/>
              <w:widowControl w:val="0"/>
              <w:rPr>
                <w:b/>
              </w:rPr>
            </w:pPr>
            <w:r>
              <w:rPr>
                <w:b/>
              </w:rPr>
              <w:t>Goods</w:t>
            </w:r>
          </w:p>
        </w:tc>
        <w:tc>
          <w:tcPr>
            <w:tcW w:w="992" w:type="dxa"/>
            <w:tcBorders>
              <w:top w:val="single" w:sz="4" w:space="0" w:color="auto"/>
              <w:bottom w:val="single" w:sz="4" w:space="0" w:color="auto"/>
            </w:tcBorders>
          </w:tcPr>
          <w:p>
            <w:pPr>
              <w:pStyle w:val="yTableNAm"/>
              <w:keepNext/>
              <w:keepLines/>
              <w:widowControl w:val="0"/>
              <w:jc w:val="center"/>
              <w:rPr>
                <w:b/>
              </w:rPr>
            </w:pPr>
            <w:r>
              <w:rPr>
                <w:b/>
              </w:rPr>
              <w:t>$</w:t>
            </w:r>
          </w:p>
        </w:tc>
      </w:tr>
      <w:tr>
        <w:trPr>
          <w:cantSplit/>
        </w:trPr>
        <w:tc>
          <w:tcPr>
            <w:tcW w:w="567" w:type="dxa"/>
          </w:tcPr>
          <w:p>
            <w:pPr>
              <w:pStyle w:val="yTableNAm"/>
              <w:keepNext/>
              <w:keepLines/>
              <w:widowControl w:val="0"/>
            </w:pPr>
            <w:r>
              <w:t>1.</w:t>
            </w:r>
          </w:p>
        </w:tc>
        <w:tc>
          <w:tcPr>
            <w:tcW w:w="4394" w:type="dxa"/>
          </w:tcPr>
          <w:p>
            <w:pPr>
              <w:pStyle w:val="yTableNAm"/>
              <w:keepNext/>
              <w:keepLines/>
              <w:widowControl w:val="0"/>
            </w:pPr>
            <w:r>
              <w:t>Goods in transit not removed from goods shed within 3 days after being received, per t, per day</w:t>
            </w:r>
          </w:p>
        </w:tc>
        <w:tc>
          <w:tcPr>
            <w:tcW w:w="992" w:type="dxa"/>
            <w:vAlign w:val="bottom"/>
          </w:tcPr>
          <w:p>
            <w:pPr>
              <w:pStyle w:val="yTableNAm"/>
              <w:keepNext/>
              <w:keepLines/>
              <w:widowControl w:val="0"/>
              <w:tabs>
                <w:tab w:val="clear" w:pos="567"/>
              </w:tabs>
              <w:spacing w:before="0"/>
              <w:jc w:val="right"/>
              <w:rPr>
                <w:bCs/>
              </w:rPr>
            </w:pPr>
            <w:r>
              <w:t>0.66</w:t>
            </w:r>
          </w:p>
        </w:tc>
      </w:tr>
      <w:tr>
        <w:trPr>
          <w:cantSplit/>
        </w:trPr>
        <w:tc>
          <w:tcPr>
            <w:tcW w:w="567" w:type="dxa"/>
          </w:tcPr>
          <w:p>
            <w:pPr>
              <w:pStyle w:val="yTableNAm"/>
            </w:pPr>
            <w:r>
              <w:t>2.</w:t>
            </w:r>
          </w:p>
        </w:tc>
        <w:tc>
          <w:tcPr>
            <w:tcW w:w="4394" w:type="dxa"/>
          </w:tcPr>
          <w:p>
            <w:pPr>
              <w:pStyle w:val="yTableNAm"/>
            </w:pPr>
            <w:r>
              <w:t>Goods being transhipped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first 2 weeks, per t or m</w:t>
            </w:r>
            <w:r>
              <w:rPr>
                <w:vertAlign w:val="superscript"/>
              </w:rPr>
              <w:t>3</w:t>
            </w:r>
            <w:r>
              <w:t>, per week</w:t>
            </w:r>
          </w:p>
        </w:tc>
        <w:tc>
          <w:tcPr>
            <w:tcW w:w="992" w:type="dxa"/>
            <w:vAlign w:val="bottom"/>
          </w:tcPr>
          <w:p>
            <w:pPr>
              <w:pStyle w:val="yTableNAm"/>
              <w:keepNext/>
              <w:tabs>
                <w:tab w:val="clear" w:pos="567"/>
              </w:tabs>
              <w:spacing w:before="0"/>
              <w:jc w:val="right"/>
              <w:rPr>
                <w:bCs/>
              </w:rPr>
            </w:pPr>
            <w:r>
              <w:rPr>
                <w:bCs/>
              </w:rPr>
              <w:t>0.66</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after the first 2 weeks, per t or m</w:t>
            </w:r>
            <w:r>
              <w:rPr>
                <w:vertAlign w:val="superscript"/>
              </w:rPr>
              <w:t>3</w:t>
            </w:r>
            <w:r>
              <w:t>, per day</w:t>
            </w:r>
          </w:p>
        </w:tc>
        <w:tc>
          <w:tcPr>
            <w:tcW w:w="992" w:type="dxa"/>
            <w:vAlign w:val="bottom"/>
          </w:tcPr>
          <w:p>
            <w:pPr>
              <w:pStyle w:val="yTableNAm"/>
              <w:keepNext/>
              <w:tabs>
                <w:tab w:val="clear" w:pos="567"/>
              </w:tabs>
              <w:spacing w:before="0"/>
              <w:jc w:val="right"/>
              <w:rPr>
                <w:bCs/>
              </w:rPr>
            </w:pPr>
            <w:r>
              <w:rPr>
                <w:bCs/>
              </w:rPr>
              <w:t>0.66</w:t>
            </w:r>
          </w:p>
        </w:tc>
      </w:tr>
      <w:tr>
        <w:trPr>
          <w:cantSplit/>
        </w:trPr>
        <w:tc>
          <w:tcPr>
            <w:tcW w:w="567" w:type="dxa"/>
            <w:tcBorders>
              <w:bottom w:val="single" w:sz="4" w:space="0" w:color="auto"/>
            </w:tcBorders>
          </w:tcPr>
          <w:p>
            <w:pPr>
              <w:pStyle w:val="yTableNAm"/>
            </w:pPr>
            <w:r>
              <w:t>3.</w:t>
            </w:r>
          </w:p>
        </w:tc>
        <w:tc>
          <w:tcPr>
            <w:tcW w:w="4394" w:type="dxa"/>
            <w:tcBorders>
              <w:bottom w:val="single" w:sz="4" w:space="0" w:color="auto"/>
            </w:tcBorders>
          </w:tcPr>
          <w:p>
            <w:pPr>
              <w:pStyle w:val="yTableNAm"/>
            </w:pPr>
            <w:r>
              <w:t>Goods at container park, Wyndham, per loaded container</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36.08</w:t>
            </w:r>
          </w:p>
        </w:tc>
      </w:tr>
    </w:tbl>
    <w:p>
      <w:pPr>
        <w:pStyle w:val="ySubsection"/>
      </w:pPr>
      <w:r>
        <w:tab/>
        <w:t>(6)</w:t>
      </w:r>
      <w:r>
        <w:tab/>
        <w:t>The charges to be paid under regulation 96 are set out in Table 23.5.</w:t>
      </w:r>
    </w:p>
    <w:p>
      <w:pPr>
        <w:pStyle w:val="yTHeadingNAm"/>
      </w:pPr>
      <w:r>
        <w:t>Table 23.5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Use of slip, per day, for a vessel that is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not over 15 m long</w:t>
            </w:r>
          </w:p>
        </w:tc>
        <w:tc>
          <w:tcPr>
            <w:tcW w:w="992" w:type="dxa"/>
            <w:vAlign w:val="bottom"/>
          </w:tcPr>
          <w:p>
            <w:pPr>
              <w:pStyle w:val="yTableNAm"/>
              <w:jc w:val="right"/>
              <w:rPr>
                <w:szCs w:val="22"/>
              </w:rPr>
            </w:pPr>
            <w:r>
              <w:rPr>
                <w:szCs w:val="22"/>
              </w:rPr>
              <w:t>138.95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over 15 m long</w:t>
            </w:r>
          </w:p>
        </w:tc>
        <w:tc>
          <w:tcPr>
            <w:tcW w:w="992" w:type="dxa"/>
            <w:vAlign w:val="bottom"/>
          </w:tcPr>
          <w:p>
            <w:pPr>
              <w:pStyle w:val="yTableNAm"/>
              <w:jc w:val="right"/>
              <w:rPr>
                <w:szCs w:val="22"/>
              </w:rPr>
            </w:pPr>
            <w:r>
              <w:rPr>
                <w:szCs w:val="22"/>
              </w:rPr>
              <w:t>202.40</w:t>
            </w:r>
          </w:p>
        </w:tc>
      </w:tr>
      <w:tr>
        <w:trPr>
          <w:cantSplit/>
        </w:trPr>
        <w:tc>
          <w:tcPr>
            <w:tcW w:w="567" w:type="dxa"/>
            <w:tcBorders>
              <w:bottom w:val="single" w:sz="4" w:space="0" w:color="auto"/>
            </w:tcBorders>
          </w:tcPr>
          <w:p>
            <w:pPr>
              <w:pStyle w:val="yTableNAm"/>
            </w:pPr>
            <w:r>
              <w:t>2.</w:t>
            </w:r>
          </w:p>
        </w:tc>
        <w:tc>
          <w:tcPr>
            <w:tcW w:w="4394" w:type="dxa"/>
            <w:tcBorders>
              <w:bottom w:val="single" w:sz="4" w:space="0" w:color="auto"/>
            </w:tcBorders>
          </w:tcPr>
          <w:p>
            <w:pPr>
              <w:pStyle w:val="yTableNAm"/>
            </w:pPr>
            <w:r>
              <w:t>Haulage, for each haul up or down</w:t>
            </w:r>
          </w:p>
        </w:tc>
        <w:tc>
          <w:tcPr>
            <w:tcW w:w="992" w:type="dxa"/>
            <w:tcBorders>
              <w:bottom w:val="single" w:sz="4" w:space="0" w:color="auto"/>
            </w:tcBorders>
            <w:vAlign w:val="bottom"/>
          </w:tcPr>
          <w:p>
            <w:pPr>
              <w:pStyle w:val="yTableNAm"/>
              <w:jc w:val="right"/>
              <w:rPr>
                <w:szCs w:val="22"/>
              </w:rPr>
            </w:pPr>
            <w:r>
              <w:rPr>
                <w:szCs w:val="22"/>
              </w:rPr>
              <w:t>169.79</w:t>
            </w:r>
          </w:p>
        </w:tc>
      </w:tr>
    </w:tbl>
    <w:p>
      <w:pPr>
        <w:pStyle w:val="ySubsection"/>
      </w:pPr>
      <w:r>
        <w:tab/>
        <w:t>(7)</w:t>
      </w:r>
      <w:r>
        <w:tab/>
        <w:t>The fees to be paid under regulation 105I are set out in Table 23.6.</w:t>
      </w:r>
    </w:p>
    <w:p>
      <w:pPr>
        <w:pStyle w:val="yTHeadingNAm"/>
      </w:pPr>
      <w:r>
        <w:t>Table 23.6 (Weighbridge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Use of weighbridge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not over 10 t</w:t>
            </w:r>
          </w:p>
        </w:tc>
        <w:tc>
          <w:tcPr>
            <w:tcW w:w="992" w:type="dxa"/>
            <w:vAlign w:val="bottom"/>
          </w:tcPr>
          <w:p>
            <w:pPr>
              <w:pStyle w:val="yTableNAm"/>
              <w:jc w:val="right"/>
              <w:rPr>
                <w:szCs w:val="22"/>
              </w:rPr>
            </w:pPr>
            <w:r>
              <w:rPr>
                <w:szCs w:val="22"/>
              </w:rPr>
              <w:t>12.94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over 10 t but not over 30 t</w:t>
            </w:r>
          </w:p>
        </w:tc>
        <w:tc>
          <w:tcPr>
            <w:tcW w:w="992" w:type="dxa"/>
            <w:vAlign w:val="bottom"/>
          </w:tcPr>
          <w:p>
            <w:pPr>
              <w:pStyle w:val="yTableNAm"/>
              <w:jc w:val="right"/>
              <w:rPr>
                <w:szCs w:val="22"/>
              </w:rPr>
            </w:pPr>
            <w:r>
              <w:rPr>
                <w:szCs w:val="22"/>
              </w:rPr>
              <w:t>14.72</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for over 30 t</w:t>
            </w:r>
          </w:p>
        </w:tc>
        <w:tc>
          <w:tcPr>
            <w:tcW w:w="992" w:type="dxa"/>
            <w:tcBorders>
              <w:bottom w:val="single" w:sz="4" w:space="0" w:color="auto"/>
            </w:tcBorders>
            <w:vAlign w:val="bottom"/>
          </w:tcPr>
          <w:p>
            <w:pPr>
              <w:pStyle w:val="yTableNAm"/>
              <w:jc w:val="right"/>
              <w:rPr>
                <w:szCs w:val="22"/>
              </w:rPr>
            </w:pPr>
            <w:r>
              <w:rPr>
                <w:szCs w:val="22"/>
              </w:rPr>
              <w:t>18.38</w:t>
            </w:r>
          </w:p>
        </w:tc>
      </w:tr>
    </w:tbl>
    <w:p>
      <w:pPr>
        <w:pStyle w:val="ySubsection"/>
      </w:pPr>
      <w:r>
        <w:tab/>
        <w:t>(8)</w:t>
      </w:r>
      <w:r>
        <w:tab/>
        <w:t xml:space="preserve">The charge to be paid for each kilolitre of water supplied to a vessel is the relevant amount prescribed in the </w:t>
      </w:r>
      <w:r>
        <w:rPr>
          <w:i/>
          <w:iCs/>
        </w:rPr>
        <w:t>Water Agencies (Charges) By</w:t>
      </w:r>
      <w:r>
        <w:rPr>
          <w:i/>
          <w:iCs/>
        </w:rPr>
        <w:noBreakHyphen/>
        <w:t>laws 1987</w:t>
      </w:r>
      <w:r>
        <w:t xml:space="preserve"> Schedule 1 item 31(b).</w:t>
      </w:r>
    </w:p>
    <w:p>
      <w:pPr>
        <w:pStyle w:val="ySubsection"/>
      </w:pPr>
      <w:r>
        <w:tab/>
        <w:t>(9)</w:t>
      </w:r>
      <w:r>
        <w:tab/>
        <w:t>The charge for lighting, per hour or part of an hour, is set out in Table 23.7.</w:t>
      </w:r>
    </w:p>
    <w:p>
      <w:pPr>
        <w:pStyle w:val="yTHeadingNAm"/>
      </w:pPr>
      <w:r>
        <w:t>Table 23.7 (Lighting)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jetty, shed and yard</w:t>
            </w:r>
          </w:p>
        </w:tc>
        <w:tc>
          <w:tcPr>
            <w:tcW w:w="992" w:type="dxa"/>
            <w:vAlign w:val="bottom"/>
          </w:tcPr>
          <w:p>
            <w:pPr>
              <w:pStyle w:val="yTableNAm"/>
              <w:jc w:val="right"/>
              <w:rPr>
                <w:szCs w:val="22"/>
              </w:rPr>
            </w:pPr>
            <w:r>
              <w:rPr>
                <w:szCs w:val="22"/>
              </w:rPr>
              <w:t>31.20</w:t>
            </w:r>
          </w:p>
        </w:tc>
      </w:tr>
      <w:tr>
        <w:trPr>
          <w:cantSplit/>
        </w:trPr>
        <w:tc>
          <w:tcPr>
            <w:tcW w:w="567" w:type="dxa"/>
          </w:tcPr>
          <w:p>
            <w:pPr>
              <w:pStyle w:val="yTableNAm"/>
            </w:pPr>
            <w:r>
              <w:t>2.</w:t>
            </w:r>
          </w:p>
        </w:tc>
        <w:tc>
          <w:tcPr>
            <w:tcW w:w="4394" w:type="dxa"/>
          </w:tcPr>
          <w:p>
            <w:pPr>
              <w:pStyle w:val="yTableNAm"/>
            </w:pPr>
            <w:r>
              <w:t>For jetty only</w:t>
            </w:r>
          </w:p>
        </w:tc>
        <w:tc>
          <w:tcPr>
            <w:tcW w:w="992" w:type="dxa"/>
            <w:vAlign w:val="bottom"/>
          </w:tcPr>
          <w:p>
            <w:pPr>
              <w:pStyle w:val="yTableNAm"/>
              <w:jc w:val="right"/>
              <w:rPr>
                <w:szCs w:val="22"/>
              </w:rPr>
            </w:pPr>
            <w:r>
              <w:rPr>
                <w:szCs w:val="22"/>
              </w:rPr>
              <w:t>10.02</w:t>
            </w:r>
          </w:p>
        </w:tc>
      </w:tr>
      <w:tr>
        <w:trPr>
          <w:cantSplit/>
        </w:trPr>
        <w:tc>
          <w:tcPr>
            <w:tcW w:w="567" w:type="dxa"/>
            <w:tcBorders>
              <w:bottom w:val="single" w:sz="4" w:space="0" w:color="auto"/>
            </w:tcBorders>
          </w:tcPr>
          <w:p>
            <w:pPr>
              <w:pStyle w:val="yTableNAm"/>
            </w:pPr>
            <w:r>
              <w:t>3.</w:t>
            </w:r>
          </w:p>
        </w:tc>
        <w:tc>
          <w:tcPr>
            <w:tcW w:w="4394" w:type="dxa"/>
            <w:tcBorders>
              <w:bottom w:val="single" w:sz="4" w:space="0" w:color="auto"/>
            </w:tcBorders>
          </w:tcPr>
          <w:p>
            <w:pPr>
              <w:pStyle w:val="yTableNAm"/>
            </w:pPr>
            <w:r>
              <w:t>For reduced lighting</w:t>
            </w:r>
          </w:p>
        </w:tc>
        <w:tc>
          <w:tcPr>
            <w:tcW w:w="992" w:type="dxa"/>
            <w:tcBorders>
              <w:bottom w:val="single" w:sz="4" w:space="0" w:color="auto"/>
            </w:tcBorders>
            <w:vAlign w:val="bottom"/>
          </w:tcPr>
          <w:p>
            <w:pPr>
              <w:pStyle w:val="yTableNAm"/>
              <w:jc w:val="right"/>
              <w:rPr>
                <w:szCs w:val="22"/>
              </w:rPr>
            </w:pPr>
            <w:r>
              <w:rPr>
                <w:szCs w:val="22"/>
              </w:rPr>
              <w:t>3.31</w:t>
            </w:r>
          </w:p>
        </w:tc>
      </w:tr>
    </w:tbl>
    <w:p>
      <w:pPr>
        <w:pStyle w:val="yFootnotesection"/>
      </w:pPr>
      <w:r>
        <w:tab/>
        <w:t>[Clause 23 inserted in Gazette 28 Jun 2013 p. 2871</w:t>
      </w:r>
      <w:r>
        <w:noBreakHyphen/>
        <w:t>5.]</w:t>
      </w:r>
    </w:p>
    <w:p>
      <w:pPr>
        <w:pStyle w:val="yHeading3"/>
      </w:pPr>
      <w:bookmarkStart w:id="740" w:name="_Toc360457588"/>
      <w:bookmarkStart w:id="741" w:name="_Toc360458171"/>
      <w:bookmarkStart w:id="742" w:name="_Toc360523365"/>
      <w:r>
        <w:rPr>
          <w:rStyle w:val="CharSDivNo"/>
        </w:rPr>
        <w:t>Division 2</w:t>
      </w:r>
      <w:r>
        <w:rPr>
          <w:b w:val="0"/>
        </w:rPr>
        <w:t> — </w:t>
      </w:r>
      <w:r>
        <w:rPr>
          <w:rStyle w:val="CharSDivText"/>
        </w:rPr>
        <w:t>Charges, dues and fees not specified in Division 1</w:t>
      </w:r>
      <w:bookmarkEnd w:id="740"/>
      <w:bookmarkEnd w:id="741"/>
      <w:bookmarkEnd w:id="742"/>
    </w:p>
    <w:p>
      <w:pPr>
        <w:pStyle w:val="yFootnoteheading"/>
      </w:pPr>
      <w:bookmarkStart w:id="743" w:name="_Toc346791096"/>
      <w:r>
        <w:tab/>
        <w:t>[Heading inserted in Gazette 28 Jun 2013 p. 2875.]</w:t>
      </w:r>
    </w:p>
    <w:p>
      <w:pPr>
        <w:pStyle w:val="yHeading5"/>
      </w:pPr>
      <w:bookmarkStart w:id="744" w:name="_Toc360523366"/>
      <w:r>
        <w:rPr>
          <w:rStyle w:val="CharSClsNo"/>
        </w:rPr>
        <w:t>24</w:t>
      </w:r>
      <w:r>
        <w:t>.</w:t>
      </w:r>
      <w:r>
        <w:rPr>
          <w:b w:val="0"/>
        </w:rPr>
        <w:tab/>
      </w:r>
      <w:r>
        <w:t>Wharfage (r. 10A)</w:t>
      </w:r>
      <w:bookmarkEnd w:id="743"/>
      <w:bookmarkEnd w:id="744"/>
    </w:p>
    <w:p>
      <w:pPr>
        <w:pStyle w:val="ySubsection"/>
      </w:pPr>
      <w:r>
        <w:tab/>
      </w:r>
      <w:r>
        <w:tab/>
        <w:t>The dues and charges to be paid under regulation 10A at a place for which no such dues or charges are prescribed in Division 1 are set out in Table 24.1.</w:t>
      </w:r>
    </w:p>
    <w:p>
      <w:pPr>
        <w:pStyle w:val="yTHeadingNAm"/>
      </w:pPr>
      <w:r>
        <w:t>Table 24.1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Wharfage for general cargo —</w:t>
            </w:r>
          </w:p>
        </w:tc>
        <w:tc>
          <w:tcPr>
            <w:tcW w:w="999" w:type="dxa"/>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if loaded from or into vessel, per t or m</w:t>
            </w:r>
            <w:r>
              <w:rPr>
                <w:vertAlign w:val="superscript"/>
              </w:rPr>
              <w:t>3</w:t>
            </w:r>
          </w:p>
        </w:tc>
        <w:tc>
          <w:tcPr>
            <w:tcW w:w="999" w:type="dxa"/>
            <w:vAlign w:val="bottom"/>
          </w:tcPr>
          <w:p>
            <w:pPr>
              <w:pStyle w:val="yTableNAm"/>
              <w:jc w:val="right"/>
              <w:rPr>
                <w:szCs w:val="22"/>
              </w:rPr>
            </w:pPr>
            <w:r>
              <w:rPr>
                <w:szCs w:val="22"/>
              </w:rPr>
              <w:t>6.30</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if vessel is lifted, per m of the vessel’s length</w:t>
            </w:r>
          </w:p>
        </w:tc>
        <w:tc>
          <w:tcPr>
            <w:tcW w:w="999" w:type="dxa"/>
            <w:tcBorders>
              <w:bottom w:val="single" w:sz="4" w:space="0" w:color="auto"/>
            </w:tcBorders>
            <w:vAlign w:val="bottom"/>
          </w:tcPr>
          <w:p>
            <w:pPr>
              <w:pStyle w:val="yTableNAm"/>
              <w:jc w:val="right"/>
              <w:rPr>
                <w:szCs w:val="22"/>
              </w:rPr>
            </w:pPr>
            <w:r>
              <w:rPr>
                <w:szCs w:val="22"/>
              </w:rPr>
              <w:t>14.18</w:t>
            </w:r>
          </w:p>
        </w:tc>
      </w:tr>
    </w:tbl>
    <w:p>
      <w:pPr>
        <w:pStyle w:val="yFootnotesection"/>
      </w:pPr>
      <w:bookmarkStart w:id="745" w:name="_Toc346791097"/>
      <w:r>
        <w:tab/>
        <w:t>[Clause 24 inserted in Gazette 28 Jun 2013 p. 2875</w:t>
      </w:r>
      <w:r>
        <w:noBreakHyphen/>
        <w:t>6.]</w:t>
      </w:r>
    </w:p>
    <w:p>
      <w:pPr>
        <w:pStyle w:val="yHeading5"/>
      </w:pPr>
      <w:bookmarkStart w:id="746" w:name="_Toc360523367"/>
      <w:r>
        <w:rPr>
          <w:rStyle w:val="CharSClsNo"/>
        </w:rPr>
        <w:t>25</w:t>
      </w:r>
      <w:r>
        <w:t>.</w:t>
      </w:r>
      <w:r>
        <w:rPr>
          <w:b w:val="0"/>
        </w:rPr>
        <w:tab/>
      </w:r>
      <w:r>
        <w:t>Rubbish removal (r. 53A)</w:t>
      </w:r>
      <w:bookmarkEnd w:id="745"/>
      <w:bookmarkEnd w:id="746"/>
    </w:p>
    <w:p>
      <w:pPr>
        <w:pStyle w:val="ySubsection"/>
      </w:pPr>
      <w:r>
        <w:tab/>
      </w:r>
      <w:r>
        <w:tab/>
        <w:t>The fees to be paid under regulation 53A at a place for which no such fees are prescribed in Division 1 are set out in Table 25.1.</w:t>
      </w:r>
    </w:p>
    <w:p>
      <w:pPr>
        <w:pStyle w:val="yTHeadingNAm"/>
      </w:pPr>
      <w:r>
        <w:t>Table 25.1 (Rubbish removal)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 xml:space="preserve">Rubbish removal — </w:t>
            </w:r>
          </w:p>
        </w:tc>
        <w:tc>
          <w:tcPr>
            <w:tcW w:w="999" w:type="dxa"/>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excess quantities, or if not from vessel using wharf or public jetty, per service</w:t>
            </w:r>
          </w:p>
        </w:tc>
        <w:tc>
          <w:tcPr>
            <w:tcW w:w="999" w:type="dxa"/>
            <w:vAlign w:val="bottom"/>
          </w:tcPr>
          <w:p>
            <w:pPr>
              <w:pStyle w:val="yTableNAm"/>
              <w:jc w:val="right"/>
            </w:pPr>
            <w:r>
              <w:t>78.81</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to clean up rubbish not placed in bins</w:t>
            </w:r>
          </w:p>
        </w:tc>
        <w:tc>
          <w:tcPr>
            <w:tcW w:w="999" w:type="dxa"/>
            <w:tcBorders>
              <w:bottom w:val="single" w:sz="4" w:space="0" w:color="auto"/>
            </w:tcBorders>
            <w:vAlign w:val="bottom"/>
          </w:tcPr>
          <w:p>
            <w:pPr>
              <w:pStyle w:val="yTableNAm"/>
              <w:jc w:val="right"/>
            </w:pPr>
            <w:r>
              <w:t>cost</w:t>
            </w:r>
          </w:p>
        </w:tc>
      </w:tr>
    </w:tbl>
    <w:p>
      <w:pPr>
        <w:pStyle w:val="yFootnotesection"/>
      </w:pPr>
      <w:bookmarkStart w:id="747" w:name="_Toc346791098"/>
      <w:r>
        <w:tab/>
        <w:t>[Clause 25 inserted in Gazette 28 Jun 2013 p. 2876.]</w:t>
      </w:r>
    </w:p>
    <w:p>
      <w:pPr>
        <w:pStyle w:val="yHeading5"/>
      </w:pPr>
      <w:bookmarkStart w:id="748" w:name="_Toc360523368"/>
      <w:r>
        <w:rPr>
          <w:rStyle w:val="CharSClsNo"/>
        </w:rPr>
        <w:t>26</w:t>
      </w:r>
      <w:r>
        <w:t>.</w:t>
      </w:r>
      <w:r>
        <w:rPr>
          <w:b w:val="0"/>
        </w:rPr>
        <w:tab/>
      </w:r>
      <w:r>
        <w:t>Pile mooring (r. 94B)</w:t>
      </w:r>
      <w:bookmarkEnd w:id="747"/>
      <w:bookmarkEnd w:id="748"/>
    </w:p>
    <w:p>
      <w:pPr>
        <w:pStyle w:val="ySubsection"/>
      </w:pPr>
      <w:r>
        <w:tab/>
      </w:r>
      <w:r>
        <w:tab/>
        <w:t>The fees to be paid under regulation 94B at a place for which no such fees are prescribed in Division 1 are set out in Table 26.1.</w:t>
      </w:r>
    </w:p>
    <w:p>
      <w:pPr>
        <w:pStyle w:val="yTHeadingNAm"/>
      </w:pPr>
      <w:r>
        <w:t>Table 26.1 (Pile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998"/>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8" w:type="dxa"/>
            <w:tcBorders>
              <w:top w:val="single" w:sz="4" w:space="0" w:color="auto"/>
              <w:bottom w:val="single" w:sz="4" w:space="0" w:color="auto"/>
            </w:tcBorders>
          </w:tcPr>
          <w:p>
            <w:pPr>
              <w:pStyle w:val="yTableNAm"/>
              <w:rPr>
                <w:b/>
              </w:rPr>
            </w:pPr>
            <w:r>
              <w:rPr>
                <w:b/>
              </w:rPr>
              <w:t>Service</w:t>
            </w:r>
          </w:p>
        </w:tc>
        <w:tc>
          <w:tcPr>
            <w:tcW w:w="998"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8" w:type="dxa"/>
          </w:tcPr>
          <w:p>
            <w:pPr>
              <w:pStyle w:val="yTableNAm"/>
            </w:pPr>
            <w:r>
              <w:t xml:space="preserve">For pile mooring, per m of the vessel’s length — </w:t>
            </w:r>
          </w:p>
        </w:tc>
        <w:tc>
          <w:tcPr>
            <w:tcW w:w="998" w:type="dxa"/>
          </w:tcPr>
          <w:p>
            <w:pPr>
              <w:pStyle w:val="yTableNAm"/>
              <w:jc w:val="right"/>
            </w:pPr>
          </w:p>
        </w:tc>
      </w:tr>
      <w:tr>
        <w:trPr>
          <w:cantSplit/>
        </w:trPr>
        <w:tc>
          <w:tcPr>
            <w:tcW w:w="567" w:type="dxa"/>
          </w:tcPr>
          <w:p>
            <w:pPr>
              <w:pStyle w:val="yTableNAm"/>
            </w:pPr>
          </w:p>
        </w:tc>
        <w:tc>
          <w:tcPr>
            <w:tcW w:w="4388" w:type="dxa"/>
          </w:tcPr>
          <w:p>
            <w:pPr>
              <w:pStyle w:val="yTableNAm"/>
              <w:tabs>
                <w:tab w:val="clear" w:pos="567"/>
                <w:tab w:val="left" w:pos="415"/>
              </w:tabs>
              <w:ind w:left="415" w:hanging="415"/>
            </w:pPr>
            <w:r>
              <w:t>•</w:t>
            </w:r>
            <w:r>
              <w:tab/>
              <w:t>for 12 months paid in advance</w:t>
            </w:r>
          </w:p>
        </w:tc>
        <w:tc>
          <w:tcPr>
            <w:tcW w:w="998" w:type="dxa"/>
            <w:vAlign w:val="bottom"/>
          </w:tcPr>
          <w:p>
            <w:pPr>
              <w:pStyle w:val="yTableNAm"/>
              <w:jc w:val="right"/>
              <w:rPr>
                <w:szCs w:val="22"/>
              </w:rPr>
            </w:pPr>
            <w:r>
              <w:rPr>
                <w:szCs w:val="22"/>
              </w:rPr>
              <w:t>157.61</w:t>
            </w:r>
          </w:p>
        </w:tc>
      </w:tr>
      <w:tr>
        <w:trPr>
          <w:cantSplit/>
        </w:trPr>
        <w:tc>
          <w:tcPr>
            <w:tcW w:w="567" w:type="dxa"/>
          </w:tcPr>
          <w:p>
            <w:pPr>
              <w:pStyle w:val="yTableNAm"/>
            </w:pPr>
          </w:p>
        </w:tc>
        <w:tc>
          <w:tcPr>
            <w:tcW w:w="4388" w:type="dxa"/>
          </w:tcPr>
          <w:p>
            <w:pPr>
              <w:pStyle w:val="yTableNAm"/>
              <w:tabs>
                <w:tab w:val="clear" w:pos="567"/>
                <w:tab w:val="left" w:pos="415"/>
              </w:tabs>
              <w:ind w:left="415" w:hanging="415"/>
            </w:pPr>
            <w:r>
              <w:t>•</w:t>
            </w:r>
            <w:r>
              <w:tab/>
              <w:t>for one month paid in advance</w:t>
            </w:r>
          </w:p>
        </w:tc>
        <w:tc>
          <w:tcPr>
            <w:tcW w:w="998" w:type="dxa"/>
            <w:vAlign w:val="bottom"/>
          </w:tcPr>
          <w:p>
            <w:pPr>
              <w:pStyle w:val="yTableNAm"/>
              <w:jc w:val="right"/>
              <w:rPr>
                <w:szCs w:val="22"/>
              </w:rPr>
            </w:pPr>
            <w:r>
              <w:rPr>
                <w:szCs w:val="22"/>
              </w:rPr>
              <w:t>23.65</w:t>
            </w:r>
          </w:p>
        </w:tc>
      </w:tr>
      <w:tr>
        <w:trPr>
          <w:cantSplit/>
        </w:trPr>
        <w:tc>
          <w:tcPr>
            <w:tcW w:w="567" w:type="dxa"/>
            <w:tcBorders>
              <w:bottom w:val="single" w:sz="4" w:space="0" w:color="auto"/>
            </w:tcBorders>
          </w:tcPr>
          <w:p>
            <w:pPr>
              <w:pStyle w:val="yTableNAm"/>
            </w:pPr>
          </w:p>
        </w:tc>
        <w:tc>
          <w:tcPr>
            <w:tcW w:w="4388" w:type="dxa"/>
            <w:tcBorders>
              <w:bottom w:val="single" w:sz="4" w:space="0" w:color="auto"/>
            </w:tcBorders>
          </w:tcPr>
          <w:p>
            <w:pPr>
              <w:pStyle w:val="yTableNAm"/>
              <w:tabs>
                <w:tab w:val="clear" w:pos="567"/>
                <w:tab w:val="left" w:pos="415"/>
              </w:tabs>
              <w:ind w:left="415" w:hanging="415"/>
            </w:pPr>
            <w:r>
              <w:t>•</w:t>
            </w:r>
            <w:r>
              <w:tab/>
              <w:t>otherwise, per day</w:t>
            </w:r>
          </w:p>
        </w:tc>
        <w:tc>
          <w:tcPr>
            <w:tcW w:w="998" w:type="dxa"/>
            <w:tcBorders>
              <w:bottom w:val="single" w:sz="4" w:space="0" w:color="auto"/>
            </w:tcBorders>
            <w:vAlign w:val="bottom"/>
          </w:tcPr>
          <w:p>
            <w:pPr>
              <w:pStyle w:val="yTableNAm"/>
              <w:jc w:val="right"/>
              <w:rPr>
                <w:szCs w:val="22"/>
              </w:rPr>
            </w:pPr>
            <w:r>
              <w:rPr>
                <w:szCs w:val="22"/>
              </w:rPr>
              <w:t>3.17</w:t>
            </w:r>
          </w:p>
        </w:tc>
      </w:tr>
    </w:tbl>
    <w:p>
      <w:pPr>
        <w:pStyle w:val="yFootnotesection"/>
      </w:pPr>
      <w:bookmarkStart w:id="749" w:name="_Toc346791099"/>
      <w:r>
        <w:tab/>
        <w:t>[Clause 26 inserted in Gazette 28 Jun 2013 p. 2876</w:t>
      </w:r>
      <w:r>
        <w:noBreakHyphen/>
        <w:t>7.]</w:t>
      </w:r>
    </w:p>
    <w:p>
      <w:pPr>
        <w:pStyle w:val="yHeading5"/>
      </w:pPr>
      <w:bookmarkStart w:id="750" w:name="_Toc360523369"/>
      <w:r>
        <w:rPr>
          <w:rStyle w:val="CharSClsNo"/>
        </w:rPr>
        <w:t>27</w:t>
      </w:r>
      <w:r>
        <w:t>.</w:t>
      </w:r>
      <w:r>
        <w:rPr>
          <w:b w:val="0"/>
        </w:rPr>
        <w:tab/>
      </w:r>
      <w:r>
        <w:t>Berthing and mooring (r. 94C)</w:t>
      </w:r>
      <w:bookmarkEnd w:id="749"/>
      <w:bookmarkEnd w:id="750"/>
    </w:p>
    <w:p>
      <w:pPr>
        <w:pStyle w:val="ySubsection"/>
      </w:pPr>
      <w:r>
        <w:tab/>
      </w:r>
      <w:r>
        <w:tab/>
        <w:t>The fees to be paid under regulation 94C at a place for which no such fees are prescribed in Division 1 are set out in Table 27.1.</w:t>
      </w:r>
    </w:p>
    <w:p>
      <w:pPr>
        <w:pStyle w:val="yTHeadingNAm"/>
      </w:pPr>
      <w:r>
        <w:t>Table 27.1 (Berthing or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 xml:space="preserve">Berthing or mooring — </w:t>
            </w:r>
          </w:p>
        </w:tc>
        <w:tc>
          <w:tcPr>
            <w:tcW w:w="999" w:type="dxa"/>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vAlign w:val="bottom"/>
          </w:tcPr>
          <w:p>
            <w:pPr>
              <w:pStyle w:val="yTableNAm"/>
              <w:jc w:val="right"/>
              <w:rPr>
                <w:szCs w:val="22"/>
              </w:rPr>
            </w:pPr>
            <w:r>
              <w:rPr>
                <w:szCs w:val="22"/>
              </w:rPr>
              <w:t>238.37</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per day, per m of the vessel’s length</w:t>
            </w:r>
          </w:p>
        </w:tc>
        <w:tc>
          <w:tcPr>
            <w:tcW w:w="999" w:type="dxa"/>
            <w:vAlign w:val="bottom"/>
          </w:tcPr>
          <w:p>
            <w:pPr>
              <w:pStyle w:val="yTableNAm"/>
              <w:jc w:val="right"/>
              <w:rPr>
                <w:szCs w:val="22"/>
              </w:rPr>
            </w:pPr>
            <w:r>
              <w:rPr>
                <w:szCs w:val="22"/>
              </w:rPr>
              <w:t>4.73</w:t>
            </w:r>
          </w:p>
        </w:tc>
      </w:tr>
      <w:tr>
        <w:trPr>
          <w:cantSplit/>
        </w:trPr>
        <w:tc>
          <w:tcPr>
            <w:tcW w:w="567" w:type="dxa"/>
          </w:tcPr>
          <w:p>
            <w:pPr>
              <w:pStyle w:val="yTableNAm"/>
            </w:pPr>
            <w:r>
              <w:t>2.</w:t>
            </w:r>
          </w:p>
        </w:tc>
        <w:tc>
          <w:tcPr>
            <w:tcW w:w="4387" w:type="dxa"/>
          </w:tcPr>
          <w:p>
            <w:pPr>
              <w:pStyle w:val="yTableNAm"/>
            </w:pPr>
            <w:r>
              <w:t xml:space="preserve">Electricity supply — </w:t>
            </w:r>
          </w:p>
        </w:tc>
        <w:tc>
          <w:tcPr>
            <w:tcW w:w="999" w:type="dxa"/>
            <w:vAlign w:val="bottom"/>
          </w:tcPr>
          <w:p>
            <w:pPr>
              <w:pStyle w:val="yTableNAm"/>
              <w:jc w:val="right"/>
              <w:rPr>
                <w:szCs w:val="22"/>
              </w:rPr>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3</w:t>
            </w:r>
            <w:r>
              <w:noBreakHyphen/>
              <w:t>phase, if metering shows usage of more than $31.52 in a 12 hour period</w:t>
            </w:r>
          </w:p>
        </w:tc>
        <w:tc>
          <w:tcPr>
            <w:tcW w:w="999" w:type="dxa"/>
            <w:vAlign w:val="bottom"/>
          </w:tcPr>
          <w:p>
            <w:pPr>
              <w:pStyle w:val="yTableNAm"/>
              <w:jc w:val="right"/>
              <w:rPr>
                <w:szCs w:val="22"/>
              </w:rPr>
            </w:pPr>
            <w:r>
              <w:rPr>
                <w:szCs w:val="22"/>
              </w:rPr>
              <w:t>cost</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3</w:t>
            </w:r>
            <w:r>
              <w:noBreakHyphen/>
              <w:t>phase, otherwise per period of 12 hours or part of that period</w:t>
            </w:r>
          </w:p>
        </w:tc>
        <w:tc>
          <w:tcPr>
            <w:tcW w:w="999" w:type="dxa"/>
            <w:tcBorders>
              <w:bottom w:val="single" w:sz="4" w:space="0" w:color="auto"/>
            </w:tcBorders>
            <w:vAlign w:val="bottom"/>
          </w:tcPr>
          <w:p>
            <w:pPr>
              <w:pStyle w:val="yTableNAm"/>
              <w:jc w:val="right"/>
              <w:rPr>
                <w:szCs w:val="22"/>
              </w:rPr>
            </w:pPr>
            <w:r>
              <w:rPr>
                <w:szCs w:val="22"/>
              </w:rPr>
              <w:t>31.52</w:t>
            </w:r>
          </w:p>
        </w:tc>
      </w:tr>
    </w:tbl>
    <w:p>
      <w:pPr>
        <w:pStyle w:val="yFootnotesection"/>
      </w:pPr>
      <w:bookmarkStart w:id="751" w:name="_Toc346791100"/>
      <w:r>
        <w:tab/>
        <w:t>[Clause 27 inserted in Gazette 28 Jun 2013 p. 2877.]</w:t>
      </w:r>
    </w:p>
    <w:p>
      <w:pPr>
        <w:pStyle w:val="yHeading5"/>
      </w:pPr>
      <w:bookmarkStart w:id="752" w:name="_Toc360523370"/>
      <w:r>
        <w:rPr>
          <w:rStyle w:val="CharSClsNo"/>
        </w:rPr>
        <w:t>28</w:t>
      </w:r>
      <w:r>
        <w:t>.</w:t>
      </w:r>
      <w:r>
        <w:rPr>
          <w:b w:val="0"/>
        </w:rPr>
        <w:tab/>
      </w:r>
      <w:r>
        <w:t>Slip services (r. 96)</w:t>
      </w:r>
      <w:bookmarkEnd w:id="751"/>
      <w:bookmarkEnd w:id="752"/>
    </w:p>
    <w:p>
      <w:pPr>
        <w:pStyle w:val="ySubsection"/>
      </w:pPr>
      <w:r>
        <w:tab/>
      </w:r>
      <w:r>
        <w:tab/>
        <w:t>The charges to be paid under regulation 96 for services at a slip controlled and managed by the Department at a place for which no such fees are prescribed in Division 1 are set out in Table 28.1.</w:t>
      </w:r>
    </w:p>
    <w:p>
      <w:pPr>
        <w:pStyle w:val="yTHeadingNAm"/>
      </w:pPr>
      <w:r>
        <w:t>Table 28.1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6"/>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8" w:type="dxa"/>
            <w:tcBorders>
              <w:top w:val="single" w:sz="4" w:space="0" w:color="auto"/>
              <w:bottom w:val="single" w:sz="4" w:space="0" w:color="auto"/>
            </w:tcBorders>
          </w:tcPr>
          <w:p>
            <w:pPr>
              <w:pStyle w:val="yTableNAm"/>
              <w:rPr>
                <w:b/>
              </w:rPr>
            </w:pPr>
            <w:r>
              <w:rPr>
                <w:b/>
              </w:rPr>
              <w:t>Service</w:t>
            </w:r>
          </w:p>
        </w:tc>
        <w:tc>
          <w:tcPr>
            <w:tcW w:w="998" w:type="dxa"/>
            <w:gridSpan w:val="2"/>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gridSpan w:val="2"/>
          </w:tcPr>
          <w:p>
            <w:pPr>
              <w:pStyle w:val="yTableNAm"/>
            </w:pPr>
            <w:r>
              <w:t xml:space="preserve">Water supply, per day — </w:t>
            </w:r>
          </w:p>
        </w:tc>
        <w:tc>
          <w:tcPr>
            <w:tcW w:w="992" w:type="dxa"/>
          </w:tcPr>
          <w:p>
            <w:pPr>
              <w:pStyle w:val="yTableNAm"/>
              <w:jc w:val="right"/>
            </w:pPr>
          </w:p>
        </w:tc>
      </w:tr>
      <w:tr>
        <w:trPr>
          <w:cantSplit/>
        </w:trPr>
        <w:tc>
          <w:tcPr>
            <w:tcW w:w="567" w:type="dxa"/>
          </w:tcPr>
          <w:p>
            <w:pPr>
              <w:pStyle w:val="yTableNAm"/>
            </w:pPr>
          </w:p>
        </w:tc>
        <w:tc>
          <w:tcPr>
            <w:tcW w:w="4394" w:type="dxa"/>
            <w:gridSpan w:val="2"/>
          </w:tcPr>
          <w:p>
            <w:pPr>
              <w:pStyle w:val="yTableNAm"/>
              <w:tabs>
                <w:tab w:val="clear" w:pos="567"/>
                <w:tab w:val="left" w:pos="415"/>
              </w:tabs>
              <w:ind w:left="415" w:hanging="415"/>
            </w:pPr>
            <w:r>
              <w:t>•</w:t>
            </w:r>
            <w:r>
              <w:tab/>
              <w:t>if metering indicates usage of more than $4.73 in a day</w:t>
            </w:r>
          </w:p>
        </w:tc>
        <w:tc>
          <w:tcPr>
            <w:tcW w:w="992" w:type="dxa"/>
            <w:vAlign w:val="bottom"/>
          </w:tcPr>
          <w:p>
            <w:pPr>
              <w:pStyle w:val="yTableNAm"/>
              <w:jc w:val="right"/>
            </w:pPr>
            <w:r>
              <w:br/>
              <w:t>cost</w:t>
            </w:r>
          </w:p>
        </w:tc>
      </w:tr>
      <w:tr>
        <w:trPr>
          <w:cantSplit/>
        </w:trPr>
        <w:tc>
          <w:tcPr>
            <w:tcW w:w="567" w:type="dxa"/>
          </w:tcPr>
          <w:p>
            <w:pPr>
              <w:pStyle w:val="yTableNAm"/>
            </w:pPr>
          </w:p>
        </w:tc>
        <w:tc>
          <w:tcPr>
            <w:tcW w:w="4394" w:type="dxa"/>
            <w:gridSpan w:val="2"/>
          </w:tcPr>
          <w:p>
            <w:pPr>
              <w:pStyle w:val="yTableNAm"/>
              <w:tabs>
                <w:tab w:val="clear" w:pos="567"/>
                <w:tab w:val="left" w:pos="415"/>
              </w:tabs>
              <w:ind w:left="415" w:hanging="415"/>
            </w:pPr>
            <w:r>
              <w:t>•</w:t>
            </w:r>
            <w:r>
              <w:tab/>
              <w:t>otherwise, per day</w:t>
            </w:r>
          </w:p>
        </w:tc>
        <w:tc>
          <w:tcPr>
            <w:tcW w:w="992" w:type="dxa"/>
            <w:vAlign w:val="bottom"/>
          </w:tcPr>
          <w:p>
            <w:pPr>
              <w:pStyle w:val="yTableNAm"/>
              <w:jc w:val="right"/>
            </w:pPr>
            <w:r>
              <w:t>4.73</w:t>
            </w:r>
          </w:p>
        </w:tc>
      </w:tr>
      <w:tr>
        <w:trPr>
          <w:cantSplit/>
        </w:trPr>
        <w:tc>
          <w:tcPr>
            <w:tcW w:w="567" w:type="dxa"/>
          </w:tcPr>
          <w:p>
            <w:pPr>
              <w:pStyle w:val="yTableNAm"/>
            </w:pPr>
            <w:r>
              <w:t>2.</w:t>
            </w:r>
          </w:p>
        </w:tc>
        <w:tc>
          <w:tcPr>
            <w:tcW w:w="4394" w:type="dxa"/>
            <w:gridSpan w:val="2"/>
          </w:tcPr>
          <w:p>
            <w:pPr>
              <w:pStyle w:val="yTableNAm"/>
            </w:pPr>
            <w:r>
              <w:t xml:space="preserve">Electricity supply — </w:t>
            </w:r>
          </w:p>
        </w:tc>
        <w:tc>
          <w:tcPr>
            <w:tcW w:w="992" w:type="dxa"/>
            <w:vAlign w:val="bottom"/>
          </w:tcPr>
          <w:p>
            <w:pPr>
              <w:pStyle w:val="yTableNAm"/>
              <w:jc w:val="right"/>
            </w:pPr>
          </w:p>
        </w:tc>
      </w:tr>
      <w:tr>
        <w:trPr>
          <w:cantSplit/>
        </w:trPr>
        <w:tc>
          <w:tcPr>
            <w:tcW w:w="567" w:type="dxa"/>
          </w:tcPr>
          <w:p>
            <w:pPr>
              <w:pStyle w:val="yTableNAm"/>
            </w:pPr>
          </w:p>
        </w:tc>
        <w:tc>
          <w:tcPr>
            <w:tcW w:w="4394" w:type="dxa"/>
            <w:gridSpan w:val="2"/>
          </w:tcPr>
          <w:p>
            <w:pPr>
              <w:pStyle w:val="yTableNAm"/>
              <w:tabs>
                <w:tab w:val="clear" w:pos="567"/>
                <w:tab w:val="left" w:pos="415"/>
              </w:tabs>
              <w:ind w:left="415" w:hanging="415"/>
            </w:pPr>
            <w:r>
              <w:t>•</w:t>
            </w:r>
            <w:r>
              <w:tab/>
              <w:t>if metering indicates usage of more than $7.87 in a day</w:t>
            </w:r>
          </w:p>
        </w:tc>
        <w:tc>
          <w:tcPr>
            <w:tcW w:w="992" w:type="dxa"/>
            <w:vAlign w:val="bottom"/>
          </w:tcPr>
          <w:p>
            <w:pPr>
              <w:pStyle w:val="yTableNAm"/>
              <w:jc w:val="right"/>
            </w:pPr>
            <w:r>
              <w:br/>
              <w:t>cost</w:t>
            </w:r>
          </w:p>
        </w:tc>
      </w:tr>
      <w:tr>
        <w:trPr>
          <w:cantSplit/>
        </w:trPr>
        <w:tc>
          <w:tcPr>
            <w:tcW w:w="567" w:type="dxa"/>
            <w:tcBorders>
              <w:bottom w:val="single" w:sz="4" w:space="0" w:color="auto"/>
            </w:tcBorders>
          </w:tcPr>
          <w:p>
            <w:pPr>
              <w:pStyle w:val="yTableNAm"/>
            </w:pPr>
          </w:p>
        </w:tc>
        <w:tc>
          <w:tcPr>
            <w:tcW w:w="4394" w:type="dxa"/>
            <w:gridSpan w:val="2"/>
            <w:tcBorders>
              <w:bottom w:val="single" w:sz="4" w:space="0" w:color="auto"/>
            </w:tcBorders>
          </w:tcPr>
          <w:p>
            <w:pPr>
              <w:pStyle w:val="yTableNAm"/>
              <w:tabs>
                <w:tab w:val="clear" w:pos="567"/>
                <w:tab w:val="left" w:pos="415"/>
              </w:tabs>
              <w:ind w:left="415" w:hanging="415"/>
            </w:pPr>
            <w:r>
              <w:t>•</w:t>
            </w:r>
            <w:r>
              <w:tab/>
              <w:t>otherwise, per day</w:t>
            </w:r>
          </w:p>
        </w:tc>
        <w:tc>
          <w:tcPr>
            <w:tcW w:w="992" w:type="dxa"/>
            <w:tcBorders>
              <w:bottom w:val="single" w:sz="4" w:space="0" w:color="auto"/>
            </w:tcBorders>
            <w:vAlign w:val="bottom"/>
          </w:tcPr>
          <w:p>
            <w:pPr>
              <w:pStyle w:val="yTableNAm"/>
              <w:jc w:val="right"/>
            </w:pPr>
            <w:r>
              <w:t>7.87</w:t>
            </w:r>
          </w:p>
        </w:tc>
      </w:tr>
    </w:tbl>
    <w:p>
      <w:pPr>
        <w:pStyle w:val="BlankClose"/>
      </w:pPr>
    </w:p>
    <w:p>
      <w:pPr>
        <w:pStyle w:val="yFootnotesection"/>
      </w:pPr>
      <w:r>
        <w:tab/>
        <w:t>[Clause 28 inserted in Gazette 28 Jun 2013 p. 2877</w:t>
      </w:r>
      <w:r>
        <w:noBreakHyphen/>
        <w:t>8.]</w:t>
      </w:r>
    </w:p>
    <w:p>
      <w:pPr>
        <w:pStyle w:val="yScheduleHeading"/>
      </w:pPr>
      <w:bookmarkStart w:id="753" w:name="_Toc360457594"/>
      <w:bookmarkStart w:id="754" w:name="_Toc360458177"/>
      <w:bookmarkStart w:id="755" w:name="_Toc360523371"/>
      <w:bookmarkStart w:id="756" w:name="_Toc329850853"/>
      <w:bookmarkStart w:id="757" w:name="_Toc329851053"/>
      <w:bookmarkStart w:id="758" w:name="_Toc329863332"/>
      <w:bookmarkStart w:id="759" w:name="_Toc329864670"/>
      <w:bookmarkStart w:id="760" w:name="_Toc346791101"/>
      <w:bookmarkStart w:id="761" w:name="_Toc355611724"/>
      <w:bookmarkStart w:id="762" w:name="_Toc266960941"/>
      <w:bookmarkStart w:id="763" w:name="_Toc297293843"/>
      <w:bookmarkStart w:id="764" w:name="_Toc329788572"/>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SchNo"/>
        </w:rPr>
        <w:t>Schedule 1A</w:t>
      </w:r>
      <w:r>
        <w:rPr>
          <w:rStyle w:val="CharSDivNo"/>
        </w:rPr>
        <w:t> </w:t>
      </w:r>
      <w:r>
        <w:t>—</w:t>
      </w:r>
      <w:r>
        <w:rPr>
          <w:rStyle w:val="CharSDivText"/>
        </w:rPr>
        <w:t> </w:t>
      </w:r>
      <w:r>
        <w:rPr>
          <w:rStyle w:val="CharSchText"/>
        </w:rPr>
        <w:t>Fuel oil wharfage</w:t>
      </w:r>
      <w:bookmarkEnd w:id="753"/>
      <w:bookmarkEnd w:id="754"/>
      <w:bookmarkEnd w:id="755"/>
    </w:p>
    <w:p>
      <w:pPr>
        <w:pStyle w:val="yShoulderClause"/>
      </w:pPr>
      <w:r>
        <w:t>[r. 11B(2)]</w:t>
      </w:r>
    </w:p>
    <w:p>
      <w:pPr>
        <w:pStyle w:val="yFootnoteheading"/>
        <w:spacing w:after="60"/>
      </w:pPr>
      <w:bookmarkStart w:id="765" w:name="_Toc346791102"/>
      <w:r>
        <w:tab/>
        <w:t>[Heading inserted in Gazette 28 Jun 2013 p. 2878.]</w:t>
      </w:r>
    </w:p>
    <w:p>
      <w:pPr>
        <w:pStyle w:val="yHeading5"/>
      </w:pPr>
      <w:bookmarkStart w:id="766" w:name="_Toc360523372"/>
      <w:r>
        <w:rPr>
          <w:rStyle w:val="CharSClsNo"/>
        </w:rPr>
        <w:t>1</w:t>
      </w:r>
      <w:r>
        <w:t>.</w:t>
      </w:r>
      <w:r>
        <w:rPr>
          <w:b w:val="0"/>
        </w:rPr>
        <w:tab/>
      </w:r>
      <w:r>
        <w:t>Wharfage for fuel (r. 11B(2))</w:t>
      </w:r>
      <w:bookmarkEnd w:id="765"/>
      <w:bookmarkEnd w:id="766"/>
    </w:p>
    <w:p>
      <w:pPr>
        <w:pStyle w:val="ySubsection"/>
      </w:pPr>
      <w:r>
        <w:tab/>
      </w:r>
      <w:r>
        <w:tab/>
        <w:t>The rate to be paid for fuel oil under regulation 11B(2) at a place listed in the Table is set out opposite the place.</w:t>
      </w:r>
    </w:p>
    <w:p>
      <w:pPr>
        <w:pStyle w:val="yTHeadingNAm"/>
      </w:pPr>
      <w:r>
        <w:t>Table (Wharfage for fuel oil)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$/L</w:t>
            </w:r>
          </w:p>
        </w:tc>
      </w:tr>
      <w:tr>
        <w:trPr>
          <w:cantSplit/>
        </w:trPr>
        <w:tc>
          <w:tcPr>
            <w:tcW w:w="567" w:type="dxa"/>
          </w:tcPr>
          <w:p>
            <w:pPr>
              <w:pStyle w:val="yTableNAm"/>
            </w:pPr>
            <w:r>
              <w:t>1.</w:t>
            </w:r>
          </w:p>
        </w:tc>
        <w:tc>
          <w:tcPr>
            <w:tcW w:w="4387" w:type="dxa"/>
          </w:tcPr>
          <w:p>
            <w:pPr>
              <w:pStyle w:val="yTableNAm"/>
            </w:pPr>
            <w:r>
              <w:t>Albany, at Albany Waterfront Marina</w:t>
            </w:r>
          </w:p>
        </w:tc>
        <w:tc>
          <w:tcPr>
            <w:tcW w:w="999" w:type="dxa"/>
          </w:tcPr>
          <w:p>
            <w:pPr>
              <w:pStyle w:val="yTableNAm"/>
            </w:pPr>
            <w:r>
              <w:t>0.056</w:t>
            </w:r>
          </w:p>
        </w:tc>
      </w:tr>
      <w:tr>
        <w:trPr>
          <w:cantSplit/>
        </w:trPr>
        <w:tc>
          <w:tcPr>
            <w:tcW w:w="567" w:type="dxa"/>
          </w:tcPr>
          <w:p>
            <w:pPr>
              <w:pStyle w:val="yTableNAm"/>
            </w:pPr>
            <w:r>
              <w:t>2.</w:t>
            </w:r>
          </w:p>
        </w:tc>
        <w:tc>
          <w:tcPr>
            <w:tcW w:w="4387" w:type="dxa"/>
          </w:tcPr>
          <w:p>
            <w:pPr>
              <w:pStyle w:val="yTableNAm"/>
            </w:pPr>
            <w:r>
              <w:t>Albany, at Emu Point Boat Harbour</w:t>
            </w:r>
          </w:p>
        </w:tc>
        <w:tc>
          <w:tcPr>
            <w:tcW w:w="999" w:type="dxa"/>
          </w:tcPr>
          <w:p>
            <w:pPr>
              <w:pStyle w:val="yTableNAm"/>
            </w:pPr>
            <w:r>
              <w:t>0.056</w:t>
            </w:r>
          </w:p>
        </w:tc>
      </w:tr>
      <w:tr>
        <w:trPr>
          <w:cantSplit/>
        </w:trPr>
        <w:tc>
          <w:tcPr>
            <w:tcW w:w="567" w:type="dxa"/>
          </w:tcPr>
          <w:p>
            <w:pPr>
              <w:pStyle w:val="yTableNAm"/>
            </w:pPr>
            <w:r>
              <w:t>3.</w:t>
            </w:r>
          </w:p>
        </w:tc>
        <w:tc>
          <w:tcPr>
            <w:tcW w:w="4387" w:type="dxa"/>
          </w:tcPr>
          <w:p>
            <w:pPr>
              <w:pStyle w:val="yTableNAm"/>
            </w:pPr>
            <w:r>
              <w:t>Augusta</w:t>
            </w:r>
          </w:p>
        </w:tc>
        <w:tc>
          <w:tcPr>
            <w:tcW w:w="999" w:type="dxa"/>
          </w:tcPr>
          <w:p>
            <w:pPr>
              <w:pStyle w:val="yTableNAm"/>
            </w:pPr>
            <w:r>
              <w:t>0.028</w:t>
            </w:r>
          </w:p>
        </w:tc>
      </w:tr>
      <w:tr>
        <w:trPr>
          <w:cantSplit/>
        </w:trPr>
        <w:tc>
          <w:tcPr>
            <w:tcW w:w="567" w:type="dxa"/>
          </w:tcPr>
          <w:p>
            <w:pPr>
              <w:pStyle w:val="yTableNAm"/>
            </w:pPr>
            <w:r>
              <w:t>4.</w:t>
            </w:r>
          </w:p>
        </w:tc>
        <w:tc>
          <w:tcPr>
            <w:tcW w:w="4387" w:type="dxa"/>
          </w:tcPr>
          <w:p>
            <w:pPr>
              <w:pStyle w:val="yTableNAm"/>
            </w:pPr>
            <w:r>
              <w:t>Bremer Bay</w:t>
            </w:r>
          </w:p>
        </w:tc>
        <w:tc>
          <w:tcPr>
            <w:tcW w:w="999" w:type="dxa"/>
          </w:tcPr>
          <w:p>
            <w:pPr>
              <w:pStyle w:val="yTableNAm"/>
            </w:pPr>
            <w:r>
              <w:t>0.043</w:t>
            </w:r>
          </w:p>
        </w:tc>
      </w:tr>
      <w:tr>
        <w:trPr>
          <w:cantSplit/>
        </w:trPr>
        <w:tc>
          <w:tcPr>
            <w:tcW w:w="567" w:type="dxa"/>
          </w:tcPr>
          <w:p>
            <w:pPr>
              <w:pStyle w:val="yTableNAm"/>
            </w:pPr>
            <w:r>
              <w:t>5.</w:t>
            </w:r>
          </w:p>
        </w:tc>
        <w:tc>
          <w:tcPr>
            <w:tcW w:w="4387" w:type="dxa"/>
          </w:tcPr>
          <w:p>
            <w:pPr>
              <w:pStyle w:val="yTableNAm"/>
            </w:pPr>
            <w:r>
              <w:t>Bunbury, at Casuarina Boat Harbour</w:t>
            </w:r>
          </w:p>
        </w:tc>
        <w:tc>
          <w:tcPr>
            <w:tcW w:w="999" w:type="dxa"/>
          </w:tcPr>
          <w:p>
            <w:pPr>
              <w:pStyle w:val="yTableNAm"/>
            </w:pPr>
            <w:r>
              <w:t>0.043</w:t>
            </w:r>
          </w:p>
        </w:tc>
      </w:tr>
      <w:tr>
        <w:trPr>
          <w:cantSplit/>
        </w:trPr>
        <w:tc>
          <w:tcPr>
            <w:tcW w:w="567" w:type="dxa"/>
          </w:tcPr>
          <w:p>
            <w:pPr>
              <w:pStyle w:val="yTableNAm"/>
            </w:pPr>
            <w:r>
              <w:t>6.</w:t>
            </w:r>
          </w:p>
        </w:tc>
        <w:tc>
          <w:tcPr>
            <w:tcW w:w="4387" w:type="dxa"/>
          </w:tcPr>
          <w:p>
            <w:pPr>
              <w:pStyle w:val="yTableNAm"/>
            </w:pPr>
            <w:r>
              <w:t>Carnarvon</w:t>
            </w:r>
          </w:p>
        </w:tc>
        <w:tc>
          <w:tcPr>
            <w:tcW w:w="999" w:type="dxa"/>
          </w:tcPr>
          <w:p>
            <w:pPr>
              <w:pStyle w:val="yTableNAm"/>
            </w:pPr>
            <w:r>
              <w:t>0.065</w:t>
            </w:r>
          </w:p>
        </w:tc>
      </w:tr>
      <w:tr>
        <w:trPr>
          <w:cantSplit/>
        </w:trPr>
        <w:tc>
          <w:tcPr>
            <w:tcW w:w="567" w:type="dxa"/>
          </w:tcPr>
          <w:p>
            <w:pPr>
              <w:pStyle w:val="yTableNAm"/>
            </w:pPr>
            <w:r>
              <w:t>7.</w:t>
            </w:r>
          </w:p>
        </w:tc>
        <w:tc>
          <w:tcPr>
            <w:tcW w:w="4387" w:type="dxa"/>
          </w:tcPr>
          <w:p>
            <w:pPr>
              <w:pStyle w:val="yTableNAm"/>
            </w:pPr>
            <w:r>
              <w:t>Exmouth</w:t>
            </w:r>
          </w:p>
        </w:tc>
        <w:tc>
          <w:tcPr>
            <w:tcW w:w="999" w:type="dxa"/>
          </w:tcPr>
          <w:p>
            <w:pPr>
              <w:pStyle w:val="yTableNAm"/>
            </w:pPr>
            <w:r>
              <w:t>0.053</w:t>
            </w:r>
          </w:p>
        </w:tc>
      </w:tr>
      <w:tr>
        <w:trPr>
          <w:cantSplit/>
        </w:trPr>
        <w:tc>
          <w:tcPr>
            <w:tcW w:w="567" w:type="dxa"/>
          </w:tcPr>
          <w:p>
            <w:pPr>
              <w:pStyle w:val="yTableNAm"/>
            </w:pPr>
            <w:r>
              <w:t>8.</w:t>
            </w:r>
          </w:p>
        </w:tc>
        <w:tc>
          <w:tcPr>
            <w:tcW w:w="4387" w:type="dxa"/>
          </w:tcPr>
          <w:p>
            <w:pPr>
              <w:pStyle w:val="yTableNAm"/>
            </w:pPr>
            <w:r>
              <w:t>Fremantle, at Fremantle Fishing Boat Harbour</w:t>
            </w:r>
          </w:p>
        </w:tc>
        <w:tc>
          <w:tcPr>
            <w:tcW w:w="999" w:type="dxa"/>
          </w:tcPr>
          <w:p>
            <w:pPr>
              <w:pStyle w:val="yTableNAm"/>
            </w:pPr>
            <w:r>
              <w:t>0.022</w:t>
            </w:r>
          </w:p>
        </w:tc>
      </w:tr>
      <w:tr>
        <w:trPr>
          <w:cantSplit/>
        </w:trPr>
        <w:tc>
          <w:tcPr>
            <w:tcW w:w="567" w:type="dxa"/>
          </w:tcPr>
          <w:p>
            <w:pPr>
              <w:pStyle w:val="yTableNAm"/>
            </w:pPr>
            <w:r>
              <w:t>9.</w:t>
            </w:r>
          </w:p>
        </w:tc>
        <w:tc>
          <w:tcPr>
            <w:tcW w:w="4387" w:type="dxa"/>
          </w:tcPr>
          <w:p>
            <w:pPr>
              <w:pStyle w:val="yTableNAm"/>
            </w:pPr>
            <w:r>
              <w:t>Green Head</w:t>
            </w:r>
          </w:p>
        </w:tc>
        <w:tc>
          <w:tcPr>
            <w:tcW w:w="999" w:type="dxa"/>
          </w:tcPr>
          <w:p>
            <w:pPr>
              <w:pStyle w:val="yTableNAm"/>
            </w:pPr>
            <w:r>
              <w:t>0.081</w:t>
            </w:r>
          </w:p>
        </w:tc>
      </w:tr>
      <w:tr>
        <w:trPr>
          <w:cantSplit/>
        </w:trPr>
        <w:tc>
          <w:tcPr>
            <w:tcW w:w="567" w:type="dxa"/>
          </w:tcPr>
          <w:p>
            <w:pPr>
              <w:pStyle w:val="yTableNAm"/>
            </w:pPr>
            <w:r>
              <w:t>10.</w:t>
            </w:r>
          </w:p>
        </w:tc>
        <w:tc>
          <w:tcPr>
            <w:tcW w:w="4387" w:type="dxa"/>
          </w:tcPr>
          <w:p>
            <w:pPr>
              <w:pStyle w:val="yTableNAm"/>
            </w:pPr>
            <w:r>
              <w:t>Hopetoun</w:t>
            </w:r>
          </w:p>
        </w:tc>
        <w:tc>
          <w:tcPr>
            <w:tcW w:w="999" w:type="dxa"/>
          </w:tcPr>
          <w:p>
            <w:pPr>
              <w:pStyle w:val="yTableNAm"/>
            </w:pPr>
            <w:r>
              <w:t>0.049</w:t>
            </w:r>
          </w:p>
        </w:tc>
      </w:tr>
      <w:tr>
        <w:trPr>
          <w:cantSplit/>
        </w:trPr>
        <w:tc>
          <w:tcPr>
            <w:tcW w:w="567" w:type="dxa"/>
          </w:tcPr>
          <w:p>
            <w:pPr>
              <w:pStyle w:val="yTableNAm"/>
            </w:pPr>
            <w:r>
              <w:t>11.</w:t>
            </w:r>
          </w:p>
        </w:tc>
        <w:tc>
          <w:tcPr>
            <w:tcW w:w="4387" w:type="dxa"/>
          </w:tcPr>
          <w:p>
            <w:pPr>
              <w:pStyle w:val="yTableNAm"/>
            </w:pPr>
            <w:r>
              <w:t>Kalbarri</w:t>
            </w:r>
          </w:p>
        </w:tc>
        <w:tc>
          <w:tcPr>
            <w:tcW w:w="999" w:type="dxa"/>
          </w:tcPr>
          <w:p>
            <w:pPr>
              <w:pStyle w:val="yTableNAm"/>
            </w:pPr>
            <w:r>
              <w:t>0.053</w:t>
            </w:r>
          </w:p>
        </w:tc>
      </w:tr>
      <w:tr>
        <w:trPr>
          <w:cantSplit/>
        </w:trPr>
        <w:tc>
          <w:tcPr>
            <w:tcW w:w="567" w:type="dxa"/>
          </w:tcPr>
          <w:p>
            <w:pPr>
              <w:pStyle w:val="yTableNAm"/>
            </w:pPr>
            <w:r>
              <w:t>12.</w:t>
            </w:r>
          </w:p>
        </w:tc>
        <w:tc>
          <w:tcPr>
            <w:tcW w:w="4387" w:type="dxa"/>
          </w:tcPr>
          <w:p>
            <w:pPr>
              <w:pStyle w:val="yTableNAm"/>
            </w:pPr>
            <w:r>
              <w:t>Lancelin</w:t>
            </w:r>
          </w:p>
        </w:tc>
        <w:tc>
          <w:tcPr>
            <w:tcW w:w="999" w:type="dxa"/>
          </w:tcPr>
          <w:p>
            <w:pPr>
              <w:pStyle w:val="yTableNAm"/>
            </w:pPr>
            <w:r>
              <w:t>0.032</w:t>
            </w:r>
          </w:p>
        </w:tc>
      </w:tr>
      <w:tr>
        <w:trPr>
          <w:cantSplit/>
        </w:trPr>
        <w:tc>
          <w:tcPr>
            <w:tcW w:w="567" w:type="dxa"/>
          </w:tcPr>
          <w:p>
            <w:pPr>
              <w:pStyle w:val="yTableNAm"/>
            </w:pPr>
            <w:r>
              <w:t>13.</w:t>
            </w:r>
          </w:p>
        </w:tc>
        <w:tc>
          <w:tcPr>
            <w:tcW w:w="4387" w:type="dxa"/>
          </w:tcPr>
          <w:p>
            <w:pPr>
              <w:pStyle w:val="yTableNAm"/>
            </w:pPr>
            <w:r>
              <w:t>Leeman</w:t>
            </w:r>
          </w:p>
        </w:tc>
        <w:tc>
          <w:tcPr>
            <w:tcW w:w="999" w:type="dxa"/>
          </w:tcPr>
          <w:p>
            <w:pPr>
              <w:pStyle w:val="yTableNAm"/>
            </w:pPr>
            <w:r>
              <w:t>0.050</w:t>
            </w:r>
          </w:p>
        </w:tc>
      </w:tr>
      <w:tr>
        <w:trPr>
          <w:cantSplit/>
        </w:trPr>
        <w:tc>
          <w:tcPr>
            <w:tcW w:w="567" w:type="dxa"/>
          </w:tcPr>
          <w:p>
            <w:pPr>
              <w:pStyle w:val="yTableNAm"/>
            </w:pPr>
            <w:r>
              <w:t>14.</w:t>
            </w:r>
          </w:p>
        </w:tc>
        <w:tc>
          <w:tcPr>
            <w:tcW w:w="4387" w:type="dxa"/>
          </w:tcPr>
          <w:p>
            <w:pPr>
              <w:pStyle w:val="yTableNAm"/>
            </w:pPr>
            <w:r>
              <w:t>Onslow, at Beadon Creek Boat Harbour</w:t>
            </w:r>
          </w:p>
        </w:tc>
        <w:tc>
          <w:tcPr>
            <w:tcW w:w="999" w:type="dxa"/>
          </w:tcPr>
          <w:p>
            <w:pPr>
              <w:pStyle w:val="yTableNAm"/>
            </w:pPr>
            <w:r>
              <w:t>0.053</w:t>
            </w:r>
          </w:p>
        </w:tc>
      </w:tr>
      <w:tr>
        <w:trPr>
          <w:cantSplit/>
        </w:trPr>
        <w:tc>
          <w:tcPr>
            <w:tcW w:w="567" w:type="dxa"/>
          </w:tcPr>
          <w:p>
            <w:pPr>
              <w:pStyle w:val="yTableNAm"/>
            </w:pPr>
            <w:r>
              <w:t>15.</w:t>
            </w:r>
          </w:p>
        </w:tc>
        <w:tc>
          <w:tcPr>
            <w:tcW w:w="4387" w:type="dxa"/>
          </w:tcPr>
          <w:p>
            <w:pPr>
              <w:pStyle w:val="yTableNAm"/>
            </w:pPr>
            <w:r>
              <w:t>Point Samson, at Johns Creek Boat Harbour</w:t>
            </w:r>
          </w:p>
        </w:tc>
        <w:tc>
          <w:tcPr>
            <w:tcW w:w="999" w:type="dxa"/>
          </w:tcPr>
          <w:p>
            <w:pPr>
              <w:pStyle w:val="yTableNAm"/>
            </w:pPr>
            <w:r>
              <w:t>0.053</w:t>
            </w:r>
          </w:p>
        </w:tc>
      </w:tr>
      <w:tr>
        <w:trPr>
          <w:cantSplit/>
        </w:trPr>
        <w:tc>
          <w:tcPr>
            <w:tcW w:w="567" w:type="dxa"/>
          </w:tcPr>
          <w:p>
            <w:pPr>
              <w:pStyle w:val="yTableNAm"/>
            </w:pPr>
            <w:r>
              <w:t>16.</w:t>
            </w:r>
          </w:p>
        </w:tc>
        <w:tc>
          <w:tcPr>
            <w:tcW w:w="4387" w:type="dxa"/>
          </w:tcPr>
          <w:p>
            <w:pPr>
              <w:pStyle w:val="yTableNAm"/>
            </w:pPr>
            <w:r>
              <w:t>Port Gregory</w:t>
            </w:r>
          </w:p>
        </w:tc>
        <w:tc>
          <w:tcPr>
            <w:tcW w:w="999" w:type="dxa"/>
          </w:tcPr>
          <w:p>
            <w:pPr>
              <w:pStyle w:val="yTableNAm"/>
            </w:pPr>
            <w:r>
              <w:t>0.070</w:t>
            </w:r>
          </w:p>
        </w:tc>
      </w:tr>
      <w:tr>
        <w:trPr>
          <w:cantSplit/>
        </w:trPr>
        <w:tc>
          <w:tcPr>
            <w:tcW w:w="567" w:type="dxa"/>
            <w:tcBorders>
              <w:bottom w:val="single" w:sz="4" w:space="0" w:color="auto"/>
            </w:tcBorders>
          </w:tcPr>
          <w:p>
            <w:pPr>
              <w:pStyle w:val="yTableNAm"/>
            </w:pPr>
            <w:r>
              <w:t>17.</w:t>
            </w:r>
          </w:p>
        </w:tc>
        <w:tc>
          <w:tcPr>
            <w:tcW w:w="4387" w:type="dxa"/>
            <w:tcBorders>
              <w:bottom w:val="single" w:sz="4" w:space="0" w:color="auto"/>
            </w:tcBorders>
          </w:tcPr>
          <w:p>
            <w:pPr>
              <w:pStyle w:val="yTableNAm"/>
            </w:pPr>
            <w:r>
              <w:t>Wyndham</w:t>
            </w:r>
          </w:p>
        </w:tc>
        <w:tc>
          <w:tcPr>
            <w:tcW w:w="999" w:type="dxa"/>
            <w:tcBorders>
              <w:bottom w:val="single" w:sz="4" w:space="0" w:color="auto"/>
            </w:tcBorders>
          </w:tcPr>
          <w:p>
            <w:pPr>
              <w:pStyle w:val="yTableNAm"/>
            </w:pPr>
            <w:r>
              <w:t>0.01031</w:t>
            </w:r>
          </w:p>
        </w:tc>
      </w:tr>
    </w:tbl>
    <w:p>
      <w:pPr>
        <w:pStyle w:val="yFootnotesection"/>
      </w:pPr>
      <w:r>
        <w:tab/>
        <w:t>[Clause 1 inserted in Gazette 28 Jun 2013 p. 2878</w:t>
      </w:r>
      <w:r>
        <w:noBreakHyphen/>
        <w:t>9.]</w:t>
      </w:r>
    </w:p>
    <w:p>
      <w:pPr>
        <w:pStyle w:val="yScheduleHeading"/>
      </w:pPr>
      <w:bookmarkStart w:id="767" w:name="_Toc360457596"/>
      <w:bookmarkStart w:id="768" w:name="_Toc360458179"/>
      <w:bookmarkStart w:id="769" w:name="_Toc360523373"/>
      <w:bookmarkStart w:id="770" w:name="_Toc329850855"/>
      <w:bookmarkStart w:id="771" w:name="_Toc329851055"/>
      <w:bookmarkStart w:id="772" w:name="_Toc329863334"/>
      <w:bookmarkStart w:id="773" w:name="_Toc329864672"/>
      <w:bookmarkStart w:id="774" w:name="_Toc346791103"/>
      <w:bookmarkStart w:id="775" w:name="_Toc355611726"/>
      <w:bookmarkStart w:id="776" w:name="_Toc297293845"/>
      <w:bookmarkStart w:id="777" w:name="_Toc329788574"/>
      <w:bookmarkEnd w:id="756"/>
      <w:bookmarkEnd w:id="757"/>
      <w:bookmarkEnd w:id="758"/>
      <w:bookmarkEnd w:id="759"/>
      <w:bookmarkEnd w:id="760"/>
      <w:bookmarkEnd w:id="761"/>
      <w:bookmarkEnd w:id="762"/>
      <w:bookmarkEnd w:id="763"/>
      <w:bookmarkEnd w:id="764"/>
      <w:r>
        <w:rPr>
          <w:rStyle w:val="CharSchNo"/>
        </w:rPr>
        <w:t>Schedule 2</w:t>
      </w:r>
      <w:r>
        <w:t> — </w:t>
      </w:r>
      <w:r>
        <w:rPr>
          <w:rStyle w:val="CharSchText"/>
        </w:rPr>
        <w:t>Port of Perth fees</w:t>
      </w:r>
      <w:bookmarkEnd w:id="767"/>
      <w:bookmarkEnd w:id="768"/>
      <w:bookmarkEnd w:id="769"/>
    </w:p>
    <w:p>
      <w:pPr>
        <w:pStyle w:val="yShoulderClause"/>
      </w:pPr>
      <w:r>
        <w:t>[r. 72]</w:t>
      </w:r>
    </w:p>
    <w:p>
      <w:pPr>
        <w:pStyle w:val="yFootnoteheading"/>
        <w:spacing w:after="60"/>
      </w:pPr>
      <w:r>
        <w:tab/>
        <w:t>[Heading inserted in Gazette 28 Jun 2013 p. 2879.]</w:t>
      </w:r>
    </w:p>
    <w:p>
      <w:pPr>
        <w:pStyle w:val="yHeading3"/>
      </w:pPr>
      <w:bookmarkStart w:id="778" w:name="_Toc360457597"/>
      <w:bookmarkStart w:id="779" w:name="_Toc360458180"/>
      <w:bookmarkStart w:id="780" w:name="_Toc360523374"/>
      <w:r>
        <w:rPr>
          <w:rStyle w:val="CharSDivNo"/>
        </w:rPr>
        <w:t>Division 1</w:t>
      </w:r>
      <w:r>
        <w:rPr>
          <w:bCs/>
        </w:rPr>
        <w:t> — </w:t>
      </w:r>
      <w:r>
        <w:rPr>
          <w:rStyle w:val="CharSDivText"/>
        </w:rPr>
        <w:t>Fees for jetties</w:t>
      </w:r>
      <w:bookmarkEnd w:id="778"/>
      <w:bookmarkEnd w:id="779"/>
      <w:bookmarkEnd w:id="780"/>
    </w:p>
    <w:p>
      <w:pPr>
        <w:pStyle w:val="yFootnoteheading"/>
        <w:spacing w:after="60"/>
      </w:pPr>
      <w:bookmarkStart w:id="781" w:name="_Toc346791105"/>
      <w:r>
        <w:tab/>
        <w:t>[Heading inserted in Gazette 28 Jun 2013 p. 2879.]</w:t>
      </w:r>
    </w:p>
    <w:p>
      <w:pPr>
        <w:pStyle w:val="yHeading5"/>
      </w:pPr>
      <w:bookmarkStart w:id="782" w:name="_Toc360523375"/>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781"/>
      <w:bookmarkEnd w:id="782"/>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1.1.</w:t>
      </w:r>
    </w:p>
    <w:p>
      <w:pPr>
        <w:pStyle w:val="yTHeadingNAm"/>
      </w:pPr>
      <w:r>
        <w:t>Table 1.1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538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5386" w:type="dxa"/>
            <w:tcBorders>
              <w:top w:val="single" w:sz="4" w:space="0" w:color="auto"/>
              <w:bottom w:val="single" w:sz="4" w:space="0" w:color="auto"/>
            </w:tcBorders>
          </w:tcPr>
          <w:p>
            <w:pPr>
              <w:pStyle w:val="yTableNAm"/>
              <w:rPr>
                <w:b/>
              </w:rPr>
            </w:pPr>
            <w:r>
              <w:rPr>
                <w:b/>
              </w:rPr>
              <w:t>Service and fee</w:t>
            </w:r>
          </w:p>
        </w:tc>
      </w:tr>
      <w:tr>
        <w:trPr>
          <w:cantSplit/>
        </w:trPr>
        <w:tc>
          <w:tcPr>
            <w:tcW w:w="567" w:type="dxa"/>
          </w:tcPr>
          <w:p>
            <w:pPr>
              <w:pStyle w:val="yTableNAm"/>
            </w:pPr>
            <w:r>
              <w:t>1.</w:t>
            </w:r>
          </w:p>
        </w:tc>
        <w:tc>
          <w:tcPr>
            <w:tcW w:w="5386" w:type="dxa"/>
          </w:tcPr>
          <w:p>
            <w:pPr>
              <w:pStyle w:val="yTableNAm"/>
            </w:pPr>
            <w:r>
              <w:t>For vessel for 12 months — the higher of $4 321.67 and the result of the following calculation —</w:t>
            </w:r>
          </w:p>
        </w:tc>
      </w:tr>
      <w:tr>
        <w:trPr>
          <w:cantSplit/>
        </w:trPr>
        <w:tc>
          <w:tcPr>
            <w:tcW w:w="567" w:type="dxa"/>
          </w:tcPr>
          <w:p>
            <w:pPr>
              <w:pStyle w:val="yTableNAm"/>
            </w:pPr>
          </w:p>
        </w:tc>
        <w:tc>
          <w:tcPr>
            <w:tcW w:w="5386" w:type="dxa"/>
          </w:tcPr>
          <w:p>
            <w:pPr>
              <w:pStyle w:val="yTableNAm"/>
              <w:tabs>
                <w:tab w:val="clear" w:pos="567"/>
                <w:tab w:val="left" w:pos="415"/>
              </w:tabs>
              <w:ind w:left="415" w:hanging="415"/>
            </w:pPr>
            <w:r>
              <w:t>•</w:t>
            </w:r>
            <w:r>
              <w:tab/>
              <w:t>$60.50 per passenger calculated on the vessel’s passenger carrying capacity under its highest class of survey</w:t>
            </w:r>
          </w:p>
        </w:tc>
      </w:tr>
      <w:tr>
        <w:trPr>
          <w:cantSplit/>
        </w:trPr>
        <w:tc>
          <w:tcPr>
            <w:tcW w:w="567" w:type="dxa"/>
          </w:tcPr>
          <w:p>
            <w:pPr>
              <w:pStyle w:val="yTableNAm"/>
            </w:pPr>
          </w:p>
        </w:tc>
        <w:tc>
          <w:tcPr>
            <w:tcW w:w="5386" w:type="dxa"/>
          </w:tcPr>
          <w:p>
            <w:pPr>
              <w:pStyle w:val="yTableNAm"/>
              <w:tabs>
                <w:tab w:val="clear" w:pos="567"/>
                <w:tab w:val="left" w:pos="415"/>
              </w:tabs>
              <w:ind w:left="415" w:hanging="415"/>
            </w:pPr>
            <w:r>
              <w:t>•</w:t>
            </w:r>
            <w:r>
              <w:tab/>
              <w:t>plus —</w:t>
            </w:r>
          </w:p>
        </w:tc>
      </w:tr>
      <w:tr>
        <w:trPr>
          <w:cantSplit/>
        </w:trPr>
        <w:tc>
          <w:tcPr>
            <w:tcW w:w="567" w:type="dxa"/>
          </w:tcPr>
          <w:p>
            <w:pPr>
              <w:pStyle w:val="yTableNAm"/>
            </w:pPr>
          </w:p>
        </w:tc>
        <w:tc>
          <w:tcPr>
            <w:tcW w:w="5386" w:type="dxa"/>
          </w:tcPr>
          <w:p>
            <w:pPr>
              <w:pStyle w:val="yTableNAm"/>
              <w:tabs>
                <w:tab w:val="clear" w:pos="567"/>
                <w:tab w:val="left" w:pos="510"/>
                <w:tab w:val="left" w:pos="875"/>
              </w:tabs>
              <w:ind w:left="891" w:hanging="891"/>
            </w:pPr>
            <w:r>
              <w:tab/>
              <w:t>•</w:t>
            </w:r>
            <w:r>
              <w:tab/>
              <w:t>for vessel up to 35 m long, the higher of $7 778.98 and $432.17 per m of the vessel’s length; or</w:t>
            </w:r>
          </w:p>
        </w:tc>
      </w:tr>
      <w:tr>
        <w:trPr>
          <w:cantSplit/>
        </w:trPr>
        <w:tc>
          <w:tcPr>
            <w:tcW w:w="567" w:type="dxa"/>
          </w:tcPr>
          <w:p>
            <w:pPr>
              <w:pStyle w:val="yTableNAm"/>
            </w:pPr>
          </w:p>
        </w:tc>
        <w:tc>
          <w:tcPr>
            <w:tcW w:w="5386" w:type="dxa"/>
          </w:tcPr>
          <w:p>
            <w:pPr>
              <w:pStyle w:val="yTableNAm"/>
              <w:tabs>
                <w:tab w:val="clear" w:pos="567"/>
                <w:tab w:val="left" w:pos="510"/>
                <w:tab w:val="left" w:pos="875"/>
              </w:tabs>
              <w:ind w:left="891" w:hanging="891"/>
            </w:pPr>
            <w:r>
              <w:tab/>
              <w:t>•</w:t>
            </w:r>
            <w:r>
              <w:tab/>
              <w:t>for vessel 35 m long or over, $691.47 per m of the vessel’s length</w:t>
            </w:r>
          </w:p>
        </w:tc>
      </w:tr>
      <w:tr>
        <w:trPr>
          <w:cantSplit/>
        </w:trPr>
        <w:tc>
          <w:tcPr>
            <w:tcW w:w="567" w:type="dxa"/>
          </w:tcPr>
          <w:p>
            <w:pPr>
              <w:pStyle w:val="yTableNAm"/>
            </w:pPr>
          </w:p>
        </w:tc>
        <w:tc>
          <w:tcPr>
            <w:tcW w:w="5386" w:type="dxa"/>
          </w:tcPr>
          <w:p>
            <w:pPr>
              <w:pStyle w:val="yTableNAm"/>
              <w:tabs>
                <w:tab w:val="clear" w:pos="567"/>
                <w:tab w:val="left" w:pos="415"/>
              </w:tabs>
              <w:ind w:left="415" w:hanging="415"/>
            </w:pPr>
            <w:r>
              <w:t>•</w:t>
            </w:r>
            <w:r>
              <w:tab/>
              <w:t>minus — $6 050.35</w:t>
            </w:r>
          </w:p>
        </w:tc>
      </w:tr>
      <w:tr>
        <w:trPr>
          <w:cantSplit/>
        </w:trPr>
        <w:tc>
          <w:tcPr>
            <w:tcW w:w="567" w:type="dxa"/>
            <w:tcBorders>
              <w:bottom w:val="single" w:sz="4" w:space="0" w:color="auto"/>
            </w:tcBorders>
          </w:tcPr>
          <w:p>
            <w:pPr>
              <w:pStyle w:val="yTableNAm"/>
            </w:pPr>
            <w:r>
              <w:t>2.</w:t>
            </w:r>
          </w:p>
        </w:tc>
        <w:tc>
          <w:tcPr>
            <w:tcW w:w="5386" w:type="dxa"/>
            <w:tcBorders>
              <w:bottom w:val="single" w:sz="4" w:space="0" w:color="auto"/>
            </w:tcBorders>
          </w:tcPr>
          <w:p>
            <w:pPr>
              <w:pStyle w:val="yTableNAm"/>
            </w:pPr>
            <w:r>
              <w:t>Sullage fee for vessel for which the item 1 fee has not been paid, per pump out — $86.44</w:t>
            </w:r>
          </w:p>
        </w:tc>
      </w:tr>
    </w:tbl>
    <w:p>
      <w:pPr>
        <w:pStyle w:val="yFootnotesection"/>
      </w:pPr>
      <w:bookmarkStart w:id="783" w:name="_Toc346791106"/>
      <w:r>
        <w:tab/>
        <w:t>[Clause 1 inserted in Gazette 28 Jun 2013 p. 2879</w:t>
      </w:r>
      <w:r>
        <w:noBreakHyphen/>
        <w:t>80.]</w:t>
      </w:r>
    </w:p>
    <w:p>
      <w:pPr>
        <w:pStyle w:val="yHeading5"/>
      </w:pPr>
      <w:bookmarkStart w:id="784" w:name="_Toc360523376"/>
      <w:r>
        <w:rPr>
          <w:rStyle w:val="CharSClsNo"/>
        </w:rPr>
        <w:t>2</w:t>
      </w:r>
      <w:r>
        <w:t>.</w:t>
      </w:r>
      <w:r>
        <w:rPr>
          <w:b w:val="0"/>
        </w:rPr>
        <w:tab/>
      </w:r>
      <w:r>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783"/>
      <w:bookmarkEnd w:id="784"/>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2.1.</w:t>
      </w:r>
    </w:p>
    <w:p>
      <w:pPr>
        <w:pStyle w:val="yTHeadingNAm"/>
      </w:pPr>
      <w:r>
        <w:t>Table 2.1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For commercial or charter vessel —</w:t>
            </w:r>
          </w:p>
        </w:tc>
        <w:tc>
          <w:tcPr>
            <w:tcW w:w="999" w:type="dxa"/>
          </w:tcPr>
          <w:p>
            <w:pPr>
              <w:pStyle w:val="yTableNAm"/>
              <w:jc w:val="right"/>
            </w:pP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for 12 months, per m of the vessel’s length</w:t>
            </w:r>
          </w:p>
        </w:tc>
        <w:tc>
          <w:tcPr>
            <w:tcW w:w="999" w:type="dxa"/>
            <w:tcBorders>
              <w:bottom w:val="single" w:sz="4" w:space="0" w:color="auto"/>
            </w:tcBorders>
            <w:vAlign w:val="bottom"/>
          </w:tcPr>
          <w:p>
            <w:pPr>
              <w:pStyle w:val="yTableNAm"/>
              <w:jc w:val="right"/>
            </w:pPr>
            <w:r>
              <w:t>80.50</w:t>
            </w:r>
          </w:p>
        </w:tc>
      </w:tr>
    </w:tbl>
    <w:p>
      <w:pPr>
        <w:pStyle w:val="yFootnotesection"/>
      </w:pPr>
      <w:r>
        <w:tab/>
        <w:t>[Clause 2 inserted in Gazette 28 Jun 2013 p. 2880.]</w:t>
      </w:r>
    </w:p>
    <w:p>
      <w:pPr>
        <w:pStyle w:val="yHeading3"/>
      </w:pPr>
      <w:bookmarkStart w:id="785" w:name="_Toc360457600"/>
      <w:bookmarkStart w:id="786" w:name="_Toc360458183"/>
      <w:bookmarkStart w:id="787" w:name="_Toc360523377"/>
      <w:r>
        <w:rPr>
          <w:rStyle w:val="CharSDivNo"/>
        </w:rPr>
        <w:t>Division 2</w:t>
      </w:r>
      <w:r>
        <w:rPr>
          <w:bCs/>
        </w:rPr>
        <w:t> — </w:t>
      </w:r>
      <w:r>
        <w:rPr>
          <w:rStyle w:val="CharSDivText"/>
        </w:rPr>
        <w:t>Fees for boat pens</w:t>
      </w:r>
      <w:bookmarkEnd w:id="785"/>
      <w:bookmarkEnd w:id="786"/>
      <w:bookmarkEnd w:id="787"/>
    </w:p>
    <w:p>
      <w:pPr>
        <w:pStyle w:val="yFootnoteheading"/>
        <w:spacing w:after="60"/>
      </w:pPr>
      <w:bookmarkStart w:id="788" w:name="_Toc346791108"/>
      <w:r>
        <w:tab/>
        <w:t>[Heading inserted in Gazette 28 Jun 2013 p. 2881.]</w:t>
      </w:r>
    </w:p>
    <w:p>
      <w:pPr>
        <w:pStyle w:val="yHeading5"/>
      </w:pPr>
      <w:bookmarkStart w:id="789" w:name="_Toc360523378"/>
      <w:r>
        <w:rPr>
          <w:rStyle w:val="CharSClsNo"/>
        </w:rPr>
        <w:t>3</w:t>
      </w:r>
      <w:r>
        <w:t>.</w:t>
      </w:r>
      <w:r>
        <w:rPr>
          <w:b w:val="0"/>
        </w:rPr>
        <w:tab/>
      </w:r>
      <w:r>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88"/>
      <w:bookmarkEnd w:id="789"/>
    </w:p>
    <w:p>
      <w:pPr>
        <w:pStyle w:val="ySubsection"/>
      </w:pPr>
      <w:r>
        <w:tab/>
        <w:t>(1)</w:t>
      </w:r>
      <w:r>
        <w:tab/>
        <w:t xml:space="preserve">This clause applies to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fees to be paid under regulation 72 for a permit to use a boat pen are set out in Table 3.1.</w:t>
      </w:r>
    </w:p>
    <w:p>
      <w:pPr>
        <w:pStyle w:val="yTHeadingNAm"/>
      </w:pPr>
      <w:r>
        <w:t>Table 3.1 (Pen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catamaran pen with walkways, per m of the longer of the vessel’s length and the pen’s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811.14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81.15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121.67</w:t>
            </w:r>
          </w:p>
        </w:tc>
      </w:tr>
      <w:tr>
        <w:trPr>
          <w:cantSplit/>
        </w:trPr>
        <w:tc>
          <w:tcPr>
            <w:tcW w:w="567" w:type="dxa"/>
          </w:tcPr>
          <w:p>
            <w:pPr>
              <w:pStyle w:val="yTableNAm"/>
            </w:pPr>
            <w:r>
              <w:t>2.</w:t>
            </w:r>
          </w:p>
        </w:tc>
        <w:tc>
          <w:tcPr>
            <w:tcW w:w="4394" w:type="dxa"/>
          </w:tcPr>
          <w:p>
            <w:pPr>
              <w:pStyle w:val="yTableNAm"/>
            </w:pPr>
            <w:r>
              <w:t>For other pen with walkways, per m of the longer of the vessel’s length and the pen’s length —</w:t>
            </w:r>
          </w:p>
        </w:tc>
        <w:tc>
          <w:tcPr>
            <w:tcW w:w="992" w:type="dxa"/>
            <w:vAlign w:val="bottom"/>
          </w:tcPr>
          <w:p>
            <w:pPr>
              <w:pStyle w:val="yTableNAm"/>
              <w:jc w:val="right"/>
              <w:rPr>
                <w:szCs w:val="22"/>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558.90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55.89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83.83</w:t>
            </w:r>
          </w:p>
        </w:tc>
      </w:tr>
      <w:tr>
        <w:trPr>
          <w:cantSplit/>
        </w:trPr>
        <w:tc>
          <w:tcPr>
            <w:tcW w:w="567" w:type="dxa"/>
          </w:tcPr>
          <w:p>
            <w:pPr>
              <w:pStyle w:val="yTableNAm"/>
            </w:pPr>
            <w:r>
              <w:t>3.</w:t>
            </w:r>
          </w:p>
        </w:tc>
        <w:tc>
          <w:tcPr>
            <w:tcW w:w="4394" w:type="dxa"/>
          </w:tcPr>
          <w:p>
            <w:pPr>
              <w:pStyle w:val="yTableNAm"/>
            </w:pPr>
            <w:r>
              <w:t>For pen without walkways, per m of the longer of the vessel’s length and the pen’s length —</w:t>
            </w:r>
          </w:p>
        </w:tc>
        <w:tc>
          <w:tcPr>
            <w:tcW w:w="992" w:type="dxa"/>
            <w:vAlign w:val="bottom"/>
          </w:tcPr>
          <w:p>
            <w:pPr>
              <w:pStyle w:val="yTableNAm"/>
              <w:jc w:val="right"/>
              <w:rPr>
                <w:szCs w:val="22"/>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504.81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50.49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75.72</w:t>
            </w:r>
          </w:p>
        </w:tc>
      </w:tr>
      <w:tr>
        <w:trPr>
          <w:cantSplit/>
        </w:trPr>
        <w:tc>
          <w:tcPr>
            <w:tcW w:w="567" w:type="dxa"/>
          </w:tcPr>
          <w:p>
            <w:pPr>
              <w:pStyle w:val="yTableNAm"/>
            </w:pPr>
            <w:r>
              <w:t>4.</w:t>
            </w:r>
          </w:p>
        </w:tc>
        <w:tc>
          <w:tcPr>
            <w:tcW w:w="4394" w:type="dxa"/>
          </w:tcPr>
          <w:p>
            <w:pPr>
              <w:pStyle w:val="yTableNAm"/>
            </w:pPr>
            <w:r>
              <w:t>For casual use of pen —</w:t>
            </w:r>
          </w:p>
        </w:tc>
        <w:tc>
          <w:tcPr>
            <w:tcW w:w="992" w:type="dxa"/>
            <w:vAlign w:val="bottom"/>
          </w:tcPr>
          <w:p>
            <w:pPr>
              <w:pStyle w:val="yTableNAm"/>
              <w:jc w:val="right"/>
              <w:rPr>
                <w:szCs w:val="22"/>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week or more, per week, paid in advance</w:t>
            </w:r>
          </w:p>
        </w:tc>
        <w:tc>
          <w:tcPr>
            <w:tcW w:w="992" w:type="dxa"/>
            <w:vAlign w:val="bottom"/>
          </w:tcPr>
          <w:p>
            <w:pPr>
              <w:pStyle w:val="yTableNAm"/>
              <w:jc w:val="right"/>
              <w:rPr>
                <w:szCs w:val="22"/>
              </w:rPr>
            </w:pPr>
            <w:r>
              <w:rPr>
                <w:szCs w:val="22"/>
              </w:rPr>
              <w:t>225.37</w:t>
            </w:r>
          </w:p>
        </w:tc>
      </w:tr>
      <w:tr>
        <w:tc>
          <w:tcPr>
            <w:tcW w:w="567" w:type="dxa"/>
          </w:tcPr>
          <w:p>
            <w:pPr>
              <w:pStyle w:val="yTableNAm"/>
            </w:pPr>
          </w:p>
        </w:tc>
        <w:tc>
          <w:tcPr>
            <w:tcW w:w="4394" w:type="dxa"/>
          </w:tcPr>
          <w:p>
            <w:pPr>
              <w:pStyle w:val="yTableNAm"/>
              <w:tabs>
                <w:tab w:val="clear" w:pos="567"/>
                <w:tab w:val="left" w:pos="415"/>
              </w:tabs>
              <w:ind w:left="415" w:hanging="415"/>
            </w:pPr>
            <w:r>
              <w:t>•</w:t>
            </w:r>
            <w:r>
              <w:tab/>
              <w:t>otherwise, per day</w:t>
            </w:r>
          </w:p>
        </w:tc>
        <w:tc>
          <w:tcPr>
            <w:tcW w:w="992" w:type="dxa"/>
            <w:vAlign w:val="bottom"/>
          </w:tcPr>
          <w:p>
            <w:pPr>
              <w:pStyle w:val="yTableNAm"/>
              <w:jc w:val="right"/>
              <w:rPr>
                <w:szCs w:val="22"/>
              </w:rPr>
            </w:pPr>
            <w:r>
              <w:rPr>
                <w:szCs w:val="22"/>
              </w:rPr>
              <w:t>45.07</w:t>
            </w:r>
          </w:p>
        </w:tc>
      </w:tr>
      <w:tr>
        <w:tc>
          <w:tcPr>
            <w:tcW w:w="567" w:type="dxa"/>
            <w:tcBorders>
              <w:bottom w:val="single" w:sz="4" w:space="0" w:color="auto"/>
            </w:tcBorders>
          </w:tcPr>
          <w:p>
            <w:pPr>
              <w:pStyle w:val="yTableNAm"/>
            </w:pPr>
            <w:r>
              <w:t>5.</w:t>
            </w:r>
          </w:p>
        </w:tc>
        <w:tc>
          <w:tcPr>
            <w:tcW w:w="4394" w:type="dxa"/>
            <w:tcBorders>
              <w:bottom w:val="single" w:sz="4" w:space="0" w:color="auto"/>
            </w:tcBorders>
          </w:tcPr>
          <w:p>
            <w:pPr>
              <w:pStyle w:val="yTableNAm"/>
            </w:pPr>
            <w:r>
              <w:t>For living on board a vessel, per vessel, per month</w:t>
            </w:r>
          </w:p>
        </w:tc>
        <w:tc>
          <w:tcPr>
            <w:tcW w:w="992" w:type="dxa"/>
            <w:tcBorders>
              <w:bottom w:val="single" w:sz="4" w:space="0" w:color="auto"/>
            </w:tcBorders>
            <w:vAlign w:val="bottom"/>
          </w:tcPr>
          <w:p>
            <w:pPr>
              <w:pStyle w:val="yTableNAm"/>
              <w:jc w:val="right"/>
              <w:rPr>
                <w:szCs w:val="22"/>
              </w:rPr>
            </w:pPr>
            <w:r>
              <w:rPr>
                <w:szCs w:val="22"/>
              </w:rPr>
              <w:t>130.69</w:t>
            </w:r>
          </w:p>
        </w:tc>
      </w:tr>
    </w:tbl>
    <w:p>
      <w:pPr>
        <w:pStyle w:val="yFootnotesection"/>
      </w:pPr>
      <w:bookmarkStart w:id="790" w:name="_Toc346791109"/>
      <w:r>
        <w:tab/>
        <w:t>[Clause 3 inserted in Gazette 28 Jun 2013 p. 2881</w:t>
      </w:r>
      <w:r>
        <w:noBreakHyphen/>
        <w:t>2.]</w:t>
      </w:r>
    </w:p>
    <w:p>
      <w:pPr>
        <w:pStyle w:val="yHeading5"/>
      </w:pPr>
      <w:bookmarkStart w:id="791" w:name="_Toc360523379"/>
      <w:r>
        <w:rPr>
          <w:rStyle w:val="CharSClsNo"/>
        </w:rPr>
        <w:t>4</w:t>
      </w:r>
      <w:r>
        <w:t>.</w:t>
      </w:r>
      <w:r>
        <w:rPr>
          <w:b w:val="0"/>
        </w:rP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90"/>
      <w:bookmarkEnd w:id="791"/>
    </w:p>
    <w:p>
      <w:pPr>
        <w:pStyle w:val="ySubsection"/>
      </w:pPr>
      <w:r>
        <w:tab/>
        <w:t>(1)</w:t>
      </w:r>
      <w:r>
        <w:tab/>
        <w:t xml:space="preserve">This clause applies to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72 for a permit to use a jetty or boat pen are set out in Table 4.1.</w:t>
      </w:r>
    </w:p>
    <w:p>
      <w:pPr>
        <w:pStyle w:val="ySubsection"/>
      </w:pPr>
      <w:r>
        <w:tab/>
        <w:t>(3)</w:t>
      </w:r>
      <w:r>
        <w:tab/>
        <w:t>In Table 4.1,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20 m long, 16 m;</w:t>
      </w:r>
    </w:p>
    <w:p>
      <w:pPr>
        <w:pStyle w:val="yIndenta"/>
      </w:pPr>
      <w:r>
        <w:tab/>
        <w:t>(g)</w:t>
      </w:r>
      <w:r>
        <w:tab/>
        <w:t>if the pen is 22 m long, 17.6 m;</w:t>
      </w:r>
    </w:p>
    <w:p>
      <w:pPr>
        <w:pStyle w:val="yIndenta"/>
      </w:pPr>
      <w:r>
        <w:tab/>
        <w:t>(h)</w:t>
      </w:r>
      <w:r>
        <w:tab/>
        <w:t>if the pen is 25 m long, 20 m.</w:t>
      </w:r>
    </w:p>
    <w:p>
      <w:pPr>
        <w:pStyle w:val="yTHeadingNAm"/>
      </w:pPr>
      <w:r>
        <w:t>Table 4.1 (Jetty and pen permits)</w:t>
      </w:r>
    </w:p>
    <w:tbl>
      <w:tblPr>
        <w:tblW w:w="0" w:type="auto"/>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c>
          <w:tcPr>
            <w:tcW w:w="567" w:type="dxa"/>
            <w:tcBorders>
              <w:top w:val="single" w:sz="4" w:space="0" w:color="auto"/>
            </w:tcBorders>
          </w:tcPr>
          <w:p>
            <w:pPr>
              <w:pStyle w:val="yTableNAm"/>
            </w:pPr>
            <w:r>
              <w:t>1.</w:t>
            </w:r>
          </w:p>
        </w:tc>
        <w:tc>
          <w:tcPr>
            <w:tcW w:w="4394" w:type="dxa"/>
            <w:tcBorders>
              <w:top w:val="single" w:sz="4" w:space="0" w:color="auto"/>
            </w:tcBorders>
          </w:tcPr>
          <w:p>
            <w:pPr>
              <w:pStyle w:val="yTableNAm"/>
            </w:pPr>
            <w:r>
              <w:t xml:space="preserve">For fixed pen in pen sets A to L2 for commercial vessel, per m of the longer of the vessel’s length and the chargeable length of the pen — </w:t>
            </w:r>
          </w:p>
        </w:tc>
        <w:tc>
          <w:tcPr>
            <w:tcW w:w="992" w:type="dxa"/>
            <w:tcBorders>
              <w:top w:val="single" w:sz="4" w:space="0" w:color="auto"/>
            </w:tcBorders>
          </w:tcPr>
          <w:p>
            <w:pPr>
              <w:pStyle w:val="yTableNAm"/>
              <w:jc w:val="right"/>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552.87</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55.31</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82.93</w:t>
            </w:r>
          </w:p>
        </w:tc>
      </w:tr>
      <w:tr>
        <w:tc>
          <w:tcPr>
            <w:tcW w:w="567" w:type="dxa"/>
          </w:tcPr>
          <w:p>
            <w:pPr>
              <w:pStyle w:val="yTableNAm"/>
            </w:pPr>
            <w:r>
              <w:t>2.</w:t>
            </w:r>
          </w:p>
        </w:tc>
        <w:tc>
          <w:tcPr>
            <w:tcW w:w="4394" w:type="dxa"/>
          </w:tcPr>
          <w:p>
            <w:pPr>
              <w:pStyle w:val="yTableNAm"/>
            </w:pPr>
            <w:r>
              <w:t xml:space="preserve">For floating pen in pen sets A to L2 for commercial vessel, per m of the longer of the vessel’s length and the chargeable length of the pen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589.19</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58.92</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88.37</w:t>
            </w:r>
          </w:p>
        </w:tc>
      </w:tr>
      <w:tr>
        <w:tc>
          <w:tcPr>
            <w:tcW w:w="567" w:type="dxa"/>
          </w:tcPr>
          <w:p>
            <w:pPr>
              <w:pStyle w:val="yTableNAm"/>
              <w:keepNext/>
            </w:pPr>
            <w:r>
              <w:t>3.</w:t>
            </w:r>
          </w:p>
        </w:tc>
        <w:tc>
          <w:tcPr>
            <w:tcW w:w="4394" w:type="dxa"/>
          </w:tcPr>
          <w:p>
            <w:pPr>
              <w:pStyle w:val="yTableNAm"/>
              <w:keepNext/>
            </w:pPr>
            <w:r>
              <w:t>For fixed pen in pen sets A to L2 for recreational vessel, per m of the longer of the vessel’s length and the chargeable length of the pen —</w:t>
            </w:r>
          </w:p>
        </w:tc>
        <w:tc>
          <w:tcPr>
            <w:tcW w:w="992" w:type="dxa"/>
            <w:vAlign w:val="bottom"/>
          </w:tcPr>
          <w:p>
            <w:pPr>
              <w:pStyle w:val="yTableNAm"/>
              <w:keepNext/>
              <w:jc w:val="right"/>
              <w:rPr>
                <w:szCs w:val="22"/>
              </w:rPr>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508.76</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50.85</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76.32</w:t>
            </w:r>
          </w:p>
        </w:tc>
      </w:tr>
      <w:tr>
        <w:tc>
          <w:tcPr>
            <w:tcW w:w="567" w:type="dxa"/>
          </w:tcPr>
          <w:p>
            <w:pPr>
              <w:pStyle w:val="yTableNAm"/>
            </w:pPr>
            <w:r>
              <w:t>4.</w:t>
            </w:r>
          </w:p>
        </w:tc>
        <w:tc>
          <w:tcPr>
            <w:tcW w:w="4394" w:type="dxa"/>
          </w:tcPr>
          <w:p>
            <w:pPr>
              <w:pStyle w:val="yTableNAm"/>
            </w:pPr>
            <w:r>
              <w:t xml:space="preserve">For floating pen in pen sets A to L2 for recreational vessel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545.12</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54.53</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81.77</w:t>
            </w:r>
          </w:p>
        </w:tc>
      </w:tr>
      <w:tr>
        <w:tc>
          <w:tcPr>
            <w:tcW w:w="567" w:type="dxa"/>
          </w:tcPr>
          <w:p>
            <w:pPr>
              <w:pStyle w:val="yTableNAm"/>
            </w:pPr>
            <w:r>
              <w:t>5.</w:t>
            </w:r>
          </w:p>
        </w:tc>
        <w:tc>
          <w:tcPr>
            <w:tcW w:w="4394" w:type="dxa"/>
          </w:tcPr>
          <w:p>
            <w:pPr>
              <w:pStyle w:val="yTableNAm"/>
            </w:pPr>
            <w:r>
              <w:t>For pen for one week or more, per week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 xml:space="preserve">for commercial vessel —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 xml:space="preserve">minimum fee </w:t>
            </w:r>
          </w:p>
        </w:tc>
        <w:tc>
          <w:tcPr>
            <w:tcW w:w="992" w:type="dxa"/>
            <w:vAlign w:val="bottom"/>
          </w:tcPr>
          <w:p>
            <w:pPr>
              <w:pStyle w:val="yTableNAm"/>
              <w:jc w:val="right"/>
              <w:rPr>
                <w:szCs w:val="22"/>
              </w:rPr>
            </w:pPr>
          </w:p>
          <w:p>
            <w:pPr>
              <w:pStyle w:val="yTableNAm"/>
              <w:jc w:val="right"/>
              <w:rPr>
                <w:szCs w:val="22"/>
              </w:rPr>
            </w:pPr>
            <w:r>
              <w:rPr>
                <w:szCs w:val="22"/>
              </w:rPr>
              <w:t>29.45</w:t>
            </w:r>
          </w:p>
          <w:p>
            <w:pPr>
              <w:pStyle w:val="yTableNAm"/>
              <w:jc w:val="right"/>
              <w:rPr>
                <w:szCs w:val="22"/>
              </w:rPr>
            </w:pPr>
            <w:r>
              <w:rPr>
                <w:szCs w:val="22"/>
              </w:rPr>
              <w:t>239.94</w:t>
            </w: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 xml:space="preserve">for recreational vessel —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 xml:space="preserve">minimum fee </w:t>
            </w:r>
          </w:p>
        </w:tc>
        <w:tc>
          <w:tcPr>
            <w:tcW w:w="992" w:type="dxa"/>
            <w:vAlign w:val="bottom"/>
          </w:tcPr>
          <w:p>
            <w:pPr>
              <w:pStyle w:val="yTableNAm"/>
              <w:jc w:val="right"/>
              <w:rPr>
                <w:szCs w:val="22"/>
              </w:rPr>
            </w:pPr>
          </w:p>
          <w:p>
            <w:pPr>
              <w:pStyle w:val="yTableNAm"/>
              <w:jc w:val="right"/>
              <w:rPr>
                <w:szCs w:val="22"/>
              </w:rPr>
            </w:pPr>
            <w:r>
              <w:rPr>
                <w:szCs w:val="22"/>
              </w:rPr>
              <w:t>27.26</w:t>
            </w:r>
          </w:p>
          <w:p>
            <w:pPr>
              <w:pStyle w:val="yTableNAm"/>
              <w:jc w:val="right"/>
              <w:rPr>
                <w:szCs w:val="22"/>
              </w:rPr>
            </w:pPr>
            <w:r>
              <w:rPr>
                <w:szCs w:val="22"/>
              </w:rPr>
              <w:t>239.94</w:t>
            </w:r>
          </w:p>
        </w:tc>
      </w:tr>
      <w:tr>
        <w:tc>
          <w:tcPr>
            <w:tcW w:w="567" w:type="dxa"/>
          </w:tcPr>
          <w:p>
            <w:pPr>
              <w:pStyle w:val="yTableNAm"/>
            </w:pPr>
            <w:r>
              <w:t>6.</w:t>
            </w:r>
          </w:p>
        </w:tc>
        <w:tc>
          <w:tcPr>
            <w:tcW w:w="4394" w:type="dxa"/>
          </w:tcPr>
          <w:p>
            <w:pPr>
              <w:pStyle w:val="yTableNAm"/>
            </w:pPr>
            <w:r>
              <w:t xml:space="preserve">For pen, per day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for commercial vessel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minimum fee for overnight use</w:t>
            </w:r>
          </w:p>
        </w:tc>
        <w:tc>
          <w:tcPr>
            <w:tcW w:w="992" w:type="dxa"/>
            <w:vAlign w:val="bottom"/>
          </w:tcPr>
          <w:p>
            <w:pPr>
              <w:pStyle w:val="yTableNAm"/>
              <w:jc w:val="right"/>
              <w:rPr>
                <w:szCs w:val="22"/>
              </w:rPr>
            </w:pPr>
          </w:p>
          <w:p>
            <w:pPr>
              <w:pStyle w:val="yTableNAm"/>
              <w:jc w:val="right"/>
              <w:rPr>
                <w:szCs w:val="22"/>
              </w:rPr>
            </w:pPr>
            <w:r>
              <w:rPr>
                <w:szCs w:val="22"/>
              </w:rPr>
              <w:t>5.90</w:t>
            </w:r>
          </w:p>
          <w:p>
            <w:pPr>
              <w:pStyle w:val="yTableNAm"/>
              <w:jc w:val="right"/>
              <w:rPr>
                <w:szCs w:val="22"/>
              </w:rPr>
            </w:pPr>
            <w:r>
              <w:rPr>
                <w:szCs w:val="22"/>
              </w:rPr>
              <w:t>47.96</w:t>
            </w: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 xml:space="preserve">for recreational vessel —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minimum fee for overnight use</w:t>
            </w:r>
          </w:p>
        </w:tc>
        <w:tc>
          <w:tcPr>
            <w:tcW w:w="992" w:type="dxa"/>
            <w:vAlign w:val="bottom"/>
          </w:tcPr>
          <w:p>
            <w:pPr>
              <w:pStyle w:val="yTableNAm"/>
              <w:jc w:val="right"/>
              <w:rPr>
                <w:szCs w:val="22"/>
              </w:rPr>
            </w:pPr>
          </w:p>
          <w:p>
            <w:pPr>
              <w:pStyle w:val="yTableNAm"/>
              <w:jc w:val="right"/>
              <w:rPr>
                <w:szCs w:val="22"/>
              </w:rPr>
            </w:pPr>
            <w:r>
              <w:rPr>
                <w:szCs w:val="22"/>
              </w:rPr>
              <w:t>5.45</w:t>
            </w:r>
          </w:p>
          <w:p>
            <w:pPr>
              <w:pStyle w:val="yTableNAm"/>
              <w:jc w:val="right"/>
              <w:rPr>
                <w:szCs w:val="22"/>
              </w:rPr>
            </w:pPr>
            <w:r>
              <w:rPr>
                <w:szCs w:val="22"/>
              </w:rPr>
              <w:t>47.96</w:t>
            </w:r>
          </w:p>
        </w:tc>
      </w:tr>
      <w:tr>
        <w:tc>
          <w:tcPr>
            <w:tcW w:w="567" w:type="dxa"/>
          </w:tcPr>
          <w:p>
            <w:pPr>
              <w:pStyle w:val="yTableNAm"/>
            </w:pPr>
            <w:r>
              <w:t>7.</w:t>
            </w:r>
          </w:p>
        </w:tc>
        <w:tc>
          <w:tcPr>
            <w:tcW w:w="4394" w:type="dxa"/>
          </w:tcPr>
          <w:p>
            <w:pPr>
              <w:pStyle w:val="yTableNAm"/>
            </w:pPr>
            <w:r>
              <w:t xml:space="preserve">For use of service jetty, per m of the vessel’s length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for commercial vessel</w:t>
            </w:r>
          </w:p>
        </w:tc>
        <w:tc>
          <w:tcPr>
            <w:tcW w:w="992" w:type="dxa"/>
            <w:vAlign w:val="bottom"/>
          </w:tcPr>
          <w:p>
            <w:pPr>
              <w:pStyle w:val="yTableNAm"/>
              <w:jc w:val="right"/>
              <w:rPr>
                <w:szCs w:val="22"/>
              </w:rPr>
            </w:pPr>
            <w:r>
              <w:rPr>
                <w:szCs w:val="22"/>
              </w:rPr>
              <w:t>5.90</w:t>
            </w: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for recreational vessel</w:t>
            </w:r>
          </w:p>
        </w:tc>
        <w:tc>
          <w:tcPr>
            <w:tcW w:w="992" w:type="dxa"/>
            <w:vAlign w:val="bottom"/>
          </w:tcPr>
          <w:p>
            <w:pPr>
              <w:pStyle w:val="yTableNAm"/>
              <w:jc w:val="right"/>
              <w:rPr>
                <w:szCs w:val="22"/>
              </w:rPr>
            </w:pPr>
            <w:r>
              <w:rPr>
                <w:szCs w:val="22"/>
              </w:rPr>
              <w:t>5.45</w:t>
            </w:r>
          </w:p>
        </w:tc>
      </w:tr>
      <w:tr>
        <w:tc>
          <w:tcPr>
            <w:tcW w:w="567" w:type="dxa"/>
          </w:tcPr>
          <w:p>
            <w:pPr>
              <w:pStyle w:val="yTableNAm"/>
            </w:pPr>
            <w:r>
              <w:t>8.</w:t>
            </w:r>
          </w:p>
        </w:tc>
        <w:tc>
          <w:tcPr>
            <w:tcW w:w="4394" w:type="dxa"/>
          </w:tcPr>
          <w:p>
            <w:pPr>
              <w:pStyle w:val="yTableNAm"/>
            </w:pPr>
            <w:r>
              <w:t>For use of service jetty for up to 3 hours by recreational vessel, per vessel</w:t>
            </w:r>
          </w:p>
        </w:tc>
        <w:tc>
          <w:tcPr>
            <w:tcW w:w="992" w:type="dxa"/>
            <w:vAlign w:val="bottom"/>
          </w:tcPr>
          <w:p>
            <w:pPr>
              <w:pStyle w:val="yTableNAm"/>
              <w:jc w:val="right"/>
              <w:rPr>
                <w:szCs w:val="22"/>
              </w:rPr>
            </w:pPr>
            <w:r>
              <w:rPr>
                <w:szCs w:val="22"/>
              </w:rPr>
              <w:t>35.28</w:t>
            </w:r>
          </w:p>
        </w:tc>
      </w:tr>
      <w:tr>
        <w:tc>
          <w:tcPr>
            <w:tcW w:w="567" w:type="dxa"/>
            <w:tcBorders>
              <w:bottom w:val="single" w:sz="4" w:space="0" w:color="auto"/>
            </w:tcBorders>
          </w:tcPr>
          <w:p>
            <w:pPr>
              <w:pStyle w:val="yTableNAm"/>
            </w:pPr>
            <w:r>
              <w:t>9.</w:t>
            </w:r>
          </w:p>
        </w:tc>
        <w:tc>
          <w:tcPr>
            <w:tcW w:w="4394" w:type="dxa"/>
            <w:tcBorders>
              <w:bottom w:val="single" w:sz="4" w:space="0" w:color="auto"/>
            </w:tcBorders>
          </w:tcPr>
          <w:p>
            <w:pPr>
              <w:pStyle w:val="yTableNAm"/>
            </w:pPr>
            <w:r>
              <w:t>For living on board a vessel, per vessel, per month</w:t>
            </w:r>
          </w:p>
        </w:tc>
        <w:tc>
          <w:tcPr>
            <w:tcW w:w="992" w:type="dxa"/>
            <w:tcBorders>
              <w:bottom w:val="single" w:sz="4" w:space="0" w:color="auto"/>
            </w:tcBorders>
            <w:vAlign w:val="bottom"/>
          </w:tcPr>
          <w:p>
            <w:pPr>
              <w:pStyle w:val="yTableNAm"/>
              <w:jc w:val="right"/>
              <w:rPr>
                <w:szCs w:val="22"/>
              </w:rPr>
            </w:pPr>
            <w:r>
              <w:rPr>
                <w:szCs w:val="22"/>
              </w:rPr>
              <w:t>130.69</w:t>
            </w:r>
          </w:p>
        </w:tc>
      </w:tr>
    </w:tbl>
    <w:p>
      <w:pPr>
        <w:pStyle w:val="yFootnotesection"/>
      </w:pPr>
      <w:r>
        <w:tab/>
        <w:t>[Clause 4 inserted in Gazette 28 Jun 2013 p. 2882</w:t>
      </w:r>
      <w:r>
        <w:noBreakHyphen/>
        <w:t>5.]</w:t>
      </w:r>
    </w:p>
    <w:bookmarkEnd w:id="770"/>
    <w:bookmarkEnd w:id="771"/>
    <w:bookmarkEnd w:id="772"/>
    <w:bookmarkEnd w:id="773"/>
    <w:bookmarkEnd w:id="774"/>
    <w:bookmarkEnd w:id="775"/>
    <w:bookmarkEnd w:id="776"/>
    <w:bookmarkEnd w:id="777"/>
    <w:p>
      <w:pPr>
        <w:tabs>
          <w:tab w:val="left" w:pos="423"/>
        </w:tabs>
        <w:ind w:left="423" w:hanging="423"/>
        <w:sectPr>
          <w:headerReference w:type="even" r:id="rId26"/>
          <w:headerReference w:type="default" r:id="rId27"/>
          <w:pgSz w:w="11906" w:h="16838" w:code="9"/>
          <w:pgMar w:top="2376" w:right="2404" w:bottom="3544" w:left="2404" w:header="709" w:footer="3379" w:gutter="0"/>
          <w:cols w:space="720"/>
          <w:noEndnote/>
          <w:docGrid w:linePitch="326"/>
        </w:sectPr>
      </w:pPr>
    </w:p>
    <w:p>
      <w:pPr>
        <w:pStyle w:val="yScheduleHeading"/>
        <w:outlineLvl w:val="0"/>
      </w:pPr>
      <w:bookmarkStart w:id="792" w:name="_Toc190232178"/>
      <w:bookmarkStart w:id="793" w:name="_Toc202676888"/>
      <w:bookmarkStart w:id="794" w:name="_Toc202691662"/>
      <w:bookmarkStart w:id="795" w:name="_Toc219773520"/>
      <w:bookmarkStart w:id="796" w:name="_Toc219773775"/>
      <w:bookmarkStart w:id="797" w:name="_Toc221592709"/>
      <w:bookmarkStart w:id="798" w:name="_Toc221609395"/>
      <w:bookmarkStart w:id="799" w:name="_Toc221609577"/>
      <w:bookmarkStart w:id="800" w:name="_Toc223835898"/>
      <w:bookmarkStart w:id="801" w:name="_Toc233539588"/>
      <w:bookmarkStart w:id="802" w:name="_Toc236796687"/>
      <w:bookmarkStart w:id="803" w:name="_Toc266960948"/>
      <w:bookmarkStart w:id="804" w:name="_Toc297293852"/>
      <w:bookmarkStart w:id="805" w:name="_Toc329788581"/>
      <w:bookmarkStart w:id="806" w:name="_Toc329850862"/>
      <w:bookmarkStart w:id="807" w:name="_Toc329851062"/>
      <w:bookmarkStart w:id="808" w:name="_Toc329863341"/>
      <w:bookmarkStart w:id="809" w:name="_Toc329864679"/>
      <w:bookmarkStart w:id="810" w:name="_Toc346791110"/>
      <w:bookmarkStart w:id="811" w:name="_Toc355611733"/>
      <w:bookmarkStart w:id="812" w:name="_Toc360457603"/>
      <w:bookmarkStart w:id="813" w:name="_Toc360458186"/>
      <w:bookmarkStart w:id="814" w:name="_Toc360523380"/>
      <w:r>
        <w:rPr>
          <w:rStyle w:val="CharSchNo"/>
        </w:rPr>
        <w:t>Schedule 3</w:t>
      </w:r>
      <w:r>
        <w:rPr>
          <w:rStyle w:val="CharSDivNo"/>
        </w:rPr>
        <w:t> </w:t>
      </w:r>
      <w:r>
        <w:t>—</w:t>
      </w:r>
      <w:r>
        <w:rPr>
          <w:rStyle w:val="CharSDivText"/>
        </w:rPr>
        <w:t> </w:t>
      </w:r>
      <w:r>
        <w:rPr>
          <w:rStyle w:val="CharSchText"/>
        </w:rPr>
        <w:t>Forms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outlineLvl w:val="9"/>
      </w:pPr>
      <w:r>
        <w:t>[Schedule 4 deleted in Gazette 22 Jun 2007 p. 2940.]</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outlineLvl w:val="0"/>
      </w:pPr>
      <w:bookmarkStart w:id="815" w:name="_Toc190232179"/>
      <w:bookmarkStart w:id="816" w:name="_Toc202676889"/>
      <w:bookmarkStart w:id="817" w:name="_Toc202691663"/>
      <w:bookmarkStart w:id="818" w:name="_Toc219773521"/>
      <w:bookmarkStart w:id="819" w:name="_Toc219773776"/>
      <w:bookmarkStart w:id="820" w:name="_Toc221592710"/>
      <w:bookmarkStart w:id="821" w:name="_Toc221609396"/>
      <w:bookmarkStart w:id="822" w:name="_Toc221609578"/>
      <w:bookmarkStart w:id="823" w:name="_Toc223835899"/>
      <w:bookmarkStart w:id="824" w:name="_Toc233539589"/>
      <w:bookmarkStart w:id="825" w:name="_Toc236796688"/>
      <w:bookmarkStart w:id="826" w:name="_Toc266960949"/>
      <w:bookmarkStart w:id="827" w:name="_Toc297293853"/>
      <w:bookmarkStart w:id="828" w:name="_Toc329788582"/>
      <w:bookmarkStart w:id="829" w:name="_Toc329850863"/>
      <w:bookmarkStart w:id="830" w:name="_Toc329851063"/>
      <w:bookmarkStart w:id="831" w:name="_Toc329863342"/>
      <w:bookmarkStart w:id="832" w:name="_Toc329864680"/>
      <w:bookmarkStart w:id="833" w:name="_Toc346791111"/>
      <w:bookmarkStart w:id="834" w:name="_Toc355611734"/>
      <w:bookmarkStart w:id="835" w:name="_Toc360457604"/>
      <w:bookmarkStart w:id="836" w:name="_Toc360458187"/>
      <w:bookmarkStart w:id="837" w:name="_Toc360523381"/>
      <w:r>
        <w:t>Notes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838" w:name="_Toc360523382"/>
      <w:r>
        <w:t>Compilation table</w:t>
      </w:r>
      <w:bookmarkEnd w:id="8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3"/>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trPr>
        <w:tc>
          <w:tcPr>
            <w:tcW w:w="3118" w:type="dxa"/>
          </w:tcPr>
          <w:p>
            <w:pPr>
              <w:pStyle w:val="nTable"/>
              <w:spacing w:after="40"/>
              <w:rPr>
                <w:bCs/>
                <w:i/>
                <w:iCs/>
                <w:sz w:val="19"/>
              </w:rPr>
            </w:pPr>
            <w:r>
              <w:rPr>
                <w:bCs/>
                <w:i/>
                <w:iCs/>
                <w:sz w:val="19"/>
              </w:rPr>
              <w:t>Jetties Amendment Regulations 2009</w:t>
            </w:r>
          </w:p>
        </w:tc>
        <w:tc>
          <w:tcPr>
            <w:tcW w:w="1276" w:type="dxa"/>
          </w:tcPr>
          <w:p>
            <w:pPr>
              <w:pStyle w:val="nTable"/>
              <w:spacing w:after="40"/>
              <w:rPr>
                <w:bCs/>
                <w:sz w:val="19"/>
              </w:rPr>
            </w:pPr>
            <w:r>
              <w:rPr>
                <w:bCs/>
                <w:sz w:val="19"/>
              </w:rPr>
              <w:t>23 Jun 2009 p. 2490-1</w:t>
            </w:r>
          </w:p>
        </w:tc>
        <w:tc>
          <w:tcPr>
            <w:tcW w:w="2693" w:type="dxa"/>
          </w:tcPr>
          <w:p>
            <w:pPr>
              <w:pStyle w:val="nTable"/>
              <w:spacing w:after="40"/>
              <w:rPr>
                <w:bCs/>
                <w:sz w:val="19"/>
              </w:rPr>
            </w:pPr>
            <w:r>
              <w:rPr>
                <w:bCs/>
                <w:sz w:val="19"/>
              </w:rPr>
              <w:t>r. 1 and 2: 23 Jun 2009 (see r. 2(a));</w:t>
            </w:r>
            <w:r>
              <w:rPr>
                <w:bCs/>
                <w:sz w:val="19"/>
              </w:rPr>
              <w:br/>
              <w:t>Regulations other than r. 1 and 2: 24 Jun 2009 (see r. 2(b))</w:t>
            </w:r>
          </w:p>
        </w:tc>
      </w:tr>
      <w:tr>
        <w:trPr>
          <w:cantSplit/>
        </w:trPr>
        <w:tc>
          <w:tcPr>
            <w:tcW w:w="3118" w:type="dxa"/>
          </w:tcPr>
          <w:p>
            <w:pPr>
              <w:pStyle w:val="nTable"/>
              <w:spacing w:after="40"/>
              <w:rPr>
                <w:bCs/>
                <w:i/>
                <w:iCs/>
                <w:sz w:val="19"/>
              </w:rPr>
            </w:pPr>
            <w:r>
              <w:rPr>
                <w:bCs/>
                <w:i/>
                <w:iCs/>
                <w:sz w:val="19"/>
              </w:rPr>
              <w:t>Jetties Amendment Regulations (No. 2) 2009</w:t>
            </w:r>
          </w:p>
        </w:tc>
        <w:tc>
          <w:tcPr>
            <w:tcW w:w="1276" w:type="dxa"/>
          </w:tcPr>
          <w:p>
            <w:pPr>
              <w:pStyle w:val="nTable"/>
              <w:spacing w:after="40"/>
              <w:rPr>
                <w:bCs/>
                <w:sz w:val="19"/>
              </w:rPr>
            </w:pPr>
            <w:r>
              <w:rPr>
                <w:bCs/>
                <w:sz w:val="19"/>
              </w:rPr>
              <w:t>31 Jul 2009 p. 3071-97</w:t>
            </w:r>
          </w:p>
        </w:tc>
        <w:tc>
          <w:tcPr>
            <w:tcW w:w="2693" w:type="dxa"/>
          </w:tcPr>
          <w:p>
            <w:pPr>
              <w:pStyle w:val="nTable"/>
              <w:spacing w:after="40"/>
              <w:rPr>
                <w:bCs/>
                <w:sz w:val="19"/>
              </w:rPr>
            </w:pPr>
            <w:r>
              <w:rPr>
                <w:bCs/>
                <w:sz w:val="19"/>
              </w:rPr>
              <w:t>r. 1 and 2: 31 Jul 2009 (see r. 2(a));</w:t>
            </w:r>
            <w:r>
              <w:rPr>
                <w:bCs/>
                <w:sz w:val="19"/>
              </w:rPr>
              <w:br/>
              <w:t>Regulations other than r. 1 and 2: 1 Aug 2009 (see r. 2(b))</w:t>
            </w:r>
          </w:p>
        </w:tc>
      </w:tr>
      <w:tr>
        <w:trPr>
          <w:cantSplit/>
        </w:trPr>
        <w:tc>
          <w:tcPr>
            <w:tcW w:w="3118" w:type="dxa"/>
          </w:tcPr>
          <w:p>
            <w:pPr>
              <w:pStyle w:val="nTable"/>
              <w:spacing w:after="40"/>
              <w:rPr>
                <w:bCs/>
                <w:i/>
                <w:iCs/>
                <w:sz w:val="19"/>
              </w:rPr>
            </w:pPr>
            <w:r>
              <w:rPr>
                <w:bCs/>
                <w:i/>
                <w:iCs/>
                <w:sz w:val="19"/>
              </w:rPr>
              <w:t>Jetties Amendment Regulations 2010</w:t>
            </w:r>
          </w:p>
        </w:tc>
        <w:tc>
          <w:tcPr>
            <w:tcW w:w="1276" w:type="dxa"/>
          </w:tcPr>
          <w:p>
            <w:pPr>
              <w:pStyle w:val="nTable"/>
              <w:spacing w:after="40"/>
              <w:rPr>
                <w:bCs/>
                <w:sz w:val="19"/>
              </w:rPr>
            </w:pPr>
            <w:r>
              <w:rPr>
                <w:bCs/>
                <w:sz w:val="19"/>
              </w:rPr>
              <w:t>16 Jul 2010 p. 3309-54</w:t>
            </w:r>
          </w:p>
        </w:tc>
        <w:tc>
          <w:tcPr>
            <w:tcW w:w="2693" w:type="dxa"/>
          </w:tcPr>
          <w:p>
            <w:pPr>
              <w:pStyle w:val="nTable"/>
              <w:spacing w:after="40"/>
              <w:rPr>
                <w:bCs/>
                <w:sz w:val="19"/>
              </w:rPr>
            </w:pPr>
            <w:r>
              <w:rPr>
                <w:bCs/>
                <w:sz w:val="19"/>
              </w:rPr>
              <w:t>r. 1 and 2: 16 Jul 2010 (see r. 2(a));</w:t>
            </w:r>
            <w:r>
              <w:rPr>
                <w:bCs/>
                <w:sz w:val="19"/>
              </w:rPr>
              <w:br/>
              <w:t>Regulations other than r. 1 and 2: 17 Jul 2010 (see r. 2(b))</w:t>
            </w:r>
          </w:p>
        </w:tc>
      </w:tr>
      <w:tr>
        <w:trPr>
          <w:cantSplit/>
        </w:trPr>
        <w:tc>
          <w:tcPr>
            <w:tcW w:w="3118" w:type="dxa"/>
          </w:tcPr>
          <w:p>
            <w:pPr>
              <w:pStyle w:val="nTable"/>
              <w:spacing w:after="40"/>
              <w:rPr>
                <w:bCs/>
                <w:i/>
                <w:iCs/>
                <w:sz w:val="19"/>
              </w:rPr>
            </w:pPr>
            <w:r>
              <w:rPr>
                <w:bCs/>
                <w:i/>
                <w:iCs/>
                <w:sz w:val="19"/>
              </w:rPr>
              <w:t>Jetties Amendment Regulations 2011</w:t>
            </w:r>
          </w:p>
        </w:tc>
        <w:tc>
          <w:tcPr>
            <w:tcW w:w="1276" w:type="dxa"/>
          </w:tcPr>
          <w:p>
            <w:pPr>
              <w:pStyle w:val="nTable"/>
              <w:spacing w:after="40"/>
              <w:rPr>
                <w:bCs/>
                <w:sz w:val="19"/>
              </w:rPr>
            </w:pPr>
            <w:r>
              <w:rPr>
                <w:bCs/>
                <w:sz w:val="19"/>
              </w:rPr>
              <w:t>21 Jun 2011 p. 2265</w:t>
            </w:r>
            <w:r>
              <w:rPr>
                <w:bCs/>
                <w:sz w:val="19"/>
              </w:rPr>
              <w:noBreakHyphen/>
              <w:t>2303</w:t>
            </w:r>
          </w:p>
        </w:tc>
        <w:tc>
          <w:tcPr>
            <w:tcW w:w="2693" w:type="dxa"/>
          </w:tcPr>
          <w:p>
            <w:pPr>
              <w:pStyle w:val="nTable"/>
              <w:spacing w:after="40"/>
              <w:rPr>
                <w:bCs/>
                <w:sz w:val="19"/>
              </w:rPr>
            </w:pPr>
            <w:r>
              <w:rPr>
                <w:bCs/>
                <w:sz w:val="19"/>
              </w:rPr>
              <w:t>r. 1 and 2: 21 Jun 2011 (see r. 2(a));</w:t>
            </w:r>
            <w:r>
              <w:rPr>
                <w:bCs/>
                <w:sz w:val="19"/>
              </w:rPr>
              <w:br/>
              <w:t>Regulations other than r. 1 and 2: 1 Jul 2011 (see r. 2(b))</w:t>
            </w:r>
          </w:p>
        </w:tc>
      </w:tr>
      <w:tr>
        <w:trPr>
          <w:cantSplit/>
        </w:trPr>
        <w:tc>
          <w:tcPr>
            <w:tcW w:w="3118" w:type="dxa"/>
          </w:tcPr>
          <w:p>
            <w:pPr>
              <w:pStyle w:val="nTable"/>
              <w:spacing w:after="40"/>
              <w:rPr>
                <w:bCs/>
                <w:i/>
                <w:iCs/>
                <w:sz w:val="19"/>
              </w:rPr>
            </w:pPr>
            <w:r>
              <w:rPr>
                <w:bCs/>
                <w:i/>
                <w:iCs/>
                <w:sz w:val="19"/>
              </w:rPr>
              <w:t>Jetties Amendment Regulations 2012</w:t>
            </w:r>
          </w:p>
        </w:tc>
        <w:tc>
          <w:tcPr>
            <w:tcW w:w="1276" w:type="dxa"/>
          </w:tcPr>
          <w:p>
            <w:pPr>
              <w:pStyle w:val="nTable"/>
              <w:spacing w:after="40"/>
              <w:rPr>
                <w:bCs/>
                <w:sz w:val="19"/>
              </w:rPr>
            </w:pPr>
            <w:r>
              <w:rPr>
                <w:bCs/>
                <w:sz w:val="19"/>
              </w:rPr>
              <w:t>13 Jul 2012 p. 3173</w:t>
            </w:r>
            <w:r>
              <w:rPr>
                <w:bCs/>
                <w:sz w:val="19"/>
              </w:rPr>
              <w:noBreakHyphen/>
              <w:t>214</w:t>
            </w:r>
          </w:p>
        </w:tc>
        <w:tc>
          <w:tcPr>
            <w:tcW w:w="2693" w:type="dxa"/>
          </w:tcPr>
          <w:p>
            <w:pPr>
              <w:pStyle w:val="nTable"/>
              <w:spacing w:after="40"/>
              <w:rPr>
                <w:bCs/>
                <w:sz w:val="19"/>
              </w:rPr>
            </w:pPr>
            <w:r>
              <w:rPr>
                <w:bCs/>
                <w:sz w:val="19"/>
              </w:rPr>
              <w:t>r. 1 and 2: 13 Jul 2012 (see r. 2(a));</w:t>
            </w:r>
            <w:r>
              <w:rPr>
                <w:bCs/>
                <w:sz w:val="19"/>
              </w:rPr>
              <w:br/>
              <w:t>Regulations other than r. 1 and 2: 14 Jul 2012 (see r. 2(b))</w:t>
            </w:r>
          </w:p>
        </w:tc>
      </w:tr>
      <w:tr>
        <w:trPr>
          <w:cantSplit/>
        </w:trPr>
        <w:tc>
          <w:tcPr>
            <w:tcW w:w="3118" w:type="dxa"/>
          </w:tcPr>
          <w:p>
            <w:pPr>
              <w:pStyle w:val="nTable"/>
              <w:spacing w:after="40"/>
              <w:rPr>
                <w:bCs/>
                <w:i/>
                <w:iCs/>
                <w:sz w:val="19"/>
              </w:rPr>
            </w:pPr>
            <w:r>
              <w:rPr>
                <w:bCs/>
                <w:i/>
                <w:iCs/>
                <w:sz w:val="19"/>
              </w:rPr>
              <w:t>Jetties Amendment Regulations (No. 2) 2012</w:t>
            </w:r>
          </w:p>
        </w:tc>
        <w:tc>
          <w:tcPr>
            <w:tcW w:w="1276" w:type="dxa"/>
          </w:tcPr>
          <w:p>
            <w:pPr>
              <w:pStyle w:val="nTable"/>
              <w:spacing w:after="40"/>
              <w:rPr>
                <w:bCs/>
                <w:sz w:val="19"/>
              </w:rPr>
            </w:pPr>
            <w:r>
              <w:rPr>
                <w:bCs/>
                <w:sz w:val="19"/>
              </w:rPr>
              <w:t>23 Oct 2012 p. 5057</w:t>
            </w:r>
          </w:p>
        </w:tc>
        <w:tc>
          <w:tcPr>
            <w:tcW w:w="2693" w:type="dxa"/>
          </w:tcPr>
          <w:p>
            <w:pPr>
              <w:pStyle w:val="nTable"/>
              <w:spacing w:after="40"/>
              <w:rPr>
                <w:bCs/>
                <w:sz w:val="19"/>
              </w:rPr>
            </w:pPr>
            <w:r>
              <w:rPr>
                <w:bCs/>
                <w:snapToGrid w:val="0"/>
                <w:sz w:val="19"/>
                <w:lang w:val="en-US"/>
              </w:rPr>
              <w:t>r. 1 and 2: 23 Oct 2012 (see r. 2(a));</w:t>
            </w:r>
            <w:r>
              <w:rPr>
                <w:bCs/>
                <w:snapToGrid w:val="0"/>
                <w:sz w:val="19"/>
                <w:lang w:val="en-US"/>
              </w:rPr>
              <w:br/>
              <w:t>Regulations other than r. 1 and 2: 24 Oct 2012 (see r. 2(b))</w:t>
            </w:r>
          </w:p>
        </w:tc>
      </w:tr>
      <w:tr>
        <w:trPr>
          <w:cantSplit/>
        </w:trPr>
        <w:tc>
          <w:tcPr>
            <w:tcW w:w="3118" w:type="dxa"/>
          </w:tcPr>
          <w:p>
            <w:pPr>
              <w:pStyle w:val="nTable"/>
              <w:spacing w:after="40"/>
              <w:rPr>
                <w:bCs/>
                <w:i/>
                <w:iCs/>
                <w:sz w:val="19"/>
              </w:rPr>
            </w:pPr>
            <w:r>
              <w:rPr>
                <w:bCs/>
                <w:i/>
                <w:iCs/>
                <w:sz w:val="19"/>
              </w:rPr>
              <w:t>Jetties Amendment Regulations 2013</w:t>
            </w:r>
          </w:p>
        </w:tc>
        <w:tc>
          <w:tcPr>
            <w:tcW w:w="1276" w:type="dxa"/>
          </w:tcPr>
          <w:p>
            <w:pPr>
              <w:pStyle w:val="nTable"/>
              <w:spacing w:after="40"/>
              <w:rPr>
                <w:bCs/>
                <w:sz w:val="19"/>
              </w:rPr>
            </w:pPr>
            <w:r>
              <w:rPr>
                <w:bCs/>
                <w:sz w:val="19"/>
              </w:rPr>
              <w:t>7 May 2013 p. 1918-23</w:t>
            </w:r>
          </w:p>
        </w:tc>
        <w:tc>
          <w:tcPr>
            <w:tcW w:w="2693" w:type="dxa"/>
          </w:tcPr>
          <w:p>
            <w:pPr>
              <w:pStyle w:val="nTable"/>
              <w:spacing w:after="40"/>
              <w:rPr>
                <w:rFonts w:ascii="Arial" w:hAnsi="Arial"/>
                <w:b/>
                <w:bCs/>
                <w:snapToGrid w:val="0"/>
                <w:sz w:val="19"/>
                <w:lang w:val="en-US"/>
              </w:rPr>
            </w:pPr>
            <w:r>
              <w:rPr>
                <w:bCs/>
                <w:snapToGrid w:val="0"/>
                <w:sz w:val="19"/>
                <w:lang w:val="en-US"/>
              </w:rPr>
              <w:t>r. 1 and 2: 7 May 2013 (see r. 2(a));</w:t>
            </w:r>
            <w:r>
              <w:rPr>
                <w:bCs/>
                <w:snapToGrid w:val="0"/>
                <w:sz w:val="19"/>
                <w:lang w:val="en-US"/>
              </w:rPr>
              <w:br/>
              <w:t>Regulations other than r. 1 and 2: 8 May 2013 (see r. 2(b))</w:t>
            </w:r>
          </w:p>
        </w:tc>
      </w:tr>
      <w:tr>
        <w:trPr>
          <w:cantSplit/>
        </w:trPr>
        <w:tc>
          <w:tcPr>
            <w:tcW w:w="3118" w:type="dxa"/>
            <w:tcBorders>
              <w:bottom w:val="single" w:sz="4" w:space="0" w:color="auto"/>
            </w:tcBorders>
          </w:tcPr>
          <w:p>
            <w:pPr>
              <w:pStyle w:val="nTable"/>
              <w:spacing w:after="40"/>
              <w:rPr>
                <w:bCs/>
                <w:i/>
                <w:iCs/>
                <w:sz w:val="19"/>
              </w:rPr>
            </w:pPr>
            <w:r>
              <w:rPr>
                <w:bCs/>
                <w:i/>
                <w:iCs/>
                <w:sz w:val="19"/>
              </w:rPr>
              <w:t>Jetties Amendment Regulations (No. 2) 2013</w:t>
            </w:r>
          </w:p>
        </w:tc>
        <w:tc>
          <w:tcPr>
            <w:tcW w:w="1276" w:type="dxa"/>
            <w:tcBorders>
              <w:bottom w:val="single" w:sz="4" w:space="0" w:color="auto"/>
            </w:tcBorders>
          </w:tcPr>
          <w:p>
            <w:pPr>
              <w:pStyle w:val="nTable"/>
              <w:spacing w:after="40"/>
              <w:rPr>
                <w:rFonts w:ascii="Arial" w:hAnsi="Arial"/>
                <w:bCs/>
                <w:sz w:val="19"/>
              </w:rPr>
            </w:pPr>
            <w:r>
              <w:rPr>
                <w:bCs/>
                <w:sz w:val="19"/>
              </w:rPr>
              <w:t>28 Jun 2013 p. 2831</w:t>
            </w:r>
            <w:r>
              <w:rPr>
                <w:bCs/>
                <w:sz w:val="19"/>
              </w:rPr>
              <w:noBreakHyphen/>
              <w:t>85</w:t>
            </w:r>
          </w:p>
        </w:tc>
        <w:tc>
          <w:tcPr>
            <w:tcW w:w="2693" w:type="dxa"/>
            <w:tcBorders>
              <w:bottom w:val="single" w:sz="4" w:space="0" w:color="auto"/>
            </w:tcBorders>
          </w:tcPr>
          <w:p>
            <w:pPr>
              <w:pStyle w:val="nTable"/>
              <w:spacing w:after="40"/>
              <w:rPr>
                <w:rFonts w:ascii="Arial" w:hAnsi="Arial"/>
                <w:bCs/>
                <w:snapToGrid w:val="0"/>
                <w:sz w:val="19"/>
                <w:lang w:val="en-US"/>
              </w:rPr>
            </w:pPr>
            <w:r>
              <w:rPr>
                <w:bCs/>
                <w:snapToGrid w:val="0"/>
                <w:sz w:val="19"/>
                <w:lang w:val="en-US"/>
              </w:rPr>
              <w:t>r. 1 and 2: 28 Jun 2013 (see r. 2(a));</w:t>
            </w:r>
            <w:r>
              <w:rPr>
                <w:bCs/>
                <w:snapToGrid w:val="0"/>
                <w:sz w:val="19"/>
                <w:lang w:val="en-US"/>
              </w:rPr>
              <w:br/>
              <w:t>Regulations other than r. 1 and 2: 1 Jul 2013 (see r. 2(b))</w:t>
            </w:r>
          </w:p>
        </w:tc>
      </w:tr>
    </w:tbl>
    <w:p>
      <w:pPr>
        <w:pStyle w:val="nSubsection"/>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3</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839" w:name="_Toc360523383"/>
      <w:r>
        <w:rPr>
          <w:sz w:val="28"/>
        </w:rPr>
        <w:t>Defined terms</w:t>
      </w:r>
      <w:bookmarkEnd w:id="8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40" w:name="DefinedTerms"/>
      <w:bookmarkEnd w:id="840"/>
      <w:r>
        <w:t>commercial vessel</w:t>
      </w:r>
      <w:r>
        <w:tab/>
        <w:t>3(1)</w:t>
      </w:r>
    </w:p>
    <w:p>
      <w:pPr>
        <w:pStyle w:val="DefinedTerms"/>
      </w:pPr>
      <w:r>
        <w:t>day</w:t>
      </w:r>
      <w:r>
        <w:tab/>
        <w:t>3(2)</w:t>
      </w:r>
    </w:p>
    <w:p>
      <w:pPr>
        <w:pStyle w:val="DefinedTerms"/>
      </w:pPr>
      <w:r>
        <w:t>Department</w:t>
      </w:r>
      <w:r>
        <w:tab/>
        <w:t>3(1)</w:t>
      </w:r>
    </w:p>
    <w:p>
      <w:pPr>
        <w:pStyle w:val="DefinedTerms"/>
      </w:pPr>
      <w:r>
        <w:t>E Class operator</w:t>
      </w:r>
      <w:r>
        <w:tab/>
        <w:t>Sch. 1, cl. 8(2)</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service vessel</w:t>
      </w:r>
      <w:r>
        <w:tab/>
        <w:t>Sch. 1, cl. 10(2), 1, cl. 19(2), 1, cl. 20(2)</w:t>
      </w:r>
    </w:p>
    <w:p>
      <w:pPr>
        <w:pStyle w:val="DefinedTerms"/>
      </w:pPr>
      <w:r>
        <w:t>T Class operator</w:t>
      </w:r>
      <w:r>
        <w:tab/>
        <w:t>Sch. 1, cl. 8(2)</w:t>
      </w:r>
    </w:p>
    <w:p>
      <w:pPr>
        <w:pStyle w:val="DefinedTerms"/>
      </w:pPr>
      <w:r>
        <w:t>tourism vessel</w:t>
      </w:r>
      <w:r>
        <w:tab/>
        <w:t>3(1)</w:t>
      </w:r>
    </w:p>
    <w:p>
      <w:pPr>
        <w:pStyle w:val="DefinedTerms"/>
      </w:pPr>
      <w:r>
        <w:t>vessel</w:t>
      </w:r>
      <w:r>
        <w:tab/>
        <w:t>3(1)</w:t>
      </w:r>
    </w:p>
    <w:p>
      <w:pPr>
        <w:pStyle w:val="DefinedTerms"/>
      </w:pPr>
      <w:r>
        <w:t>week</w:t>
      </w:r>
      <w:r>
        <w:tab/>
        <w:t>3(2)</w:t>
      </w:r>
    </w:p>
    <w:p/>
    <w:p>
      <w:p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6"/>
  </w:num>
  <w:num w:numId="14">
    <w:abstractNumId w:val="16"/>
  </w:num>
  <w:num w:numId="15">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paragraph" w:customStyle="1" w:styleId="Clear">
    <w:name w:val="Clear"/>
    <w:basedOn w:val="yHeading3"/>
    <w:link w:val="ClearCha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 w:type="character" w:customStyle="1" w:styleId="ClearChar">
    <w:name w:val="Clear Char"/>
    <w:basedOn w:val="yHeading3Char"/>
    <w:link w:val="Clear"/>
    <w:rPr>
      <w:b/>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paragraph" w:customStyle="1" w:styleId="Clear">
    <w:name w:val="Clear"/>
    <w:basedOn w:val="yHeading3"/>
    <w:link w:val="ClearCha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 w:type="character" w:customStyle="1" w:styleId="ClearChar">
    <w:name w:val="Clear Char"/>
    <w:basedOn w:val="yHeading3Char"/>
    <w:link w:val="Clear"/>
    <w:rPr>
      <w:b/>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A35EE8-3160-4B64-A106-7B86CF567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124</Pages>
  <Words>27757</Words>
  <Characters>127130</Characters>
  <Application>Microsoft Office Word</Application>
  <DocSecurity>0</DocSecurity>
  <Lines>5297</Lines>
  <Paragraphs>3367</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151520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1940 - 07-i0-00</dc:title>
  <dc:subject/>
  <dc:creator/>
  <cp:keywords/>
  <dc:description/>
  <cp:lastModifiedBy>svcMRProcess</cp:lastModifiedBy>
  <cp:revision>4</cp:revision>
  <cp:lastPrinted>2009-03-03T01:31:00Z</cp:lastPrinted>
  <dcterms:created xsi:type="dcterms:W3CDTF">2019-05-31T08:37:00Z</dcterms:created>
  <dcterms:modified xsi:type="dcterms:W3CDTF">2019-05-31T08:37:00Z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8924</vt:i4>
  </property>
  <property fmtid="{D5CDD505-2E9C-101B-9397-08002B2CF9AE}" pid="6" name="AsAtDate">
    <vt:lpwstr>01 Jul 2013</vt:lpwstr>
  </property>
  <property fmtid="{D5CDD505-2E9C-101B-9397-08002B2CF9AE}" pid="7" name="Suffix">
    <vt:lpwstr>07-i0-00</vt:lpwstr>
  </property>
  <property fmtid="{D5CDD505-2E9C-101B-9397-08002B2CF9AE}" pid="8" name="ReprintNo">
    <vt:lpwstr>7</vt:lpwstr>
  </property>
</Properties>
</file>