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Railways (Access) Act 1998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Railways (Access) Code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Code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_Toc361989301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_Toc361989302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_Toc361989303 \h </w:instrText>
      </w:r>
      <w:r>
        <w:fldChar w:fldCharType="separate"/>
      </w:r>
      <w:r>
        <w:t>1</w:t>
      </w:r>
      <w:r>
        <w:fldChar w:fldCharType="end"/>
      </w:r>
    </w:p>
    <w:p>
      <w:pPr>
        <w:pStyle w:val="TOC8"/>
        <w:rPr>
          <w:rFonts w:asciiTheme="minorHAnsi" w:eastAsiaTheme="minorEastAsia" w:hAnsiTheme="minorHAnsi" w:cstheme="minorBidi"/>
          <w:szCs w:val="22"/>
          <w:lang w:eastAsia="en-AU"/>
        </w:rPr>
      </w:pPr>
      <w:r>
        <w:t>4A.</w:t>
      </w:r>
      <w:r>
        <w:tab/>
        <w:t>Parties have option to negotiate agreements outside this Code</w:t>
      </w:r>
      <w:r>
        <w:tab/>
      </w:r>
      <w:r>
        <w:fldChar w:fldCharType="begin"/>
      </w:r>
      <w:r>
        <w:instrText xml:space="preserve"> PAGEREF _Toc361989304 \h </w:instrText>
      </w:r>
      <w:r>
        <w:fldChar w:fldCharType="separate"/>
      </w:r>
      <w:r>
        <w:t>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Other laws not affected</w:t>
      </w:r>
      <w:r>
        <w:tab/>
      </w:r>
      <w:r>
        <w:fldChar w:fldCharType="begin"/>
      </w:r>
      <w:r>
        <w:instrText xml:space="preserve"> PAGEREF _Toc361989305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Routes to which this Code applies</w:t>
      </w:r>
      <w:r>
        <w:tab/>
      </w:r>
      <w:r>
        <w:fldChar w:fldCharType="begin"/>
      </w:r>
      <w:r>
        <w:instrText xml:space="preserve"> PAGEREF _Toc361989306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2A</w:t>
      </w:r>
      <w:r>
        <w:rPr>
          <w:b w:val="0"/>
        </w:rPr>
        <w:t> </w:t>
      </w:r>
      <w:r>
        <w:t>—</w:t>
      </w:r>
      <w:r>
        <w:rPr>
          <w:b w:val="0"/>
        </w:rPr>
        <w:t> </w:t>
      </w:r>
      <w:r>
        <w:t>Publication of information</w:t>
      </w:r>
    </w:p>
    <w:p>
      <w:pPr>
        <w:pStyle w:val="TOC8"/>
        <w:rPr>
          <w:rFonts w:asciiTheme="minorHAnsi" w:eastAsiaTheme="minorEastAsia" w:hAnsiTheme="minorHAnsi" w:cstheme="minorBidi"/>
          <w:szCs w:val="22"/>
          <w:lang w:eastAsia="en-AU"/>
        </w:rPr>
      </w:pPr>
      <w:r>
        <w:t>6.</w:t>
      </w:r>
      <w:r>
        <w:tab/>
        <w:t>Terms used</w:t>
      </w:r>
      <w:r>
        <w:tab/>
      </w:r>
      <w:r>
        <w:fldChar w:fldCharType="begin"/>
      </w:r>
      <w:r>
        <w:instrText xml:space="preserve"> PAGEREF _Toc361989308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tab/>
        <w:t>Information to be published in hard copy format</w:t>
      </w:r>
      <w:r>
        <w:tab/>
      </w:r>
      <w:r>
        <w:fldChar w:fldCharType="begin"/>
      </w:r>
      <w:r>
        <w:instrText xml:space="preserve"> PAGEREF _Toc361989309 \h </w:instrText>
      </w:r>
      <w:r>
        <w:fldChar w:fldCharType="separate"/>
      </w:r>
      <w:r>
        <w:t>7</w:t>
      </w:r>
      <w:r>
        <w:fldChar w:fldCharType="end"/>
      </w:r>
    </w:p>
    <w:p>
      <w:pPr>
        <w:pStyle w:val="TOC8"/>
        <w:rPr>
          <w:rFonts w:asciiTheme="minorHAnsi" w:eastAsiaTheme="minorEastAsia" w:hAnsiTheme="minorHAnsi" w:cstheme="minorBidi"/>
          <w:szCs w:val="22"/>
          <w:lang w:eastAsia="en-AU"/>
        </w:rPr>
      </w:pPr>
      <w:r>
        <w:t>7B.</w:t>
      </w:r>
      <w:r>
        <w:tab/>
        <w:t>Regulator may grant exemption for information about freight carried</w:t>
      </w:r>
      <w:r>
        <w:tab/>
      </w:r>
      <w:r>
        <w:fldChar w:fldCharType="begin"/>
      </w:r>
      <w:r>
        <w:instrText xml:space="preserve"> PAGEREF _Toc361989310 \h </w:instrText>
      </w:r>
      <w:r>
        <w:fldChar w:fldCharType="separate"/>
      </w:r>
      <w:r>
        <w:t>8</w:t>
      </w:r>
      <w:r>
        <w:fldChar w:fldCharType="end"/>
      </w:r>
    </w:p>
    <w:p>
      <w:pPr>
        <w:pStyle w:val="TOC8"/>
        <w:rPr>
          <w:rFonts w:asciiTheme="minorHAnsi" w:eastAsiaTheme="minorEastAsia" w:hAnsiTheme="minorHAnsi" w:cstheme="minorBidi"/>
          <w:szCs w:val="22"/>
          <w:lang w:eastAsia="en-AU"/>
        </w:rPr>
      </w:pPr>
      <w:r>
        <w:t>7C.</w:t>
      </w:r>
      <w:r>
        <w:tab/>
        <w:t>Information to be kept up</w:t>
      </w:r>
      <w:r>
        <w:noBreakHyphen/>
        <w:t>to</w:t>
      </w:r>
      <w:r>
        <w:noBreakHyphen/>
        <w:t>date</w:t>
      </w:r>
      <w:r>
        <w:tab/>
      </w:r>
      <w:r>
        <w:fldChar w:fldCharType="begin"/>
      </w:r>
      <w:r>
        <w:instrText xml:space="preserve"> PAGEREF _Toc361989311 \h </w:instrText>
      </w:r>
      <w:r>
        <w:fldChar w:fldCharType="separate"/>
      </w:r>
      <w:r>
        <w:t>8</w:t>
      </w:r>
      <w:r>
        <w:fldChar w:fldCharType="end"/>
      </w:r>
    </w:p>
    <w:p>
      <w:pPr>
        <w:pStyle w:val="TOC8"/>
        <w:rPr>
          <w:rFonts w:asciiTheme="minorHAnsi" w:eastAsiaTheme="minorEastAsia" w:hAnsiTheme="minorHAnsi" w:cstheme="minorBidi"/>
          <w:szCs w:val="22"/>
          <w:lang w:eastAsia="en-AU"/>
        </w:rPr>
      </w:pPr>
      <w:r>
        <w:t>7D.</w:t>
      </w:r>
      <w:r>
        <w:tab/>
        <w:t>Particular provision for information as to gross tonnages and tonnages of freight</w:t>
      </w:r>
      <w:r>
        <w:tab/>
      </w:r>
      <w:r>
        <w:fldChar w:fldCharType="begin"/>
      </w:r>
      <w:r>
        <w:instrText xml:space="preserve"> PAGEREF _Toc361989312 \h </w:instrText>
      </w:r>
      <w:r>
        <w:fldChar w:fldCharType="separate"/>
      </w:r>
      <w:r>
        <w:t>8</w:t>
      </w:r>
      <w:r>
        <w:fldChar w:fldCharType="end"/>
      </w:r>
    </w:p>
    <w:p>
      <w:pPr>
        <w:pStyle w:val="TOC8"/>
        <w:rPr>
          <w:rFonts w:asciiTheme="minorHAnsi" w:eastAsiaTheme="minorEastAsia" w:hAnsiTheme="minorHAnsi" w:cstheme="minorBidi"/>
          <w:szCs w:val="22"/>
          <w:lang w:eastAsia="en-AU"/>
        </w:rPr>
      </w:pPr>
      <w:r>
        <w:t>7E.</w:t>
      </w:r>
      <w:r>
        <w:tab/>
        <w:t>Particular provision for information as to proposed improvements and capital works</w:t>
      </w:r>
      <w:r>
        <w:tab/>
      </w:r>
      <w:r>
        <w:fldChar w:fldCharType="begin"/>
      </w:r>
      <w:r>
        <w:instrText xml:space="preserve"> PAGEREF _Toc361989313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Proposals for access</w:t>
      </w:r>
    </w:p>
    <w:p>
      <w:pPr>
        <w:pStyle w:val="TOC8"/>
        <w:rPr>
          <w:rFonts w:asciiTheme="minorHAnsi" w:eastAsiaTheme="minorEastAsia" w:hAnsiTheme="minorHAnsi" w:cstheme="minorBidi"/>
          <w:szCs w:val="22"/>
          <w:lang w:eastAsia="en-AU"/>
        </w:rPr>
      </w:pPr>
      <w:r>
        <w:t>7</w:t>
      </w:r>
      <w:r>
        <w:rPr>
          <w:snapToGrid w:val="0"/>
        </w:rPr>
        <w:t>.</w:t>
      </w:r>
      <w:r>
        <w:rPr>
          <w:snapToGrid w:val="0"/>
        </w:rPr>
        <w:tab/>
        <w:t>Preliminary information</w:t>
      </w:r>
      <w:r>
        <w:tab/>
      </w:r>
      <w:r>
        <w:fldChar w:fldCharType="begin"/>
      </w:r>
      <w:r>
        <w:instrText xml:space="preserve"> PAGEREF _Toc361989315 \h </w:instrText>
      </w:r>
      <w:r>
        <w:fldChar w:fldCharType="separate"/>
      </w:r>
      <w:r>
        <w:t>10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Proposals for access</w:t>
      </w:r>
      <w:r>
        <w:tab/>
      </w:r>
      <w:r>
        <w:fldChar w:fldCharType="begin"/>
      </w:r>
      <w:r>
        <w:instrText xml:space="preserve"> PAGEREF _Toc361989316 \h </w:instrText>
      </w:r>
      <w:r>
        <w:fldChar w:fldCharType="separate"/>
      </w:r>
      <w:r>
        <w:t>10</w:t>
      </w:r>
      <w:r>
        <w:fldChar w:fldCharType="end"/>
      </w:r>
    </w:p>
    <w:p>
      <w:pPr>
        <w:pStyle w:val="TOC8"/>
        <w:rPr>
          <w:rFonts w:asciiTheme="minorHAnsi" w:eastAsiaTheme="minorEastAsia" w:hAnsiTheme="minorHAnsi" w:cstheme="minorBidi"/>
          <w:szCs w:val="22"/>
          <w:lang w:eastAsia="en-AU"/>
        </w:rPr>
      </w:pPr>
      <w:r>
        <w:t>9A.</w:t>
      </w:r>
      <w:r>
        <w:tab/>
        <w:t>Withdrawal of proposal</w:t>
      </w:r>
      <w:r>
        <w:tab/>
      </w:r>
      <w:r>
        <w:fldChar w:fldCharType="begin"/>
      </w:r>
      <w:r>
        <w:instrText xml:space="preserve"> PAGEREF _Toc361989317 \h </w:instrText>
      </w:r>
      <w:r>
        <w:fldChar w:fldCharType="separate"/>
      </w:r>
      <w:r>
        <w:t>11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Railway owner’s obligations on receipt of proposal</w:t>
      </w:r>
      <w:r>
        <w:tab/>
      </w:r>
      <w:r>
        <w:fldChar w:fldCharType="begin"/>
      </w:r>
      <w:r>
        <w:instrText xml:space="preserve"> PAGEREF _Toc361989318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Regulator’s approval required in certain cases</w:t>
      </w:r>
      <w:r>
        <w:tab/>
      </w:r>
      <w:r>
        <w:fldChar w:fldCharType="begin"/>
      </w:r>
      <w:r>
        <w:instrText xml:space="preserve"> PAGEREF _Toc361989319 \h </w:instrText>
      </w:r>
      <w:r>
        <w:fldChar w:fldCharType="separate"/>
      </w:r>
      <w:r>
        <w:t>14</w:t>
      </w:r>
      <w:r>
        <w:fldChar w:fldCharType="end"/>
      </w:r>
    </w:p>
    <w:p>
      <w:pPr>
        <w:pStyle w:val="TOC8"/>
        <w:keepNext/>
        <w:rPr>
          <w:rFonts w:asciiTheme="minorHAnsi" w:eastAsiaTheme="minorEastAsia" w:hAnsiTheme="minorHAnsi" w:cstheme="minorBidi"/>
          <w:szCs w:val="22"/>
          <w:lang w:eastAsia="en-AU"/>
        </w:rPr>
      </w:pPr>
      <w:r>
        <w:t>11</w:t>
      </w:r>
      <w:r>
        <w:rPr>
          <w:snapToGrid w:val="0"/>
        </w:rPr>
        <w:t>.</w:t>
      </w:r>
      <w:r>
        <w:rPr>
          <w:snapToGrid w:val="0"/>
        </w:rPr>
        <w:tab/>
        <w:t>Time limits applicable to section 10</w:t>
      </w:r>
      <w:r>
        <w:tab/>
      </w:r>
      <w:r>
        <w:fldChar w:fldCharType="begin"/>
      </w:r>
      <w:r>
        <w:instrText xml:space="preserve"> PAGEREF _Toc361989320 \h </w:instrText>
      </w:r>
      <w:r>
        <w:fldChar w:fldCharType="separate"/>
      </w:r>
      <w:r>
        <w:t>16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Record of proposals to be kept</w:t>
      </w:r>
      <w:r>
        <w:tab/>
      </w:r>
      <w:r>
        <w:fldChar w:fldCharType="begin"/>
      </w:r>
      <w:r>
        <w:instrText xml:space="preserve"> PAGEREF _Toc361989321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Negotiations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xml:space="preserve"> — </w:t>
      </w:r>
      <w:r>
        <w:t>When duty to negotiate arises</w:t>
      </w:r>
    </w:p>
    <w:p>
      <w:pPr>
        <w:pStyle w:val="TOC8"/>
        <w:rPr>
          <w:rFonts w:asciiTheme="minorHAnsi" w:eastAsiaTheme="minorEastAsia" w:hAnsiTheme="minorHAnsi" w:cstheme="minorBidi"/>
          <w:szCs w:val="22"/>
          <w:lang w:eastAsia="en-AU"/>
        </w:rPr>
      </w:pPr>
      <w:r>
        <w:t>13</w:t>
      </w:r>
      <w:r>
        <w:rPr>
          <w:snapToGrid w:val="0"/>
        </w:rPr>
        <w:t>.</w:t>
      </w:r>
      <w:r>
        <w:rPr>
          <w:snapToGrid w:val="0"/>
        </w:rPr>
        <w:tab/>
        <w:t>Duty of railway owner to negotiate</w:t>
      </w:r>
      <w:r>
        <w:tab/>
      </w:r>
      <w:r>
        <w:fldChar w:fldCharType="begin"/>
      </w:r>
      <w:r>
        <w:instrText xml:space="preserve"> PAGEREF _Toc361989324 \h </w:instrText>
      </w:r>
      <w:r>
        <w:fldChar w:fldCharType="separate"/>
      </w:r>
      <w:r>
        <w:t>17</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Proponent must show it has managerial and financial ability</w:t>
      </w:r>
      <w:r>
        <w:tab/>
      </w:r>
      <w:r>
        <w:fldChar w:fldCharType="begin"/>
      </w:r>
      <w:r>
        <w:instrText xml:space="preserve"> PAGEREF _Toc361989325 \h </w:instrText>
      </w:r>
      <w:r>
        <w:fldChar w:fldCharType="separate"/>
      </w:r>
      <w:r>
        <w:t>17</w:t>
      </w:r>
      <w:r>
        <w:fldChar w:fldCharType="end"/>
      </w:r>
    </w:p>
    <w:p>
      <w:pPr>
        <w:pStyle w:val="TOC8"/>
        <w:rPr>
          <w:rFonts w:asciiTheme="minorHAnsi" w:eastAsiaTheme="minorEastAsia" w:hAnsiTheme="minorHAnsi" w:cstheme="minorBidi"/>
          <w:szCs w:val="22"/>
          <w:lang w:eastAsia="en-AU"/>
        </w:rPr>
      </w:pPr>
      <w:r>
        <w:t>15.</w:t>
      </w:r>
      <w:r>
        <w:tab/>
        <w:t>Proponent must show that its operations are within the capacity of the route or expanded route</w:t>
      </w:r>
      <w:r>
        <w:tab/>
      </w:r>
      <w:r>
        <w:fldChar w:fldCharType="begin"/>
      </w:r>
      <w:r>
        <w:instrText xml:space="preserve"> PAGEREF _Toc361989326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xml:space="preserve"> — </w:t>
      </w:r>
      <w:r>
        <w:t>Negotiations</w:t>
      </w:r>
    </w:p>
    <w:p>
      <w:pPr>
        <w:pStyle w:val="TOC8"/>
        <w:rPr>
          <w:rFonts w:asciiTheme="minorHAnsi" w:eastAsiaTheme="minorEastAsia" w:hAnsiTheme="minorHAnsi" w:cstheme="minorBidi"/>
          <w:szCs w:val="22"/>
          <w:lang w:eastAsia="en-AU"/>
        </w:rPr>
      </w:pPr>
      <w:r>
        <w:t>16</w:t>
      </w:r>
      <w:r>
        <w:rPr>
          <w:snapToGrid w:val="0"/>
        </w:rPr>
        <w:t>.</w:t>
      </w:r>
      <w:r>
        <w:rPr>
          <w:snapToGrid w:val="0"/>
        </w:rPr>
        <w:tab/>
        <w:t>General duties of railway owner in negotiations</w:t>
      </w:r>
      <w:r>
        <w:tab/>
      </w:r>
      <w:r>
        <w:fldChar w:fldCharType="begin"/>
      </w:r>
      <w:r>
        <w:instrText xml:space="preserve"> PAGEREF _Toc361989328 \h </w:instrText>
      </w:r>
      <w:r>
        <w:fldChar w:fldCharType="separate"/>
      </w:r>
      <w:r>
        <w:t>19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Matters that must be covered</w:t>
      </w:r>
      <w:r>
        <w:tab/>
      </w:r>
      <w:r>
        <w:fldChar w:fldCharType="begin"/>
      </w:r>
      <w:r>
        <w:instrText xml:space="preserve"> PAGEREF _Toc361989329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Sufficiency of information under sections 14 and 15</w:t>
      </w:r>
      <w:r>
        <w:tab/>
      </w:r>
      <w:r>
        <w:fldChar w:fldCharType="begin"/>
      </w:r>
      <w:r>
        <w:instrText xml:space="preserve"> PAGEREF _Toc361989330 \h </w:instrText>
      </w:r>
      <w:r>
        <w:fldChar w:fldCharType="separate"/>
      </w:r>
      <w:r>
        <w:t>20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Notice of readiness to commence negotiations</w:t>
      </w:r>
      <w:r>
        <w:tab/>
      </w:r>
      <w:r>
        <w:fldChar w:fldCharType="begin"/>
      </w:r>
      <w:r>
        <w:instrText xml:space="preserve"> PAGEREF _Toc361989331 \h </w:instrText>
      </w:r>
      <w:r>
        <w:fldChar w:fldCharType="separate"/>
      </w:r>
      <w:r>
        <w:t>21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Negotiation period</w:t>
      </w:r>
      <w:r>
        <w:tab/>
      </w:r>
      <w:r>
        <w:fldChar w:fldCharType="begin"/>
      </w:r>
      <w:r>
        <w:instrText xml:space="preserve"> PAGEREF _Toc361989332 \h </w:instrText>
      </w:r>
      <w:r>
        <w:fldChar w:fldCharType="separate"/>
      </w:r>
      <w:r>
        <w:t>22</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Regulator may give opinion on price sought for access</w:t>
      </w:r>
      <w:r>
        <w:tab/>
      </w:r>
      <w:r>
        <w:fldChar w:fldCharType="begin"/>
      </w:r>
      <w:r>
        <w:instrText xml:space="preserve"> PAGEREF _Toc361989333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xml:space="preserve"> — </w:t>
      </w:r>
      <w:r>
        <w:t>Arbitration of disputes</w:t>
      </w:r>
    </w:p>
    <w:p>
      <w:pPr>
        <w:pStyle w:val="TOC8"/>
        <w:rPr>
          <w:rFonts w:asciiTheme="minorHAnsi" w:eastAsiaTheme="minorEastAsia" w:hAnsiTheme="minorHAnsi" w:cstheme="minorBidi"/>
          <w:szCs w:val="22"/>
          <w:lang w:eastAsia="en-AU"/>
        </w:rPr>
      </w:pPr>
      <w:r>
        <w:t>22</w:t>
      </w:r>
      <w:r>
        <w:rPr>
          <w:snapToGrid w:val="0"/>
        </w:rPr>
        <w:t>.</w:t>
      </w:r>
      <w:r>
        <w:rPr>
          <w:snapToGrid w:val="0"/>
        </w:rPr>
        <w:tab/>
        <w:t>Terms used</w:t>
      </w:r>
      <w:r>
        <w:tab/>
      </w:r>
      <w:r>
        <w:fldChar w:fldCharType="begin"/>
      </w:r>
      <w:r>
        <w:instrText xml:space="preserve"> PAGEREF _Toc361989335 \h </w:instrText>
      </w:r>
      <w:r>
        <w:fldChar w:fldCharType="separate"/>
      </w:r>
      <w:r>
        <w:t>23</w:t>
      </w:r>
      <w:r>
        <w:fldChar w:fldCharType="end"/>
      </w:r>
    </w:p>
    <w:p>
      <w:pPr>
        <w:pStyle w:val="TOC8"/>
        <w:rPr>
          <w:rFonts w:asciiTheme="minorHAnsi" w:eastAsiaTheme="minorEastAsia" w:hAnsiTheme="minorHAnsi" w:cstheme="minorBidi"/>
          <w:szCs w:val="22"/>
          <w:lang w:eastAsia="en-AU"/>
        </w:rPr>
      </w:pPr>
      <w:r>
        <w:t>23.</w:t>
      </w:r>
      <w:r>
        <w:tab/>
        <w:t>Availability of mediation etc.</w:t>
      </w:r>
      <w:r>
        <w:tab/>
      </w:r>
      <w:r>
        <w:fldChar w:fldCharType="begin"/>
      </w:r>
      <w:r>
        <w:instrText xml:space="preserve"> PAGEREF _Toc361989336 \h </w:instrText>
      </w:r>
      <w:r>
        <w:fldChar w:fldCharType="separate"/>
      </w:r>
      <w:r>
        <w:t>23</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Panels of persons who may be appointed as arbitrators</w:t>
      </w:r>
      <w:r>
        <w:tab/>
      </w:r>
      <w:r>
        <w:fldChar w:fldCharType="begin"/>
      </w:r>
      <w:r>
        <w:instrText xml:space="preserve"> PAGEREF _Toc361989337 \h </w:instrText>
      </w:r>
      <w:r>
        <w:fldChar w:fldCharType="separate"/>
      </w:r>
      <w:r>
        <w:t>23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When entity taken to be in dispute with railway owner</w:t>
      </w:r>
      <w:r>
        <w:tab/>
      </w:r>
      <w:r>
        <w:fldChar w:fldCharType="begin"/>
      </w:r>
      <w:r>
        <w:instrText xml:space="preserve"> PAGEREF _Toc361989338 \h </w:instrText>
      </w:r>
      <w:r>
        <w:fldChar w:fldCharType="separate"/>
      </w:r>
      <w:r>
        <w:t>24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 xml:space="preserve">Arbitration of disputes under </w:t>
      </w:r>
      <w:r>
        <w:rPr>
          <w:i/>
          <w:snapToGrid w:val="0"/>
        </w:rPr>
        <w:t>Commercial Arbitration Act 1985</w:t>
      </w:r>
      <w:r>
        <w:tab/>
      </w:r>
      <w:r>
        <w:fldChar w:fldCharType="begin"/>
      </w:r>
      <w:r>
        <w:instrText xml:space="preserve"> PAGEREF _Toc361989339 \h </w:instrText>
      </w:r>
      <w:r>
        <w:fldChar w:fldCharType="separate"/>
      </w:r>
      <w:r>
        <w:t>25</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Appointment where issues are also relevant to arbitration under another access regime</w:t>
      </w:r>
      <w:r>
        <w:tab/>
      </w:r>
      <w:r>
        <w:fldChar w:fldCharType="begin"/>
      </w:r>
      <w:r>
        <w:instrText xml:space="preserve"> PAGEREF _Toc361989340 \h </w:instrText>
      </w:r>
      <w:r>
        <w:fldChar w:fldCharType="separate"/>
      </w:r>
      <w:r>
        <w:t>26</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Preliminary conference to be held</w:t>
      </w:r>
      <w:r>
        <w:tab/>
      </w:r>
      <w:r>
        <w:fldChar w:fldCharType="begin"/>
      </w:r>
      <w:r>
        <w:instrText xml:space="preserve"> PAGEREF _Toc361989341 \h </w:instrText>
      </w:r>
      <w:r>
        <w:fldChar w:fldCharType="separate"/>
      </w:r>
      <w:r>
        <w:t>26</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Matters to be taken into account by arbitrator</w:t>
      </w:r>
      <w:r>
        <w:tab/>
      </w:r>
      <w:r>
        <w:fldChar w:fldCharType="begin"/>
      </w:r>
      <w:r>
        <w:instrText xml:space="preserve"> PAGEREF _Toc361989342 \h </w:instrText>
      </w:r>
      <w:r>
        <w:fldChar w:fldCharType="separate"/>
      </w:r>
      <w:r>
        <w:t>27</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Question may be referred to Regulator</w:t>
      </w:r>
      <w:r>
        <w:tab/>
      </w:r>
      <w:r>
        <w:fldChar w:fldCharType="begin"/>
      </w:r>
      <w:r>
        <w:instrText xml:space="preserve"> PAGEREF _Toc361989343 \h </w:instrText>
      </w:r>
      <w:r>
        <w:fldChar w:fldCharType="separate"/>
      </w:r>
      <w:r>
        <w:t>28</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Determination of dispute</w:t>
      </w:r>
      <w:r>
        <w:tab/>
      </w:r>
      <w:r>
        <w:fldChar w:fldCharType="begin"/>
      </w:r>
      <w:r>
        <w:instrText xml:space="preserve"> PAGEREF _Toc361989344 \h </w:instrText>
      </w:r>
      <w:r>
        <w:fldChar w:fldCharType="separate"/>
      </w:r>
      <w:r>
        <w:t>28</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Determinations where section 25(2)(b) applies</w:t>
      </w:r>
      <w:r>
        <w:tab/>
      </w:r>
      <w:r>
        <w:fldChar w:fldCharType="begin"/>
      </w:r>
      <w:r>
        <w:instrText xml:space="preserve"> PAGEREF _Toc361989345 \h </w:instrText>
      </w:r>
      <w:r>
        <w:fldChar w:fldCharType="separate"/>
      </w:r>
      <w:r>
        <w:t>28</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Determinations in other cases</w:t>
      </w:r>
      <w:r>
        <w:tab/>
      </w:r>
      <w:r>
        <w:fldChar w:fldCharType="begin"/>
      </w:r>
      <w:r>
        <w:instrText xml:space="preserve"> PAGEREF _Toc361989346 \h </w:instrText>
      </w:r>
      <w:r>
        <w:fldChar w:fldCharType="separate"/>
      </w:r>
      <w:r>
        <w:t>28</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Determination, effect in relation to railway owner and other party</w:t>
      </w:r>
      <w:r>
        <w:tab/>
      </w:r>
      <w:r>
        <w:fldChar w:fldCharType="begin"/>
      </w:r>
      <w:r>
        <w:instrText xml:space="preserve"> PAGEREF _Toc361989347 \h </w:instrText>
      </w:r>
      <w:r>
        <w:fldChar w:fldCharType="separate"/>
      </w:r>
      <w:r>
        <w:t>29</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Termination of arbitration</w:t>
      </w:r>
      <w:r>
        <w:tab/>
      </w:r>
      <w:r>
        <w:fldChar w:fldCharType="begin"/>
      </w:r>
      <w:r>
        <w:instrText xml:space="preserve"> PAGEREF _Toc361989348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Access agreements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xml:space="preserve"> — </w:t>
      </w:r>
      <w:r>
        <w:t>General</w:t>
      </w:r>
    </w:p>
    <w:p>
      <w:pPr>
        <w:pStyle w:val="TOC8"/>
        <w:rPr>
          <w:rFonts w:asciiTheme="minorHAnsi" w:eastAsiaTheme="minorEastAsia" w:hAnsiTheme="minorHAnsi" w:cstheme="minorBidi"/>
          <w:szCs w:val="22"/>
          <w:lang w:eastAsia="en-AU"/>
        </w:rPr>
      </w:pPr>
      <w:r>
        <w:t>36</w:t>
      </w:r>
      <w:r>
        <w:rPr>
          <w:snapToGrid w:val="0"/>
        </w:rPr>
        <w:t>.</w:t>
      </w:r>
      <w:r>
        <w:rPr>
          <w:snapToGrid w:val="0"/>
        </w:rPr>
        <w:tab/>
        <w:t>General matters relating to access agreements</w:t>
      </w:r>
      <w:r>
        <w:tab/>
      </w:r>
      <w:r>
        <w:fldChar w:fldCharType="begin"/>
      </w:r>
      <w:r>
        <w:instrText xml:space="preserve"> PAGEREF _Toc361989351 \h </w:instrText>
      </w:r>
      <w:r>
        <w:fldChar w:fldCharType="separate"/>
      </w:r>
      <w:r>
        <w:t>31</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Access agreements may differ</w:t>
      </w:r>
      <w:r>
        <w:tab/>
      </w:r>
      <w:r>
        <w:fldChar w:fldCharType="begin"/>
      </w:r>
      <w:r>
        <w:instrText xml:space="preserve"> PAGEREF _Toc361989352 \h </w:instrText>
      </w:r>
      <w:r>
        <w:fldChar w:fldCharType="separate"/>
      </w:r>
      <w:r>
        <w:t>31</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Agreement not affected by later amendments to Code</w:t>
      </w:r>
      <w:r>
        <w:tab/>
      </w:r>
      <w:r>
        <w:fldChar w:fldCharType="begin"/>
      </w:r>
      <w:r>
        <w:instrText xml:space="preserve"> PAGEREF _Toc361989353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Notice and registration of access agreements and determinations</w:t>
      </w:r>
    </w:p>
    <w:p>
      <w:pPr>
        <w:pStyle w:val="TOC8"/>
        <w:rPr>
          <w:rFonts w:asciiTheme="minorHAnsi" w:eastAsiaTheme="minorEastAsia" w:hAnsiTheme="minorHAnsi" w:cstheme="minorBidi"/>
          <w:szCs w:val="22"/>
          <w:lang w:eastAsia="en-AU"/>
        </w:rPr>
      </w:pPr>
      <w:r>
        <w:t>39</w:t>
      </w:r>
      <w:r>
        <w:rPr>
          <w:snapToGrid w:val="0"/>
        </w:rPr>
        <w:t>.</w:t>
      </w:r>
      <w:r>
        <w:rPr>
          <w:snapToGrid w:val="0"/>
        </w:rPr>
        <w:tab/>
        <w:t>Registration of agreements and determinations</w:t>
      </w:r>
      <w:r>
        <w:tab/>
      </w:r>
      <w:r>
        <w:fldChar w:fldCharType="begin"/>
      </w:r>
      <w:r>
        <w:instrText xml:space="preserve"> PAGEREF _Toc361989355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Certain approval functions of Regulator</w:t>
      </w:r>
    </w:p>
    <w:p>
      <w:pPr>
        <w:pStyle w:val="TOC8"/>
        <w:rPr>
          <w:rFonts w:asciiTheme="minorHAnsi" w:eastAsiaTheme="minorEastAsia" w:hAnsiTheme="minorHAnsi" w:cstheme="minorBidi"/>
          <w:szCs w:val="22"/>
          <w:lang w:eastAsia="en-AU"/>
        </w:rPr>
      </w:pPr>
      <w:r>
        <w:t>40</w:t>
      </w:r>
      <w:r>
        <w:rPr>
          <w:snapToGrid w:val="0"/>
        </w:rPr>
        <w:t>.</w:t>
      </w:r>
      <w:r>
        <w:rPr>
          <w:snapToGrid w:val="0"/>
        </w:rPr>
        <w:tab/>
        <w:t>Interpretation</w:t>
      </w:r>
      <w:r>
        <w:tab/>
      </w:r>
      <w:r>
        <w:fldChar w:fldCharType="begin"/>
      </w:r>
      <w:r>
        <w:instrText xml:space="preserve"> PAGEREF _Toc361989357 \h </w:instrText>
      </w:r>
      <w:r>
        <w:fldChar w:fldCharType="separate"/>
      </w:r>
      <w:r>
        <w:t>34</w:t>
      </w:r>
      <w:r>
        <w:fldChar w:fldCharType="end"/>
      </w:r>
    </w:p>
    <w:p>
      <w:pPr>
        <w:pStyle w:val="TOC8"/>
        <w:rPr>
          <w:rFonts w:asciiTheme="minorHAnsi" w:eastAsiaTheme="minorEastAsia" w:hAnsiTheme="minorHAnsi" w:cstheme="minorBidi"/>
          <w:szCs w:val="22"/>
          <w:lang w:eastAsia="en-AU"/>
        </w:rPr>
      </w:pPr>
      <w:r>
        <w:t>41.</w:t>
      </w:r>
      <w:r>
        <w:tab/>
        <w:t>Matters to be considered by Regulator</w:t>
      </w:r>
      <w:r>
        <w:tab/>
      </w:r>
      <w:r>
        <w:fldChar w:fldCharType="begin"/>
      </w:r>
      <w:r>
        <w:instrText xml:space="preserve"> PAGEREF _Toc361989358 \h </w:instrText>
      </w:r>
      <w:r>
        <w:fldChar w:fldCharType="separate"/>
      </w:r>
      <w:r>
        <w:t>34</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Public comment before approval given to segregation arrangements</w:t>
      </w:r>
      <w:r>
        <w:tab/>
      </w:r>
      <w:r>
        <w:fldChar w:fldCharType="begin"/>
      </w:r>
      <w:r>
        <w:instrText xml:space="preserve"> PAGEREF _Toc361989359 \h </w:instrText>
      </w:r>
      <w:r>
        <w:fldChar w:fldCharType="separate"/>
      </w:r>
      <w:r>
        <w:t>35</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Railway owner to comply with approved train management guidelines</w:t>
      </w:r>
      <w:r>
        <w:tab/>
      </w:r>
      <w:r>
        <w:fldChar w:fldCharType="begin"/>
      </w:r>
      <w:r>
        <w:instrText xml:space="preserve"> PAGEREF _Toc361989360 \h </w:instrText>
      </w:r>
      <w:r>
        <w:fldChar w:fldCharType="separate"/>
      </w:r>
      <w:r>
        <w:t>35</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Certain approved statements of policy to be observed</w:t>
      </w:r>
      <w:r>
        <w:tab/>
      </w:r>
      <w:r>
        <w:fldChar w:fldCharType="begin"/>
      </w:r>
      <w:r>
        <w:instrText xml:space="preserve"> PAGEREF _Toc361989361 \h </w:instrText>
      </w:r>
      <w:r>
        <w:fldChar w:fldCharType="separate"/>
      </w:r>
      <w:r>
        <w:t>36</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Public comment on draft statements under sections 43 and 44</w:t>
      </w:r>
      <w:r>
        <w:tab/>
      </w:r>
      <w:r>
        <w:fldChar w:fldCharType="begin"/>
      </w:r>
      <w:r>
        <w:instrText xml:space="preserve"> PAGEREF _Toc361989362 \h </w:instrText>
      </w:r>
      <w:r>
        <w:fldChar w:fldCharType="separate"/>
      </w:r>
      <w:r>
        <w:t>37</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Costing principles</w:t>
      </w:r>
      <w:r>
        <w:tab/>
      </w:r>
      <w:r>
        <w:fldChar w:fldCharType="begin"/>
      </w:r>
      <w:r>
        <w:instrText xml:space="preserve"> PAGEREF _Toc361989363 \h </w:instrText>
      </w:r>
      <w:r>
        <w:fldChar w:fldCharType="separate"/>
      </w:r>
      <w:r>
        <w:t>38</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Over</w:t>
      </w:r>
      <w:r>
        <w:rPr>
          <w:snapToGrid w:val="0"/>
        </w:rPr>
        <w:noBreakHyphen/>
        <w:t>payment rules</w:t>
      </w:r>
      <w:r>
        <w:tab/>
      </w:r>
      <w:r>
        <w:fldChar w:fldCharType="begin"/>
      </w:r>
      <w:r>
        <w:instrText xml:space="preserve"> PAGEREF _Toc361989364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General</w:t>
      </w:r>
    </w:p>
    <w:p>
      <w:pPr>
        <w:pStyle w:val="TOC8"/>
        <w:rPr>
          <w:rFonts w:asciiTheme="minorHAnsi" w:eastAsiaTheme="minorEastAsia" w:hAnsiTheme="minorHAnsi" w:cstheme="minorBidi"/>
          <w:szCs w:val="22"/>
          <w:lang w:eastAsia="en-AU"/>
        </w:rPr>
      </w:pPr>
      <w:r>
        <w:t>48</w:t>
      </w:r>
      <w:r>
        <w:rPr>
          <w:snapToGrid w:val="0"/>
        </w:rPr>
        <w:t>.</w:t>
      </w:r>
      <w:r>
        <w:rPr>
          <w:snapToGrid w:val="0"/>
        </w:rPr>
        <w:tab/>
        <w:t>Railway owner must supply certain information if requested</w:t>
      </w:r>
      <w:r>
        <w:tab/>
      </w:r>
      <w:r>
        <w:fldChar w:fldCharType="begin"/>
      </w:r>
      <w:r>
        <w:instrText xml:space="preserve"> PAGEREF _Toc361989366 \h </w:instrText>
      </w:r>
      <w:r>
        <w:fldChar w:fldCharType="separate"/>
      </w:r>
      <w:r>
        <w:t>41</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Inquiries and reports by Regulator</w:t>
      </w:r>
      <w:r>
        <w:tab/>
      </w:r>
      <w:r>
        <w:fldChar w:fldCharType="begin"/>
      </w:r>
      <w:r>
        <w:instrText xml:space="preserve"> PAGEREF _Toc361989367 \h </w:instrText>
      </w:r>
      <w:r>
        <w:fldChar w:fldCharType="separate"/>
      </w:r>
      <w:r>
        <w:t>41</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Dissemination of information by Regulator</w:t>
      </w:r>
      <w:r>
        <w:tab/>
      </w:r>
      <w:r>
        <w:fldChar w:fldCharType="begin"/>
      </w:r>
      <w:r>
        <w:instrText xml:space="preserve"> PAGEREF _Toc361989368 \h </w:instrText>
      </w:r>
      <w:r>
        <w:fldChar w:fldCharType="separate"/>
      </w:r>
      <w:r>
        <w:t>41</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Enforcement</w:t>
      </w:r>
      <w:r>
        <w:tab/>
      </w:r>
      <w:r>
        <w:fldChar w:fldCharType="begin"/>
      </w:r>
      <w:r>
        <w:instrText xml:space="preserve"> PAGEREF _Toc361989369 \h </w:instrText>
      </w:r>
      <w:r>
        <w:fldChar w:fldCharType="separate"/>
      </w:r>
      <w:r>
        <w:t>42</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Transitional provisions</w:t>
      </w:r>
      <w:r>
        <w:tab/>
      </w:r>
      <w:r>
        <w:fldChar w:fldCharType="begin"/>
      </w:r>
      <w:r>
        <w:instrText xml:space="preserve"> PAGEREF _Toc361989370 \h </w:instrText>
      </w:r>
      <w:r>
        <w:fldChar w:fldCharType="separate"/>
      </w:r>
      <w:r>
        <w:t>42</w:t>
      </w:r>
      <w:r>
        <w:fldChar w:fldCharType="end"/>
      </w:r>
    </w:p>
    <w:p>
      <w:pPr>
        <w:pStyle w:val="TOC8"/>
        <w:rPr>
          <w:rFonts w:asciiTheme="minorHAnsi" w:eastAsiaTheme="minorEastAsia" w:hAnsiTheme="minorHAnsi" w:cstheme="minorBidi"/>
          <w:szCs w:val="22"/>
          <w:lang w:eastAsia="en-AU"/>
        </w:rPr>
      </w:pPr>
      <w:r>
        <w:t>53.</w:t>
      </w:r>
      <w:r>
        <w:tab/>
        <w:t>Further transitional provision</w:t>
      </w:r>
      <w:r>
        <w:tab/>
      </w:r>
      <w:r>
        <w:fldChar w:fldCharType="begin"/>
      </w:r>
      <w:r>
        <w:instrText xml:space="preserve"> PAGEREF _Toc361989371 \h </w:instrText>
      </w:r>
      <w:r>
        <w:fldChar w:fldCharType="separate"/>
      </w:r>
      <w:r>
        <w:t>43</w:t>
      </w:r>
      <w:r>
        <w:fldChar w:fldCharType="end"/>
      </w:r>
    </w:p>
    <w:p>
      <w:pPr>
        <w:pStyle w:val="TOC2"/>
        <w:keepNext w:val="0"/>
        <w:tabs>
          <w:tab w:val="right" w:leader="dot" w:pos="7086"/>
        </w:tabs>
        <w:rPr>
          <w:rFonts w:asciiTheme="minorHAnsi" w:eastAsiaTheme="minorEastAsia" w:hAnsiTheme="minorHAnsi" w:cstheme="minorBidi"/>
          <w:b w:val="0"/>
          <w:sz w:val="22"/>
          <w:szCs w:val="22"/>
          <w:lang w:eastAsia="en-AU"/>
        </w:rPr>
      </w:pPr>
      <w:r>
        <w:t>Schedule 1 — Routes to which this Code applies</w:t>
      </w:r>
    </w:p>
    <w:p>
      <w:pPr>
        <w:pStyle w:val="TOC2"/>
        <w:tabs>
          <w:tab w:val="right" w:leader="dot" w:pos="7086"/>
        </w:tabs>
        <w:rPr>
          <w:rFonts w:asciiTheme="minorHAnsi" w:eastAsiaTheme="minorEastAsia" w:hAnsiTheme="minorHAnsi" w:cstheme="minorBidi"/>
          <w:b w:val="0"/>
          <w:sz w:val="22"/>
          <w:szCs w:val="22"/>
          <w:lang w:eastAsia="en-AU"/>
        </w:rPr>
      </w:pPr>
      <w:r>
        <w:t>Schedule 2 — Information to be made available</w:t>
      </w:r>
    </w:p>
    <w:p>
      <w:pPr>
        <w:pStyle w:val="TOC8"/>
        <w:rPr>
          <w:rFonts w:asciiTheme="minorHAnsi" w:eastAsiaTheme="minorEastAsia" w:hAnsiTheme="minorHAnsi" w:cstheme="minorBidi"/>
          <w:szCs w:val="22"/>
          <w:lang w:eastAsia="en-AU"/>
        </w:rPr>
      </w:pPr>
      <w:r>
        <w:tab/>
        <w:t>Terms used</w:t>
      </w:r>
      <w:r>
        <w:tab/>
      </w:r>
      <w:r>
        <w:fldChar w:fldCharType="begin"/>
      </w:r>
      <w:r>
        <w:instrText xml:space="preserve"> PAGEREF _Toc361989374 \h </w:instrText>
      </w:r>
      <w:r>
        <w:fldChar w:fldCharType="separate"/>
      </w:r>
      <w:r>
        <w:t>48</w:t>
      </w:r>
      <w:r>
        <w:fldChar w:fldCharType="end"/>
      </w:r>
    </w:p>
    <w:p>
      <w:pPr>
        <w:pStyle w:val="TOC8"/>
        <w:rPr>
          <w:rFonts w:asciiTheme="minorHAnsi" w:eastAsiaTheme="minorEastAsia" w:hAnsiTheme="minorHAnsi" w:cstheme="minorBidi"/>
          <w:szCs w:val="22"/>
          <w:lang w:eastAsia="en-AU"/>
        </w:rPr>
      </w:pPr>
      <w:r>
        <w:tab/>
        <w:t>Information</w:t>
      </w:r>
      <w:r>
        <w:tab/>
      </w:r>
      <w:r>
        <w:fldChar w:fldCharType="begin"/>
      </w:r>
      <w:r>
        <w:instrText xml:space="preserve"> PAGEREF _Toc361989375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Matters for which provision to be made in access agreement</w:t>
      </w:r>
    </w:p>
    <w:p>
      <w:pPr>
        <w:pStyle w:val="TOC2"/>
        <w:tabs>
          <w:tab w:val="right" w:leader="dot" w:pos="7086"/>
        </w:tabs>
        <w:rPr>
          <w:rFonts w:asciiTheme="minorHAnsi" w:eastAsiaTheme="minorEastAsia" w:hAnsiTheme="minorHAnsi" w:cstheme="minorBidi"/>
          <w:b w:val="0"/>
          <w:sz w:val="22"/>
          <w:szCs w:val="22"/>
          <w:lang w:eastAsia="en-AU"/>
        </w:rPr>
      </w:pPr>
      <w:r>
        <w:t>Schedule 4 — Provisions relating to prices to be paid for access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_Toc361989379 \h </w:instrText>
      </w:r>
      <w:r>
        <w:fldChar w:fldCharType="separate"/>
      </w:r>
      <w:r>
        <w:t>52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Railway infrastructure</w:t>
      </w:r>
      <w:r>
        <w:tab/>
      </w:r>
      <w:r>
        <w:fldChar w:fldCharType="begin"/>
      </w:r>
      <w:r>
        <w:instrText xml:space="preserve"> PAGEREF _Toc361989380 \h </w:instrText>
      </w:r>
      <w:r>
        <w:fldChar w:fldCharType="separate"/>
      </w:r>
      <w:r>
        <w:t>53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Regulator to determine weighted average cost of capital</w:t>
      </w:r>
      <w:r>
        <w:tab/>
      </w:r>
      <w:r>
        <w:fldChar w:fldCharType="begin"/>
      </w:r>
      <w:r>
        <w:instrText xml:space="preserve"> PAGEREF _Toc361989381 \h </w:instrText>
      </w:r>
      <w:r>
        <w:fldChar w:fldCharType="separate"/>
      </w:r>
      <w:r>
        <w:t>54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Nature of costs</w:t>
      </w:r>
      <w:r>
        <w:tab/>
      </w:r>
      <w:r>
        <w:fldChar w:fldCharType="begin"/>
      </w:r>
      <w:r>
        <w:instrText xml:space="preserve"> PAGEREF _Toc361989382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xml:space="preserve"> — </w:t>
      </w:r>
      <w:r>
        <w:t>Provisions relating to access price negotiation</w:t>
      </w:r>
    </w:p>
    <w:p>
      <w:pPr>
        <w:pStyle w:val="TOC8"/>
        <w:rPr>
          <w:rFonts w:asciiTheme="minorHAnsi" w:eastAsiaTheme="minorEastAsia" w:hAnsiTheme="minorHAnsi" w:cstheme="minorBidi"/>
          <w:szCs w:val="22"/>
          <w:lang w:eastAsia="en-AU"/>
        </w:rPr>
      </w:pPr>
      <w:r>
        <w:t>5</w:t>
      </w:r>
      <w:r>
        <w:rPr>
          <w:snapToGrid w:val="0"/>
        </w:rPr>
        <w:t>.</w:t>
      </w:r>
      <w:r>
        <w:rPr>
          <w:snapToGrid w:val="0"/>
        </w:rPr>
        <w:tab/>
        <w:t>Term used: other entities</w:t>
      </w:r>
      <w:r>
        <w:tab/>
      </w:r>
      <w:r>
        <w:fldChar w:fldCharType="begin"/>
      </w:r>
      <w:r>
        <w:instrText xml:space="preserve"> PAGEREF _Toc361989384 \h </w:instrText>
      </w:r>
      <w:r>
        <w:fldChar w:fldCharType="separate"/>
      </w:r>
      <w:r>
        <w:t>56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Prices to be negotiated</w:t>
      </w:r>
      <w:r>
        <w:tab/>
      </w:r>
      <w:r>
        <w:fldChar w:fldCharType="begin"/>
      </w:r>
      <w:r>
        <w:instrText xml:space="preserve"> PAGEREF _Toc361989385 \h </w:instrText>
      </w:r>
      <w:r>
        <w:fldChar w:fldCharType="separate"/>
      </w:r>
      <w:r>
        <w:t>56</w:t>
      </w:r>
      <w:r>
        <w:fldChar w:fldCharType="end"/>
      </w:r>
    </w:p>
    <w:p>
      <w:pPr>
        <w:pStyle w:val="TOC8"/>
        <w:rPr>
          <w:rFonts w:asciiTheme="minorHAnsi" w:eastAsiaTheme="minorEastAsia" w:hAnsiTheme="minorHAnsi" w:cstheme="minorBidi"/>
          <w:szCs w:val="22"/>
          <w:lang w:eastAsia="en-AU"/>
        </w:rPr>
      </w:pPr>
      <w:r>
        <w:t>7A.</w:t>
      </w:r>
      <w:r>
        <w:tab/>
        <w:t>Apportionment of costs of extension or expansion</w:t>
      </w:r>
      <w:r>
        <w:tab/>
      </w:r>
      <w:r>
        <w:fldChar w:fldCharType="begin"/>
      </w:r>
      <w:r>
        <w:instrText xml:space="preserve"> PAGEREF _Toc361989386 \h </w:instrText>
      </w:r>
      <w:r>
        <w:fldChar w:fldCharType="separate"/>
      </w:r>
      <w:r>
        <w:t>56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Floor price test</w:t>
      </w:r>
      <w:r>
        <w:tab/>
      </w:r>
      <w:r>
        <w:fldChar w:fldCharType="begin"/>
      </w:r>
      <w:r>
        <w:instrText xml:space="preserve"> PAGEREF _Toc361989387 \h </w:instrText>
      </w:r>
      <w:r>
        <w:fldChar w:fldCharType="separate"/>
      </w:r>
      <w:r>
        <w:t>57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Ceiling price test</w:t>
      </w:r>
      <w:r>
        <w:tab/>
      </w:r>
      <w:r>
        <w:fldChar w:fldCharType="begin"/>
      </w:r>
      <w:r>
        <w:instrText xml:space="preserve"> PAGEREF _Toc361989388 \h </w:instrText>
      </w:r>
      <w:r>
        <w:fldChar w:fldCharType="separate"/>
      </w:r>
      <w:r>
        <w:t>58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Determination of costs by Regulator</w:t>
      </w:r>
      <w:r>
        <w:tab/>
      </w:r>
      <w:r>
        <w:fldChar w:fldCharType="begin"/>
      </w:r>
      <w:r>
        <w:instrText xml:space="preserve"> PAGEREF _Toc361989389 \h </w:instrText>
      </w:r>
      <w:r>
        <w:fldChar w:fldCharType="separate"/>
      </w:r>
      <w:r>
        <w:t>59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Determination of costs where clause 9 does not apply</w:t>
      </w:r>
      <w:r>
        <w:tab/>
      </w:r>
      <w:r>
        <w:fldChar w:fldCharType="begin"/>
      </w:r>
      <w:r>
        <w:instrText xml:space="preserve"> PAGEREF _Toc361989390 \h </w:instrText>
      </w:r>
      <w:r>
        <w:fldChar w:fldCharType="separate"/>
      </w:r>
      <w:r>
        <w:t>60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Public submissions may be sought</w:t>
      </w:r>
      <w:r>
        <w:tab/>
      </w:r>
      <w:r>
        <w:fldChar w:fldCharType="begin"/>
      </w:r>
      <w:r>
        <w:instrText xml:space="preserve"> PAGEREF _Toc361989391 \h </w:instrText>
      </w:r>
      <w:r>
        <w:fldChar w:fldCharType="separate"/>
      </w:r>
      <w:r>
        <w:t>61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Review and redetermination of costs</w:t>
      </w:r>
      <w:r>
        <w:tab/>
      </w:r>
      <w:r>
        <w:fldChar w:fldCharType="begin"/>
      </w:r>
      <w:r>
        <w:instrText xml:space="preserve"> PAGEREF _Toc361989392 \h </w:instrText>
      </w:r>
      <w:r>
        <w:fldChar w:fldCharType="separate"/>
      </w:r>
      <w:r>
        <w:t>61</w:t>
      </w:r>
      <w:r>
        <w:fldChar w:fldCharType="end"/>
      </w:r>
    </w:p>
    <w:p>
      <w:pPr>
        <w:pStyle w:val="TOC8"/>
        <w:rPr>
          <w:rFonts w:asciiTheme="minorHAnsi" w:eastAsiaTheme="minorEastAsia" w:hAnsiTheme="minorHAnsi" w:cstheme="minorBidi"/>
          <w:szCs w:val="22"/>
          <w:lang w:eastAsia="en-AU"/>
        </w:rPr>
      </w:pPr>
      <w:r>
        <w:t>13.</w:t>
      </w:r>
      <w:r>
        <w:tab/>
        <w:t>Guidelines to be applied</w:t>
      </w:r>
      <w:r>
        <w:tab/>
      </w:r>
      <w:r>
        <w:fldChar w:fldCharType="begin"/>
      </w:r>
      <w:r>
        <w:instrText xml:space="preserve"> PAGEREF _Toc361989393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Relevant provisions of Competition Principles Agreement</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_Toc361989396 \h </w:instrText>
      </w:r>
      <w:r>
        <w:fldChar w:fldCharType="separate"/>
      </w:r>
      <w:r>
        <w:t>65</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_Toc361989397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1" w:name="_Toc78272833"/>
      <w:bookmarkStart w:id="2" w:name="_Toc78274302"/>
      <w:bookmarkStart w:id="3" w:name="_Toc90459099"/>
      <w:bookmarkStart w:id="4" w:name="_Toc90459259"/>
      <w:bookmarkStart w:id="5" w:name="_Toc202173078"/>
      <w:bookmarkStart w:id="6" w:name="_Toc202173170"/>
      <w:bookmarkStart w:id="7" w:name="_Toc202173657"/>
      <w:bookmarkStart w:id="8" w:name="_Toc202173829"/>
      <w:bookmarkStart w:id="9" w:name="_Toc233600721"/>
      <w:bookmarkStart w:id="10" w:name="_Toc245093087"/>
      <w:bookmarkStart w:id="11" w:name="_Toc247424005"/>
      <w:bookmarkStart w:id="12" w:name="_Toc248824531"/>
      <w:bookmarkStart w:id="13" w:name="_Toc248824755"/>
      <w:bookmarkStart w:id="14" w:name="_Toc249156975"/>
      <w:bookmarkStart w:id="15" w:name="_Toc253476463"/>
      <w:bookmarkStart w:id="16" w:name="_Toc304214808"/>
      <w:bookmarkStart w:id="17" w:name="_Toc304214906"/>
      <w:bookmarkStart w:id="18" w:name="_Toc304282319"/>
      <w:bookmarkStart w:id="19" w:name="_Toc36198930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23332722"/>
      <w:bookmarkStart w:id="21" w:name="_Toc425219441"/>
      <w:bookmarkStart w:id="22" w:name="_Toc426249308"/>
      <w:bookmarkStart w:id="23" w:name="_Toc449924704"/>
      <w:bookmarkStart w:id="24" w:name="_Toc449947722"/>
      <w:bookmarkStart w:id="25" w:name="_Toc491754396"/>
      <w:bookmarkStart w:id="26" w:name="_Toc90459260"/>
      <w:bookmarkStart w:id="27" w:name="_Toc361989301"/>
      <w:r>
        <w:rPr>
          <w:rStyle w:val="CharSectno"/>
        </w:rPr>
        <w:t>1</w:t>
      </w:r>
      <w:r>
        <w:t>.</w:t>
      </w:r>
      <w:r>
        <w:tab/>
        <w:t>Citation</w:t>
      </w:r>
      <w:bookmarkEnd w:id="20"/>
      <w:bookmarkEnd w:id="21"/>
      <w:bookmarkEnd w:id="22"/>
      <w:bookmarkEnd w:id="23"/>
      <w:bookmarkEnd w:id="24"/>
      <w:bookmarkEnd w:id="25"/>
      <w:bookmarkEnd w:id="26"/>
      <w:bookmarkEnd w:id="27"/>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28" w:name="_Toc491754397"/>
      <w:bookmarkStart w:id="29" w:name="_Toc90459261"/>
      <w:bookmarkStart w:id="30" w:name="_Toc361989302"/>
      <w:r>
        <w:rPr>
          <w:rStyle w:val="CharSectno"/>
        </w:rPr>
        <w:t>2</w:t>
      </w:r>
      <w:r>
        <w:rPr>
          <w:snapToGrid w:val="0"/>
        </w:rPr>
        <w:t>.</w:t>
      </w:r>
      <w:r>
        <w:rPr>
          <w:snapToGrid w:val="0"/>
        </w:rPr>
        <w:tab/>
        <w:t>Commencement</w:t>
      </w:r>
      <w:bookmarkEnd w:id="28"/>
      <w:bookmarkEnd w:id="29"/>
      <w:bookmarkEnd w:id="30"/>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31" w:name="_Toc491754398"/>
      <w:bookmarkStart w:id="32" w:name="_Toc90459262"/>
      <w:bookmarkStart w:id="33" w:name="_Toc361989303"/>
      <w:r>
        <w:rPr>
          <w:rStyle w:val="CharSectno"/>
        </w:rPr>
        <w:t>3</w:t>
      </w:r>
      <w:r>
        <w:rPr>
          <w:snapToGrid w:val="0"/>
        </w:rPr>
        <w:t>.</w:t>
      </w:r>
      <w:r>
        <w:rPr>
          <w:snapToGrid w:val="0"/>
        </w:rPr>
        <w:tab/>
      </w:r>
      <w:bookmarkEnd w:id="31"/>
      <w:bookmarkEnd w:id="32"/>
      <w:r>
        <w:rPr>
          <w:snapToGrid w:val="0"/>
        </w:rPr>
        <w:t>Terms used</w:t>
      </w:r>
      <w:bookmarkEnd w:id="33"/>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means a determination by an arbitrator under Division </w:t>
      </w:r>
      <w:bookmarkStart w:id="34" w:name="_Hlt468006193"/>
      <w:r>
        <w:t>3</w:t>
      </w:r>
      <w:bookmarkEnd w:id="34"/>
      <w:r>
        <w:t xml:space="preserve"> of Part </w:t>
      </w:r>
      <w:bookmarkStart w:id="35" w:name="_Hlt468006100"/>
      <w:r>
        <w:t>3</w:t>
      </w:r>
      <w:bookmarkEnd w:id="35"/>
      <w:r>
        <w:t>;</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in Gazette 23 Jul 2004 p. 2989; 23 Jun 2009 p. 2409; amended by Act No. 77 of 2004 s. 11.]</w:t>
      </w:r>
    </w:p>
    <w:p>
      <w:pPr>
        <w:pStyle w:val="Heading5"/>
      </w:pPr>
      <w:bookmarkStart w:id="36" w:name="_Toc361989304"/>
      <w:bookmarkStart w:id="37" w:name="_Toc491754399"/>
      <w:bookmarkStart w:id="38" w:name="_Toc90459263"/>
      <w:r>
        <w:rPr>
          <w:rStyle w:val="CharSectno"/>
        </w:rPr>
        <w:t>4A</w:t>
      </w:r>
      <w:r>
        <w:t>.</w:t>
      </w:r>
      <w:r>
        <w:tab/>
        <w:t>Parties have option to negotiate agreements outside this Code</w:t>
      </w:r>
      <w:bookmarkEnd w:id="36"/>
    </w:p>
    <w:p>
      <w:pPr>
        <w:pStyle w:val="Subsection"/>
        <w:keepNext/>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in Gazette 23 Jun 2009 p. 2410.]</w:t>
      </w:r>
    </w:p>
    <w:p>
      <w:pPr>
        <w:pStyle w:val="Heading5"/>
        <w:rPr>
          <w:snapToGrid w:val="0"/>
        </w:rPr>
      </w:pPr>
      <w:bookmarkStart w:id="39" w:name="_Toc361989305"/>
      <w:r>
        <w:rPr>
          <w:rStyle w:val="CharSectno"/>
        </w:rPr>
        <w:t>4</w:t>
      </w:r>
      <w:r>
        <w:rPr>
          <w:snapToGrid w:val="0"/>
        </w:rPr>
        <w:t>.</w:t>
      </w:r>
      <w:r>
        <w:rPr>
          <w:snapToGrid w:val="0"/>
        </w:rPr>
        <w:tab/>
        <w:t>Other laws not affected</w:t>
      </w:r>
      <w:bookmarkEnd w:id="37"/>
      <w:bookmarkEnd w:id="38"/>
      <w:bookmarkEnd w:id="39"/>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40" w:name="_Toc491754400"/>
      <w:bookmarkStart w:id="41" w:name="_Toc90459264"/>
      <w:bookmarkStart w:id="42" w:name="_Toc361989306"/>
      <w:r>
        <w:rPr>
          <w:rStyle w:val="CharSectno"/>
        </w:rPr>
        <w:t>5</w:t>
      </w:r>
      <w:r>
        <w:rPr>
          <w:snapToGrid w:val="0"/>
        </w:rPr>
        <w:t>.</w:t>
      </w:r>
      <w:r>
        <w:rPr>
          <w:snapToGrid w:val="0"/>
        </w:rPr>
        <w:tab/>
        <w:t>Routes to which this Code applies</w:t>
      </w:r>
      <w:bookmarkEnd w:id="40"/>
      <w:bookmarkEnd w:id="41"/>
      <w:bookmarkEnd w:id="42"/>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43" w:name="_Toc491754401"/>
      <w:r>
        <w:tab/>
        <w:t>[Section 5 amended in Gazette 23 Jul 2004 p. 2989.]</w:t>
      </w:r>
    </w:p>
    <w:p>
      <w:pPr>
        <w:pStyle w:val="Heading2"/>
      </w:pPr>
      <w:bookmarkStart w:id="44" w:name="_Toc233600728"/>
      <w:bookmarkStart w:id="45" w:name="_Toc245093094"/>
      <w:bookmarkStart w:id="46" w:name="_Toc247424012"/>
      <w:bookmarkStart w:id="47" w:name="_Toc248824538"/>
      <w:bookmarkStart w:id="48" w:name="_Toc248824762"/>
      <w:bookmarkStart w:id="49" w:name="_Toc249156982"/>
      <w:bookmarkStart w:id="50" w:name="_Toc253476470"/>
      <w:bookmarkStart w:id="51" w:name="_Toc304214815"/>
      <w:bookmarkStart w:id="52" w:name="_Toc304214913"/>
      <w:bookmarkStart w:id="53" w:name="_Toc304282326"/>
      <w:bookmarkStart w:id="54" w:name="_Toc361989307"/>
      <w:bookmarkStart w:id="55" w:name="_Toc78272840"/>
      <w:bookmarkStart w:id="56" w:name="_Toc78274309"/>
      <w:bookmarkStart w:id="57" w:name="_Toc90459106"/>
      <w:bookmarkStart w:id="58" w:name="_Toc90459266"/>
      <w:bookmarkStart w:id="59" w:name="_Toc202173085"/>
      <w:bookmarkStart w:id="60" w:name="_Toc202173177"/>
      <w:bookmarkStart w:id="61" w:name="_Toc202173664"/>
      <w:bookmarkStart w:id="62" w:name="_Toc202173836"/>
      <w:bookmarkEnd w:id="43"/>
      <w:r>
        <w:rPr>
          <w:rStyle w:val="CharPartNo"/>
        </w:rPr>
        <w:t>Part 2A</w:t>
      </w:r>
      <w:r>
        <w:rPr>
          <w:b w:val="0"/>
        </w:rPr>
        <w:t> </w:t>
      </w:r>
      <w:r>
        <w:t>—</w:t>
      </w:r>
      <w:r>
        <w:rPr>
          <w:b w:val="0"/>
        </w:rPr>
        <w:t> </w:t>
      </w:r>
      <w:r>
        <w:rPr>
          <w:rStyle w:val="CharPartText"/>
        </w:rPr>
        <w:t>Publication of information</w:t>
      </w:r>
      <w:bookmarkEnd w:id="44"/>
      <w:bookmarkEnd w:id="45"/>
      <w:bookmarkEnd w:id="46"/>
      <w:bookmarkEnd w:id="47"/>
      <w:bookmarkEnd w:id="48"/>
      <w:bookmarkEnd w:id="49"/>
      <w:bookmarkEnd w:id="50"/>
      <w:bookmarkEnd w:id="51"/>
      <w:bookmarkEnd w:id="52"/>
      <w:bookmarkEnd w:id="53"/>
      <w:bookmarkEnd w:id="54"/>
    </w:p>
    <w:p>
      <w:pPr>
        <w:pStyle w:val="Footnoteheading"/>
      </w:pPr>
      <w:r>
        <w:tab/>
        <w:t>[Heading inserted in Gazette 23 Jun 2009 p. 2411.]</w:t>
      </w:r>
    </w:p>
    <w:p>
      <w:pPr>
        <w:pStyle w:val="Heading5"/>
      </w:pPr>
      <w:bookmarkStart w:id="63" w:name="_Toc361989308"/>
      <w:r>
        <w:rPr>
          <w:rStyle w:val="CharSectno"/>
        </w:rPr>
        <w:t>6</w:t>
      </w:r>
      <w:r>
        <w:t>.</w:t>
      </w:r>
      <w:r>
        <w:tab/>
        <w:t>Terms used</w:t>
      </w:r>
      <w:bookmarkEnd w:id="63"/>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in Gazette 23 Jun 2009 p. 2411.]</w:t>
      </w:r>
    </w:p>
    <w:p>
      <w:pPr>
        <w:pStyle w:val="Heading5"/>
      </w:pPr>
      <w:bookmarkStart w:id="64" w:name="_Toc361989309"/>
      <w:r>
        <w:rPr>
          <w:rStyle w:val="CharSectno"/>
        </w:rPr>
        <w:t>7A</w:t>
      </w:r>
      <w:r>
        <w:t>.</w:t>
      </w:r>
      <w:r>
        <w:tab/>
        <w:t>Information to be published in hard copy format</w:t>
      </w:r>
      <w:bookmarkEnd w:id="64"/>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 in Gazette 23 Jun 2009 p. 2411.]</w:t>
      </w:r>
    </w:p>
    <w:p>
      <w:pPr>
        <w:pStyle w:val="Heading5"/>
      </w:pPr>
      <w:bookmarkStart w:id="65" w:name="_Toc361989310"/>
      <w:r>
        <w:rPr>
          <w:rStyle w:val="CharSectno"/>
        </w:rPr>
        <w:t>7B</w:t>
      </w:r>
      <w:r>
        <w:t>.</w:t>
      </w:r>
      <w:r>
        <w:tab/>
        <w:t>Regulator may grant exemption for information about freight carried</w:t>
      </w:r>
      <w:bookmarkEnd w:id="65"/>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in Gazette 23 Jun 2009 p. 2412.]</w:t>
      </w:r>
    </w:p>
    <w:p>
      <w:pPr>
        <w:pStyle w:val="Heading5"/>
      </w:pPr>
      <w:bookmarkStart w:id="66" w:name="_Toc361989311"/>
      <w:r>
        <w:rPr>
          <w:rStyle w:val="CharSectno"/>
        </w:rPr>
        <w:t>7C</w:t>
      </w:r>
      <w:r>
        <w:t>.</w:t>
      </w:r>
      <w:r>
        <w:tab/>
        <w:t>Information to be kept up</w:t>
      </w:r>
      <w:r>
        <w:noBreakHyphen/>
        <w:t>to</w:t>
      </w:r>
      <w:r>
        <w:noBreakHyphen/>
        <w:t>date</w:t>
      </w:r>
      <w:bookmarkEnd w:id="66"/>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 in Gazette 23 Jun 2009 p. 2412.]</w:t>
      </w:r>
    </w:p>
    <w:p>
      <w:pPr>
        <w:pStyle w:val="Heading5"/>
      </w:pPr>
      <w:bookmarkStart w:id="67" w:name="_Toc361989312"/>
      <w:r>
        <w:rPr>
          <w:rStyle w:val="CharSectno"/>
        </w:rPr>
        <w:t>7D</w:t>
      </w:r>
      <w:r>
        <w:t>.</w:t>
      </w:r>
      <w:r>
        <w:tab/>
        <w:t>Particular provision for information as to gross tonnages and tonnages of freight</w:t>
      </w:r>
      <w:bookmarkEnd w:id="67"/>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 7D inserted in Gazette 23 Jun 2009 p. 2412</w:t>
      </w:r>
      <w:r>
        <w:noBreakHyphen/>
        <w:t>13.]</w:t>
      </w:r>
    </w:p>
    <w:p>
      <w:pPr>
        <w:pStyle w:val="Heading5"/>
      </w:pPr>
      <w:bookmarkStart w:id="68" w:name="_Toc361989313"/>
      <w:r>
        <w:rPr>
          <w:rStyle w:val="CharSectno"/>
        </w:rPr>
        <w:t>7E</w:t>
      </w:r>
      <w:r>
        <w:t>.</w:t>
      </w:r>
      <w:r>
        <w:tab/>
        <w:t>Particular provision for information as to proposed improvements and capital works</w:t>
      </w:r>
      <w:bookmarkEnd w:id="68"/>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in Gazette 23 Jun 2009 p. 2413.]</w:t>
      </w:r>
    </w:p>
    <w:p>
      <w:pPr>
        <w:pStyle w:val="Heading2"/>
      </w:pPr>
      <w:bookmarkStart w:id="69" w:name="_Toc233600735"/>
      <w:bookmarkStart w:id="70" w:name="_Toc245093101"/>
      <w:bookmarkStart w:id="71" w:name="_Toc247424019"/>
      <w:bookmarkStart w:id="72" w:name="_Toc248824545"/>
      <w:bookmarkStart w:id="73" w:name="_Toc248824769"/>
      <w:bookmarkStart w:id="74" w:name="_Toc249156989"/>
      <w:bookmarkStart w:id="75" w:name="_Toc253476477"/>
      <w:bookmarkStart w:id="76" w:name="_Toc304214822"/>
      <w:bookmarkStart w:id="77" w:name="_Toc304214920"/>
      <w:bookmarkStart w:id="78" w:name="_Toc304282333"/>
      <w:bookmarkStart w:id="79" w:name="_Toc361989314"/>
      <w:r>
        <w:rPr>
          <w:rStyle w:val="CharPartNo"/>
        </w:rPr>
        <w:t>Part 2</w:t>
      </w:r>
      <w:r>
        <w:rPr>
          <w:rStyle w:val="CharDivNo"/>
        </w:rPr>
        <w:t xml:space="preserve"> </w:t>
      </w:r>
      <w:r>
        <w:t>—</w:t>
      </w:r>
      <w:r>
        <w:rPr>
          <w:rStyle w:val="CharDivText"/>
        </w:rPr>
        <w:t xml:space="preserve"> </w:t>
      </w:r>
      <w:r>
        <w:rPr>
          <w:rStyle w:val="CharPartText"/>
        </w:rPr>
        <w:t>Proposals for access</w:t>
      </w:r>
      <w:bookmarkEnd w:id="55"/>
      <w:bookmarkEnd w:id="56"/>
      <w:bookmarkEnd w:id="57"/>
      <w:bookmarkEnd w:id="58"/>
      <w:bookmarkEnd w:id="59"/>
      <w:bookmarkEnd w:id="60"/>
      <w:bookmarkEnd w:id="61"/>
      <w:bookmarkEnd w:id="62"/>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491754402"/>
      <w:bookmarkStart w:id="81" w:name="_Toc90459267"/>
      <w:bookmarkStart w:id="82" w:name="_Toc361989315"/>
      <w:r>
        <w:rPr>
          <w:rStyle w:val="CharSectno"/>
        </w:rPr>
        <w:t>7</w:t>
      </w:r>
      <w:r>
        <w:rPr>
          <w:snapToGrid w:val="0"/>
        </w:rPr>
        <w:t>.</w:t>
      </w:r>
      <w:r>
        <w:rPr>
          <w:snapToGrid w:val="0"/>
        </w:rPr>
        <w:tab/>
        <w:t>Preliminary information</w:t>
      </w:r>
      <w:bookmarkEnd w:id="80"/>
      <w:bookmarkEnd w:id="81"/>
      <w:bookmarkEnd w:id="82"/>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 7 amended in Gazette 23 Jun 2009 p. 2413</w:t>
      </w:r>
      <w:r>
        <w:noBreakHyphen/>
        <w:t>14.]</w:t>
      </w:r>
    </w:p>
    <w:p>
      <w:pPr>
        <w:pStyle w:val="Heading5"/>
        <w:rPr>
          <w:snapToGrid w:val="0"/>
        </w:rPr>
      </w:pPr>
      <w:bookmarkStart w:id="83" w:name="_Toc491754403"/>
      <w:bookmarkStart w:id="84" w:name="_Toc90459268"/>
      <w:bookmarkStart w:id="85" w:name="_Toc361989316"/>
      <w:r>
        <w:rPr>
          <w:rStyle w:val="CharSectno"/>
        </w:rPr>
        <w:t>8</w:t>
      </w:r>
      <w:r>
        <w:rPr>
          <w:snapToGrid w:val="0"/>
        </w:rPr>
        <w:t>.</w:t>
      </w:r>
      <w:r>
        <w:rPr>
          <w:snapToGrid w:val="0"/>
        </w:rPr>
        <w:tab/>
        <w:t>Proposals for access</w:t>
      </w:r>
      <w:bookmarkEnd w:id="83"/>
      <w:bookmarkEnd w:id="84"/>
      <w:bookmarkEnd w:id="85"/>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bookmarkStart w:id="86" w:name="_Toc491754404"/>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 23 Jun 2009 p. 2414.]</w:t>
      </w:r>
    </w:p>
    <w:p>
      <w:pPr>
        <w:pStyle w:val="Heading5"/>
      </w:pPr>
      <w:bookmarkStart w:id="87" w:name="_Toc361989317"/>
      <w:bookmarkStart w:id="88" w:name="_Toc90459269"/>
      <w:r>
        <w:rPr>
          <w:rStyle w:val="CharSectno"/>
        </w:rPr>
        <w:t>9A</w:t>
      </w:r>
      <w:r>
        <w:t>.</w:t>
      </w:r>
      <w:r>
        <w:tab/>
        <w:t>Withdrawal of proposal</w:t>
      </w:r>
      <w:bookmarkEnd w:id="87"/>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in Gazette 23 Jun 2009 p. 2415</w:t>
      </w:r>
      <w:r>
        <w:noBreakHyphen/>
        <w:t>16.]</w:t>
      </w:r>
    </w:p>
    <w:p>
      <w:pPr>
        <w:pStyle w:val="Heading5"/>
        <w:pageBreakBefore/>
        <w:rPr>
          <w:snapToGrid w:val="0"/>
        </w:rPr>
      </w:pPr>
      <w:bookmarkStart w:id="89" w:name="_Toc361989318"/>
      <w:r>
        <w:rPr>
          <w:rStyle w:val="CharSectno"/>
        </w:rPr>
        <w:t>9</w:t>
      </w:r>
      <w:r>
        <w:rPr>
          <w:snapToGrid w:val="0"/>
        </w:rPr>
        <w:t>.</w:t>
      </w:r>
      <w:r>
        <w:rPr>
          <w:snapToGrid w:val="0"/>
        </w:rPr>
        <w:tab/>
        <w:t>Railway owner’s obligations on receipt of proposal</w:t>
      </w:r>
      <w:bookmarkEnd w:id="86"/>
      <w:bookmarkEnd w:id="88"/>
      <w:bookmarkEnd w:id="89"/>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bookmarkStart w:id="90" w:name="_Toc491754405"/>
      <w:r>
        <w:tab/>
        <w:t>[Section 9 amended in Gazette 23 Jul 2004 p. 2990</w:t>
      </w:r>
      <w:r>
        <w:noBreakHyphen/>
        <w:t>1; 23 Jun 2009 p. 2416.]</w:t>
      </w:r>
    </w:p>
    <w:p>
      <w:pPr>
        <w:pStyle w:val="Heading5"/>
        <w:rPr>
          <w:snapToGrid w:val="0"/>
        </w:rPr>
      </w:pPr>
      <w:bookmarkStart w:id="91" w:name="_Toc90459270"/>
      <w:bookmarkStart w:id="92" w:name="_Toc361989319"/>
      <w:r>
        <w:rPr>
          <w:rStyle w:val="CharSectno"/>
        </w:rPr>
        <w:t>10</w:t>
      </w:r>
      <w:r>
        <w:rPr>
          <w:snapToGrid w:val="0"/>
        </w:rPr>
        <w:t>.</w:t>
      </w:r>
      <w:r>
        <w:rPr>
          <w:snapToGrid w:val="0"/>
        </w:rPr>
        <w:tab/>
        <w:t>Regulator’s approval required in certain cases</w:t>
      </w:r>
      <w:bookmarkEnd w:id="90"/>
      <w:bookmarkEnd w:id="91"/>
      <w:bookmarkEnd w:id="9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keepNext/>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spacing w:before="180"/>
        <w:rPr>
          <w:snapToGrid w:val="0"/>
        </w:rPr>
      </w:pPr>
      <w:bookmarkStart w:id="93" w:name="_Toc491754406"/>
      <w:bookmarkStart w:id="94" w:name="_Toc90459271"/>
      <w:bookmarkStart w:id="95" w:name="_Toc361989320"/>
      <w:r>
        <w:rPr>
          <w:rStyle w:val="CharSectno"/>
        </w:rPr>
        <w:t>11</w:t>
      </w:r>
      <w:r>
        <w:rPr>
          <w:snapToGrid w:val="0"/>
        </w:rPr>
        <w:t>.</w:t>
      </w:r>
      <w:r>
        <w:rPr>
          <w:snapToGrid w:val="0"/>
        </w:rPr>
        <w:tab/>
        <w:t>Time limits applicable to section 10</w:t>
      </w:r>
      <w:bookmarkEnd w:id="93"/>
      <w:bookmarkEnd w:id="94"/>
      <w:bookmarkEnd w:id="95"/>
    </w:p>
    <w:p>
      <w:pPr>
        <w:pStyle w:val="Subsection"/>
        <w:spacing w:before="120"/>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spacing w:before="120"/>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spacing w:before="180"/>
        <w:rPr>
          <w:snapToGrid w:val="0"/>
        </w:rPr>
      </w:pPr>
      <w:bookmarkStart w:id="96" w:name="_Toc491754407"/>
      <w:bookmarkStart w:id="97" w:name="_Toc90459272"/>
      <w:bookmarkStart w:id="98" w:name="_Toc361989321"/>
      <w:r>
        <w:rPr>
          <w:rStyle w:val="CharSectno"/>
        </w:rPr>
        <w:t>12</w:t>
      </w:r>
      <w:r>
        <w:rPr>
          <w:snapToGrid w:val="0"/>
        </w:rPr>
        <w:t>.</w:t>
      </w:r>
      <w:r>
        <w:rPr>
          <w:snapToGrid w:val="0"/>
        </w:rPr>
        <w:tab/>
        <w:t>Record of proposals to be kept</w:t>
      </w:r>
      <w:bookmarkEnd w:id="96"/>
      <w:bookmarkEnd w:id="97"/>
      <w:bookmarkEnd w:id="98"/>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Heading2"/>
      </w:pPr>
      <w:bookmarkStart w:id="99" w:name="_Toc78272847"/>
      <w:bookmarkStart w:id="100" w:name="_Toc78274316"/>
      <w:bookmarkStart w:id="101" w:name="_Toc90459113"/>
      <w:bookmarkStart w:id="102" w:name="_Toc90459273"/>
      <w:bookmarkStart w:id="103" w:name="_Toc202173092"/>
      <w:bookmarkStart w:id="104" w:name="_Toc202173184"/>
      <w:bookmarkStart w:id="105" w:name="_Toc202173671"/>
      <w:bookmarkStart w:id="106" w:name="_Toc202173843"/>
      <w:bookmarkStart w:id="107" w:name="_Toc233600743"/>
      <w:bookmarkStart w:id="108" w:name="_Toc245093109"/>
      <w:bookmarkStart w:id="109" w:name="_Toc247424027"/>
      <w:bookmarkStart w:id="110" w:name="_Toc248824553"/>
      <w:bookmarkStart w:id="111" w:name="_Toc248824777"/>
      <w:bookmarkStart w:id="112" w:name="_Toc249156997"/>
      <w:bookmarkStart w:id="113" w:name="_Toc253476485"/>
      <w:bookmarkStart w:id="114" w:name="_Toc304214830"/>
      <w:bookmarkStart w:id="115" w:name="_Toc304214928"/>
      <w:bookmarkStart w:id="116" w:name="_Toc304282341"/>
      <w:bookmarkStart w:id="117" w:name="_Toc361989322"/>
      <w:r>
        <w:rPr>
          <w:rStyle w:val="CharPartNo"/>
        </w:rPr>
        <w:t>Part 3</w:t>
      </w:r>
      <w:r>
        <w:t xml:space="preserve"> — </w:t>
      </w:r>
      <w:r>
        <w:rPr>
          <w:rStyle w:val="CharPartText"/>
        </w:rPr>
        <w:t>Negotiations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3"/>
      </w:pPr>
      <w:bookmarkStart w:id="118" w:name="_Toc78272848"/>
      <w:bookmarkStart w:id="119" w:name="_Toc78274317"/>
      <w:bookmarkStart w:id="120" w:name="_Toc90459114"/>
      <w:bookmarkStart w:id="121" w:name="_Toc90459274"/>
      <w:bookmarkStart w:id="122" w:name="_Toc202173093"/>
      <w:bookmarkStart w:id="123" w:name="_Toc202173185"/>
      <w:bookmarkStart w:id="124" w:name="_Toc202173672"/>
      <w:bookmarkStart w:id="125" w:name="_Toc202173844"/>
      <w:bookmarkStart w:id="126" w:name="_Toc233600744"/>
      <w:bookmarkStart w:id="127" w:name="_Toc245093110"/>
      <w:bookmarkStart w:id="128" w:name="_Toc247424028"/>
      <w:bookmarkStart w:id="129" w:name="_Toc248824554"/>
      <w:bookmarkStart w:id="130" w:name="_Toc248824778"/>
      <w:bookmarkStart w:id="131" w:name="_Toc249156998"/>
      <w:bookmarkStart w:id="132" w:name="_Toc253476486"/>
      <w:bookmarkStart w:id="133" w:name="_Toc304214831"/>
      <w:bookmarkStart w:id="134" w:name="_Toc304214929"/>
      <w:bookmarkStart w:id="135" w:name="_Toc304282342"/>
      <w:bookmarkStart w:id="136" w:name="_Toc361989323"/>
      <w:r>
        <w:rPr>
          <w:rStyle w:val="CharDivNo"/>
        </w:rPr>
        <w:t>Division 1</w:t>
      </w:r>
      <w:r>
        <w:rPr>
          <w:snapToGrid w:val="0"/>
        </w:rPr>
        <w:t xml:space="preserve"> — </w:t>
      </w:r>
      <w:r>
        <w:rPr>
          <w:rStyle w:val="CharDivText"/>
        </w:rPr>
        <w:t>When duty to negotiate arises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491754408"/>
      <w:bookmarkStart w:id="138" w:name="_Toc90459275"/>
      <w:bookmarkStart w:id="139" w:name="_Toc361989324"/>
      <w:r>
        <w:rPr>
          <w:rStyle w:val="CharSectno"/>
        </w:rPr>
        <w:t>13</w:t>
      </w:r>
      <w:r>
        <w:rPr>
          <w:snapToGrid w:val="0"/>
        </w:rPr>
        <w:t>.</w:t>
      </w:r>
      <w:r>
        <w:rPr>
          <w:snapToGrid w:val="0"/>
        </w:rPr>
        <w:tab/>
        <w:t>Duty of railway owner to negotiate</w:t>
      </w:r>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140" w:name="_Toc491754409"/>
      <w:bookmarkStart w:id="141" w:name="_Toc90459276"/>
      <w:bookmarkStart w:id="142" w:name="_Toc361989325"/>
      <w:r>
        <w:rPr>
          <w:rStyle w:val="CharSectno"/>
        </w:rPr>
        <w:t>14</w:t>
      </w:r>
      <w:r>
        <w:rPr>
          <w:snapToGrid w:val="0"/>
        </w:rPr>
        <w:t>.</w:t>
      </w:r>
      <w:r>
        <w:rPr>
          <w:snapToGrid w:val="0"/>
        </w:rPr>
        <w:tab/>
        <w:t>Proponent must show it has managerial and financial ability</w:t>
      </w:r>
      <w:bookmarkEnd w:id="140"/>
      <w:bookmarkEnd w:id="141"/>
      <w:bookmarkEnd w:id="142"/>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keepNext/>
        <w:keepLines/>
        <w:rPr>
          <w:snapToGrid w:val="0"/>
        </w:rPr>
      </w:pPr>
      <w:r>
        <w:rPr>
          <w:snapToGrid w:val="0"/>
        </w:rPr>
        <w:tab/>
        <w:t>(2)</w:t>
      </w:r>
      <w:r>
        <w:rPr>
          <w:snapToGrid w:val="0"/>
        </w:rPr>
        <w:tab/>
        <w:t>In subsection (1)(b) — </w:t>
      </w:r>
    </w:p>
    <w:p>
      <w:pPr>
        <w:pStyle w:val="Defstart"/>
        <w:keepNext/>
        <w:keepLines/>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143" w:name="_Toc491754410"/>
      <w:r>
        <w:tab/>
        <w:t>[Section 14 amended in Gazette 23 Jul 2004 p. 2991.]</w:t>
      </w:r>
    </w:p>
    <w:p>
      <w:pPr>
        <w:pStyle w:val="Heading5"/>
      </w:pPr>
      <w:bookmarkStart w:id="144" w:name="_Toc90459277"/>
      <w:bookmarkStart w:id="145" w:name="_Toc361989326"/>
      <w:bookmarkEnd w:id="143"/>
      <w:r>
        <w:rPr>
          <w:rStyle w:val="CharSectno"/>
        </w:rPr>
        <w:t>15</w:t>
      </w:r>
      <w:r>
        <w:t>.</w:t>
      </w:r>
      <w:r>
        <w:tab/>
        <w:t>Proponent must show that its operations are within the capacity of the route or expanded route</w:t>
      </w:r>
      <w:bookmarkEnd w:id="144"/>
      <w:bookmarkEnd w:id="145"/>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keepNext/>
      </w:pPr>
      <w:r>
        <w:tab/>
        <w:t>(b)</w:t>
      </w:r>
      <w:r>
        <w:tab/>
        <w:t>will be consistent with the carrying on of safe and reliable rail operations on the route.</w:t>
      </w:r>
    </w:p>
    <w:p>
      <w:pPr>
        <w:pStyle w:val="Footnotesection"/>
      </w:pPr>
      <w:r>
        <w:tab/>
        <w:t>[Section 15 inserted in Gazette 23 Jul 2004 p. 2991</w:t>
      </w:r>
      <w:r>
        <w:noBreakHyphen/>
        <w:t>2.]</w:t>
      </w:r>
    </w:p>
    <w:p>
      <w:pPr>
        <w:pStyle w:val="Heading3"/>
      </w:pPr>
      <w:bookmarkStart w:id="146" w:name="_Toc78272852"/>
      <w:bookmarkStart w:id="147" w:name="_Toc78274321"/>
      <w:bookmarkStart w:id="148" w:name="_Toc90459118"/>
      <w:bookmarkStart w:id="149" w:name="_Toc90459278"/>
      <w:bookmarkStart w:id="150" w:name="_Toc202173097"/>
      <w:bookmarkStart w:id="151" w:name="_Toc202173189"/>
      <w:bookmarkStart w:id="152" w:name="_Toc202173676"/>
      <w:bookmarkStart w:id="153" w:name="_Toc202173848"/>
      <w:bookmarkStart w:id="154" w:name="_Toc233600748"/>
      <w:bookmarkStart w:id="155" w:name="_Toc245093114"/>
      <w:bookmarkStart w:id="156" w:name="_Toc247424032"/>
      <w:bookmarkStart w:id="157" w:name="_Toc248824558"/>
      <w:bookmarkStart w:id="158" w:name="_Toc248824782"/>
      <w:bookmarkStart w:id="159" w:name="_Toc249157002"/>
      <w:bookmarkStart w:id="160" w:name="_Toc253476490"/>
      <w:bookmarkStart w:id="161" w:name="_Toc304214835"/>
      <w:bookmarkStart w:id="162" w:name="_Toc304214933"/>
      <w:bookmarkStart w:id="163" w:name="_Toc304282346"/>
      <w:bookmarkStart w:id="164" w:name="_Toc361989327"/>
      <w:r>
        <w:rPr>
          <w:rStyle w:val="CharDivNo"/>
        </w:rPr>
        <w:t>Division 2</w:t>
      </w:r>
      <w:r>
        <w:rPr>
          <w:snapToGrid w:val="0"/>
        </w:rPr>
        <w:t xml:space="preserve"> — </w:t>
      </w:r>
      <w:r>
        <w:rPr>
          <w:rStyle w:val="CharDivText"/>
        </w:rPr>
        <w:t>Negotiations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491754411"/>
      <w:bookmarkStart w:id="166" w:name="_Toc90459279"/>
      <w:bookmarkStart w:id="167" w:name="_Toc361989328"/>
      <w:r>
        <w:rPr>
          <w:rStyle w:val="CharSectno"/>
        </w:rPr>
        <w:t>16</w:t>
      </w:r>
      <w:r>
        <w:rPr>
          <w:snapToGrid w:val="0"/>
        </w:rPr>
        <w:t>.</w:t>
      </w:r>
      <w:r>
        <w:rPr>
          <w:snapToGrid w:val="0"/>
        </w:rPr>
        <w:tab/>
        <w:t>General duties of railway owner in negotiations</w:t>
      </w:r>
      <w:bookmarkEnd w:id="165"/>
      <w:bookmarkEnd w:id="166"/>
      <w:bookmarkEnd w:id="167"/>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keepNext w:val="0"/>
        <w:keepLines w:val="0"/>
        <w:rPr>
          <w:snapToGrid w:val="0"/>
        </w:rPr>
      </w:pPr>
      <w:bookmarkStart w:id="168" w:name="_Toc491754412"/>
      <w:bookmarkStart w:id="169" w:name="_Toc90459280"/>
      <w:bookmarkStart w:id="170" w:name="_Toc361989329"/>
      <w:r>
        <w:rPr>
          <w:rStyle w:val="CharSectno"/>
        </w:rPr>
        <w:t>17</w:t>
      </w:r>
      <w:r>
        <w:rPr>
          <w:snapToGrid w:val="0"/>
        </w:rPr>
        <w:t>.</w:t>
      </w:r>
      <w:r>
        <w:rPr>
          <w:snapToGrid w:val="0"/>
        </w:rPr>
        <w:tab/>
        <w:t>Matters that must be covered</w:t>
      </w:r>
      <w:bookmarkEnd w:id="168"/>
      <w:bookmarkEnd w:id="169"/>
      <w:bookmarkEnd w:id="170"/>
      <w:r>
        <w:rPr>
          <w:snapToGrid w:val="0"/>
        </w:rPr>
        <w:t xml:space="preserve"> </w:t>
      </w:r>
    </w:p>
    <w:p>
      <w:pPr>
        <w:pStyle w:val="Subsection"/>
        <w:rPr>
          <w:snapToGrid w:val="0"/>
        </w:rPr>
      </w:pPr>
      <w:r>
        <w:rPr>
          <w:snapToGrid w:val="0"/>
        </w:rPr>
        <w:tab/>
        <w:t>(1)</w:t>
      </w:r>
      <w:r>
        <w:rPr>
          <w:snapToGrid w:val="0"/>
        </w:rPr>
        <w:tab/>
        <w:t>In negotiating an access agreement the railway owner and the proponent must — </w:t>
      </w:r>
    </w:p>
    <w:p>
      <w:pPr>
        <w:pStyle w:val="Indenta"/>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171" w:name="_Toc491754413"/>
      <w:bookmarkStart w:id="172" w:name="_Toc90459281"/>
      <w:bookmarkStart w:id="173" w:name="_Toc361989330"/>
      <w:r>
        <w:rPr>
          <w:rStyle w:val="CharSectno"/>
        </w:rPr>
        <w:t>18</w:t>
      </w:r>
      <w:r>
        <w:rPr>
          <w:snapToGrid w:val="0"/>
        </w:rPr>
        <w:t>.</w:t>
      </w:r>
      <w:r>
        <w:rPr>
          <w:snapToGrid w:val="0"/>
        </w:rPr>
        <w:tab/>
        <w:t>Sufficiency of information under sections 14 and 15</w:t>
      </w:r>
      <w:bookmarkEnd w:id="171"/>
      <w:bookmarkEnd w:id="172"/>
      <w:bookmarkEnd w:id="173"/>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174" w:name="_Toc491754414"/>
      <w:bookmarkStart w:id="175" w:name="_Toc90459282"/>
      <w:bookmarkStart w:id="176" w:name="_Toc361989331"/>
      <w:r>
        <w:rPr>
          <w:rStyle w:val="CharSectno"/>
        </w:rPr>
        <w:t>19</w:t>
      </w:r>
      <w:r>
        <w:rPr>
          <w:snapToGrid w:val="0"/>
        </w:rPr>
        <w:t>.</w:t>
      </w:r>
      <w:r>
        <w:rPr>
          <w:snapToGrid w:val="0"/>
        </w:rPr>
        <w:tab/>
        <w:t>Notice of readiness to commence negotiations</w:t>
      </w:r>
      <w:bookmarkEnd w:id="174"/>
      <w:bookmarkEnd w:id="175"/>
      <w:bookmarkEnd w:id="176"/>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177" w:name="_Toc491754415"/>
      <w:bookmarkStart w:id="178" w:name="_Toc90459283"/>
      <w:bookmarkStart w:id="179" w:name="_Toc361989332"/>
      <w:r>
        <w:rPr>
          <w:rStyle w:val="CharSectno"/>
        </w:rPr>
        <w:t>20</w:t>
      </w:r>
      <w:r>
        <w:rPr>
          <w:snapToGrid w:val="0"/>
        </w:rPr>
        <w:t>.</w:t>
      </w:r>
      <w:r>
        <w:rPr>
          <w:snapToGrid w:val="0"/>
        </w:rPr>
        <w:tab/>
        <w:t>Negotiation period</w:t>
      </w:r>
      <w:bookmarkEnd w:id="177"/>
      <w:bookmarkEnd w:id="178"/>
      <w:bookmarkEnd w:id="179"/>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180" w:name="_Toc491754416"/>
      <w:bookmarkStart w:id="181" w:name="_Toc90459284"/>
      <w:bookmarkStart w:id="182" w:name="_Toc361989333"/>
      <w:r>
        <w:rPr>
          <w:rStyle w:val="CharSectno"/>
        </w:rPr>
        <w:t>21</w:t>
      </w:r>
      <w:r>
        <w:rPr>
          <w:snapToGrid w:val="0"/>
        </w:rPr>
        <w:t>.</w:t>
      </w:r>
      <w:r>
        <w:rPr>
          <w:snapToGrid w:val="0"/>
        </w:rPr>
        <w:tab/>
        <w:t>Regulator may give opinion on price sought for access</w:t>
      </w:r>
      <w:bookmarkEnd w:id="180"/>
      <w:bookmarkEnd w:id="181"/>
      <w:bookmarkEnd w:id="182"/>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183" w:name="_Toc78272859"/>
      <w:bookmarkStart w:id="184" w:name="_Toc78274328"/>
      <w:bookmarkStart w:id="185" w:name="_Toc90459125"/>
      <w:bookmarkStart w:id="186" w:name="_Toc90459285"/>
      <w:bookmarkStart w:id="187" w:name="_Toc202173104"/>
      <w:bookmarkStart w:id="188" w:name="_Toc202173196"/>
      <w:bookmarkStart w:id="189" w:name="_Toc202173683"/>
      <w:bookmarkStart w:id="190" w:name="_Toc202173855"/>
      <w:bookmarkStart w:id="191" w:name="_Toc233600755"/>
      <w:bookmarkStart w:id="192" w:name="_Toc245093121"/>
      <w:bookmarkStart w:id="193" w:name="_Toc247424039"/>
      <w:bookmarkStart w:id="194" w:name="_Toc248824565"/>
      <w:bookmarkStart w:id="195" w:name="_Toc248824789"/>
      <w:bookmarkStart w:id="196" w:name="_Toc249157009"/>
      <w:bookmarkStart w:id="197" w:name="_Toc253476497"/>
      <w:bookmarkStart w:id="198" w:name="_Toc304214842"/>
      <w:bookmarkStart w:id="199" w:name="_Toc304214940"/>
      <w:bookmarkStart w:id="200" w:name="_Toc304282353"/>
      <w:bookmarkStart w:id="201" w:name="_Toc361989334"/>
      <w:r>
        <w:rPr>
          <w:rStyle w:val="CharDivNo"/>
        </w:rPr>
        <w:t>Division 3</w:t>
      </w:r>
      <w:r>
        <w:rPr>
          <w:snapToGrid w:val="0"/>
        </w:rPr>
        <w:t xml:space="preserve"> — </w:t>
      </w:r>
      <w:r>
        <w:rPr>
          <w:rStyle w:val="CharDivText"/>
        </w:rPr>
        <w:t>Arbitration of disputes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91754417"/>
      <w:bookmarkStart w:id="203" w:name="_Toc90459286"/>
      <w:bookmarkStart w:id="204" w:name="_Toc361989335"/>
      <w:r>
        <w:rPr>
          <w:rStyle w:val="CharSectno"/>
        </w:rPr>
        <w:t>22</w:t>
      </w:r>
      <w:r>
        <w:rPr>
          <w:snapToGrid w:val="0"/>
        </w:rPr>
        <w:t>.</w:t>
      </w:r>
      <w:r>
        <w:rPr>
          <w:snapToGrid w:val="0"/>
        </w:rPr>
        <w:tab/>
      </w:r>
      <w:bookmarkEnd w:id="202"/>
      <w:bookmarkEnd w:id="203"/>
      <w:r>
        <w:rPr>
          <w:snapToGrid w:val="0"/>
        </w:rPr>
        <w:t>Terms used</w:t>
      </w:r>
      <w:bookmarkEnd w:id="20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Heading5"/>
      </w:pPr>
      <w:bookmarkStart w:id="205" w:name="_Toc491754418"/>
      <w:bookmarkStart w:id="206" w:name="_Toc90459287"/>
      <w:bookmarkStart w:id="207" w:name="_Toc361989336"/>
      <w:r>
        <w:rPr>
          <w:rStyle w:val="CharSectno"/>
        </w:rPr>
        <w:t>23</w:t>
      </w:r>
      <w:r>
        <w:t>.</w:t>
      </w:r>
      <w:r>
        <w:tab/>
        <w:t>Availability of mediation etc.</w:t>
      </w:r>
      <w:bookmarkEnd w:id="205"/>
      <w:bookmarkEnd w:id="206"/>
      <w:bookmarkEnd w:id="207"/>
    </w:p>
    <w:p>
      <w:pPr>
        <w:pStyle w:val="Subsection"/>
        <w:rPr>
          <w:snapToGrid w:val="0"/>
        </w:rPr>
      </w:pPr>
      <w:r>
        <w:rPr>
          <w:snapToGrid w:val="0"/>
        </w:rPr>
        <w:tab/>
      </w:r>
      <w:r>
        <w:rPr>
          <w:snapToGrid w:val="0"/>
        </w:rPr>
        <w:tab/>
        <w:t xml:space="preserve">Nothing in this Part limits the application of section 27 of the </w:t>
      </w:r>
      <w:r>
        <w:rPr>
          <w:i/>
          <w:snapToGrid w:val="0"/>
        </w:rPr>
        <w:t>Commercial Arbitration Act 1985</w:t>
      </w:r>
      <w:r>
        <w:rPr>
          <w:snapToGrid w:val="0"/>
        </w:rPr>
        <w:t xml:space="preserve"> to a dispute to which this Division applies.</w:t>
      </w:r>
    </w:p>
    <w:p>
      <w:pPr>
        <w:pStyle w:val="Heading5"/>
        <w:rPr>
          <w:snapToGrid w:val="0"/>
        </w:rPr>
      </w:pPr>
      <w:bookmarkStart w:id="208" w:name="_Toc491754419"/>
      <w:bookmarkStart w:id="209" w:name="_Toc90459288"/>
      <w:bookmarkStart w:id="210" w:name="_Toc361989337"/>
      <w:r>
        <w:rPr>
          <w:rStyle w:val="CharSectno"/>
        </w:rPr>
        <w:t>24</w:t>
      </w:r>
      <w:r>
        <w:rPr>
          <w:snapToGrid w:val="0"/>
        </w:rPr>
        <w:t>.</w:t>
      </w:r>
      <w:r>
        <w:rPr>
          <w:snapToGrid w:val="0"/>
        </w:rPr>
        <w:tab/>
        <w:t>Panels of persons who may be appointed as arbitrators</w:t>
      </w:r>
      <w:bookmarkEnd w:id="208"/>
      <w:bookmarkEnd w:id="209"/>
      <w:bookmarkEnd w:id="210"/>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Arbitrators</w:t>
          </w:r>
        </w:smartTag>
      </w:smartTag>
      <w:r>
        <w:rPr>
          <w:snapToGrid w:val="0"/>
        </w:rPr>
        <w:t xml:space="preserve">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211" w:name="_Toc491754420"/>
      <w:bookmarkStart w:id="212" w:name="_Toc90459289"/>
      <w:bookmarkStart w:id="213" w:name="_Toc361989338"/>
      <w:r>
        <w:rPr>
          <w:rStyle w:val="CharSectno"/>
        </w:rPr>
        <w:t>25</w:t>
      </w:r>
      <w:r>
        <w:rPr>
          <w:snapToGrid w:val="0"/>
        </w:rPr>
        <w:t>.</w:t>
      </w:r>
      <w:r>
        <w:rPr>
          <w:snapToGrid w:val="0"/>
        </w:rPr>
        <w:tab/>
        <w:t>When entity taken to be in dispute with railway owner</w:t>
      </w:r>
      <w:bookmarkEnd w:id="211"/>
      <w:bookmarkEnd w:id="212"/>
      <w:bookmarkEnd w:id="213"/>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keepNext/>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214" w:name="_Toc491754421"/>
      <w:bookmarkStart w:id="215" w:name="_Toc90459290"/>
      <w:bookmarkStart w:id="216" w:name="_Toc361989339"/>
      <w:r>
        <w:rPr>
          <w:rStyle w:val="CharSectno"/>
        </w:rPr>
        <w:t>26</w:t>
      </w:r>
      <w:r>
        <w:rPr>
          <w:snapToGrid w:val="0"/>
        </w:rPr>
        <w:t>.</w:t>
      </w:r>
      <w:r>
        <w:rPr>
          <w:snapToGrid w:val="0"/>
        </w:rPr>
        <w:tab/>
        <w:t xml:space="preserve">Arbitration of disputes under </w:t>
      </w:r>
      <w:r>
        <w:rPr>
          <w:i/>
          <w:snapToGrid w:val="0"/>
        </w:rPr>
        <w:t>Commercial Arbitration Act 1985</w:t>
      </w:r>
      <w:bookmarkEnd w:id="214"/>
      <w:bookmarkEnd w:id="215"/>
      <w:bookmarkEnd w:id="216"/>
      <w:r>
        <w:rPr>
          <w:snapToGrid w:val="0"/>
        </w:rPr>
        <w:t xml:space="preserve"> </w:t>
      </w:r>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snapToGrid w:val="0"/>
        </w:rPr>
        <w:t>Commercial Arbitration Act 1985</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snapToGrid w:val="0"/>
        </w:rPr>
        <w:t>Commercial Arbitration Act 1985</w:t>
      </w:r>
      <w:r>
        <w:rPr>
          <w:snapToGrid w:val="0"/>
        </w:rPr>
        <w:t xml:space="preserve"> except in accordance with this Division.</w:t>
      </w:r>
    </w:p>
    <w:p>
      <w:pPr>
        <w:pStyle w:val="Heading5"/>
      </w:pPr>
      <w:bookmarkStart w:id="217" w:name="_Toc491754422"/>
      <w:bookmarkStart w:id="218" w:name="_Toc90459291"/>
      <w:bookmarkStart w:id="219" w:name="_Toc361989340"/>
      <w:r>
        <w:rPr>
          <w:rStyle w:val="CharSectno"/>
        </w:rPr>
        <w:t>27</w:t>
      </w:r>
      <w:r>
        <w:rPr>
          <w:snapToGrid w:val="0"/>
        </w:rPr>
        <w:t>.</w:t>
      </w:r>
      <w:r>
        <w:rPr>
          <w:snapToGrid w:val="0"/>
        </w:rPr>
        <w:tab/>
        <w:t>Appointment where issues are also relevant to arbitration under another access regime</w:t>
      </w:r>
      <w:bookmarkEnd w:id="217"/>
      <w:bookmarkEnd w:id="218"/>
      <w:bookmarkEnd w:id="219"/>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220" w:name="_Toc491754423"/>
      <w:bookmarkStart w:id="221" w:name="_Toc90459292"/>
      <w:bookmarkStart w:id="222" w:name="_Toc361989341"/>
      <w:r>
        <w:rPr>
          <w:rStyle w:val="CharSectno"/>
        </w:rPr>
        <w:t>28</w:t>
      </w:r>
      <w:r>
        <w:rPr>
          <w:snapToGrid w:val="0"/>
        </w:rPr>
        <w:t>.</w:t>
      </w:r>
      <w:r>
        <w:rPr>
          <w:snapToGrid w:val="0"/>
        </w:rPr>
        <w:tab/>
        <w:t>Preliminary conference to be held</w:t>
      </w:r>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rPr>
          <w:snapToGrid w:val="0"/>
        </w:rPr>
      </w:pPr>
      <w:r>
        <w:rPr>
          <w:snapToGrid w:val="0"/>
        </w:rPr>
        <w:tab/>
        <w:t>(5)</w:t>
      </w:r>
      <w:r>
        <w:rPr>
          <w:snapToGrid w:val="0"/>
        </w:rPr>
        <w:tab/>
        <w:t xml:space="preserve">Nothing in this section limits section 37 or 46 of the </w:t>
      </w:r>
      <w:r>
        <w:rPr>
          <w:i/>
          <w:snapToGrid w:val="0"/>
        </w:rPr>
        <w:t>Commercial Arbitration Act 1985</w:t>
      </w:r>
      <w:r>
        <w:rPr>
          <w:snapToGrid w:val="0"/>
        </w:rPr>
        <w:t>.</w:t>
      </w:r>
    </w:p>
    <w:p>
      <w:pPr>
        <w:pStyle w:val="Heading5"/>
        <w:rPr>
          <w:snapToGrid w:val="0"/>
        </w:rPr>
      </w:pPr>
      <w:bookmarkStart w:id="223" w:name="_Toc491754424"/>
      <w:bookmarkStart w:id="224" w:name="_Toc90459293"/>
      <w:bookmarkStart w:id="225" w:name="_Toc361989342"/>
      <w:r>
        <w:rPr>
          <w:rStyle w:val="CharSectno"/>
        </w:rPr>
        <w:t>29</w:t>
      </w:r>
      <w:r>
        <w:rPr>
          <w:snapToGrid w:val="0"/>
        </w:rPr>
        <w:t>.</w:t>
      </w:r>
      <w:r>
        <w:rPr>
          <w:snapToGrid w:val="0"/>
        </w:rPr>
        <w:tab/>
        <w:t>Matters to be taken into account by arbitrator</w:t>
      </w:r>
      <w:bookmarkEnd w:id="223"/>
      <w:bookmarkEnd w:id="224"/>
      <w:bookmarkEnd w:id="225"/>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226" w:name="_Hlt478877203"/>
      <w:r>
        <w:rPr>
          <w:snapToGrid w:val="0"/>
        </w:rPr>
        <w:t>5</w:t>
      </w:r>
      <w:bookmarkEnd w:id="226"/>
      <w:r>
        <w:rPr>
          <w:snapToGrid w:val="0"/>
        </w:rPr>
        <w:t>.</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227" w:name="_Toc491754425"/>
      <w:bookmarkStart w:id="228" w:name="_Toc90459294"/>
      <w:bookmarkStart w:id="229" w:name="_Toc361989343"/>
      <w:r>
        <w:rPr>
          <w:rStyle w:val="CharSectno"/>
        </w:rPr>
        <w:t>30</w:t>
      </w:r>
      <w:r>
        <w:rPr>
          <w:snapToGrid w:val="0"/>
        </w:rPr>
        <w:t>.</w:t>
      </w:r>
      <w:r>
        <w:rPr>
          <w:snapToGrid w:val="0"/>
        </w:rPr>
        <w:tab/>
        <w:t>Question may be referred to Regulator</w:t>
      </w:r>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snapToGrid w:val="0"/>
        </w:rPr>
        <w:t>Commercial Arbitration Act 1985</w:t>
      </w:r>
      <w:r>
        <w:rPr>
          <w:snapToGrid w:val="0"/>
        </w:rPr>
        <w:t>, 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Heading5"/>
        <w:rPr>
          <w:snapToGrid w:val="0"/>
        </w:rPr>
      </w:pPr>
      <w:bookmarkStart w:id="230" w:name="_Toc491754426"/>
      <w:bookmarkStart w:id="231" w:name="_Toc90459295"/>
      <w:bookmarkStart w:id="232" w:name="_Toc361989344"/>
      <w:r>
        <w:rPr>
          <w:rStyle w:val="CharSectno"/>
        </w:rPr>
        <w:t>31</w:t>
      </w:r>
      <w:r>
        <w:rPr>
          <w:snapToGrid w:val="0"/>
        </w:rPr>
        <w:t>.</w:t>
      </w:r>
      <w:r>
        <w:rPr>
          <w:snapToGrid w:val="0"/>
        </w:rPr>
        <w:tab/>
        <w:t>Determination of dispute</w:t>
      </w:r>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The arbitrator is to determine the dispute by making a written determination, which is to be taken to be an award within the meaning of the </w:t>
      </w:r>
      <w:r>
        <w:rPr>
          <w:i/>
          <w:snapToGrid w:val="0"/>
        </w:rPr>
        <w:t>Commercial Arbitration Act 1985</w:t>
      </w:r>
      <w:r>
        <w:rPr>
          <w:snapToGrid w:val="0"/>
        </w:rP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Heading5"/>
        <w:rPr>
          <w:snapToGrid w:val="0"/>
        </w:rPr>
      </w:pPr>
      <w:bookmarkStart w:id="233" w:name="_Toc491754427"/>
      <w:bookmarkStart w:id="234" w:name="_Toc90459296"/>
      <w:bookmarkStart w:id="235" w:name="_Toc361989345"/>
      <w:r>
        <w:rPr>
          <w:rStyle w:val="CharSectno"/>
        </w:rPr>
        <w:t>32</w:t>
      </w:r>
      <w:r>
        <w:rPr>
          <w:snapToGrid w:val="0"/>
        </w:rPr>
        <w:t>.</w:t>
      </w:r>
      <w:r>
        <w:rPr>
          <w:snapToGrid w:val="0"/>
        </w:rPr>
        <w:tab/>
        <w:t>Determinations where section 25(2)(b) applies</w:t>
      </w:r>
      <w:bookmarkEnd w:id="233"/>
      <w:bookmarkEnd w:id="234"/>
      <w:bookmarkEnd w:id="235"/>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236" w:name="_Toc491754428"/>
      <w:bookmarkStart w:id="237" w:name="_Toc90459297"/>
      <w:bookmarkStart w:id="238" w:name="_Toc361989346"/>
      <w:r>
        <w:rPr>
          <w:rStyle w:val="CharSectno"/>
        </w:rPr>
        <w:t>33</w:t>
      </w:r>
      <w:r>
        <w:rPr>
          <w:snapToGrid w:val="0"/>
        </w:rPr>
        <w:t>.</w:t>
      </w:r>
      <w:r>
        <w:rPr>
          <w:snapToGrid w:val="0"/>
        </w:rPr>
        <w:tab/>
        <w:t>Determinations in other cases</w:t>
      </w:r>
      <w:bookmarkEnd w:id="236"/>
      <w:bookmarkEnd w:id="237"/>
      <w:bookmarkEnd w:id="238"/>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239"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240" w:name="_Toc90459298"/>
      <w:bookmarkStart w:id="241" w:name="_Toc361989347"/>
      <w:r>
        <w:rPr>
          <w:rStyle w:val="CharSectno"/>
        </w:rPr>
        <w:t>34</w:t>
      </w:r>
      <w:r>
        <w:rPr>
          <w:snapToGrid w:val="0"/>
        </w:rPr>
        <w:t>.</w:t>
      </w:r>
      <w:r>
        <w:rPr>
          <w:snapToGrid w:val="0"/>
        </w:rPr>
        <w:tab/>
        <w:t>Determination, effect in relation to railway owner and other party</w:t>
      </w:r>
      <w:bookmarkEnd w:id="239"/>
      <w:bookmarkEnd w:id="240"/>
      <w:bookmarkEnd w:id="241"/>
    </w:p>
    <w:p>
      <w:pPr>
        <w:pStyle w:val="Subsection"/>
        <w:rPr>
          <w:snapToGrid w:val="0"/>
        </w:rPr>
      </w:pPr>
      <w:r>
        <w:rPr>
          <w:snapToGrid w:val="0"/>
        </w:rPr>
        <w:tab/>
        <w:t>(1)</w:t>
      </w:r>
      <w:r>
        <w:rPr>
          <w:snapToGrid w:val="0"/>
        </w:rPr>
        <w:tab/>
        <w:t xml:space="preserve">The railway owner must, subject to Part V of the </w:t>
      </w:r>
      <w:r>
        <w:rPr>
          <w:i/>
          <w:snapToGrid w:val="0"/>
        </w:rPr>
        <w:t>Commercial Arbitration Act 1985</w:t>
      </w:r>
      <w:r>
        <w:rPr>
          <w:snapToGrid w:val="0"/>
        </w:rPr>
        <w:t xml:space="preserve">, 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Part V of the </w:t>
      </w:r>
      <w:r>
        <w:rPr>
          <w:i/>
          <w:snapToGrid w:val="0"/>
        </w:rPr>
        <w:t>Commercial Arbitration Act 1985</w:t>
      </w:r>
      <w:r>
        <w:rPr>
          <w:snapToGrid w:val="0"/>
        </w:rPr>
        <w:t>, 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242" w:name="_Toc491754430"/>
      <w:r>
        <w:tab/>
        <w:t>(5)</w:t>
      </w:r>
      <w:r>
        <w:tab/>
        <w:t xml:space="preserve">Subsection (2) does not apply to any provision of a determination that consists of a direction as to, or an award of, costs under section 34(1) or (4) of the </w:t>
      </w:r>
      <w:r>
        <w:rPr>
          <w:i/>
        </w:rPr>
        <w:t>Commercial Arbitration Act 1985</w:t>
      </w:r>
      <w:r>
        <w:t>, and any such provision binds the other party in the same way as it binds the railway owner.</w:t>
      </w:r>
    </w:p>
    <w:p>
      <w:pPr>
        <w:pStyle w:val="Footnotesection"/>
      </w:pPr>
      <w:r>
        <w:tab/>
        <w:t>[Section 34 amended in Gazette 23 Jul 2004 p. 2992</w:t>
      </w:r>
      <w:r>
        <w:noBreakHyphen/>
        <w:t>3.]</w:t>
      </w:r>
    </w:p>
    <w:p>
      <w:pPr>
        <w:pStyle w:val="Heading5"/>
        <w:rPr>
          <w:snapToGrid w:val="0"/>
        </w:rPr>
      </w:pPr>
      <w:bookmarkStart w:id="243" w:name="_Toc90459299"/>
      <w:bookmarkStart w:id="244" w:name="_Toc361989348"/>
      <w:r>
        <w:rPr>
          <w:rStyle w:val="CharSectno"/>
        </w:rPr>
        <w:t>35</w:t>
      </w:r>
      <w:r>
        <w:rPr>
          <w:snapToGrid w:val="0"/>
        </w:rPr>
        <w:t>.</w:t>
      </w:r>
      <w:r>
        <w:rPr>
          <w:snapToGrid w:val="0"/>
        </w:rPr>
        <w:tab/>
        <w:t>Termination of arbitration</w:t>
      </w:r>
      <w:bookmarkEnd w:id="242"/>
      <w:bookmarkEnd w:id="243"/>
      <w:bookmarkEnd w:id="244"/>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2"/>
      </w:pPr>
      <w:bookmarkStart w:id="245" w:name="_Toc78272874"/>
      <w:bookmarkStart w:id="246" w:name="_Toc78274343"/>
      <w:bookmarkStart w:id="247" w:name="_Toc90459140"/>
      <w:bookmarkStart w:id="248" w:name="_Toc90459300"/>
      <w:bookmarkStart w:id="249" w:name="_Toc202173119"/>
      <w:bookmarkStart w:id="250" w:name="_Toc202173211"/>
      <w:bookmarkStart w:id="251" w:name="_Toc202173698"/>
      <w:bookmarkStart w:id="252" w:name="_Toc202173870"/>
      <w:bookmarkStart w:id="253" w:name="_Toc233600770"/>
      <w:bookmarkStart w:id="254" w:name="_Toc245093136"/>
      <w:bookmarkStart w:id="255" w:name="_Toc247424054"/>
      <w:bookmarkStart w:id="256" w:name="_Toc248824580"/>
      <w:bookmarkStart w:id="257" w:name="_Toc248824804"/>
      <w:bookmarkStart w:id="258" w:name="_Toc249157024"/>
      <w:bookmarkStart w:id="259" w:name="_Toc253476512"/>
      <w:bookmarkStart w:id="260" w:name="_Toc304214857"/>
      <w:bookmarkStart w:id="261" w:name="_Toc304214955"/>
      <w:bookmarkStart w:id="262" w:name="_Toc304282368"/>
      <w:bookmarkStart w:id="263" w:name="_Toc361989349"/>
      <w:r>
        <w:rPr>
          <w:rStyle w:val="CharPartNo"/>
        </w:rPr>
        <w:t>Part 4</w:t>
      </w:r>
      <w:r>
        <w:t xml:space="preserve"> — </w:t>
      </w:r>
      <w:r>
        <w:rPr>
          <w:rStyle w:val="CharPartText"/>
        </w:rPr>
        <w:t>Access agreements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3"/>
      </w:pPr>
      <w:bookmarkStart w:id="264" w:name="_Toc78272875"/>
      <w:bookmarkStart w:id="265" w:name="_Toc78274344"/>
      <w:bookmarkStart w:id="266" w:name="_Toc90459141"/>
      <w:bookmarkStart w:id="267" w:name="_Toc90459301"/>
      <w:bookmarkStart w:id="268" w:name="_Toc202173120"/>
      <w:bookmarkStart w:id="269" w:name="_Toc202173212"/>
      <w:bookmarkStart w:id="270" w:name="_Toc202173699"/>
      <w:bookmarkStart w:id="271" w:name="_Toc202173871"/>
      <w:bookmarkStart w:id="272" w:name="_Toc233600771"/>
      <w:bookmarkStart w:id="273" w:name="_Toc245093137"/>
      <w:bookmarkStart w:id="274" w:name="_Toc247424055"/>
      <w:bookmarkStart w:id="275" w:name="_Toc248824581"/>
      <w:bookmarkStart w:id="276" w:name="_Toc248824805"/>
      <w:bookmarkStart w:id="277" w:name="_Toc249157025"/>
      <w:bookmarkStart w:id="278" w:name="_Toc253476513"/>
      <w:bookmarkStart w:id="279" w:name="_Toc304214858"/>
      <w:bookmarkStart w:id="280" w:name="_Toc304214956"/>
      <w:bookmarkStart w:id="281" w:name="_Toc304282369"/>
      <w:bookmarkStart w:id="282" w:name="_Toc361989350"/>
      <w:r>
        <w:rPr>
          <w:rStyle w:val="CharDivNo"/>
        </w:rPr>
        <w:t>Division 1</w:t>
      </w:r>
      <w:r>
        <w:rPr>
          <w:snapToGrid w:val="0"/>
        </w:rPr>
        <w:t xml:space="preserve"> — </w:t>
      </w:r>
      <w:r>
        <w:rPr>
          <w:rStyle w:val="CharDivText"/>
        </w:rPr>
        <w:t>General</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491754431"/>
      <w:bookmarkStart w:id="284" w:name="_Toc90459302"/>
      <w:bookmarkStart w:id="285" w:name="_Toc361989351"/>
      <w:r>
        <w:rPr>
          <w:rStyle w:val="CharSectno"/>
        </w:rPr>
        <w:t>36</w:t>
      </w:r>
      <w:r>
        <w:rPr>
          <w:snapToGrid w:val="0"/>
        </w:rPr>
        <w:t>.</w:t>
      </w:r>
      <w:r>
        <w:rPr>
          <w:snapToGrid w:val="0"/>
        </w:rPr>
        <w:tab/>
        <w:t>General matters relating to access agreements</w:t>
      </w:r>
      <w:bookmarkEnd w:id="283"/>
      <w:bookmarkEnd w:id="284"/>
      <w:bookmarkEnd w:id="285"/>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286"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287" w:name="_Toc90459303"/>
      <w:bookmarkStart w:id="288" w:name="_Toc361989352"/>
      <w:r>
        <w:rPr>
          <w:rStyle w:val="CharSectno"/>
        </w:rPr>
        <w:t>37</w:t>
      </w:r>
      <w:r>
        <w:rPr>
          <w:snapToGrid w:val="0"/>
        </w:rPr>
        <w:t>.</w:t>
      </w:r>
      <w:r>
        <w:rPr>
          <w:snapToGrid w:val="0"/>
        </w:rPr>
        <w:tab/>
        <w:t>Access agreements may differ</w:t>
      </w:r>
      <w:bookmarkEnd w:id="286"/>
      <w:bookmarkEnd w:id="287"/>
      <w:bookmarkEnd w:id="288"/>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289" w:name="_Toc491754433"/>
      <w:bookmarkStart w:id="290" w:name="_Toc90459304"/>
      <w:bookmarkStart w:id="291" w:name="_Toc361989353"/>
      <w:r>
        <w:rPr>
          <w:rStyle w:val="CharSectno"/>
        </w:rPr>
        <w:t>38</w:t>
      </w:r>
      <w:r>
        <w:rPr>
          <w:snapToGrid w:val="0"/>
        </w:rPr>
        <w:t>.</w:t>
      </w:r>
      <w:r>
        <w:rPr>
          <w:snapToGrid w:val="0"/>
        </w:rPr>
        <w:tab/>
        <w:t>Agreement not affected by later amendments to Code</w:t>
      </w:r>
      <w:bookmarkEnd w:id="289"/>
      <w:bookmarkEnd w:id="290"/>
      <w:bookmarkEnd w:id="291"/>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292" w:name="_Toc78272879"/>
      <w:bookmarkStart w:id="293" w:name="_Toc78274348"/>
      <w:bookmarkStart w:id="294" w:name="_Toc90459145"/>
      <w:bookmarkStart w:id="295" w:name="_Toc90459305"/>
      <w:bookmarkStart w:id="296" w:name="_Toc202173124"/>
      <w:bookmarkStart w:id="297" w:name="_Toc202173216"/>
      <w:bookmarkStart w:id="298" w:name="_Toc202173703"/>
      <w:bookmarkStart w:id="299" w:name="_Toc202173875"/>
      <w:bookmarkStart w:id="300" w:name="_Toc233600775"/>
      <w:bookmarkStart w:id="301" w:name="_Toc245093141"/>
      <w:bookmarkStart w:id="302" w:name="_Toc247424059"/>
      <w:bookmarkStart w:id="303" w:name="_Toc248824585"/>
      <w:bookmarkStart w:id="304" w:name="_Toc248824809"/>
      <w:bookmarkStart w:id="305" w:name="_Toc249157029"/>
      <w:bookmarkStart w:id="306" w:name="_Toc253476517"/>
      <w:bookmarkStart w:id="307" w:name="_Toc304214862"/>
      <w:bookmarkStart w:id="308" w:name="_Toc304214960"/>
      <w:bookmarkStart w:id="309" w:name="_Toc304282373"/>
      <w:bookmarkStart w:id="310" w:name="_Toc361989354"/>
      <w:r>
        <w:rPr>
          <w:rStyle w:val="CharDivNo"/>
        </w:rPr>
        <w:t>Division 2</w:t>
      </w:r>
      <w:r>
        <w:t xml:space="preserve"> — </w:t>
      </w:r>
      <w:r>
        <w:rPr>
          <w:rStyle w:val="CharDivText"/>
        </w:rPr>
        <w:t>Notice and registration of access agreements and determinations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491754434"/>
      <w:bookmarkStart w:id="312" w:name="_Toc90459306"/>
      <w:bookmarkStart w:id="313" w:name="_Toc361989355"/>
      <w:r>
        <w:rPr>
          <w:rStyle w:val="CharSectno"/>
        </w:rPr>
        <w:t>39</w:t>
      </w:r>
      <w:r>
        <w:rPr>
          <w:snapToGrid w:val="0"/>
        </w:rPr>
        <w:t>.</w:t>
      </w:r>
      <w:r>
        <w:rPr>
          <w:snapToGrid w:val="0"/>
        </w:rPr>
        <w:tab/>
        <w:t>Registration of agreements and determinations</w:t>
      </w:r>
      <w:bookmarkEnd w:id="311"/>
      <w:bookmarkEnd w:id="312"/>
      <w:bookmarkEnd w:id="313"/>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314" w:name="_Toc78272881"/>
      <w:bookmarkStart w:id="315" w:name="_Toc78274350"/>
      <w:bookmarkStart w:id="316" w:name="_Toc90459147"/>
      <w:bookmarkStart w:id="317" w:name="_Toc90459307"/>
      <w:bookmarkStart w:id="318" w:name="_Toc202173126"/>
      <w:bookmarkStart w:id="319" w:name="_Toc202173218"/>
      <w:bookmarkStart w:id="320" w:name="_Toc202173705"/>
      <w:bookmarkStart w:id="321" w:name="_Toc202173877"/>
      <w:bookmarkStart w:id="322" w:name="_Toc233600777"/>
      <w:bookmarkStart w:id="323" w:name="_Toc245093143"/>
      <w:bookmarkStart w:id="324" w:name="_Toc247424061"/>
      <w:bookmarkStart w:id="325" w:name="_Toc248824587"/>
      <w:bookmarkStart w:id="326" w:name="_Toc248824811"/>
      <w:bookmarkStart w:id="327" w:name="_Toc249157031"/>
      <w:bookmarkStart w:id="328" w:name="_Toc253476519"/>
      <w:bookmarkStart w:id="329" w:name="_Toc304214864"/>
      <w:bookmarkStart w:id="330" w:name="_Toc304214962"/>
      <w:bookmarkStart w:id="331" w:name="_Toc304282375"/>
      <w:bookmarkStart w:id="332" w:name="_Toc361989356"/>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491754435"/>
      <w:bookmarkStart w:id="334" w:name="_Toc90459308"/>
      <w:bookmarkStart w:id="335" w:name="_Toc361989357"/>
      <w:r>
        <w:rPr>
          <w:rStyle w:val="CharSectno"/>
        </w:rPr>
        <w:t>40</w:t>
      </w:r>
      <w:r>
        <w:rPr>
          <w:snapToGrid w:val="0"/>
        </w:rPr>
        <w:t>.</w:t>
      </w:r>
      <w:r>
        <w:rPr>
          <w:snapToGrid w:val="0"/>
        </w:rPr>
        <w:tab/>
        <w:t>Interpretation</w:t>
      </w:r>
      <w:bookmarkEnd w:id="333"/>
      <w:bookmarkEnd w:id="334"/>
      <w:bookmarkEnd w:id="335"/>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336" w:name="_Toc491754436"/>
      <w:bookmarkStart w:id="337" w:name="_Toc90459309"/>
      <w:bookmarkStart w:id="338" w:name="_Toc361989358"/>
      <w:r>
        <w:rPr>
          <w:rStyle w:val="CharSectno"/>
        </w:rPr>
        <w:t>41</w:t>
      </w:r>
      <w:r>
        <w:t>.</w:t>
      </w:r>
      <w:r>
        <w:tab/>
        <w:t>Matters to be considered by Regulator</w:t>
      </w:r>
      <w:bookmarkEnd w:id="336"/>
      <w:bookmarkEnd w:id="337"/>
      <w:bookmarkEnd w:id="338"/>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339" w:name="_Toc491754437"/>
      <w:bookmarkStart w:id="340" w:name="_Toc90459310"/>
      <w:bookmarkStart w:id="341" w:name="_Toc361989359"/>
      <w:r>
        <w:rPr>
          <w:rStyle w:val="CharSectno"/>
        </w:rPr>
        <w:t>42</w:t>
      </w:r>
      <w:r>
        <w:rPr>
          <w:snapToGrid w:val="0"/>
        </w:rPr>
        <w:t>.</w:t>
      </w:r>
      <w:r>
        <w:rPr>
          <w:snapToGrid w:val="0"/>
        </w:rPr>
        <w:tab/>
        <w:t>Public comment before approval given to segregation arrangements</w:t>
      </w:r>
      <w:bookmarkEnd w:id="339"/>
      <w:bookmarkEnd w:id="340"/>
      <w:bookmarkEnd w:id="341"/>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342" w:name="_Toc491754438"/>
      <w:bookmarkStart w:id="343" w:name="_Toc90459311"/>
      <w:bookmarkStart w:id="344" w:name="_Toc361989360"/>
      <w:r>
        <w:rPr>
          <w:rStyle w:val="CharSectno"/>
        </w:rPr>
        <w:t>43</w:t>
      </w:r>
      <w:r>
        <w:rPr>
          <w:snapToGrid w:val="0"/>
        </w:rPr>
        <w:t>.</w:t>
      </w:r>
      <w:r>
        <w:rPr>
          <w:snapToGrid w:val="0"/>
        </w:rPr>
        <w:tab/>
        <w:t>Railway owner to comply with approved train management guidelines</w:t>
      </w:r>
      <w:bookmarkEnd w:id="342"/>
      <w:bookmarkEnd w:id="343"/>
      <w:bookmarkEnd w:id="344"/>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345" w:name="_Toc491754439"/>
      <w:bookmarkStart w:id="346" w:name="_Toc90459312"/>
      <w:bookmarkStart w:id="347" w:name="_Toc361989361"/>
      <w:r>
        <w:rPr>
          <w:rStyle w:val="CharSectno"/>
        </w:rPr>
        <w:t>44</w:t>
      </w:r>
      <w:r>
        <w:rPr>
          <w:snapToGrid w:val="0"/>
        </w:rPr>
        <w:t>.</w:t>
      </w:r>
      <w:r>
        <w:rPr>
          <w:snapToGrid w:val="0"/>
        </w:rPr>
        <w:tab/>
        <w:t>Certain approved statements of policy to be observed</w:t>
      </w:r>
      <w:bookmarkEnd w:id="345"/>
      <w:bookmarkEnd w:id="346"/>
      <w:bookmarkEnd w:id="347"/>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348" w:name="_Toc491754440"/>
      <w:bookmarkStart w:id="349" w:name="_Toc90459313"/>
      <w:bookmarkStart w:id="350" w:name="_Toc361989362"/>
      <w:r>
        <w:rPr>
          <w:rStyle w:val="CharSectno"/>
        </w:rPr>
        <w:t>45</w:t>
      </w:r>
      <w:r>
        <w:rPr>
          <w:snapToGrid w:val="0"/>
        </w:rPr>
        <w:t>.</w:t>
      </w:r>
      <w:r>
        <w:rPr>
          <w:snapToGrid w:val="0"/>
        </w:rPr>
        <w:tab/>
        <w:t>Public comment on draft statements under sections 43 and 44</w:t>
      </w:r>
      <w:bookmarkEnd w:id="348"/>
      <w:bookmarkEnd w:id="349"/>
      <w:bookmarkEnd w:id="350"/>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351" w:name="_Toc491754441"/>
      <w:bookmarkStart w:id="352" w:name="_Toc90459314"/>
      <w:bookmarkStart w:id="353" w:name="_Toc361989363"/>
      <w:r>
        <w:rPr>
          <w:rStyle w:val="CharSectno"/>
        </w:rPr>
        <w:t>46</w:t>
      </w:r>
      <w:r>
        <w:rPr>
          <w:snapToGrid w:val="0"/>
        </w:rPr>
        <w:t>.</w:t>
      </w:r>
      <w:r>
        <w:rPr>
          <w:snapToGrid w:val="0"/>
        </w:rPr>
        <w:tab/>
        <w:t>Costing principles</w:t>
      </w:r>
      <w:bookmarkEnd w:id="351"/>
      <w:bookmarkEnd w:id="352"/>
      <w:bookmarkEnd w:id="353"/>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keepNext/>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354" w:name="_Toc491754442"/>
      <w:bookmarkStart w:id="355" w:name="_Toc90459315"/>
      <w:bookmarkStart w:id="356" w:name="_Toc361989364"/>
      <w:r>
        <w:rPr>
          <w:rStyle w:val="CharSectno"/>
        </w:rPr>
        <w:t>47</w:t>
      </w:r>
      <w:r>
        <w:rPr>
          <w:snapToGrid w:val="0"/>
        </w:rPr>
        <w:t>.</w:t>
      </w:r>
      <w:r>
        <w:rPr>
          <w:snapToGrid w:val="0"/>
        </w:rPr>
        <w:tab/>
        <w:t>Over</w:t>
      </w:r>
      <w:r>
        <w:rPr>
          <w:snapToGrid w:val="0"/>
        </w:rPr>
        <w:noBreakHyphen/>
        <w:t>payment rules</w:t>
      </w:r>
      <w:bookmarkEnd w:id="354"/>
      <w:bookmarkEnd w:id="355"/>
      <w:bookmarkEnd w:id="356"/>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357" w:name="_Toc78272890"/>
      <w:bookmarkStart w:id="358" w:name="_Toc78274359"/>
      <w:bookmarkStart w:id="359" w:name="_Toc90459156"/>
      <w:bookmarkStart w:id="360" w:name="_Toc90459316"/>
      <w:bookmarkStart w:id="361" w:name="_Toc202173135"/>
      <w:bookmarkStart w:id="362" w:name="_Toc202173227"/>
      <w:bookmarkStart w:id="363" w:name="_Toc202173714"/>
      <w:bookmarkStart w:id="364" w:name="_Toc202173886"/>
      <w:bookmarkStart w:id="365" w:name="_Toc233600786"/>
      <w:bookmarkStart w:id="366" w:name="_Toc245093152"/>
      <w:bookmarkStart w:id="367" w:name="_Toc247424070"/>
      <w:bookmarkStart w:id="368" w:name="_Toc248824596"/>
      <w:bookmarkStart w:id="369" w:name="_Toc248824820"/>
      <w:bookmarkStart w:id="370" w:name="_Toc249157040"/>
      <w:bookmarkStart w:id="371" w:name="_Toc253476528"/>
      <w:bookmarkStart w:id="372" w:name="_Toc304214873"/>
      <w:bookmarkStart w:id="373" w:name="_Toc304214971"/>
      <w:bookmarkStart w:id="374" w:name="_Toc304282384"/>
      <w:bookmarkStart w:id="375" w:name="_Toc361989365"/>
      <w:r>
        <w:rPr>
          <w:rStyle w:val="CharPartNo"/>
        </w:rPr>
        <w:t>Part 6</w:t>
      </w:r>
      <w:r>
        <w:rPr>
          <w:rStyle w:val="CharDivNo"/>
        </w:rPr>
        <w:t xml:space="preserve"> </w:t>
      </w:r>
      <w:r>
        <w:t>—</w:t>
      </w:r>
      <w:r>
        <w:rPr>
          <w:rStyle w:val="CharDivText"/>
        </w:rPr>
        <w:t xml:space="preserve"> </w:t>
      </w:r>
      <w:r>
        <w:rPr>
          <w:rStyle w:val="CharPartText"/>
        </w:rPr>
        <w:t>General</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491754443"/>
      <w:bookmarkStart w:id="377" w:name="_Toc90459317"/>
      <w:bookmarkStart w:id="378" w:name="_Toc361989366"/>
      <w:r>
        <w:rPr>
          <w:rStyle w:val="CharSectno"/>
        </w:rPr>
        <w:t>48</w:t>
      </w:r>
      <w:r>
        <w:rPr>
          <w:snapToGrid w:val="0"/>
        </w:rPr>
        <w:t>.</w:t>
      </w:r>
      <w:r>
        <w:rPr>
          <w:snapToGrid w:val="0"/>
        </w:rPr>
        <w:tab/>
        <w:t>Railway owner must supply certain information if requested</w:t>
      </w:r>
      <w:bookmarkEnd w:id="376"/>
      <w:bookmarkEnd w:id="377"/>
      <w:bookmarkEnd w:id="37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379" w:name="_Toc491754444"/>
      <w:bookmarkStart w:id="380" w:name="_Toc90459318"/>
      <w:bookmarkStart w:id="381" w:name="_Toc361989367"/>
      <w:r>
        <w:rPr>
          <w:rStyle w:val="CharSectno"/>
        </w:rPr>
        <w:t>49</w:t>
      </w:r>
      <w:r>
        <w:rPr>
          <w:snapToGrid w:val="0"/>
        </w:rPr>
        <w:t>.</w:t>
      </w:r>
      <w:r>
        <w:rPr>
          <w:snapToGrid w:val="0"/>
        </w:rPr>
        <w:tab/>
        <w:t>Inquiries and reports by Regulator</w:t>
      </w:r>
      <w:bookmarkEnd w:id="379"/>
      <w:bookmarkEnd w:id="380"/>
      <w:bookmarkEnd w:id="381"/>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382" w:name="_Toc491754445"/>
      <w:bookmarkStart w:id="383" w:name="_Toc90459319"/>
      <w:bookmarkStart w:id="384" w:name="_Toc361989368"/>
      <w:r>
        <w:rPr>
          <w:rStyle w:val="CharSectno"/>
        </w:rPr>
        <w:t>50</w:t>
      </w:r>
      <w:r>
        <w:rPr>
          <w:snapToGrid w:val="0"/>
        </w:rPr>
        <w:t>.</w:t>
      </w:r>
      <w:r>
        <w:rPr>
          <w:snapToGrid w:val="0"/>
        </w:rPr>
        <w:tab/>
        <w:t>Dissemination of information by Regulator</w:t>
      </w:r>
      <w:bookmarkEnd w:id="382"/>
      <w:bookmarkEnd w:id="383"/>
      <w:bookmarkEnd w:id="384"/>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385" w:name="_Toc491754446"/>
      <w:bookmarkStart w:id="386" w:name="_Toc90459320"/>
      <w:bookmarkStart w:id="387" w:name="_Toc361989369"/>
      <w:r>
        <w:rPr>
          <w:rStyle w:val="CharSectno"/>
        </w:rPr>
        <w:t>51</w:t>
      </w:r>
      <w:r>
        <w:rPr>
          <w:snapToGrid w:val="0"/>
        </w:rPr>
        <w:t>.</w:t>
      </w:r>
      <w:r>
        <w:rPr>
          <w:snapToGrid w:val="0"/>
        </w:rPr>
        <w:tab/>
        <w:t>Enforcement</w:t>
      </w:r>
      <w:bookmarkEnd w:id="385"/>
      <w:bookmarkEnd w:id="386"/>
      <w:bookmarkEnd w:id="387"/>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388" w:name="_Toc491754447"/>
      <w:bookmarkStart w:id="389" w:name="_Toc90459321"/>
      <w:bookmarkStart w:id="390" w:name="_Toc361989370"/>
      <w:r>
        <w:rPr>
          <w:rStyle w:val="CharSectno"/>
        </w:rPr>
        <w:t>52</w:t>
      </w:r>
      <w:r>
        <w:rPr>
          <w:snapToGrid w:val="0"/>
        </w:rPr>
        <w:t>.</w:t>
      </w:r>
      <w:r>
        <w:rPr>
          <w:snapToGrid w:val="0"/>
        </w:rPr>
        <w:tab/>
        <w:t>Transitional provisions</w:t>
      </w:r>
      <w:bookmarkEnd w:id="388"/>
      <w:bookmarkEnd w:id="389"/>
      <w:bookmarkEnd w:id="390"/>
    </w:p>
    <w:p>
      <w:pPr>
        <w:pStyle w:val="Subsection"/>
        <w:rPr>
          <w:snapToGrid w:val="0"/>
        </w:rPr>
      </w:pPr>
      <w:r>
        <w:rPr>
          <w:snapToGrid w:val="0"/>
        </w:rPr>
        <w:tab/>
        <w:t>(1)</w:t>
      </w:r>
      <w:r>
        <w:rPr>
          <w:snapToGrid w:val="0"/>
        </w:rPr>
        <w:tab/>
        <w:t xml:space="preserve">The first determinations under clause 3(1)(a) of Schedule 4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 </w:t>
      </w:r>
      <w:r>
        <w:rPr>
          <w:snapToGrid w:val="0"/>
          <w:vertAlign w:val="superscript"/>
        </w:rPr>
        <w:t>2</w:t>
      </w:r>
      <w:r>
        <w:rPr>
          <w:snapToGrid w:val="0"/>
        </w:rPr>
        <w:t>.</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 </w:t>
      </w:r>
      <w:r>
        <w:rPr>
          <w:snapToGrid w:val="0"/>
          <w:vertAlign w:val="superscript"/>
        </w:rPr>
        <w:t>2</w:t>
      </w:r>
      <w:r>
        <w:rPr>
          <w:snapToGrid w:val="0"/>
        </w:rPr>
        <w:t>.</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391" w:name="_Toc361989371"/>
      <w:r>
        <w:rPr>
          <w:rStyle w:val="CharSectno"/>
        </w:rPr>
        <w:t>53</w:t>
      </w:r>
      <w:r>
        <w:t>.</w:t>
      </w:r>
      <w:r>
        <w:tab/>
        <w:t>Further transitional provision</w:t>
      </w:r>
      <w:bookmarkEnd w:id="391"/>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r>
        <w:rPr>
          <w:snapToGrid w:val="0"/>
        </w:rPr>
        <w:t> </w:t>
      </w:r>
      <w:r>
        <w:rPr>
          <w:snapToGrid w:val="0"/>
          <w:vertAlign w:val="superscript"/>
        </w:rPr>
        <w:t>2</w:t>
      </w:r>
      <w:r>
        <w:t>.</w:t>
      </w:r>
    </w:p>
    <w:p>
      <w:pPr>
        <w:pStyle w:val="Footnotesection"/>
      </w:pPr>
      <w:r>
        <w:tab/>
        <w:t>[Section 53 inserted by Act No. 77 of 2004 s. 12.]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92" w:name="_Toc90459322"/>
      <w:bookmarkStart w:id="393" w:name="_Toc202173142"/>
      <w:bookmarkStart w:id="394" w:name="_Toc202173234"/>
      <w:bookmarkStart w:id="395" w:name="_Toc202173721"/>
      <w:bookmarkStart w:id="396" w:name="_Toc202173893"/>
      <w:bookmarkStart w:id="397" w:name="_Toc233600793"/>
      <w:bookmarkStart w:id="398" w:name="_Toc245093159"/>
      <w:bookmarkStart w:id="399" w:name="_Toc247424077"/>
      <w:bookmarkStart w:id="400" w:name="_Toc248824603"/>
      <w:bookmarkStart w:id="401" w:name="_Toc248824827"/>
      <w:bookmarkStart w:id="402" w:name="_Toc249157047"/>
      <w:bookmarkStart w:id="403" w:name="_Toc253476535"/>
      <w:bookmarkStart w:id="404" w:name="_Toc304214880"/>
      <w:bookmarkStart w:id="405" w:name="_Toc304214978"/>
      <w:bookmarkStart w:id="406" w:name="_Toc304282391"/>
      <w:bookmarkStart w:id="407" w:name="_Toc361989372"/>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 xml:space="preserve">The track between Avon and </w:t>
      </w:r>
      <w:smartTag w:uri="urn:schemas-microsoft-com:office:smarttags" w:element="City">
        <w:r>
          <w:t>Kalgoorlie</w:t>
        </w:r>
      </w:smartTag>
      <w:r>
        <w:t xml:space="preserve">, including the loop and the arrival road adjacent to that track at </w:t>
      </w:r>
      <w:smartTag w:uri="urn:schemas-microsoft-com:office:smarttags" w:element="place">
        <w:r>
          <w:t>West Kalgoorlie</w:t>
        </w:r>
      </w:smartTag>
      <w:r>
        <w:t>.</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 xml:space="preserve">The track between </w:t>
      </w:r>
      <w:smartTag w:uri="urn:schemas-microsoft-com:office:smarttags" w:element="place">
        <w:smartTag w:uri="urn:schemas-microsoft-com:office:smarttags" w:element="City">
          <w:r>
            <w:rPr>
              <w:color w:val="000000"/>
            </w:rPr>
            <w:t>Kalgoorlie</w:t>
          </w:r>
        </w:smartTag>
      </w:smartTag>
      <w:r>
        <w:rPr>
          <w:color w:val="000000"/>
        </w:rPr>
        <w:t xml:space="preserv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 xml:space="preserve">The track between </w:t>
      </w:r>
      <w:smartTag w:uri="urn:schemas-microsoft-com:office:smarttags" w:element="place">
        <w:r>
          <w:t>West Kalgoorlie</w:t>
        </w:r>
      </w:smartTag>
      <w:r>
        <w:t xml:space="preserv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 xml:space="preserve">The track between Avon and </w:t>
      </w:r>
      <w:smartTag w:uri="urn:schemas-microsoft-com:office:smarttags" w:element="place">
        <w:smartTag w:uri="urn:schemas-microsoft-com:office:smarttags" w:element="City">
          <w:r>
            <w:rPr>
              <w:snapToGrid w:val="0"/>
            </w:rPr>
            <w:t>Albany</w:t>
          </w:r>
        </w:smartTag>
      </w:smartTag>
      <w:r>
        <w:rPr>
          <w:snapToGrid w:val="0"/>
        </w:rPr>
        <w:t>.</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 xml:space="preserve">The track between Narrogin and </w:t>
      </w:r>
      <w:smartTag w:uri="urn:schemas-microsoft-com:office:smarttags" w:element="place">
        <w:r>
          <w:rPr>
            <w:snapToGrid w:val="0"/>
          </w:rPr>
          <w:t>West Merredin</w:t>
        </w:r>
      </w:smartTag>
      <w:r>
        <w:rPr>
          <w:snapToGrid w:val="0"/>
        </w:rPr>
        <w:t>.</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 xml:space="preserve">The track between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Grace</w:t>
          </w:r>
        </w:smartTag>
      </w:smartTag>
      <w:r>
        <w:rPr>
          <w:snapToGrid w:val="0"/>
        </w:rPr>
        <w:t xml:space="preserv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 xml:space="preserve">The track between </w:t>
      </w:r>
      <w:smartTag w:uri="urn:schemas-microsoft-com:office:smarttags" w:element="place">
        <w:r>
          <w:rPr>
            <w:snapToGrid w:val="0"/>
          </w:rPr>
          <w:t>West Merredin</w:t>
        </w:r>
      </w:smartTag>
      <w:r>
        <w:rPr>
          <w:snapToGrid w:val="0"/>
        </w:rPr>
        <w:t xml:space="preserve"> and Kondinin.</w:t>
      </w:r>
    </w:p>
    <w:p>
      <w:pPr>
        <w:pStyle w:val="yMiscellaneousBody"/>
        <w:tabs>
          <w:tab w:val="left" w:pos="567"/>
        </w:tabs>
        <w:ind w:left="567" w:hanging="567"/>
        <w:rPr>
          <w:snapToGrid w:val="0"/>
        </w:rPr>
      </w:pPr>
      <w:r>
        <w:rPr>
          <w:snapToGrid w:val="0"/>
        </w:rPr>
        <w:t>33.</w:t>
      </w:r>
      <w:r>
        <w:rPr>
          <w:snapToGrid w:val="0"/>
        </w:rPr>
        <w:tab/>
        <w:t xml:space="preserve">The track between </w:t>
      </w:r>
      <w:smartTag w:uri="urn:schemas-microsoft-com:office:smarttags" w:element="place">
        <w:r>
          <w:rPr>
            <w:snapToGrid w:val="0"/>
          </w:rPr>
          <w:t>West Merredin</w:t>
        </w:r>
      </w:smartTag>
      <w:r>
        <w:rPr>
          <w:snapToGrid w:val="0"/>
        </w:rPr>
        <w:t xml:space="preserve">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 xml:space="preserve">The track between </w:t>
      </w:r>
      <w:smartTag w:uri="urn:schemas-microsoft-com:office:smarttags" w:element="City">
        <w:r>
          <w:rPr>
            <w:snapToGrid w:val="0"/>
          </w:rPr>
          <w:t>Midland</w:t>
        </w:r>
      </w:smartTag>
      <w:r>
        <w:rPr>
          <w:snapToGrid w:val="0"/>
        </w:rPr>
        <w:t xml:space="preserve"> and </w:t>
      </w:r>
      <w:smartTag w:uri="urn:schemas-microsoft-com:office:smarttags" w:element="place">
        <w:r>
          <w:rPr>
            <w:snapToGrid w:val="0"/>
          </w:rPr>
          <w:t>Avon</w:t>
        </w:r>
      </w:smartTag>
      <w:r>
        <w:rPr>
          <w:snapToGrid w:val="0"/>
        </w:rPr>
        <w:t>.</w:t>
      </w:r>
    </w:p>
    <w:p>
      <w:pPr>
        <w:pStyle w:val="yMiscellaneousBody"/>
        <w:tabs>
          <w:tab w:val="left" w:pos="567"/>
        </w:tabs>
        <w:ind w:left="567" w:hanging="567"/>
        <w:rPr>
          <w:snapToGrid w:val="0"/>
        </w:rPr>
      </w:pPr>
      <w:r>
        <w:rPr>
          <w:snapToGrid w:val="0"/>
        </w:rPr>
        <w:t>45.</w:t>
      </w:r>
      <w:r>
        <w:rPr>
          <w:snapToGrid w:val="0"/>
        </w:rPr>
        <w:tab/>
        <w:t xml:space="preserve">The track between </w:t>
      </w:r>
      <w:smartTag w:uri="urn:schemas-microsoft-com:office:smarttags" w:element="place">
        <w:smartTag w:uri="urn:schemas-microsoft-com:office:smarttags" w:element="City">
          <w:r>
            <w:rPr>
              <w:snapToGrid w:val="0"/>
            </w:rPr>
            <w:t>Midland</w:t>
          </w:r>
        </w:smartTag>
      </w:smartTag>
      <w:r>
        <w:rPr>
          <w:snapToGrid w:val="0"/>
        </w:rPr>
        <w:t xml:space="preserve">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w:t>
      </w:r>
      <w:smartTag w:uri="urn:schemas-microsoft-com:office:smarttags" w:element="place">
        <w:smartTag w:uri="urn:schemas-microsoft-com:office:smarttags" w:element="City">
          <w:r>
            <w:t>Perth</w:t>
          </w:r>
        </w:smartTag>
      </w:smartTag>
      <w:r>
        <w:t xml:space="preserve">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r>
      <w:smartTag w:uri="urn:schemas-microsoft-com:office:smarttags" w:element="place">
        <w:smartTag w:uri="urn:schemas-microsoft-com:office:smarttags" w:element="City">
          <w:r>
            <w:t>Midland</w:t>
          </w:r>
        </w:smartTag>
      </w:smartTag>
      <w:r>
        <w:t>;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 xml:space="preserve">The dual gauge track between Robb Jetty and Leighton and the spur line between Leighton and </w:t>
      </w:r>
      <w:smartTag w:uri="urn:schemas-microsoft-com:office:smarttags" w:element="place">
        <w:r>
          <w:t>North Fremantle</w:t>
        </w:r>
      </w:smartTag>
      <w:r>
        <w:t>.</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 xml:space="preserve">TPI Railway and </w:t>
      </w:r>
      <w:smartTag w:uri="urn:schemas-microsoft-com:office:smarttags" w:element="Street">
        <w:smartTag w:uri="urn:schemas-microsoft-com:office:smarttags" w:element="address">
          <w:r>
            <w:rPr>
              <w:b/>
            </w:rPr>
            <w:t>Port Agreement Route</w:t>
          </w:r>
        </w:smartTag>
      </w:smartTag>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in Gazette 23 Jul 2004 p. 2993</w:t>
      </w:r>
      <w:r>
        <w:noBreakHyphen/>
        <w:t>5; amended in Gazette 23 Jun 2009 p. 2416; am</w:t>
      </w:r>
      <w:bookmarkStart w:id="408" w:name="_Toc90459324"/>
      <w:bookmarkStart w:id="409" w:name="_Toc202173146"/>
      <w:bookmarkStart w:id="410" w:name="_Toc202173238"/>
      <w:bookmarkStart w:id="411" w:name="_Toc202173725"/>
      <w:bookmarkStart w:id="412" w:name="_Toc202173897"/>
      <w:r>
        <w:t>ended by No. 77 of 2004 s. 13.]</w:t>
      </w:r>
    </w:p>
    <w:p>
      <w:pPr>
        <w:pStyle w:val="yScheduleHeading"/>
      </w:pPr>
      <w:bookmarkStart w:id="413" w:name="_Toc233600794"/>
      <w:bookmarkStart w:id="414" w:name="_Toc245093160"/>
      <w:bookmarkStart w:id="415" w:name="_Toc247424078"/>
      <w:bookmarkStart w:id="416" w:name="_Toc248824604"/>
      <w:bookmarkStart w:id="417" w:name="_Toc248824828"/>
      <w:bookmarkStart w:id="418" w:name="_Toc249157048"/>
      <w:bookmarkStart w:id="419" w:name="_Toc253476536"/>
      <w:bookmarkStart w:id="420" w:name="_Toc304214881"/>
      <w:bookmarkStart w:id="421" w:name="_Toc304214979"/>
      <w:bookmarkStart w:id="422" w:name="_Toc304282392"/>
      <w:bookmarkStart w:id="423" w:name="_Toc361989373"/>
      <w:r>
        <w:rPr>
          <w:rStyle w:val="CharSchNo"/>
        </w:rPr>
        <w:t>Schedule 2</w:t>
      </w:r>
      <w:r>
        <w:t> — </w:t>
      </w:r>
      <w:r>
        <w:rPr>
          <w:rStyle w:val="CharSchText"/>
        </w:rPr>
        <w:t>Information to be made available</w:t>
      </w:r>
      <w:bookmarkEnd w:id="413"/>
      <w:bookmarkEnd w:id="414"/>
      <w:bookmarkEnd w:id="415"/>
      <w:bookmarkEnd w:id="416"/>
      <w:bookmarkEnd w:id="417"/>
      <w:bookmarkEnd w:id="418"/>
      <w:bookmarkEnd w:id="419"/>
      <w:bookmarkEnd w:id="420"/>
      <w:bookmarkEnd w:id="421"/>
      <w:bookmarkEnd w:id="422"/>
      <w:bookmarkEnd w:id="423"/>
    </w:p>
    <w:p>
      <w:pPr>
        <w:pStyle w:val="yShoulderClause"/>
      </w:pPr>
      <w:r>
        <w:t>[s. 6]</w:t>
      </w:r>
    </w:p>
    <w:p>
      <w:pPr>
        <w:pStyle w:val="yFootnoteheading"/>
      </w:pPr>
      <w:r>
        <w:tab/>
        <w:t>[Heading inserted in Gazette 23 Jun 2009 p. 2417.]</w:t>
      </w:r>
    </w:p>
    <w:p>
      <w:pPr>
        <w:pStyle w:val="yHeading5"/>
      </w:pPr>
      <w:bookmarkStart w:id="424" w:name="_Toc361989374"/>
      <w:r>
        <w:t>Terms used</w:t>
      </w:r>
      <w:bookmarkEnd w:id="424"/>
    </w:p>
    <w:p>
      <w:pPr>
        <w:pStyle w:val="ySubsection"/>
      </w:pPr>
      <w:r>
        <w:tab/>
        <w:t>1.</w:t>
      </w:r>
      <w:r>
        <w:tab/>
        <w:t xml:space="preserve">In item 4 of this Schedule — </w:t>
      </w:r>
    </w:p>
    <w:p>
      <w:pPr>
        <w:pStyle w:val="yDefstart"/>
        <w:rPr>
          <w:lang w:val="en-US"/>
        </w:rPr>
      </w:pPr>
      <w:r>
        <w:tab/>
      </w:r>
      <w:r>
        <w:rPr>
          <w:rStyle w:val="CharDefText"/>
        </w:rPr>
        <w:t>gross tonnage</w:t>
      </w:r>
      <w:r>
        <w:t xml:space="preserve"> of a train </w:t>
      </w:r>
      <w:r>
        <w:rPr>
          <w:lang w:val="en-US"/>
        </w:rPr>
        <w:t>means the total of the weights of the rolling stock of the train and of the freight carried;</w:t>
      </w:r>
    </w:p>
    <w:p>
      <w:pPr>
        <w:pStyle w:val="yDefstart"/>
        <w:rPr>
          <w:lang w:val="en-US"/>
        </w:rPr>
      </w:pPr>
      <w:r>
        <w:tab/>
      </w:r>
      <w:r>
        <w:rPr>
          <w:rStyle w:val="CharDefText"/>
        </w:rPr>
        <w:t>tonnage of freight carried</w:t>
      </w:r>
      <w:r>
        <w:t xml:space="preserve"> </w:t>
      </w:r>
      <w:r>
        <w:rPr>
          <w:lang w:val="en-US"/>
        </w:rPr>
        <w:t>means the gross tonnage of the train less the weight of the rolling stock.</w:t>
      </w:r>
    </w:p>
    <w:p>
      <w:pPr>
        <w:pStyle w:val="yHeading5"/>
        <w:rPr>
          <w:lang w:val="en-US"/>
        </w:rPr>
      </w:pPr>
      <w:bookmarkStart w:id="425" w:name="_Toc361989375"/>
      <w:r>
        <w:t>Information</w:t>
      </w:r>
      <w:bookmarkEnd w:id="425"/>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in Gazette 23 Jun 2009 p. 2417</w:t>
      </w:r>
      <w:r>
        <w:noBreakHyphen/>
        <w:t>18.]</w:t>
      </w:r>
    </w:p>
    <w:p>
      <w:pPr>
        <w:pStyle w:val="yScheduleHeading"/>
      </w:pPr>
      <w:bookmarkStart w:id="426" w:name="_Toc233600797"/>
      <w:bookmarkStart w:id="427" w:name="_Toc245093163"/>
      <w:bookmarkStart w:id="428" w:name="_Toc247424081"/>
      <w:bookmarkStart w:id="429" w:name="_Toc248824607"/>
      <w:bookmarkStart w:id="430" w:name="_Toc248824831"/>
      <w:bookmarkStart w:id="431" w:name="_Toc249157051"/>
      <w:bookmarkStart w:id="432" w:name="_Toc253476539"/>
      <w:bookmarkStart w:id="433" w:name="_Toc304214884"/>
      <w:bookmarkStart w:id="434" w:name="_Toc304214982"/>
      <w:bookmarkStart w:id="435" w:name="_Toc304282395"/>
      <w:bookmarkStart w:id="436" w:name="_Toc361989376"/>
      <w:r>
        <w:rPr>
          <w:rStyle w:val="CharSchNo"/>
        </w:rPr>
        <w:t xml:space="preserve">Schedule 3 </w:t>
      </w:r>
      <w:r>
        <w:t>—</w:t>
      </w:r>
      <w:r>
        <w:rPr>
          <w:rStyle w:val="CharSchText"/>
        </w:rPr>
        <w:t xml:space="preserve"> Matters for which provision to be made in access agreement</w:t>
      </w:r>
      <w:bookmarkEnd w:id="408"/>
      <w:bookmarkEnd w:id="409"/>
      <w:bookmarkEnd w:id="410"/>
      <w:bookmarkEnd w:id="411"/>
      <w:bookmarkEnd w:id="412"/>
      <w:bookmarkEnd w:id="426"/>
      <w:bookmarkEnd w:id="427"/>
      <w:bookmarkEnd w:id="428"/>
      <w:bookmarkEnd w:id="429"/>
      <w:bookmarkEnd w:id="430"/>
      <w:bookmarkEnd w:id="431"/>
      <w:bookmarkEnd w:id="432"/>
      <w:bookmarkEnd w:id="433"/>
      <w:bookmarkEnd w:id="434"/>
      <w:bookmarkEnd w:id="435"/>
      <w:bookmarkEnd w:id="436"/>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ind w:left="1320" w:hanging="2280"/>
        <w:rPr>
          <w:snapToGrid w:val="0"/>
        </w:rPr>
      </w:pPr>
      <w:r>
        <w:tab/>
        <w:t>(a)</w:t>
      </w:r>
      <w:r>
        <w:tab/>
      </w:r>
      <w:r>
        <w:rPr>
          <w:snapToGrid w:val="0"/>
        </w:rPr>
        <w:t xml:space="preserve">as being competent to carry out functions in rail operations; and </w:t>
      </w:r>
    </w:p>
    <w:p>
      <w:pPr>
        <w:pStyle w:val="yNumberedItem"/>
        <w:ind w:left="1321" w:hanging="2279"/>
        <w:rPr>
          <w:snapToGrid w:val="0"/>
        </w:rPr>
      </w:pPr>
      <w:r>
        <w:tab/>
        <w:t xml:space="preserve">(b) </w:t>
      </w:r>
      <w:r>
        <w:tab/>
      </w:r>
      <w:r>
        <w:rPr>
          <w:snapToGrid w:val="0"/>
        </w:rPr>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ind w:left="1320" w:hanging="2280"/>
        <w:rPr>
          <w:snapToGrid w:val="0"/>
        </w:rPr>
      </w:pPr>
      <w:r>
        <w:tab/>
        <w:t>(</w:t>
      </w:r>
      <w:r>
        <w:rPr>
          <w:snapToGrid w:val="0"/>
        </w:rPr>
        <w:t>a)</w:t>
      </w:r>
      <w:r>
        <w:rPr>
          <w:snapToGrid w:val="0"/>
        </w:rPr>
        <w:tab/>
        <w:t>the inspection of;</w:t>
      </w:r>
    </w:p>
    <w:p>
      <w:pPr>
        <w:pStyle w:val="yNumberedItem"/>
        <w:ind w:left="1320" w:hanging="2280"/>
        <w:rPr>
          <w:snapToGrid w:val="0"/>
        </w:rPr>
      </w:pPr>
      <w:r>
        <w:rPr>
          <w:snapToGrid w:val="0"/>
        </w:rPr>
        <w:tab/>
        <w:t>(b)</w:t>
      </w:r>
      <w:r>
        <w:rPr>
          <w:snapToGrid w:val="0"/>
        </w:rPr>
        <w:tab/>
        <w:t>the obtaining of information about; and</w:t>
      </w:r>
    </w:p>
    <w:p>
      <w:pPr>
        <w:pStyle w:val="yNumberedItem"/>
        <w:ind w:left="1320" w:hanging="2280"/>
        <w:rPr>
          <w:snapToGrid w:val="0"/>
        </w:rPr>
      </w:pPr>
      <w:r>
        <w:rPr>
          <w:snapToGrid w:val="0"/>
        </w:rPr>
        <w:tab/>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6"/>
          <w:headerReference w:type="default" r:id="rId27"/>
          <w:pgSz w:w="11906" w:h="16838"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bookmarkStart w:id="437" w:name="_Toc90459325"/>
      <w:bookmarkStart w:id="438" w:name="_Toc202173147"/>
      <w:bookmarkStart w:id="439" w:name="_Toc202173239"/>
      <w:bookmarkStart w:id="440" w:name="_Toc202173726"/>
      <w:bookmarkStart w:id="441" w:name="_Toc202173898"/>
    </w:p>
    <w:p>
      <w:pPr>
        <w:pStyle w:val="yScheduleHeading"/>
      </w:pPr>
      <w:bookmarkStart w:id="442" w:name="_Toc233600798"/>
      <w:bookmarkStart w:id="443" w:name="_Toc245093164"/>
      <w:bookmarkStart w:id="444" w:name="_Toc247424082"/>
      <w:bookmarkStart w:id="445" w:name="_Toc248824608"/>
      <w:bookmarkStart w:id="446" w:name="_Toc248824832"/>
      <w:bookmarkStart w:id="447" w:name="_Toc249157052"/>
      <w:bookmarkStart w:id="448" w:name="_Toc253476540"/>
      <w:bookmarkStart w:id="449" w:name="_Toc304214885"/>
      <w:bookmarkStart w:id="450" w:name="_Toc304214983"/>
      <w:bookmarkStart w:id="451" w:name="_Toc304282396"/>
      <w:bookmarkStart w:id="452" w:name="_Toc361989377"/>
      <w:r>
        <w:rPr>
          <w:rStyle w:val="CharSchNo"/>
        </w:rPr>
        <w:t xml:space="preserve">Schedule 4 </w:t>
      </w:r>
      <w:r>
        <w:t>—</w:t>
      </w:r>
      <w:r>
        <w:rPr>
          <w:rStyle w:val="CharSchText"/>
        </w:rPr>
        <w:t xml:space="preserve"> Provisions relating to prices to be paid for access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yShoulderClause"/>
        <w:rPr>
          <w:snapToGrid w:val="0"/>
        </w:rPr>
      </w:pPr>
      <w:r>
        <w:rPr>
          <w:snapToGrid w:val="0"/>
        </w:rPr>
        <w:t>[s. 17(1)(b)]</w:t>
      </w:r>
    </w:p>
    <w:p>
      <w:pPr>
        <w:pStyle w:val="yHeading3"/>
      </w:pPr>
      <w:bookmarkStart w:id="453" w:name="_Toc90459326"/>
      <w:bookmarkStart w:id="454" w:name="_Toc202173148"/>
      <w:bookmarkStart w:id="455" w:name="_Toc202173240"/>
      <w:bookmarkStart w:id="456" w:name="_Toc202173727"/>
      <w:bookmarkStart w:id="457" w:name="_Toc202173899"/>
      <w:bookmarkStart w:id="458" w:name="_Toc233600799"/>
      <w:bookmarkStart w:id="459" w:name="_Toc245093165"/>
      <w:bookmarkStart w:id="460" w:name="_Toc247424083"/>
      <w:bookmarkStart w:id="461" w:name="_Toc248824609"/>
      <w:bookmarkStart w:id="462" w:name="_Toc248824833"/>
      <w:bookmarkStart w:id="463" w:name="_Toc249157053"/>
      <w:bookmarkStart w:id="464" w:name="_Toc253476541"/>
      <w:bookmarkStart w:id="465" w:name="_Toc304214886"/>
      <w:bookmarkStart w:id="466" w:name="_Toc304214984"/>
      <w:bookmarkStart w:id="467" w:name="_Toc304282397"/>
      <w:bookmarkStart w:id="468" w:name="_Toc361989378"/>
      <w:r>
        <w:rPr>
          <w:rStyle w:val="CharSDivNo"/>
        </w:rPr>
        <w:t>Division 1</w:t>
      </w:r>
      <w:r>
        <w:t xml:space="preserve"> — </w:t>
      </w:r>
      <w:r>
        <w:rPr>
          <w:rStyle w:val="CharSDivText"/>
        </w:rPr>
        <w:t>Preliminary</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yHeading5"/>
        <w:rPr>
          <w:snapToGrid w:val="0"/>
        </w:rPr>
      </w:pPr>
      <w:bookmarkStart w:id="469" w:name="_Toc90459327"/>
      <w:bookmarkStart w:id="470" w:name="_Toc361989379"/>
      <w:r>
        <w:rPr>
          <w:rStyle w:val="CharSClsNo"/>
        </w:rPr>
        <w:t>1</w:t>
      </w:r>
      <w:r>
        <w:rPr>
          <w:snapToGrid w:val="0"/>
        </w:rPr>
        <w:t>.</w:t>
      </w:r>
      <w:r>
        <w:rPr>
          <w:snapToGrid w:val="0"/>
        </w:rPr>
        <w:tab/>
      </w:r>
      <w:bookmarkEnd w:id="469"/>
      <w:r>
        <w:rPr>
          <w:snapToGrid w:val="0"/>
        </w:rPr>
        <w:t>Terms used</w:t>
      </w:r>
      <w:bookmarkEnd w:id="470"/>
    </w:p>
    <w:p>
      <w:pPr>
        <w:pStyle w:val="ySubsection"/>
        <w:rPr>
          <w:snapToGrid w:val="0"/>
        </w:rPr>
      </w:pPr>
      <w:r>
        <w:rPr>
          <w:snapToGrid w:val="0"/>
        </w:rPr>
        <w:tab/>
      </w:r>
      <w:r>
        <w:rPr>
          <w:snapToGrid w:val="0"/>
        </w:rPr>
        <w:tab/>
        <w:t>In this Schedule — </w:t>
      </w:r>
    </w:p>
    <w:p>
      <w:pPr>
        <w:pStyle w:val="y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and </w:t>
      </w:r>
    </w:p>
    <w:p>
      <w:pPr>
        <w:pStyle w:val="yIndenta"/>
      </w:pPr>
      <w:r>
        <w:tab/>
        <w:t>(c)</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clause 2(5),</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w:t>
      </w:r>
      <w:r>
        <w:noBreakHyphen/>
        <w:t>6; 20 Sep 2011 p. 3801.]</w:t>
      </w:r>
    </w:p>
    <w:p>
      <w:pPr>
        <w:pStyle w:val="yHeading5"/>
        <w:rPr>
          <w:snapToGrid w:val="0"/>
        </w:rPr>
      </w:pPr>
      <w:bookmarkStart w:id="471" w:name="_Toc90459328"/>
      <w:bookmarkStart w:id="472" w:name="_Toc361989380"/>
      <w:r>
        <w:rPr>
          <w:rStyle w:val="CharSClsNo"/>
        </w:rPr>
        <w:t>2</w:t>
      </w:r>
      <w:r>
        <w:rPr>
          <w:snapToGrid w:val="0"/>
        </w:rPr>
        <w:t>.</w:t>
      </w:r>
      <w:r>
        <w:rPr>
          <w:snapToGrid w:val="0"/>
        </w:rPr>
        <w:tab/>
      </w:r>
      <w:bookmarkEnd w:id="471"/>
      <w:r>
        <w:rPr>
          <w:snapToGrid w:val="0"/>
        </w:rPr>
        <w:t>Railway infrastructure</w:t>
      </w:r>
      <w:bookmarkEnd w:id="472"/>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rPr>
          <w:snapToGrid w:val="0"/>
        </w:rPr>
      </w:pPr>
      <w:r>
        <w:rPr>
          <w:snapToGrid w:val="0"/>
        </w:rPr>
        <w:tab/>
        <w:t>(3)</w:t>
      </w:r>
      <w:r>
        <w:rPr>
          <w:snapToGrid w:val="0"/>
        </w:rPr>
        <w:tab/>
      </w:r>
      <w:r>
        <w:t>Capital costs (other than capital costs under subclause (5))</w:t>
      </w:r>
      <w:r>
        <w:rPr>
          <w:snapToGrid w:val="0"/>
        </w:rPr>
        <w:t xml:space="preserve">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keepNext/>
        <w:keepLines/>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keepNext/>
        <w:keepLines/>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t>[Clause 2 amended in Gazette 23 Jul 2004 p. 2996; 20 Sep 2011 p. 3802.]</w:t>
      </w:r>
    </w:p>
    <w:p>
      <w:pPr>
        <w:pStyle w:val="yHeading5"/>
        <w:rPr>
          <w:snapToGrid w:val="0"/>
        </w:rPr>
      </w:pPr>
      <w:bookmarkStart w:id="473" w:name="_Toc90459329"/>
      <w:bookmarkStart w:id="474" w:name="_Toc361989381"/>
      <w:r>
        <w:rPr>
          <w:rStyle w:val="CharSClsNo"/>
        </w:rPr>
        <w:t>3</w:t>
      </w:r>
      <w:r>
        <w:rPr>
          <w:snapToGrid w:val="0"/>
        </w:rPr>
        <w:t>.</w:t>
      </w:r>
      <w:r>
        <w:rPr>
          <w:snapToGrid w:val="0"/>
        </w:rPr>
        <w:tab/>
        <w:t>Regulator to determine weighted average cost of capital</w:t>
      </w:r>
      <w:bookmarkEnd w:id="473"/>
      <w:bookmarkEnd w:id="474"/>
      <w:r>
        <w:rPr>
          <w:snapToGrid w:val="0"/>
        </w:rPr>
        <w:t xml:space="preserve"> </w:t>
      </w:r>
    </w:p>
    <w:p>
      <w:pPr>
        <w:pStyle w:val="ySubsection"/>
        <w:spacing w:before="120"/>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i w:val="0"/>
          <w:iCs/>
          <w:vertAlign w:val="superscript"/>
        </w:rPr>
        <w:t>2</w:t>
      </w:r>
      <w:r>
        <w:t xml:space="preserve"> amended in Gazette 23 Jul 2004 p. 2996; amended by Act No. 77 of 2004 s. 14.]</w:t>
      </w:r>
    </w:p>
    <w:p>
      <w:pPr>
        <w:pStyle w:val="yHeading5"/>
        <w:spacing w:before="180"/>
        <w:rPr>
          <w:snapToGrid w:val="0"/>
        </w:rPr>
      </w:pPr>
      <w:bookmarkStart w:id="475" w:name="_Toc90459330"/>
      <w:bookmarkStart w:id="476" w:name="_Toc361989382"/>
      <w:r>
        <w:rPr>
          <w:rStyle w:val="CharSClsNo"/>
        </w:rPr>
        <w:t>4</w:t>
      </w:r>
      <w:r>
        <w:rPr>
          <w:snapToGrid w:val="0"/>
        </w:rPr>
        <w:t>.</w:t>
      </w:r>
      <w:r>
        <w:rPr>
          <w:snapToGrid w:val="0"/>
        </w:rPr>
        <w:tab/>
        <w:t>Nature of costs</w:t>
      </w:r>
      <w:bookmarkEnd w:id="475"/>
      <w:bookmarkEnd w:id="476"/>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477" w:name="_Toc90459331"/>
      <w:bookmarkStart w:id="478" w:name="_Toc202173153"/>
      <w:bookmarkStart w:id="479" w:name="_Toc202173245"/>
      <w:bookmarkStart w:id="480" w:name="_Toc202173732"/>
      <w:bookmarkStart w:id="481" w:name="_Toc202173904"/>
      <w:bookmarkStart w:id="482" w:name="_Toc233600804"/>
      <w:bookmarkStart w:id="483" w:name="_Toc245093170"/>
      <w:bookmarkStart w:id="484" w:name="_Toc247424088"/>
      <w:bookmarkStart w:id="485" w:name="_Toc248824614"/>
      <w:bookmarkStart w:id="486" w:name="_Toc248824838"/>
      <w:bookmarkStart w:id="487" w:name="_Toc249157058"/>
      <w:bookmarkStart w:id="488" w:name="_Toc253476546"/>
      <w:bookmarkStart w:id="489" w:name="_Toc304214891"/>
      <w:bookmarkStart w:id="490" w:name="_Toc304214989"/>
      <w:bookmarkStart w:id="491" w:name="_Toc304282402"/>
      <w:bookmarkStart w:id="492" w:name="_Toc361989383"/>
      <w:r>
        <w:rPr>
          <w:rStyle w:val="CharSDivNo"/>
        </w:rPr>
        <w:t>Division 2</w:t>
      </w:r>
      <w:r>
        <w:rPr>
          <w:snapToGrid w:val="0"/>
        </w:rPr>
        <w:t xml:space="preserve"> — </w:t>
      </w:r>
      <w:r>
        <w:rPr>
          <w:rStyle w:val="CharSDivText"/>
        </w:rPr>
        <w:t>Provisions relating to access price negotiation</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Heading5"/>
        <w:spacing w:before="180"/>
        <w:rPr>
          <w:snapToGrid w:val="0"/>
        </w:rPr>
      </w:pPr>
      <w:bookmarkStart w:id="493" w:name="_Toc90459332"/>
      <w:bookmarkStart w:id="494" w:name="_Toc361989384"/>
      <w:r>
        <w:rPr>
          <w:rStyle w:val="CharSClsNo"/>
        </w:rPr>
        <w:t>5</w:t>
      </w:r>
      <w:r>
        <w:rPr>
          <w:snapToGrid w:val="0"/>
        </w:rPr>
        <w:t>.</w:t>
      </w:r>
      <w:r>
        <w:rPr>
          <w:snapToGrid w:val="0"/>
        </w:rPr>
        <w:tab/>
      </w:r>
      <w:bookmarkEnd w:id="493"/>
      <w:r>
        <w:rPr>
          <w:snapToGrid w:val="0"/>
        </w:rPr>
        <w:t>Term used: other entities</w:t>
      </w:r>
      <w:bookmarkEnd w:id="494"/>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495" w:name="_Toc90459333"/>
      <w:bookmarkStart w:id="496" w:name="_Toc361989385"/>
      <w:r>
        <w:rPr>
          <w:rStyle w:val="CharSClsNo"/>
        </w:rPr>
        <w:t>6</w:t>
      </w:r>
      <w:r>
        <w:rPr>
          <w:snapToGrid w:val="0"/>
        </w:rPr>
        <w:t>.</w:t>
      </w:r>
      <w:r>
        <w:rPr>
          <w:snapToGrid w:val="0"/>
        </w:rPr>
        <w:tab/>
        <w:t>Prices to be negotiated</w:t>
      </w:r>
      <w:bookmarkEnd w:id="495"/>
      <w:bookmarkEnd w:id="496"/>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pPr>
      <w:bookmarkStart w:id="497" w:name="_Toc361989386"/>
      <w:bookmarkStart w:id="498" w:name="_Toc90459334"/>
      <w:r>
        <w:rPr>
          <w:rStyle w:val="CharSClsNo"/>
        </w:rPr>
        <w:t>7A</w:t>
      </w:r>
      <w:r>
        <w:t>.</w:t>
      </w:r>
      <w:r>
        <w:tab/>
        <w:t>Apportionment of costs of extension or expansion</w:t>
      </w:r>
      <w:bookmarkEnd w:id="497"/>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in Gazette 23 Jun 2009 p. 2418</w:t>
      </w:r>
      <w:r>
        <w:noBreakHyphen/>
        <w:t>19.]</w:t>
      </w:r>
    </w:p>
    <w:p>
      <w:pPr>
        <w:pStyle w:val="yHeading5"/>
        <w:rPr>
          <w:snapToGrid w:val="0"/>
        </w:rPr>
      </w:pPr>
      <w:bookmarkStart w:id="499" w:name="_Toc361989387"/>
      <w:r>
        <w:rPr>
          <w:rStyle w:val="CharSClsNo"/>
        </w:rPr>
        <w:t>7</w:t>
      </w:r>
      <w:r>
        <w:rPr>
          <w:snapToGrid w:val="0"/>
        </w:rPr>
        <w:t>.</w:t>
      </w:r>
      <w:r>
        <w:rPr>
          <w:snapToGrid w:val="0"/>
        </w:rPr>
        <w:tab/>
        <w:t>Floor price test</w:t>
      </w:r>
      <w:bookmarkEnd w:id="498"/>
      <w:bookmarkEnd w:id="499"/>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500" w:name="_Toc90459335"/>
      <w:bookmarkStart w:id="501" w:name="_Toc361989388"/>
      <w:r>
        <w:rPr>
          <w:rStyle w:val="CharSClsNo"/>
        </w:rPr>
        <w:t>8</w:t>
      </w:r>
      <w:r>
        <w:rPr>
          <w:snapToGrid w:val="0"/>
        </w:rPr>
        <w:t>.</w:t>
      </w:r>
      <w:r>
        <w:rPr>
          <w:snapToGrid w:val="0"/>
        </w:rPr>
        <w:tab/>
        <w:t>Ceiling price test</w:t>
      </w:r>
      <w:bookmarkEnd w:id="500"/>
      <w:bookmarkEnd w:id="501"/>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keepNext/>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w:t>
      </w:r>
      <w:r>
        <w:noBreakHyphen/>
        <w:t>7.]</w:t>
      </w:r>
    </w:p>
    <w:p>
      <w:pPr>
        <w:pStyle w:val="yHeading5"/>
        <w:rPr>
          <w:snapToGrid w:val="0"/>
        </w:rPr>
      </w:pPr>
      <w:bookmarkStart w:id="502" w:name="_Toc90459336"/>
      <w:bookmarkStart w:id="503" w:name="_Toc361989389"/>
      <w:r>
        <w:rPr>
          <w:rStyle w:val="CharSClsNo"/>
        </w:rPr>
        <w:t>9</w:t>
      </w:r>
      <w:r>
        <w:rPr>
          <w:snapToGrid w:val="0"/>
        </w:rPr>
        <w:t>.</w:t>
      </w:r>
      <w:r>
        <w:rPr>
          <w:snapToGrid w:val="0"/>
        </w:rPr>
        <w:tab/>
        <w:t>Determination of costs by Regulator</w:t>
      </w:r>
      <w:bookmarkEnd w:id="502"/>
      <w:bookmarkEnd w:id="503"/>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keepLines/>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504" w:name="_Toc90459337"/>
      <w:bookmarkStart w:id="505" w:name="_Toc361989390"/>
      <w:r>
        <w:rPr>
          <w:rStyle w:val="CharSClsNo"/>
        </w:rPr>
        <w:t>10</w:t>
      </w:r>
      <w:r>
        <w:rPr>
          <w:snapToGrid w:val="0"/>
        </w:rPr>
        <w:t>.</w:t>
      </w:r>
      <w:r>
        <w:rPr>
          <w:snapToGrid w:val="0"/>
        </w:rPr>
        <w:tab/>
        <w:t>Determination of costs where clause 9 does not apply</w:t>
      </w:r>
      <w:bookmarkEnd w:id="504"/>
      <w:bookmarkEnd w:id="505"/>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keepNext/>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 7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506" w:name="_Toc90459338"/>
      <w:bookmarkStart w:id="507" w:name="_Toc361989391"/>
      <w:r>
        <w:rPr>
          <w:rStyle w:val="CharSClsNo"/>
        </w:rPr>
        <w:t>11</w:t>
      </w:r>
      <w:r>
        <w:rPr>
          <w:snapToGrid w:val="0"/>
        </w:rPr>
        <w:t>.</w:t>
      </w:r>
      <w:r>
        <w:rPr>
          <w:snapToGrid w:val="0"/>
        </w:rPr>
        <w:tab/>
        <w:t>Public submissions may be sought</w:t>
      </w:r>
      <w:bookmarkEnd w:id="506"/>
      <w:bookmarkEnd w:id="507"/>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508" w:name="_Toc90459339"/>
      <w:bookmarkStart w:id="509" w:name="_Toc361989392"/>
      <w:r>
        <w:rPr>
          <w:rStyle w:val="CharSClsNo"/>
        </w:rPr>
        <w:t>12</w:t>
      </w:r>
      <w:r>
        <w:rPr>
          <w:snapToGrid w:val="0"/>
        </w:rPr>
        <w:t>.</w:t>
      </w:r>
      <w:r>
        <w:rPr>
          <w:snapToGrid w:val="0"/>
        </w:rPr>
        <w:tab/>
        <w:t>Review and redetermination of costs</w:t>
      </w:r>
      <w:bookmarkEnd w:id="508"/>
      <w:bookmarkEnd w:id="509"/>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510" w:name="_Toc90459340"/>
      <w:bookmarkStart w:id="511" w:name="_Toc361989393"/>
      <w:r>
        <w:rPr>
          <w:rStyle w:val="CharSClsNo"/>
        </w:rPr>
        <w:t>13</w:t>
      </w:r>
      <w:r>
        <w:t>.</w:t>
      </w:r>
      <w:r>
        <w:tab/>
        <w:t>Guidelines to be applied</w:t>
      </w:r>
      <w:bookmarkEnd w:id="510"/>
      <w:bookmarkEnd w:id="511"/>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sectPr>
          <w:headerReference w:type="even" r:id="rId28"/>
          <w:headerReference w:type="default" r:id="rId29"/>
          <w:pgSz w:w="11906" w:h="16838" w:code="9"/>
          <w:pgMar w:top="2376" w:right="2405" w:bottom="3542" w:left="2405" w:header="706" w:footer="3380" w:gutter="0"/>
          <w:cols w:space="720"/>
          <w:noEndnote/>
          <w:docGrid w:linePitch="326"/>
        </w:sectPr>
      </w:pPr>
      <w:r>
        <w:tab/>
      </w:r>
      <w:bookmarkStart w:id="512" w:name="_Toc90459341"/>
      <w:bookmarkStart w:id="513" w:name="_Toc202173163"/>
      <w:bookmarkStart w:id="514" w:name="_Toc202173255"/>
      <w:bookmarkStart w:id="515" w:name="_Toc202173742"/>
      <w:bookmarkStart w:id="516" w:name="_Toc202173914"/>
    </w:p>
    <w:p>
      <w:pPr>
        <w:pStyle w:val="yScheduleHeading"/>
      </w:pPr>
      <w:bookmarkStart w:id="517" w:name="_Toc233600815"/>
      <w:bookmarkStart w:id="518" w:name="_Toc245093181"/>
      <w:bookmarkStart w:id="519" w:name="_Toc247424099"/>
      <w:bookmarkStart w:id="520" w:name="_Toc248824625"/>
      <w:bookmarkStart w:id="521" w:name="_Toc248824849"/>
      <w:bookmarkStart w:id="522" w:name="_Toc249157069"/>
      <w:bookmarkStart w:id="523" w:name="_Toc253476557"/>
      <w:bookmarkStart w:id="524" w:name="_Toc304214902"/>
      <w:bookmarkStart w:id="525" w:name="_Toc304215000"/>
      <w:bookmarkStart w:id="526" w:name="_Toc304282413"/>
      <w:bookmarkStart w:id="527" w:name="_Toc361989394"/>
      <w:r>
        <w:rPr>
          <w:rStyle w:val="CharSchNo"/>
        </w:rPr>
        <w:t xml:space="preserve">Schedule 5 </w:t>
      </w:r>
      <w:r>
        <w:t>—</w:t>
      </w:r>
      <w:r>
        <w:rPr>
          <w:rStyle w:val="CharSchText"/>
        </w:rPr>
        <w:t xml:space="preserve"> Relevant provisions of Competition Principles Agreement</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28" w:name="_Toc78272916"/>
      <w:bookmarkStart w:id="529" w:name="_Toc78274385"/>
      <w:bookmarkStart w:id="530" w:name="_Toc90459182"/>
      <w:bookmarkStart w:id="531" w:name="_Toc90459342"/>
      <w:bookmarkStart w:id="532" w:name="_Toc202173167"/>
      <w:bookmarkStart w:id="533" w:name="_Toc202173259"/>
      <w:bookmarkStart w:id="534" w:name="_Toc202173746"/>
      <w:bookmarkStart w:id="535" w:name="_Toc202173918"/>
      <w:bookmarkStart w:id="536" w:name="_Toc233600819"/>
      <w:bookmarkStart w:id="537" w:name="_Toc245093185"/>
      <w:bookmarkStart w:id="538" w:name="_Toc247424103"/>
      <w:bookmarkStart w:id="539" w:name="_Toc248824626"/>
      <w:bookmarkStart w:id="540" w:name="_Toc248824850"/>
      <w:bookmarkStart w:id="541" w:name="_Toc249157070"/>
      <w:bookmarkStart w:id="542" w:name="_Toc253476558"/>
      <w:bookmarkStart w:id="543" w:name="_Toc304214903"/>
      <w:bookmarkStart w:id="544" w:name="_Toc304215001"/>
      <w:bookmarkStart w:id="545" w:name="_Toc304282414"/>
      <w:bookmarkStart w:id="546" w:name="_Toc361989395"/>
      <w:r>
        <w:t>Notes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nSubsection"/>
        <w:rPr>
          <w:snapToGrid w:val="0"/>
        </w:rPr>
      </w:pPr>
      <w:r>
        <w:rPr>
          <w:snapToGrid w:val="0"/>
          <w:vertAlign w:val="superscript"/>
        </w:rPr>
        <w:t>1</w:t>
      </w:r>
      <w:r>
        <w:rPr>
          <w:snapToGrid w:val="0"/>
        </w:rPr>
        <w:tab/>
        <w:t xml:space="preserve">This is a compilation of the </w:t>
      </w:r>
      <w:r>
        <w:rPr>
          <w:i/>
          <w:noProof/>
          <w:snapToGrid w:val="0"/>
        </w:rPr>
        <w:t>Railways (Access) Code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47" w:name="_Toc361989396"/>
      <w:r>
        <w:t>Compilation table</w:t>
      </w:r>
      <w:bookmarkEnd w:id="5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Railways (Access) Code 2000</w:t>
            </w:r>
          </w:p>
        </w:tc>
        <w:tc>
          <w:tcPr>
            <w:tcW w:w="1276" w:type="dxa"/>
          </w:tcPr>
          <w:p>
            <w:pPr>
              <w:pStyle w:val="nTable"/>
              <w:spacing w:after="40"/>
              <w:rPr>
                <w:sz w:val="19"/>
              </w:rPr>
            </w:pPr>
            <w:r>
              <w:rPr>
                <w:sz w:val="19"/>
              </w:rPr>
              <w:t>8 Sep 2000 p. 5123</w:t>
            </w:r>
            <w:r>
              <w:rPr>
                <w:sz w:val="19"/>
              </w:rPr>
              <w:noBreakHyphen/>
              <w:t>81</w:t>
            </w:r>
          </w:p>
        </w:tc>
        <w:tc>
          <w:tcPr>
            <w:tcW w:w="2693" w:type="dxa"/>
          </w:tcPr>
          <w:p>
            <w:pPr>
              <w:pStyle w:val="nTable"/>
              <w:spacing w:after="40"/>
              <w:rPr>
                <w:sz w:val="19"/>
              </w:rPr>
            </w:pPr>
            <w:r>
              <w:rPr>
                <w:sz w:val="19"/>
              </w:rPr>
              <w:t>1 Sep 2001 (see s. 2 and </w:t>
            </w:r>
            <w:r>
              <w:rPr>
                <w:i/>
                <w:sz w:val="19"/>
              </w:rPr>
              <w:t>Gazette</w:t>
            </w:r>
            <w:r>
              <w:rPr>
                <w:sz w:val="19"/>
              </w:rPr>
              <w:t xml:space="preserve"> 28 Aug 2001 p. 4795)</w:t>
            </w:r>
          </w:p>
        </w:tc>
      </w:tr>
      <w:tr>
        <w:tc>
          <w:tcPr>
            <w:tcW w:w="3119" w:type="dxa"/>
          </w:tcPr>
          <w:p>
            <w:pPr>
              <w:pStyle w:val="nTable"/>
              <w:spacing w:after="40"/>
              <w:rPr>
                <w:sz w:val="19"/>
              </w:rPr>
            </w:pPr>
            <w:r>
              <w:rPr>
                <w:i/>
                <w:sz w:val="19"/>
              </w:rPr>
              <w:t>Railways (Access) Amendment Code 2004</w:t>
            </w:r>
            <w:r>
              <w:rPr>
                <w:sz w:val="19"/>
              </w:rPr>
              <w:t xml:space="preserve"> </w:t>
            </w:r>
            <w:r>
              <w:rPr>
                <w:sz w:val="19"/>
                <w:vertAlign w:val="superscript"/>
              </w:rPr>
              <w:t>3</w:t>
            </w:r>
          </w:p>
        </w:tc>
        <w:tc>
          <w:tcPr>
            <w:tcW w:w="1276" w:type="dxa"/>
          </w:tcPr>
          <w:p>
            <w:pPr>
              <w:pStyle w:val="nTable"/>
              <w:spacing w:after="40"/>
              <w:rPr>
                <w:sz w:val="19"/>
              </w:rPr>
            </w:pPr>
            <w:r>
              <w:rPr>
                <w:sz w:val="19"/>
              </w:rPr>
              <w:t>23 Jul 2004 p. 2988</w:t>
            </w:r>
            <w:r>
              <w:rPr>
                <w:sz w:val="19"/>
              </w:rPr>
              <w:noBreakHyphen/>
              <w:t>97</w:t>
            </w:r>
          </w:p>
        </w:tc>
        <w:tc>
          <w:tcPr>
            <w:tcW w:w="2693" w:type="dxa"/>
          </w:tcPr>
          <w:p>
            <w:pPr>
              <w:pStyle w:val="nTable"/>
              <w:spacing w:after="40"/>
              <w:rPr>
                <w:sz w:val="19"/>
              </w:rPr>
            </w:pPr>
            <w:r>
              <w:rPr>
                <w:sz w:val="19"/>
              </w:rPr>
              <w:t>23 Jul 2004 (see s. 2)</w:t>
            </w:r>
          </w:p>
        </w:tc>
      </w:tr>
      <w:tr>
        <w:trPr>
          <w:cantSplit/>
        </w:trPr>
        <w:tc>
          <w:tcPr>
            <w:tcW w:w="4395" w:type="dxa"/>
            <w:gridSpan w:val="2"/>
          </w:tcPr>
          <w:p>
            <w:pPr>
              <w:pStyle w:val="nTable"/>
              <w:spacing w:after="40"/>
              <w:rPr>
                <w:sz w:val="19"/>
              </w:rPr>
            </w:pPr>
            <w:r>
              <w:rPr>
                <w:i/>
                <w:iCs/>
                <w:sz w:val="19"/>
              </w:rPr>
              <w:t>Railway and Port (The Pilbara Infrastructure Pty Ltd) Agreement Act 2004</w:t>
            </w:r>
            <w:r>
              <w:rPr>
                <w:sz w:val="19"/>
              </w:rPr>
              <w:t xml:space="preserve"> Pt. 3 Div. 2 assented to 8 Dec 2004</w:t>
            </w:r>
          </w:p>
        </w:tc>
        <w:tc>
          <w:tcPr>
            <w:tcW w:w="2693" w:type="dxa"/>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c>
          <w:tcPr>
            <w:tcW w:w="3119" w:type="dxa"/>
          </w:tcPr>
          <w:p>
            <w:pPr>
              <w:pStyle w:val="nTable"/>
              <w:spacing w:after="40"/>
              <w:rPr>
                <w:sz w:val="19"/>
              </w:rPr>
            </w:pPr>
            <w:r>
              <w:rPr>
                <w:i/>
                <w:sz w:val="19"/>
              </w:rPr>
              <w:t>Railways (Access) Amendment Code 2009</w:t>
            </w:r>
          </w:p>
        </w:tc>
        <w:tc>
          <w:tcPr>
            <w:tcW w:w="1276" w:type="dxa"/>
          </w:tcPr>
          <w:p>
            <w:pPr>
              <w:pStyle w:val="nTable"/>
              <w:spacing w:after="40"/>
              <w:rPr>
                <w:sz w:val="19"/>
              </w:rPr>
            </w:pPr>
            <w:r>
              <w:rPr>
                <w:sz w:val="19"/>
              </w:rPr>
              <w:t>23 Jun 2009 p. 2407</w:t>
            </w:r>
            <w:r>
              <w:rPr>
                <w:sz w:val="19"/>
              </w:rPr>
              <w:noBreakHyphen/>
              <w:t>19</w:t>
            </w:r>
          </w:p>
        </w:tc>
        <w:tc>
          <w:tcPr>
            <w:tcW w:w="2693" w:type="dxa"/>
          </w:tcPr>
          <w:p>
            <w:pPr>
              <w:pStyle w:val="nTable"/>
              <w:spacing w:after="40"/>
              <w:rPr>
                <w:sz w:val="19"/>
              </w:rPr>
            </w:pPr>
            <w:r>
              <w:rPr>
                <w:snapToGrid w:val="0"/>
                <w:spacing w:val="-2"/>
                <w:sz w:val="19"/>
                <w:lang w:val="en-US"/>
              </w:rPr>
              <w:t>s. 1 and 2: 23 Jun 2009 (see s. 2(a));</w:t>
            </w:r>
            <w:r>
              <w:rPr>
                <w:snapToGrid w:val="0"/>
                <w:spacing w:val="-2"/>
                <w:sz w:val="19"/>
                <w:lang w:val="en-US"/>
              </w:rPr>
              <w:br/>
              <w:t>Code other than s. 1 and 2: 24 Jun 2009 (see s. 2(b))</w:t>
            </w:r>
          </w:p>
        </w:tc>
      </w:tr>
      <w:tr>
        <w:trPr>
          <w:cantSplit/>
        </w:trPr>
        <w:tc>
          <w:tcPr>
            <w:tcW w:w="7088"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 xml:space="preserve">Railways (Access) Code 2000 </w:t>
            </w:r>
            <w:r>
              <w:rPr>
                <w:b/>
                <w:bCs/>
                <w:snapToGrid w:val="0"/>
                <w:spacing w:val="-2"/>
                <w:sz w:val="19"/>
                <w:lang w:val="en-US"/>
              </w:rPr>
              <w:t>as at 5 Feb 2010</w:t>
            </w:r>
            <w:r>
              <w:rPr>
                <w:snapToGrid w:val="0"/>
                <w:spacing w:val="-2"/>
                <w:sz w:val="19"/>
                <w:lang w:val="en-US"/>
              </w:rPr>
              <w:t xml:space="preserve"> (includes amendments listed above)</w:t>
            </w:r>
          </w:p>
        </w:tc>
      </w:tr>
      <w:tr>
        <w:tc>
          <w:tcPr>
            <w:tcW w:w="3119" w:type="dxa"/>
            <w:tcBorders>
              <w:bottom w:val="single" w:sz="4" w:space="0" w:color="auto"/>
            </w:tcBorders>
          </w:tcPr>
          <w:p>
            <w:pPr>
              <w:pStyle w:val="nTable"/>
              <w:spacing w:after="40"/>
              <w:rPr>
                <w:sz w:val="19"/>
              </w:rPr>
            </w:pPr>
            <w:r>
              <w:rPr>
                <w:i/>
                <w:sz w:val="19"/>
              </w:rPr>
              <w:t>Railways (Access) Amendment Code 2011</w:t>
            </w:r>
          </w:p>
        </w:tc>
        <w:tc>
          <w:tcPr>
            <w:tcW w:w="1276" w:type="dxa"/>
            <w:tcBorders>
              <w:bottom w:val="single" w:sz="4" w:space="0" w:color="auto"/>
            </w:tcBorders>
          </w:tcPr>
          <w:p>
            <w:pPr>
              <w:pStyle w:val="nTable"/>
              <w:spacing w:after="40"/>
              <w:rPr>
                <w:sz w:val="19"/>
              </w:rPr>
            </w:pPr>
            <w:r>
              <w:rPr>
                <w:sz w:val="19"/>
              </w:rPr>
              <w:t>20 Sep 2011 p. 3801</w:t>
            </w:r>
            <w:r>
              <w:rPr>
                <w:sz w:val="19"/>
              </w:rPr>
              <w:noBreakHyphen/>
              <w:t>2</w:t>
            </w:r>
          </w:p>
        </w:tc>
        <w:tc>
          <w:tcPr>
            <w:tcW w:w="2693" w:type="dxa"/>
            <w:tcBorders>
              <w:bottom w:val="single" w:sz="4" w:space="0" w:color="auto"/>
            </w:tcBorders>
          </w:tcPr>
          <w:p>
            <w:pPr>
              <w:pStyle w:val="nTable"/>
              <w:spacing w:after="40"/>
              <w:rPr>
                <w:sz w:val="19"/>
              </w:rPr>
            </w:pPr>
            <w:r>
              <w:rPr>
                <w:snapToGrid w:val="0"/>
                <w:spacing w:val="-2"/>
                <w:sz w:val="19"/>
                <w:lang w:val="en-US"/>
              </w:rPr>
              <w:t>s. 1 and 2: 20 Sep 2011 (see s. 2(a));</w:t>
            </w:r>
            <w:r>
              <w:rPr>
                <w:snapToGrid w:val="0"/>
                <w:spacing w:val="-2"/>
                <w:sz w:val="19"/>
                <w:lang w:val="en-US"/>
              </w:rPr>
              <w:br/>
              <w:t>Code other than s. 1 and 2: 21 Sep 2011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8" w:name="_Toc361989397"/>
      <w:r>
        <w:t>Provisions that have not come into operation</w:t>
      </w:r>
      <w:bookmarkEnd w:id="54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Railways (Access) Amendment Code 2013</w:t>
            </w:r>
            <w:r>
              <w:t xml:space="preserve"> r. 3-10 </w:t>
            </w:r>
            <w:r>
              <w:rPr>
                <w:vertAlign w:val="superscript"/>
              </w:rPr>
              <w:t>4</w:t>
            </w:r>
          </w:p>
        </w:tc>
        <w:tc>
          <w:tcPr>
            <w:tcW w:w="1276" w:type="dxa"/>
            <w:tcBorders>
              <w:top w:val="single" w:sz="8" w:space="0" w:color="auto"/>
              <w:bottom w:val="single" w:sz="8" w:space="0" w:color="auto"/>
            </w:tcBorders>
          </w:tcPr>
          <w:p>
            <w:pPr>
              <w:pStyle w:val="nTable"/>
              <w:spacing w:after="40"/>
              <w:rPr>
                <w:sz w:val="19"/>
              </w:rPr>
            </w:pPr>
            <w:r>
              <w:rPr>
                <w:sz w:val="19"/>
              </w:rPr>
              <w:t>19 Jul 2013 p. 3269-71</w:t>
            </w:r>
          </w:p>
        </w:tc>
        <w:tc>
          <w:tcPr>
            <w:tcW w:w="2693" w:type="dxa"/>
            <w:tcBorders>
              <w:top w:val="single" w:sz="8" w:space="0" w:color="auto"/>
              <w:bottom w:val="single" w:sz="8" w:space="0" w:color="auto"/>
            </w:tcBorders>
          </w:tcPr>
          <w:p>
            <w:pPr>
              <w:pStyle w:val="nTable"/>
              <w:spacing w:after="40"/>
              <w:rPr>
                <w:sz w:val="19"/>
              </w:rPr>
            </w:pPr>
            <w:r>
              <w:rPr>
                <w:sz w:val="19"/>
              </w:rPr>
              <w:t xml:space="preserve">On commencement of the </w:t>
            </w:r>
            <w:r>
              <w:rPr>
                <w:i/>
                <w:sz w:val="19"/>
              </w:rPr>
              <w:t>Commercial Arbitration Act 2012</w:t>
            </w:r>
            <w:r>
              <w:rPr>
                <w:sz w:val="19"/>
              </w:rPr>
              <w:t xml:space="preserve"> s. 44 (see r. 2(b))</w:t>
            </w:r>
          </w:p>
        </w:tc>
      </w:tr>
    </w:tbl>
    <w:p>
      <w:pPr>
        <w:pStyle w:val="nSubsection"/>
        <w:spacing w:before="160"/>
      </w:pPr>
      <w:r>
        <w:rPr>
          <w:vertAlign w:val="superscript"/>
        </w:rPr>
        <w:t>2</w:t>
      </w:r>
      <w:r>
        <w:tab/>
        <w:t>For notices published under Schedule 4 clause 3(1) see –</w:t>
      </w:r>
    </w:p>
    <w:p>
      <w:pPr>
        <w:pStyle w:val="nSubsection"/>
        <w:spacing w:before="0"/>
      </w:pPr>
      <w:r>
        <w:tab/>
      </w:r>
      <w:r>
        <w:rPr>
          <w:i/>
          <w:iCs/>
        </w:rPr>
        <w:t>Government Gazette</w:t>
      </w:r>
      <w:r>
        <w:rPr>
          <w:i/>
          <w:iCs/>
        </w:rPr>
        <w:tab/>
      </w:r>
      <w:r>
        <w:t>16 Aug 2002 p. 4218;</w:t>
      </w:r>
      <w:r>
        <w:br/>
      </w:r>
      <w:r>
        <w:tab/>
      </w:r>
      <w:r>
        <w:rPr>
          <w:i/>
          <w:iCs/>
        </w:rPr>
        <w:tab/>
      </w:r>
      <w:r>
        <w:t>4 Jul 2003 p. 2720;</w:t>
      </w:r>
      <w:r>
        <w:br/>
      </w:r>
      <w:r>
        <w:tab/>
      </w:r>
      <w:r>
        <w:tab/>
        <w:t>6 Jul 2004 p. 2762;</w:t>
      </w:r>
      <w:r>
        <w:br/>
      </w:r>
      <w:r>
        <w:tab/>
        <w:t xml:space="preserve"> </w:t>
      </w:r>
      <w:r>
        <w:tab/>
        <w:t>15 Jul 2005 p. 3307</w:t>
      </w:r>
      <w:r>
        <w:noBreakHyphen/>
        <w:t>8;</w:t>
      </w:r>
      <w:r>
        <w:br/>
      </w:r>
      <w:r>
        <w:tab/>
        <w:t xml:space="preserve"> </w:t>
      </w:r>
      <w:r>
        <w:tab/>
        <w:t>10 Jul 2007 p. 3445;</w:t>
      </w:r>
      <w:r>
        <w:br/>
      </w:r>
      <w:r>
        <w:tab/>
        <w:t xml:space="preserve"> </w:t>
      </w:r>
      <w:r>
        <w:tab/>
        <w:t>26 Aug 2008 p. 4039;</w:t>
      </w:r>
      <w:r>
        <w:br/>
      </w:r>
      <w:r>
        <w:tab/>
      </w:r>
      <w:r>
        <w:tab/>
        <w:t>26 Jun 2009 p. 2588.</w:t>
      </w:r>
    </w:p>
    <w:p>
      <w:pPr>
        <w:pStyle w:val="nSubsection"/>
        <w:spacing w:before="160"/>
      </w:pPr>
      <w:r>
        <w:rPr>
          <w:vertAlign w:val="superscript"/>
        </w:rPr>
        <w:t>3</w:t>
      </w:r>
      <w:r>
        <w:tab/>
        <w:t xml:space="preserve">The </w:t>
      </w:r>
      <w:r>
        <w:rPr>
          <w:i/>
        </w:rPr>
        <w:t>Railways (Access) Amendment Code 2004</w:t>
      </w:r>
      <w:r>
        <w:t xml:space="preserve"> s. 3(2) reads as follows:</w:t>
      </w:r>
    </w:p>
    <w:p>
      <w:pPr>
        <w:pStyle w:val="Blank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549" w:name="_Hlt21254381"/>
      <w:r>
        <w:t>7</w:t>
      </w:r>
      <w:bookmarkEnd w:id="549"/>
      <w:r>
        <w:t>, 8, </w:t>
      </w:r>
      <w:bookmarkStart w:id="550" w:name="_Hlt21254385"/>
      <w:r>
        <w:t>9</w:t>
      </w:r>
      <w:bookmarkEnd w:id="550"/>
      <w:r>
        <w:t xml:space="preserve"> and 15(7) of this Code had not been made.</w:t>
      </w:r>
    </w:p>
    <w:p>
      <w:pPr>
        <w:pStyle w:val="BlankClose"/>
      </w:pPr>
    </w:p>
    <w:p>
      <w:pPr>
        <w:pStyle w:val="nSubsection"/>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Railways (Access) Amendment Code 2013 </w:t>
      </w:r>
      <w:r>
        <w:rPr>
          <w:snapToGrid w:val="0"/>
        </w:rPr>
        <w:t>r. 3-10 had not come into operation.  They read as follows:</w:t>
      </w:r>
    </w:p>
    <w:p>
      <w:pPr>
        <w:pStyle w:val="BlankOpen"/>
        <w:rPr>
          <w:snapToGrid w:val="0"/>
        </w:rPr>
      </w:pPr>
    </w:p>
    <w:p>
      <w:pPr>
        <w:pStyle w:val="nzHeading5"/>
        <w:spacing w:before="60"/>
        <w:rPr>
          <w:snapToGrid w:val="0"/>
        </w:rPr>
      </w:pPr>
      <w:bookmarkStart w:id="551" w:name="_Toc423332724"/>
      <w:bookmarkStart w:id="552" w:name="_Toc425219443"/>
      <w:bookmarkStart w:id="553" w:name="_Toc426249310"/>
      <w:bookmarkStart w:id="554" w:name="_Toc449924706"/>
      <w:bookmarkStart w:id="555" w:name="_Toc449947724"/>
      <w:bookmarkStart w:id="556" w:name="_Toc454185715"/>
      <w:bookmarkStart w:id="557" w:name="_Toc515958688"/>
      <w:r>
        <w:rPr>
          <w:rStyle w:val="CharSectno"/>
        </w:rPr>
        <w:t>3</w:t>
      </w:r>
      <w:r>
        <w:rPr>
          <w:snapToGrid w:val="0"/>
        </w:rPr>
        <w:t>.</w:t>
      </w:r>
      <w:r>
        <w:rPr>
          <w:snapToGrid w:val="0"/>
        </w:rPr>
        <w:tab/>
        <w:t>Code amended</w:t>
      </w:r>
      <w:bookmarkEnd w:id="551"/>
      <w:bookmarkEnd w:id="552"/>
      <w:bookmarkEnd w:id="553"/>
      <w:bookmarkEnd w:id="554"/>
      <w:bookmarkEnd w:id="555"/>
      <w:bookmarkEnd w:id="556"/>
      <w:bookmarkEnd w:id="557"/>
    </w:p>
    <w:p>
      <w:pPr>
        <w:pStyle w:val="nzSubsection"/>
      </w:pPr>
      <w:r>
        <w:tab/>
      </w:r>
      <w:r>
        <w:tab/>
      </w:r>
      <w:r>
        <w:rPr>
          <w:spacing w:val="-2"/>
        </w:rPr>
        <w:t>This</w:t>
      </w:r>
      <w:r>
        <w:t xml:space="preserve"> Code amends the </w:t>
      </w:r>
      <w:r>
        <w:rPr>
          <w:i/>
        </w:rPr>
        <w:t>Railways (Access) Code 2000</w:t>
      </w:r>
      <w:r>
        <w:t>.</w:t>
      </w:r>
    </w:p>
    <w:p>
      <w:pPr>
        <w:pStyle w:val="nzHeading5"/>
        <w:spacing w:before="60"/>
      </w:pPr>
      <w:r>
        <w:rPr>
          <w:rStyle w:val="CharSectno"/>
        </w:rPr>
        <w:t>4</w:t>
      </w:r>
      <w:r>
        <w:t>.</w:t>
      </w:r>
      <w:r>
        <w:tab/>
        <w:t>Section 23 deleted</w:t>
      </w:r>
    </w:p>
    <w:p>
      <w:pPr>
        <w:pStyle w:val="nzSubsection"/>
      </w:pPr>
      <w:r>
        <w:tab/>
      </w:r>
      <w:r>
        <w:tab/>
        <w:t xml:space="preserve">Delete section 23. </w:t>
      </w:r>
    </w:p>
    <w:p>
      <w:pPr>
        <w:pStyle w:val="nzHeading5"/>
        <w:spacing w:before="60"/>
      </w:pPr>
      <w:r>
        <w:rPr>
          <w:rStyle w:val="CharSectno"/>
        </w:rPr>
        <w:t>5</w:t>
      </w:r>
      <w:r>
        <w:t>.</w:t>
      </w:r>
      <w:r>
        <w:tab/>
        <w:t>Section 26 amended</w:t>
      </w:r>
    </w:p>
    <w:p>
      <w:pPr>
        <w:pStyle w:val="nzSubsection"/>
      </w:pPr>
      <w:r>
        <w:tab/>
      </w:r>
      <w:r>
        <w:tab/>
        <w:t>In section 26(3) and (4) delete “</w:t>
      </w:r>
      <w:r>
        <w:rPr>
          <w:i/>
        </w:rPr>
        <w:t>Commercial Arbitration Act 1985</w:t>
      </w:r>
      <w:r>
        <w:t>” and insert:</w:t>
      </w:r>
    </w:p>
    <w:p>
      <w:pPr>
        <w:pStyle w:val="BlankOpen"/>
      </w:pPr>
    </w:p>
    <w:p>
      <w:pPr>
        <w:pStyle w:val="nzSubsection"/>
      </w:pPr>
      <w:r>
        <w:rPr>
          <w:i/>
        </w:rPr>
        <w:tab/>
      </w:r>
      <w:r>
        <w:rPr>
          <w:i/>
        </w:rPr>
        <w:tab/>
        <w:t>Commercial Arbitration Act 2012</w:t>
      </w:r>
    </w:p>
    <w:p>
      <w:pPr>
        <w:pStyle w:val="BlankClose"/>
      </w:pPr>
    </w:p>
    <w:p>
      <w:pPr>
        <w:pStyle w:val="nzNotesPerm"/>
      </w:pPr>
      <w:r>
        <w:tab/>
        <w:t>Note:</w:t>
      </w:r>
      <w:r>
        <w:tab/>
        <w:t>The heading to amended section 26 is to read:</w:t>
      </w:r>
    </w:p>
    <w:p>
      <w:pPr>
        <w:pStyle w:val="nzNotesPerm"/>
        <w:rPr>
          <w:b/>
        </w:rPr>
      </w:pPr>
      <w:r>
        <w:tab/>
      </w:r>
      <w:r>
        <w:tab/>
      </w:r>
      <w:r>
        <w:rPr>
          <w:b/>
        </w:rPr>
        <w:t xml:space="preserve">Arbitration of disputes under </w:t>
      </w:r>
      <w:r>
        <w:rPr>
          <w:b/>
          <w:i/>
        </w:rPr>
        <w:t>Commercial Arbitration Act 2012</w:t>
      </w:r>
    </w:p>
    <w:p>
      <w:pPr>
        <w:pStyle w:val="nzHeading5"/>
        <w:spacing w:before="60"/>
      </w:pPr>
      <w:r>
        <w:rPr>
          <w:rStyle w:val="CharSectno"/>
        </w:rPr>
        <w:t>6</w:t>
      </w:r>
      <w:r>
        <w:t>.</w:t>
      </w:r>
      <w:r>
        <w:tab/>
        <w:t>Section 28 amended</w:t>
      </w:r>
    </w:p>
    <w:p>
      <w:pPr>
        <w:pStyle w:val="nzSubsection"/>
      </w:pPr>
      <w:r>
        <w:tab/>
      </w:r>
      <w:r>
        <w:tab/>
        <w:t xml:space="preserve">Delete section 28(5) and insert: </w:t>
      </w:r>
    </w:p>
    <w:p>
      <w:pPr>
        <w:pStyle w:val="BlankOpen"/>
      </w:pPr>
    </w:p>
    <w:p>
      <w:pPr>
        <w:pStyle w:val="nzSubsection"/>
      </w:pPr>
      <w:r>
        <w:tab/>
        <w:t>(5)</w:t>
      </w:r>
      <w:r>
        <w:tab/>
        <w:t>Nothing in this section limits section 24B or 25 of the Commercial Arbitration Act 2012.</w:t>
      </w:r>
    </w:p>
    <w:p>
      <w:pPr>
        <w:pStyle w:val="BlankClose"/>
      </w:pPr>
    </w:p>
    <w:p>
      <w:pPr>
        <w:pStyle w:val="nzHeading5"/>
        <w:spacing w:before="60"/>
      </w:pPr>
      <w:r>
        <w:rPr>
          <w:rStyle w:val="CharSectno"/>
        </w:rPr>
        <w:t>7</w:t>
      </w:r>
      <w:r>
        <w:t>.</w:t>
      </w:r>
      <w:r>
        <w:tab/>
        <w:t>Section 30 amended</w:t>
      </w:r>
    </w:p>
    <w:p>
      <w:pPr>
        <w:pStyle w:val="nzSubsection"/>
      </w:pPr>
      <w:r>
        <w:tab/>
      </w:r>
      <w:r>
        <w:tab/>
        <w:t>In section 30(1) delete “</w:t>
      </w:r>
      <w:r>
        <w:rPr>
          <w:i/>
        </w:rPr>
        <w:t>Commercial Arbitration Act 1985</w:t>
      </w:r>
      <w:r>
        <w:t>,” and insert:</w:t>
      </w:r>
    </w:p>
    <w:p>
      <w:pPr>
        <w:pStyle w:val="BlankOpen"/>
      </w:pPr>
    </w:p>
    <w:p>
      <w:pPr>
        <w:pStyle w:val="nzSubsection"/>
      </w:pPr>
      <w:r>
        <w:rPr>
          <w:i/>
        </w:rPr>
        <w:tab/>
      </w:r>
      <w:r>
        <w:rPr>
          <w:i/>
        </w:rPr>
        <w:tab/>
        <w:t>Commercial Arbitration Act 2012</w:t>
      </w:r>
      <w:r>
        <w:t>,</w:t>
      </w:r>
    </w:p>
    <w:p>
      <w:pPr>
        <w:pStyle w:val="BlankClose"/>
      </w:pPr>
    </w:p>
    <w:p>
      <w:pPr>
        <w:pStyle w:val="nzHeading5"/>
      </w:pPr>
      <w:r>
        <w:rPr>
          <w:rStyle w:val="CharSectno"/>
        </w:rPr>
        <w:t>8</w:t>
      </w:r>
      <w:r>
        <w:t>.</w:t>
      </w:r>
      <w:r>
        <w:tab/>
        <w:t>Section 31 amended</w:t>
      </w:r>
    </w:p>
    <w:p>
      <w:pPr>
        <w:pStyle w:val="nzSubsection"/>
      </w:pPr>
      <w:r>
        <w:tab/>
      </w:r>
      <w:r>
        <w:tab/>
        <w:t>In section 31(1) delete “</w:t>
      </w:r>
      <w:r>
        <w:rPr>
          <w:i/>
        </w:rPr>
        <w:t>Commercial Arbitration Act 1985</w:t>
      </w:r>
      <w:r>
        <w:t>.” and insert:</w:t>
      </w:r>
    </w:p>
    <w:p>
      <w:pPr>
        <w:pStyle w:val="BlankOpen"/>
      </w:pPr>
    </w:p>
    <w:p>
      <w:pPr>
        <w:pStyle w:val="nzSubsection"/>
      </w:pPr>
      <w:r>
        <w:rPr>
          <w:i/>
        </w:rPr>
        <w:tab/>
      </w:r>
      <w:r>
        <w:rPr>
          <w:i/>
        </w:rPr>
        <w:tab/>
        <w:t>Commercial Arbitration Act 2012</w:t>
      </w:r>
      <w:r>
        <w:t>.</w:t>
      </w:r>
    </w:p>
    <w:p>
      <w:pPr>
        <w:pStyle w:val="BlankClose"/>
      </w:pPr>
    </w:p>
    <w:p>
      <w:pPr>
        <w:pStyle w:val="nzHeading5"/>
      </w:pPr>
      <w:r>
        <w:rPr>
          <w:rStyle w:val="CharSectno"/>
        </w:rPr>
        <w:t>9</w:t>
      </w:r>
      <w:r>
        <w:t>.</w:t>
      </w:r>
      <w:r>
        <w:tab/>
        <w:t>Section 34 amended</w:t>
      </w:r>
    </w:p>
    <w:p>
      <w:pPr>
        <w:pStyle w:val="nzSubsection"/>
      </w:pPr>
      <w:r>
        <w:tab/>
        <w:t>(1)</w:t>
      </w:r>
      <w:r>
        <w:tab/>
        <w:t xml:space="preserve">In section 34(1) and (4) delete “Part V of the </w:t>
      </w:r>
      <w:r>
        <w:rPr>
          <w:i/>
        </w:rPr>
        <w:t>Commercial Arbitration Act 1985</w:t>
      </w:r>
      <w:r>
        <w:t>,” and insert:</w:t>
      </w:r>
    </w:p>
    <w:p>
      <w:pPr>
        <w:pStyle w:val="BlankOpen"/>
      </w:pPr>
    </w:p>
    <w:p>
      <w:pPr>
        <w:pStyle w:val="nzSubsection"/>
      </w:pPr>
      <w:r>
        <w:tab/>
      </w:r>
      <w:r>
        <w:tab/>
        <w:t xml:space="preserve">the </w:t>
      </w:r>
      <w:r>
        <w:rPr>
          <w:i/>
        </w:rPr>
        <w:t xml:space="preserve">Commercial Arbitration Act 2012 </w:t>
      </w:r>
      <w:r>
        <w:t>Part 7,</w:t>
      </w:r>
    </w:p>
    <w:p>
      <w:pPr>
        <w:pStyle w:val="BlankClose"/>
      </w:pPr>
    </w:p>
    <w:p>
      <w:pPr>
        <w:pStyle w:val="nzSubsection"/>
      </w:pPr>
      <w:r>
        <w:tab/>
        <w:t>(2)</w:t>
      </w:r>
      <w:r>
        <w:tab/>
        <w:t xml:space="preserve">In section 34(5) delete “section 34(1) or (4) of the </w:t>
      </w:r>
      <w:r>
        <w:rPr>
          <w:i/>
        </w:rPr>
        <w:t>Commercial Arbitration Act 1985</w:t>
      </w:r>
      <w:r>
        <w:t>,” and insert:</w:t>
      </w:r>
    </w:p>
    <w:p>
      <w:pPr>
        <w:pStyle w:val="BlankOpen"/>
      </w:pPr>
    </w:p>
    <w:p>
      <w:pPr>
        <w:pStyle w:val="nzSubsection"/>
      </w:pPr>
      <w:r>
        <w:tab/>
      </w:r>
      <w:r>
        <w:tab/>
        <w:t xml:space="preserve">section 33B(1) or (7) of the </w:t>
      </w:r>
      <w:r>
        <w:rPr>
          <w:i/>
        </w:rPr>
        <w:t>Commercial Arbitration Act 2012</w:t>
      </w:r>
      <w:r>
        <w:t>,</w:t>
      </w:r>
    </w:p>
    <w:p>
      <w:pPr>
        <w:pStyle w:val="BlankClose"/>
      </w:pPr>
    </w:p>
    <w:p>
      <w:pPr>
        <w:pStyle w:val="nzHeading5"/>
      </w:pPr>
      <w:r>
        <w:rPr>
          <w:rStyle w:val="CharSectno"/>
        </w:rPr>
        <w:t>10</w:t>
      </w:r>
      <w:r>
        <w:t>.</w:t>
      </w:r>
      <w:r>
        <w:tab/>
        <w:t>Section 36A inserted</w:t>
      </w:r>
    </w:p>
    <w:p>
      <w:pPr>
        <w:pStyle w:val="nzSubsection"/>
      </w:pPr>
      <w:r>
        <w:tab/>
      </w:r>
      <w:r>
        <w:tab/>
        <w:t>After section 35 insert:</w:t>
      </w:r>
    </w:p>
    <w:p>
      <w:pPr>
        <w:pStyle w:val="BlankOpen"/>
      </w:pPr>
    </w:p>
    <w:p>
      <w:pPr>
        <w:pStyle w:val="nzHeading5"/>
      </w:pPr>
      <w:r>
        <w:t>36A.</w:t>
      </w:r>
      <w:r>
        <w:tab/>
        <w:t xml:space="preserve">Transitional provision relating to the </w:t>
      </w:r>
      <w:r>
        <w:rPr>
          <w:i/>
        </w:rPr>
        <w:t>Railways (Access) Amendment Code 2012</w:t>
      </w:r>
    </w:p>
    <w:p>
      <w:pPr>
        <w:pStyle w:val="nzSubsection"/>
      </w:pPr>
      <w:r>
        <w:tab/>
        <w:t>(1)</w:t>
      </w:r>
      <w:r>
        <w:tab/>
        <w:t xml:space="preserve">In this section — </w:t>
      </w:r>
    </w:p>
    <w:p>
      <w:pPr>
        <w:pStyle w:val="nzIndenta"/>
        <w:tabs>
          <w:tab w:val="clear" w:pos="1899"/>
          <w:tab w:val="clear" w:pos="2183"/>
        </w:tabs>
        <w:ind w:left="1470"/>
      </w:pPr>
      <w:r>
        <w:rPr>
          <w:rStyle w:val="CharDefText"/>
        </w:rPr>
        <w:tab/>
        <w:t xml:space="preserve">commencement day </w:t>
      </w:r>
      <w:r>
        <w:rPr>
          <w:rStyle w:val="CharDefText"/>
          <w:b w:val="0"/>
          <w:i w:val="0"/>
        </w:rPr>
        <w:t xml:space="preserve">means the day on which the </w:t>
      </w:r>
      <w:r>
        <w:rPr>
          <w:i/>
        </w:rPr>
        <w:t>Commercial Arbitration Act 2012</w:t>
      </w:r>
      <w:r>
        <w:t xml:space="preserve"> section 44 comes into operation.</w:t>
      </w:r>
    </w:p>
    <w:p>
      <w:pPr>
        <w:pStyle w:val="nzSubsection"/>
      </w:pPr>
      <w:r>
        <w:tab/>
        <w:t>(2)</w:t>
      </w:r>
      <w:r>
        <w:tab/>
        <w:t xml:space="preserve">This section applies to a dispute to which this Division applies if, before the commencement day — </w:t>
      </w:r>
    </w:p>
    <w:p>
      <w:pPr>
        <w:pStyle w:val="nzIndenta"/>
      </w:pPr>
      <w:r>
        <w:tab/>
        <w:t>(a)</w:t>
      </w:r>
      <w:r>
        <w:tab/>
        <w:t>the dispute has been referred to arbitration; and</w:t>
      </w:r>
    </w:p>
    <w:p>
      <w:pPr>
        <w:pStyle w:val="nzIndenta"/>
      </w:pPr>
      <w:r>
        <w:tab/>
        <w:t>(b)</w:t>
      </w:r>
      <w:r>
        <w:tab/>
        <w:t>the Regulator has appointed under section 26 one or more persons to act as arbitrators to hear and determine the dispute.</w:t>
      </w:r>
    </w:p>
    <w:p>
      <w:pPr>
        <w:pStyle w:val="nzSubsection"/>
      </w:pPr>
      <w:r>
        <w:tab/>
        <w:t>(3)</w:t>
      </w:r>
      <w:r>
        <w:tab/>
        <w:t xml:space="preserve">If this section applies to a dispute — </w:t>
      </w:r>
    </w:p>
    <w:p>
      <w:pPr>
        <w:pStyle w:val="nzIndenta"/>
      </w:pPr>
      <w:r>
        <w:tab/>
        <w:t>(a)</w:t>
      </w:r>
      <w:r>
        <w:tab/>
        <w:t xml:space="preserve">the dispute cannot be referred to arbitration, or otherwise dealt with, under the </w:t>
      </w:r>
      <w:r>
        <w:rPr>
          <w:i/>
        </w:rPr>
        <w:t>Commercial Arbitration Act 2012</w:t>
      </w:r>
      <w:r>
        <w:t>; and</w:t>
      </w:r>
    </w:p>
    <w:p>
      <w:pPr>
        <w:pStyle w:val="nzIndenta"/>
      </w:pPr>
      <w:r>
        <w:tab/>
        <w:t>(b)</w:t>
      </w:r>
      <w:r>
        <w:tab/>
        <w:t xml:space="preserve">this Division continues to apply to and in relation to that dispute as if the amendments made by the </w:t>
      </w:r>
      <w:r>
        <w:rPr>
          <w:i/>
        </w:rPr>
        <w:t>Railways (Access) Amendment Code 2012</w:t>
      </w:r>
      <w:r>
        <w:t xml:space="preserve"> sections 4 to 9 had not been made. </w:t>
      </w:r>
    </w:p>
    <w:p>
      <w:pPr>
        <w:pStyle w:val="BlankClose"/>
      </w:pPr>
    </w:p>
    <w:p>
      <w:pPr>
        <w:pStyle w:val="BlankClose"/>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558" w:name="_Toc247424105"/>
      <w:bookmarkStart w:id="559" w:name="_Toc248824628"/>
      <w:bookmarkStart w:id="560" w:name="_Toc248824852"/>
      <w:bookmarkStart w:id="561" w:name="_Toc249157072"/>
      <w:bookmarkStart w:id="562" w:name="_Toc253476560"/>
      <w:bookmarkStart w:id="563" w:name="_Toc304214905"/>
      <w:bookmarkStart w:id="564" w:name="_Toc304215003"/>
      <w:bookmarkStart w:id="565" w:name="_Toc304282416"/>
      <w:bookmarkStart w:id="566" w:name="_Toc361989398"/>
      <w:r>
        <w:rPr>
          <w:sz w:val="28"/>
        </w:rPr>
        <w:t>Defined terms</w:t>
      </w:r>
      <w:bookmarkEnd w:id="558"/>
      <w:bookmarkEnd w:id="559"/>
      <w:bookmarkEnd w:id="560"/>
      <w:bookmarkEnd w:id="561"/>
      <w:bookmarkEnd w:id="562"/>
      <w:bookmarkEnd w:id="563"/>
      <w:bookmarkEnd w:id="564"/>
      <w:bookmarkEnd w:id="565"/>
      <w:bookmarkEnd w:id="5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7" w:name="DefinedTerms"/>
      <w:bookmarkEnd w:id="567"/>
      <w:r>
        <w:t>a statement of policy</w:t>
      </w:r>
      <w:r>
        <w:tab/>
        <w:t>44(2)</w:t>
      </w:r>
    </w:p>
    <w:p>
      <w:pPr>
        <w:pStyle w:val="DefinedTerms"/>
      </w:pPr>
      <w:r>
        <w:t>access</w:t>
      </w:r>
      <w:r>
        <w:tab/>
        <w:t>3</w:t>
      </w:r>
    </w:p>
    <w:p>
      <w:pPr>
        <w:pStyle w:val="DefinedTerms"/>
      </w:pPr>
      <w:r>
        <w:t>access agreement</w:t>
      </w:r>
      <w:r>
        <w:tab/>
        <w:t>3</w:t>
      </w:r>
    </w:p>
    <w:p>
      <w:pPr>
        <w:pStyle w:val="DefinedTerms"/>
      </w:pPr>
      <w:r>
        <w:t>access</w:t>
      </w:r>
      <w:r>
        <w:noBreakHyphen/>
        <w:t>related functions</w:t>
      </w:r>
      <w:r>
        <w:tab/>
        <w:t>Sch. 4 cl. 1</w:t>
      </w:r>
    </w:p>
    <w:p>
      <w:pPr>
        <w:pStyle w:val="DefinedTerms"/>
      </w:pPr>
      <w:r>
        <w:t>Act</w:t>
      </w:r>
      <w:r>
        <w:tab/>
        <w:t>3</w:t>
      </w:r>
    </w:p>
    <w:p>
      <w:pPr>
        <w:pStyle w:val="DefinedTerms"/>
      </w:pPr>
      <w:r>
        <w:t>arbitrator</w:t>
      </w:r>
      <w:r>
        <w:tab/>
        <w:t>22</w:t>
      </w:r>
    </w:p>
    <w:p>
      <w:pPr>
        <w:pStyle w:val="DefinedTerms"/>
      </w:pPr>
      <w:r>
        <w:t>associate</w:t>
      </w:r>
      <w:r>
        <w:tab/>
        <w:t>3</w:t>
      </w:r>
    </w:p>
    <w:p>
      <w:pPr>
        <w:pStyle w:val="DefinedTerms"/>
      </w:pPr>
      <w:r>
        <w:t>calendar year</w:t>
      </w:r>
      <w:r>
        <w:tab/>
        <w:t>6</w:t>
      </w:r>
    </w:p>
    <w:p>
      <w:pPr>
        <w:pStyle w:val="DefinedTerms"/>
      </w:pPr>
      <w:r>
        <w:t>capacity</w:t>
      </w:r>
      <w:r>
        <w:tab/>
        <w:t>3</w:t>
      </w:r>
    </w:p>
    <w:p>
      <w:pPr>
        <w:pStyle w:val="DefinedTerms"/>
      </w:pPr>
      <w:r>
        <w:t>capital costs</w:t>
      </w:r>
      <w:r>
        <w:tab/>
        <w:t>Sch. 4 cl. 2(1)</w:t>
      </w:r>
    </w:p>
    <w:p>
      <w:pPr>
        <w:pStyle w:val="DefinedTerms"/>
      </w:pPr>
      <w:r>
        <w:t>ceiling price</w:t>
      </w:r>
      <w:r>
        <w:tab/>
        <w:t>9(4)</w:t>
      </w:r>
    </w:p>
    <w:p>
      <w:pPr>
        <w:pStyle w:val="DefinedTerms"/>
      </w:pPr>
      <w:r>
        <w:t>Commission</w:t>
      </w:r>
      <w:r>
        <w:tab/>
        <w:t>3</w:t>
      </w:r>
    </w:p>
    <w:p>
      <w:pPr>
        <w:pStyle w:val="DefinedTerms"/>
      </w:pPr>
      <w:r>
        <w:t>determination</w:t>
      </w:r>
      <w:r>
        <w:tab/>
        <w:t>3</w:t>
      </w:r>
    </w:p>
    <w:p>
      <w:pPr>
        <w:pStyle w:val="DefinedTerms"/>
      </w:pPr>
      <w:r>
        <w:t>enhanced facilities</w:t>
      </w:r>
      <w:r>
        <w:tab/>
        <w:t>Sch. 4 cl. 7A(2)</w:t>
      </w:r>
    </w:p>
    <w:p>
      <w:pPr>
        <w:pStyle w:val="DefinedTerms"/>
      </w:pPr>
      <w:r>
        <w:t>entity</w:t>
      </w:r>
      <w:r>
        <w:tab/>
        <w:t>3</w:t>
      </w:r>
    </w:p>
    <w:p>
      <w:pPr>
        <w:pStyle w:val="DefinedTerms"/>
      </w:pPr>
      <w:r>
        <w:t>expansion</w:t>
      </w:r>
      <w:r>
        <w:tab/>
        <w:t>3</w:t>
      </w:r>
    </w:p>
    <w:p>
      <w:pPr>
        <w:pStyle w:val="DefinedTerms"/>
      </w:pPr>
      <w:r>
        <w:t>extension</w:t>
      </w:r>
      <w:r>
        <w:tab/>
        <w:t>3</w:t>
      </w:r>
    </w:p>
    <w:p>
      <w:pPr>
        <w:pStyle w:val="DefinedTerms"/>
      </w:pPr>
      <w:r>
        <w:t>financial resources</w:t>
      </w:r>
      <w:r>
        <w:tab/>
        <w:t>14(2)</w:t>
      </w:r>
    </w:p>
    <w:p>
      <w:pPr>
        <w:pStyle w:val="DefinedTerms"/>
      </w:pPr>
      <w:r>
        <w:t>floor price</w:t>
      </w:r>
      <w:r>
        <w:tab/>
        <w:t>9(4)</w:t>
      </w:r>
    </w:p>
    <w:p>
      <w:pPr>
        <w:pStyle w:val="DefinedTerms"/>
      </w:pPr>
      <w:r>
        <w:t>Government railway</w:t>
      </w:r>
      <w:r>
        <w:tab/>
        <w:t>3</w:t>
      </w:r>
    </w:p>
    <w:p>
      <w:pPr>
        <w:pStyle w:val="DefinedTerms"/>
      </w:pPr>
      <w:r>
        <w:t>gross tonnage</w:t>
      </w:r>
      <w:r>
        <w:tab/>
        <w:t>Sch. 2 it. 1</w:t>
      </w:r>
    </w:p>
    <w:p>
      <w:pPr>
        <w:pStyle w:val="DefinedTerms"/>
      </w:pPr>
      <w:r>
        <w:t>GRV</w:t>
      </w:r>
      <w:r>
        <w:tab/>
        <w:t>Sch. 4 cl. 2(4)(a)</w:t>
      </w:r>
    </w:p>
    <w:p>
      <w:pPr>
        <w:pStyle w:val="DefinedTerms"/>
      </w:pPr>
      <w:r>
        <w:t>incremental costs</w:t>
      </w:r>
      <w:r>
        <w:tab/>
        <w:t>Sch. 4 cl. 1</w:t>
      </w:r>
    </w:p>
    <w:p>
      <w:pPr>
        <w:pStyle w:val="DefinedTerms"/>
      </w:pPr>
      <w:r>
        <w:t>matters determined by the Regulator</w:t>
      </w:r>
      <w:r>
        <w:tab/>
        <w:t>29(3)</w:t>
      </w:r>
    </w:p>
    <w:p>
      <w:pPr>
        <w:pStyle w:val="DefinedTerms"/>
      </w:pPr>
      <w:r>
        <w:t>operating costs</w:t>
      </w:r>
      <w:r>
        <w:tab/>
        <w:t>Sch. 4 cl. 1</w:t>
      </w:r>
    </w:p>
    <w:p>
      <w:pPr>
        <w:pStyle w:val="DefinedTerms"/>
      </w:pPr>
      <w:r>
        <w:t>operator</w:t>
      </w:r>
      <w:r>
        <w:tab/>
        <w:t>3</w:t>
      </w:r>
    </w:p>
    <w:p>
      <w:pPr>
        <w:pStyle w:val="DefinedTerms"/>
      </w:pPr>
      <w:r>
        <w:t>other entities</w:t>
      </w:r>
      <w:r>
        <w:tab/>
        <w:t>Sch. 4 cl. 5</w:t>
      </w:r>
    </w:p>
    <w:p>
      <w:pPr>
        <w:pStyle w:val="DefinedTerms"/>
      </w:pPr>
      <w:r>
        <w:t>other party</w:t>
      </w:r>
      <w:r>
        <w:tab/>
        <w:t>22</w:t>
      </w:r>
    </w:p>
    <w:p>
      <w:pPr>
        <w:pStyle w:val="DefinedTerms"/>
      </w:pPr>
      <w:r>
        <w:t>Part 5 instrument</w:t>
      </w:r>
      <w:r>
        <w:tab/>
        <w:t>40(3)</w:t>
      </w:r>
    </w:p>
    <w:p>
      <w:pPr>
        <w:pStyle w:val="DefinedTerms"/>
      </w:pPr>
      <w:r>
        <w:t>proponent</w:t>
      </w:r>
      <w:r>
        <w:tab/>
        <w:t>3</w:t>
      </w:r>
    </w:p>
    <w:p>
      <w:pPr>
        <w:pStyle w:val="DefinedTerms"/>
      </w:pPr>
      <w:r>
        <w:t>proposal</w:t>
      </w:r>
      <w:r>
        <w:tab/>
        <w:t>3</w:t>
      </w:r>
    </w:p>
    <w:p>
      <w:pPr>
        <w:pStyle w:val="DefinedTerms"/>
      </w:pPr>
      <w:r>
        <w:t>rail operations</w:t>
      </w:r>
      <w:r>
        <w:tab/>
        <w:t>3</w:t>
      </w:r>
    </w:p>
    <w:p>
      <w:pPr>
        <w:pStyle w:val="DefinedTerms"/>
      </w:pPr>
      <w:r>
        <w:t>rail operations of the railway owner</w:t>
      </w:r>
      <w:r>
        <w:tab/>
        <w:t>16(3)</w:t>
      </w:r>
    </w:p>
    <w:p>
      <w:pPr>
        <w:pStyle w:val="DefinedTerms"/>
      </w:pPr>
      <w:r>
        <w:t>railway infrastructure</w:t>
      </w:r>
      <w:r>
        <w:tab/>
        <w:t>3</w:t>
      </w:r>
    </w:p>
    <w:p>
      <w:pPr>
        <w:pStyle w:val="DefinedTerms"/>
      </w:pPr>
      <w:r>
        <w:t>railway owner</w:t>
      </w:r>
      <w:r>
        <w:tab/>
        <w:t>3</w:t>
      </w:r>
    </w:p>
    <w:p>
      <w:pPr>
        <w:pStyle w:val="DefinedTerms"/>
      </w:pPr>
      <w:r>
        <w:t>railways network</w:t>
      </w:r>
      <w:r>
        <w:tab/>
        <w:t>3</w:t>
      </w:r>
    </w:p>
    <w:p>
      <w:pPr>
        <w:pStyle w:val="DefinedTerms"/>
      </w:pPr>
      <w:r>
        <w:t>Regulator</w:t>
      </w:r>
      <w:r>
        <w:tab/>
        <w:t>3</w:t>
      </w:r>
    </w:p>
    <w:p>
      <w:pPr>
        <w:pStyle w:val="DefinedTerms"/>
      </w:pPr>
      <w:r>
        <w:t>related body corporate</w:t>
      </w:r>
      <w:r>
        <w:tab/>
        <w:t>3</w:t>
      </w:r>
    </w:p>
    <w:p>
      <w:pPr>
        <w:pStyle w:val="DefinedTerms"/>
      </w:pPr>
      <w:r>
        <w:t>required information</w:t>
      </w:r>
      <w:r>
        <w:tab/>
        <w:t>6</w:t>
      </w:r>
    </w:p>
    <w:p>
      <w:pPr>
        <w:pStyle w:val="DefinedTerms"/>
      </w:pPr>
      <w:r>
        <w:t>rolling stock</w:t>
      </w:r>
      <w:r>
        <w:tab/>
        <w:t>3</w:t>
      </w:r>
    </w:p>
    <w:p>
      <w:pPr>
        <w:pStyle w:val="DefinedTerms"/>
      </w:pPr>
      <w:r>
        <w:t>route</w:t>
      </w:r>
      <w:r>
        <w:tab/>
        <w:t>3</w:t>
      </w:r>
    </w:p>
    <w:p>
      <w:pPr>
        <w:pStyle w:val="DefinedTerms"/>
      </w:pPr>
      <w:r>
        <w:t>route section</w:t>
      </w:r>
      <w:r>
        <w:tab/>
        <w:t>3</w:t>
      </w:r>
    </w:p>
    <w:p>
      <w:pPr>
        <w:pStyle w:val="DefinedTerms"/>
      </w:pPr>
      <w:r>
        <w:t>the costing principles</w:t>
      </w:r>
      <w:r>
        <w:tab/>
        <w:t>46(1)</w:t>
      </w:r>
    </w:p>
    <w:p>
      <w:pPr>
        <w:pStyle w:val="DefinedTerms"/>
      </w:pPr>
      <w:r>
        <w:t>the other party</w:t>
      </w:r>
      <w:r>
        <w:tab/>
        <w:t>26(1)</w:t>
      </w:r>
    </w:p>
    <w:p>
      <w:pPr>
        <w:pStyle w:val="DefinedTerms"/>
      </w:pPr>
      <w:r>
        <w:t>the over</w:t>
      </w:r>
      <w:r>
        <w:noBreakHyphen/>
        <w:t>payment rules</w:t>
      </w:r>
      <w:r>
        <w:tab/>
        <w:t>47(1)</w:t>
      </w:r>
    </w:p>
    <w:p>
      <w:pPr>
        <w:pStyle w:val="DefinedTerms"/>
      </w:pPr>
      <w:r>
        <w:t>the route</w:t>
      </w:r>
      <w:r>
        <w:tab/>
        <w:t>Sch. 4 cl. 7(2)(a) and 8(3)(a)</w:t>
      </w:r>
    </w:p>
    <w:p>
      <w:pPr>
        <w:pStyle w:val="DefinedTerms"/>
      </w:pPr>
      <w:r>
        <w:t>the termination day</w:t>
      </w:r>
      <w:r>
        <w:tab/>
        <w:t>20(2)</w:t>
      </w:r>
    </w:p>
    <w:p>
      <w:pPr>
        <w:pStyle w:val="DefinedTerms"/>
      </w:pPr>
      <w:r>
        <w:t>the train management guidelines</w:t>
      </w:r>
      <w:r>
        <w:tab/>
        <w:t>43(3)</w:t>
      </w:r>
    </w:p>
    <w:p>
      <w:pPr>
        <w:pStyle w:val="DefinedTerms"/>
      </w:pPr>
      <w:r>
        <w:t>tonnage of freight carried</w:t>
      </w:r>
      <w:r>
        <w:tab/>
        <w:t>Sch. 2 it. 1</w:t>
      </w:r>
    </w:p>
    <w:p>
      <w:pPr>
        <w:pStyle w:val="DefinedTerms"/>
      </w:pPr>
      <w:r>
        <w:t>total costs</w:t>
      </w:r>
      <w:r>
        <w:tab/>
        <w:t>Sch. 4 cl. 1</w:t>
      </w:r>
    </w:p>
    <w:p>
      <w:pPr>
        <w:pStyle w:val="DefinedTerms"/>
      </w:pPr>
      <w:r>
        <w:t>TPI Railway and Port Agreement</w:t>
      </w:r>
      <w:r>
        <w:tab/>
        <w:t>3</w:t>
      </w:r>
    </w:p>
    <w:p>
      <w:pPr>
        <w:pStyle w:val="DefinedTerms"/>
      </w:pPr>
      <w:r>
        <w:t>WACC</w:t>
      </w:r>
      <w:r>
        <w:tab/>
        <w:t>Sch. 4 cl. 2(4)(b)</w:t>
      </w:r>
    </w:p>
    <w:p>
      <w:pPr>
        <w:pStyle w:val="DefinedTerms"/>
        <w:sectPr>
          <w:headerReference w:type="even" r:id="rId36"/>
          <w:headerReference w:type="default" r:id="rId37"/>
          <w:footerReference w:type="default" r:id="rId38"/>
          <w:headerReference w:type="first" r:id="rId39"/>
          <w:pgSz w:w="11906" w:h="16838" w:code="9"/>
          <w:pgMar w:top="2376" w:right="2404" w:bottom="3544" w:left="2404" w:header="720" w:footer="3380" w:gutter="0"/>
          <w:cols w:space="720"/>
          <w:noEndnote/>
          <w:docGrid w:linePitch="326"/>
        </w:sectPr>
      </w:pPr>
    </w:p>
    <w:p/>
    <w:p/>
    <w:p/>
    <w:p/>
    <w:p/>
    <w:p/>
    <w:p/>
    <w:p/>
    <w:p/>
    <w:p/>
    <w:p/>
    <w:p/>
    <w:p/>
    <w:p/>
    <w:p/>
    <w:p/>
    <w:p/>
    <w:p/>
    <w:p/>
    <w:p/>
    <w:p/>
    <w:p/>
    <w:p/>
    <w:p/>
    <w:p/>
    <w:p/>
    <w:p>
      <w:pPr>
        <w:pBdr>
          <w:top w:val="double" w:sz="4" w:space="0" w:color="auto"/>
        </w:pBdr>
        <w:jc w:val="center"/>
      </w:pPr>
      <w:r>
        <w:rPr>
          <w:rFonts w:ascii="Arial" w:hAnsi="Arial"/>
          <w:sz w:val="12"/>
        </w:rPr>
        <w:t>By Authority: JOHN A. STRIJK, Government Printer</w:t>
      </w:r>
    </w:p>
    <w:sectPr>
      <w:headerReference w:type="even"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vAlign w:val="bottom"/>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for which provision to be made in access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Matters for which provision to be made in access agreement</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relating to prices to be paid for access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Provisions relating to prices to be paid for access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0DC49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85885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15940</Words>
  <Characters>77949</Characters>
  <Application>Microsoft Office Word</Application>
  <DocSecurity>0</DocSecurity>
  <Lines>2227</Lines>
  <Paragraphs>1444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2000 - 01-c0-00</dc:title>
  <dc:subject/>
  <dc:creator/>
  <cp:keywords/>
  <dc:description/>
  <cp:lastModifiedBy>svcMRProcess</cp:lastModifiedBy>
  <cp:revision>4</cp:revision>
  <cp:lastPrinted>2010-02-09T03:47:00Z</cp:lastPrinted>
  <dcterms:created xsi:type="dcterms:W3CDTF">2019-04-08T02:27:00Z</dcterms:created>
  <dcterms:modified xsi:type="dcterms:W3CDTF">2019-04-08T02:27:00Z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35</vt:i4>
  </property>
  <property fmtid="{D5CDD505-2E9C-101B-9397-08002B2CF9AE}" pid="6" name="AsAtDate">
    <vt:lpwstr>19 Jul 2013</vt:lpwstr>
  </property>
  <property fmtid="{D5CDD505-2E9C-101B-9397-08002B2CF9AE}" pid="7" name="Suffix">
    <vt:lpwstr>01-c0-00</vt:lpwstr>
  </property>
  <property fmtid="{D5CDD505-2E9C-101B-9397-08002B2CF9AE}" pid="8" name="ReprintNo">
    <vt:lpwstr>1</vt:lpwstr>
  </property>
</Properties>
</file>