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_Toc361990147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_Toc361990148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_Toc361990149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r>
      <w:r>
        <w:rPr>
          <w:snapToGrid w:val="0"/>
        </w:rPr>
        <w:t>Fees to be charged</w:t>
      </w:r>
      <w:r>
        <w:tab/>
      </w:r>
      <w:r>
        <w:fldChar w:fldCharType="begin"/>
      </w:r>
      <w:r>
        <w:instrText xml:space="preserve"> PAGEREF _Toc361990150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r>
      <w:r>
        <w:rPr>
          <w:snapToGrid w:val="0"/>
        </w:rPr>
        <w:t>Exemptions</w:t>
      </w:r>
      <w:r>
        <w:tab/>
      </w:r>
      <w:r>
        <w:fldChar w:fldCharType="begin"/>
      </w:r>
      <w:r>
        <w:instrText xml:space="preserve"> PAGEREF _Toc361990151 \h </w:instrText>
      </w:r>
      <w:r>
        <w:fldChar w:fldCharType="separate"/>
      </w:r>
      <w:r>
        <w:t>5</w:t>
      </w:r>
      <w:r>
        <w:fldChar w:fldCharType="end"/>
      </w:r>
    </w:p>
    <w:p>
      <w:pPr>
        <w:pStyle w:val="TOC8"/>
        <w:rPr>
          <w:rFonts w:asciiTheme="minorHAnsi" w:eastAsiaTheme="minorEastAsia" w:hAnsiTheme="minorHAnsi" w:cstheme="minorBidi"/>
          <w:szCs w:val="22"/>
          <w:lang w:eastAsia="en-AU"/>
        </w:rPr>
      </w:pPr>
      <w:r>
        <w:t>5A.</w:t>
      </w:r>
      <w:r>
        <w:tab/>
        <w:t>Disputes regarding fees</w:t>
      </w:r>
      <w:r>
        <w:tab/>
      </w:r>
      <w:r>
        <w:fldChar w:fldCharType="begin"/>
      </w:r>
      <w:r>
        <w:instrText xml:space="preserve"> PAGEREF _Toc361990152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tab/>
      </w:r>
      <w:r>
        <w:rPr>
          <w:snapToGrid w:val="0"/>
        </w:rPr>
        <w:t>Fees to be paid before documents filed or other things done</w:t>
      </w:r>
      <w:r>
        <w:tab/>
      </w:r>
      <w:r>
        <w:fldChar w:fldCharType="begin"/>
      </w:r>
      <w:r>
        <w:instrText xml:space="preserve"> PAGEREF _Toc361990153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r>
      <w:r>
        <w:rPr>
          <w:snapToGrid w:val="0"/>
        </w:rPr>
        <w:t>Court or registrar may remit fees</w:t>
      </w:r>
      <w:r>
        <w:tab/>
      </w:r>
      <w:r>
        <w:fldChar w:fldCharType="begin"/>
      </w:r>
      <w:r>
        <w:instrText xml:space="preserve"> PAGEREF _Toc361990154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r>
      <w:r>
        <w:rPr>
          <w:snapToGrid w:val="0"/>
        </w:rPr>
        <w:t>Conventions</w:t>
      </w:r>
      <w:r>
        <w:tab/>
      </w:r>
      <w:r>
        <w:fldChar w:fldCharType="begin"/>
      </w:r>
      <w:r>
        <w:instrText xml:space="preserve"> PAGEREF _Toc361990155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tab/>
        <w:t>Allocation of hearing date — Schedule 1 Division 1 item 5</w:t>
      </w:r>
      <w:r>
        <w:tab/>
      </w:r>
      <w:r>
        <w:fldChar w:fldCharType="begin"/>
      </w:r>
      <w:r>
        <w:instrText xml:space="preserve"> PAGEREF _Toc361990156 \h </w:instrText>
      </w:r>
      <w:r>
        <w:fldChar w:fldCharType="separate"/>
      </w:r>
      <w:r>
        <w:t>9</w:t>
      </w:r>
      <w:r>
        <w:fldChar w:fldCharType="end"/>
      </w:r>
    </w:p>
    <w:p>
      <w:pPr>
        <w:pStyle w:val="TOC8"/>
        <w:rPr>
          <w:rFonts w:asciiTheme="minorHAnsi" w:eastAsiaTheme="minorEastAsia" w:hAnsiTheme="minorHAnsi" w:cstheme="minorBidi"/>
          <w:szCs w:val="22"/>
          <w:lang w:eastAsia="en-AU"/>
        </w:rPr>
      </w:pPr>
      <w:r>
        <w:t>9A.</w:t>
      </w:r>
      <w:r>
        <w:tab/>
        <w:t>Court of Appeal allocation of hearing date — Schedule 1 Division 2 item 5</w:t>
      </w:r>
      <w:r>
        <w:tab/>
      </w:r>
      <w:r>
        <w:fldChar w:fldCharType="begin"/>
      </w:r>
      <w:r>
        <w:instrText xml:space="preserve"> PAGEREF _Toc361990157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Schedule 1 Division 2 item 6 or Division 2 item 7 fee</w:t>
      </w:r>
      <w:r>
        <w:tab/>
      </w:r>
      <w:r>
        <w:fldChar w:fldCharType="begin"/>
      </w:r>
      <w:r>
        <w:instrText xml:space="preserve"> PAGEREF _Toc361990158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Recovery of unpaid fees</w:t>
      </w:r>
      <w:r>
        <w:tab/>
      </w:r>
      <w:r>
        <w:fldChar w:fldCharType="begin"/>
      </w:r>
      <w:r>
        <w:instrText xml:space="preserve"> PAGEREF _Toc361990159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General Division fees</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Court of Appeal fees</w:t>
      </w:r>
    </w:p>
    <w:p>
      <w:pPr>
        <w:pStyle w:val="TOC2"/>
        <w:tabs>
          <w:tab w:val="right" w:leader="dot" w:pos="7086"/>
        </w:tabs>
        <w:rPr>
          <w:rFonts w:asciiTheme="minorHAnsi" w:eastAsiaTheme="minorEastAsia" w:hAnsiTheme="minorHAnsi" w:cstheme="minorBidi"/>
          <w:b w:val="0"/>
          <w:sz w:val="22"/>
          <w:szCs w:val="22"/>
          <w:lang w:eastAsia="en-AU"/>
        </w:rPr>
      </w:pPr>
      <w:r>
        <w:t>Schedule 2 — Sheriff’s fees</w:t>
      </w:r>
    </w:p>
    <w:p>
      <w:pPr>
        <w:pStyle w:val="TOC2"/>
        <w:tabs>
          <w:tab w:val="right" w:leader="dot" w:pos="7086"/>
        </w:tabs>
        <w:rPr>
          <w:rFonts w:asciiTheme="minorHAnsi" w:eastAsiaTheme="minorEastAsia" w:hAnsiTheme="minorHAnsi" w:cstheme="minorBidi"/>
          <w:b w:val="0"/>
          <w:sz w:val="22"/>
          <w:szCs w:val="22"/>
          <w:lang w:eastAsia="en-AU"/>
        </w:rPr>
      </w:pPr>
      <w:r>
        <w:t>Schedule 3 — Probate fees</w:t>
      </w:r>
    </w:p>
    <w:p>
      <w:pPr>
        <w:pStyle w:val="TOC2"/>
        <w:tabs>
          <w:tab w:val="right" w:leader="dot" w:pos="7086"/>
        </w:tabs>
        <w:rPr>
          <w:rFonts w:asciiTheme="minorHAnsi" w:eastAsiaTheme="minorEastAsia" w:hAnsiTheme="minorHAnsi" w:cstheme="minorBidi"/>
          <w:b w:val="0"/>
          <w:sz w:val="22"/>
          <w:szCs w:val="22"/>
          <w:lang w:eastAsia="en-AU"/>
        </w:rPr>
      </w:pPr>
      <w:r>
        <w:t>Schedule 4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_Toc361990167 \h </w:instrText>
      </w:r>
      <w:r>
        <w:fldChar w:fldCharType="separate"/>
      </w:r>
      <w:r>
        <w:t>39</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_Toc361990168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361990147"/>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3619901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361990149"/>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361990150"/>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361990151"/>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 27 Mar 2012 p. 1508.]</w:t>
      </w:r>
    </w:p>
    <w:p>
      <w:pPr>
        <w:pStyle w:val="Heading5"/>
      </w:pPr>
      <w:bookmarkStart w:id="60" w:name="_Toc361990152"/>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361990153"/>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361990154"/>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82" w:name="_Toc107626238"/>
      <w:bookmarkStart w:id="83" w:name="_Toc145814158"/>
      <w:bookmarkStart w:id="84" w:name="_Toc361990155"/>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361990156"/>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361990157"/>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361990158"/>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361990159"/>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287360182"/>
      <w:bookmarkStart w:id="109" w:name="_Toc312141663"/>
      <w:bookmarkStart w:id="110" w:name="_Toc320525375"/>
      <w:bookmarkStart w:id="111" w:name="_Toc320531621"/>
      <w:bookmarkStart w:id="112" w:name="_Toc341883155"/>
      <w:bookmarkStart w:id="113" w:name="_Toc341959555"/>
      <w:bookmarkStart w:id="114" w:name="_Toc341962846"/>
      <w:bookmarkStart w:id="115" w:name="_Toc342300836"/>
      <w:bookmarkStart w:id="116" w:name="_Toc361990160"/>
      <w:bookmarkStart w:id="117" w:name="_Toc533218894"/>
      <w:bookmarkStart w:id="118" w:name="_Toc533480360"/>
      <w:bookmarkStart w:id="119" w:name="_Toc107626249"/>
      <w:bookmarkStart w:id="120" w:name="_Toc139175209"/>
      <w:bookmarkStart w:id="121" w:name="_Toc139365940"/>
      <w:bookmarkStart w:id="122" w:name="_Toc141847811"/>
      <w:bookmarkStart w:id="123" w:name="_Toc142382645"/>
      <w:bookmarkStart w:id="124" w:name="_Toc144009328"/>
      <w:bookmarkStart w:id="125" w:name="_Toc144009444"/>
      <w:bookmarkStart w:id="126" w:name="_Toc144010742"/>
      <w:bookmarkStart w:id="127" w:name="_Toc144616506"/>
      <w:bookmarkStart w:id="128" w:name="_Toc145814169"/>
      <w:bookmarkStart w:id="129" w:name="_Toc170790395"/>
      <w:bookmarkStart w:id="130" w:name="_Toc171051025"/>
      <w:bookmarkStart w:id="131" w:name="_Toc202265391"/>
      <w:bookmarkStart w:id="132" w:name="_Toc232310903"/>
      <w:bookmarkStart w:id="133" w:name="_Toc233086412"/>
      <w:bookmarkStart w:id="134" w:name="_Toc233519305"/>
      <w:bookmarkStart w:id="135" w:name="_Toc233526464"/>
      <w:bookmarkEnd w:id="102"/>
      <w:r>
        <w:rPr>
          <w:rStyle w:val="CharSchNo"/>
        </w:rPr>
        <w:t>Schedule 1</w:t>
      </w:r>
      <w:r>
        <w:t> — </w:t>
      </w:r>
      <w:r>
        <w:rPr>
          <w:rStyle w:val="CharSchText"/>
        </w:rPr>
        <w:t>Fees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[r. 4]</w:t>
      </w:r>
    </w:p>
    <w:p>
      <w:pPr>
        <w:pStyle w:val="yFootnoteheading"/>
        <w:spacing w:before="100"/>
      </w:pPr>
      <w:r>
        <w:tab/>
        <w:t>[Heading inserted in Gazette 4 Sep 2009 p. 3462.]</w:t>
      </w:r>
    </w:p>
    <w:p>
      <w:pPr>
        <w:pStyle w:val="yHeading3"/>
      </w:pPr>
      <w:bookmarkStart w:id="136" w:name="_Toc239758529"/>
      <w:bookmarkStart w:id="137" w:name="_Toc239761853"/>
      <w:bookmarkStart w:id="138" w:name="_Toc244333852"/>
      <w:bookmarkStart w:id="139" w:name="_Toc245873244"/>
      <w:bookmarkStart w:id="140" w:name="_Toc268173681"/>
      <w:bookmarkStart w:id="141" w:name="_Toc287360183"/>
      <w:bookmarkStart w:id="142" w:name="_Toc312141664"/>
      <w:bookmarkStart w:id="143" w:name="_Toc320525376"/>
      <w:bookmarkStart w:id="144" w:name="_Toc320531622"/>
      <w:bookmarkStart w:id="145" w:name="_Toc341883156"/>
      <w:bookmarkStart w:id="146" w:name="_Toc341959556"/>
      <w:bookmarkStart w:id="147" w:name="_Toc341962847"/>
      <w:bookmarkStart w:id="148" w:name="_Toc342300837"/>
      <w:bookmarkStart w:id="149" w:name="_Toc361990161"/>
      <w:r>
        <w:rPr>
          <w:rStyle w:val="CharSDivNo"/>
        </w:rPr>
        <w:t>Division 1</w:t>
      </w:r>
      <w:r>
        <w:rPr>
          <w:b w:val="0"/>
        </w:rPr>
        <w:t> — </w:t>
      </w:r>
      <w:r>
        <w:rPr>
          <w:rStyle w:val="CharSDivText"/>
        </w:rPr>
        <w:t>General Division fees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831.00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1 619.00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831.00</w:t>
            </w:r>
          </w:p>
          <w:p>
            <w:pPr>
              <w:pStyle w:val="yTableNAm"/>
              <w:tabs>
                <w:tab w:val="clear" w:pos="567"/>
              </w:tabs>
              <w:ind w:right="206"/>
              <w:jc w:val="right"/>
            </w:pPr>
            <w:r>
              <w:rPr>
                <w:szCs w:val="22"/>
              </w:rPr>
              <w:br/>
              <w:t>831.00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277.00</w:t>
            </w:r>
          </w:p>
          <w:p>
            <w:pPr>
              <w:pStyle w:val="yTableNAm"/>
              <w:tabs>
                <w:tab w:val="clear" w:pos="567"/>
              </w:tabs>
              <w:ind w:right="206"/>
              <w:jc w:val="right"/>
            </w:pPr>
            <w:r>
              <w:br/>
            </w:r>
            <w:r>
              <w:br/>
            </w:r>
            <w:r>
              <w:rPr>
                <w:szCs w:val="22"/>
              </w:rPr>
              <w:t>277.00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1 619.00</w:t>
            </w:r>
          </w:p>
          <w:p>
            <w:pPr>
              <w:pStyle w:val="yTableNAm"/>
              <w:tabs>
                <w:tab w:val="clear" w:pos="567"/>
              </w:tabs>
              <w:ind w:right="203"/>
              <w:jc w:val="right"/>
            </w:pPr>
            <w:r>
              <w:rPr>
                <w:szCs w:val="22"/>
              </w:rPr>
              <w:br/>
              <w:t>1 619.00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542.00</w:t>
            </w:r>
          </w:p>
          <w:p>
            <w:pPr>
              <w:pStyle w:val="yTableNAm"/>
              <w:tabs>
                <w:tab w:val="clear" w:pos="567"/>
              </w:tabs>
              <w:ind w:right="203"/>
              <w:jc w:val="right"/>
            </w:pPr>
            <w:r>
              <w:br/>
            </w:r>
            <w:r>
              <w:br/>
            </w:r>
            <w:r>
              <w:rPr>
                <w:szCs w:val="22"/>
              </w:rPr>
              <w:t>542.00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1 084.00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831.00</w:t>
            </w:r>
          </w:p>
        </w:tc>
        <w:tc>
          <w:tcPr>
            <w:tcW w:w="1239" w:type="dxa"/>
          </w:tcPr>
          <w:p>
            <w:pPr>
              <w:pStyle w:val="yTableNAm"/>
              <w:tabs>
                <w:tab w:val="clear" w:pos="567"/>
              </w:tabs>
              <w:ind w:right="203"/>
              <w:jc w:val="right"/>
            </w:pPr>
            <w:r>
              <w:br/>
            </w:r>
            <w:r>
              <w:br/>
            </w:r>
            <w:r>
              <w:rPr>
                <w:szCs w:val="22"/>
              </w:rPr>
              <w:t>1 619.00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1 444.00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556.00</w:t>
            </w:r>
          </w:p>
        </w:tc>
        <w:tc>
          <w:tcPr>
            <w:tcW w:w="1239" w:type="dxa"/>
          </w:tcPr>
          <w:p>
            <w:pPr>
              <w:pStyle w:val="yTableNAm"/>
              <w:keepNext/>
              <w:tabs>
                <w:tab w:val="clear" w:pos="567"/>
              </w:tabs>
              <w:ind w:right="203"/>
              <w:jc w:val="right"/>
            </w:pPr>
            <w:r>
              <w:br/>
            </w:r>
            <w:r>
              <w:br/>
            </w:r>
            <w:r>
              <w:rPr>
                <w:szCs w:val="22"/>
              </w:rPr>
              <w:t>1 444.00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195.50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379.00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rPr>
                <w:szCs w:val="22"/>
              </w:rPr>
              <w:t>195.50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rPr>
                <w:szCs w:val="22"/>
              </w:rPr>
              <w:t>379.00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$1.25.</w:t>
            </w:r>
          </w:p>
        </w:tc>
        <w:tc>
          <w:tcPr>
            <w:tcW w:w="1276" w:type="dxa"/>
          </w:tcPr>
          <w:p>
            <w:pPr>
              <w:pStyle w:val="yTableNAm"/>
              <w:tabs>
                <w:tab w:val="clear" w:pos="567"/>
              </w:tabs>
              <w:spacing w:before="100"/>
              <w:ind w:right="204"/>
              <w:jc w:val="right"/>
            </w:pPr>
            <w:r>
              <w:br/>
            </w:r>
            <w:r>
              <w:br/>
              <w:t>28.10</w:t>
            </w:r>
          </w:p>
        </w:tc>
        <w:tc>
          <w:tcPr>
            <w:tcW w:w="1239" w:type="dxa"/>
          </w:tcPr>
          <w:p>
            <w:pPr>
              <w:pStyle w:val="yTableNAm"/>
              <w:tabs>
                <w:tab w:val="clear" w:pos="567"/>
              </w:tabs>
              <w:spacing w:before="100"/>
              <w:ind w:right="204"/>
              <w:jc w:val="right"/>
            </w:pPr>
            <w:r>
              <w:br/>
            </w:r>
            <w:r>
              <w:br/>
              <w:t>28.10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c>
          <w:tcPr>
            <w:tcW w:w="1239"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9.75</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p>
            <w:pPr>
              <w:pStyle w:val="yTableNAm"/>
              <w:tabs>
                <w:tab w:val="clear" w:pos="567"/>
              </w:tabs>
              <w:ind w:right="206"/>
              <w:jc w:val="right"/>
            </w:pPr>
            <w:r>
              <w:br/>
            </w:r>
            <w:r>
              <w:br/>
            </w:r>
            <w:r>
              <w:br/>
            </w:r>
            <w:r>
              <w:br/>
            </w:r>
            <w:r>
              <w:rPr>
                <w:szCs w:val="22"/>
              </w:rPr>
              <w:t>55.50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9.75</w:t>
            </w:r>
          </w:p>
          <w:p>
            <w:pPr>
              <w:pStyle w:val="yTableNAm"/>
              <w:tabs>
                <w:tab w:val="clear" w:pos="567"/>
              </w:tabs>
              <w:ind w:right="203"/>
              <w:jc w:val="right"/>
            </w:pPr>
            <w:r>
              <w:br/>
            </w:r>
            <w:r>
              <w:br/>
            </w:r>
            <w:r>
              <w:rPr>
                <w:szCs w:val="22"/>
              </w:rPr>
              <w:t>1.25</w:t>
            </w:r>
          </w:p>
          <w:p>
            <w:pPr>
              <w:pStyle w:val="yTableNAm"/>
              <w:tabs>
                <w:tab w:val="clear" w:pos="567"/>
              </w:tabs>
              <w:ind w:right="203"/>
              <w:jc w:val="right"/>
            </w:pPr>
            <w:r>
              <w:br/>
            </w:r>
            <w:r>
              <w:br/>
            </w:r>
            <w:r>
              <w:rPr>
                <w:szCs w:val="22"/>
              </w:rPr>
              <w:t>13.50</w:t>
            </w:r>
          </w:p>
          <w:p>
            <w:pPr>
              <w:pStyle w:val="yTableNAm"/>
              <w:tabs>
                <w:tab w:val="clear" w:pos="567"/>
              </w:tabs>
              <w:ind w:right="203"/>
              <w:jc w:val="right"/>
            </w:pPr>
            <w:r>
              <w:rPr>
                <w:szCs w:val="22"/>
              </w:rPr>
              <w:br/>
              <w:t>29.10</w:t>
            </w:r>
          </w:p>
          <w:p>
            <w:pPr>
              <w:pStyle w:val="yTableNAm"/>
              <w:tabs>
                <w:tab w:val="clear" w:pos="567"/>
              </w:tabs>
              <w:ind w:right="203"/>
              <w:jc w:val="right"/>
            </w:pPr>
            <w:r>
              <w:br/>
            </w:r>
            <w:r>
              <w:br/>
            </w:r>
            <w:r>
              <w:br/>
            </w:r>
            <w:r>
              <w:br/>
            </w:r>
            <w:r>
              <w:rPr>
                <w:szCs w:val="22"/>
              </w:rPr>
              <w:t>55.50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rPr>
                <w:szCs w:val="22"/>
              </w:rPr>
              <w:t>13.50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5.45</w:t>
            </w:r>
          </w:p>
          <w:p>
            <w:pPr>
              <w:pStyle w:val="yTableNAm"/>
              <w:tabs>
                <w:tab w:val="clear" w:pos="567"/>
              </w:tabs>
              <w:ind w:right="203"/>
              <w:jc w:val="right"/>
            </w:pPr>
            <w:r>
              <w:br/>
            </w:r>
            <w:r>
              <w:br/>
            </w:r>
            <w:r>
              <w:br/>
            </w:r>
            <w:r>
              <w:br/>
            </w:r>
            <w:r>
              <w:rPr>
                <w:szCs w:val="22"/>
              </w:rPr>
              <w:t>13.50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233.00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w:t>
      </w:r>
    </w:p>
    <w:p>
      <w:pPr>
        <w:pStyle w:val="yHeading3"/>
      </w:pPr>
      <w:bookmarkStart w:id="150" w:name="_Toc239758530"/>
      <w:bookmarkStart w:id="151" w:name="_Toc239761854"/>
      <w:bookmarkStart w:id="152" w:name="_Toc244333853"/>
      <w:bookmarkStart w:id="153" w:name="_Toc245873245"/>
      <w:bookmarkStart w:id="154" w:name="_Toc268173682"/>
      <w:bookmarkStart w:id="155" w:name="_Toc287360184"/>
      <w:bookmarkStart w:id="156" w:name="_Toc312141665"/>
      <w:bookmarkStart w:id="157" w:name="_Toc320525377"/>
      <w:bookmarkStart w:id="158" w:name="_Toc320531623"/>
      <w:bookmarkStart w:id="159" w:name="_Toc341883157"/>
      <w:bookmarkStart w:id="160" w:name="_Toc341959557"/>
      <w:bookmarkStart w:id="161" w:name="_Toc341962848"/>
      <w:bookmarkStart w:id="162" w:name="_Toc342300838"/>
      <w:bookmarkStart w:id="163" w:name="_Toc361990162"/>
      <w:r>
        <w:rPr>
          <w:rStyle w:val="CharSDivNo"/>
        </w:rPr>
        <w:t>Division 2</w:t>
      </w:r>
      <w:r>
        <w:rPr>
          <w:b w:val="0"/>
        </w:rPr>
        <w:t> — </w:t>
      </w:r>
      <w:r>
        <w:rPr>
          <w:rStyle w:val="CharSDivText"/>
        </w:rPr>
        <w:t>Court of Appeal fees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138.50</w:t>
            </w:r>
          </w:p>
        </w:tc>
        <w:tc>
          <w:tcPr>
            <w:tcW w:w="1240" w:type="dxa"/>
          </w:tcPr>
          <w:p>
            <w:pPr>
              <w:pStyle w:val="yTableNAm"/>
              <w:tabs>
                <w:tab w:val="clear" w:pos="567"/>
              </w:tabs>
              <w:ind w:right="204"/>
              <w:jc w:val="right"/>
            </w:pPr>
            <w:r>
              <w:rPr>
                <w:szCs w:val="22"/>
              </w:rPr>
              <w:t>359.00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2 088.00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5 427.00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277.00</w:t>
            </w:r>
          </w:p>
        </w:tc>
        <w:tc>
          <w:tcPr>
            <w:tcW w:w="1240" w:type="dxa"/>
          </w:tcPr>
          <w:p>
            <w:pPr>
              <w:pStyle w:val="yTableNAm"/>
              <w:tabs>
                <w:tab w:val="clear" w:pos="567"/>
              </w:tabs>
              <w:ind w:right="204"/>
              <w:jc w:val="right"/>
            </w:pPr>
            <w:r>
              <w:br/>
            </w:r>
            <w:r>
              <w:br/>
            </w:r>
            <w:r>
              <w:br/>
            </w:r>
            <w:r>
              <w:br/>
            </w:r>
            <w:r>
              <w:rPr>
                <w:szCs w:val="22"/>
              </w:rPr>
              <w:t>542.00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195.50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379.00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696.00</w:t>
            </w:r>
          </w:p>
        </w:tc>
        <w:tc>
          <w:tcPr>
            <w:tcW w:w="1240" w:type="dxa"/>
          </w:tcPr>
          <w:p>
            <w:pPr>
              <w:pStyle w:val="yTableNAm"/>
              <w:keepNext/>
              <w:tabs>
                <w:tab w:val="clear" w:pos="567"/>
              </w:tabs>
              <w:ind w:right="204"/>
              <w:jc w:val="right"/>
            </w:pPr>
            <w:r>
              <w:rPr>
                <w:szCs w:val="22"/>
              </w:rPr>
              <w:t>1 355.00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556.00</w:t>
            </w:r>
          </w:p>
        </w:tc>
        <w:tc>
          <w:tcPr>
            <w:tcW w:w="1240" w:type="dxa"/>
          </w:tcPr>
          <w:p>
            <w:pPr>
              <w:pStyle w:val="yTableNAm"/>
              <w:tabs>
                <w:tab w:val="clear" w:pos="567"/>
              </w:tabs>
              <w:ind w:right="204"/>
              <w:jc w:val="right"/>
            </w:pPr>
            <w:r>
              <w:br/>
            </w:r>
            <w:r>
              <w:rPr>
                <w:szCs w:val="22"/>
              </w:rPr>
              <w:t>1 444.00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556.00</w:t>
            </w:r>
          </w:p>
        </w:tc>
        <w:tc>
          <w:tcPr>
            <w:tcW w:w="1240" w:type="dxa"/>
          </w:tcPr>
          <w:p>
            <w:pPr>
              <w:pStyle w:val="yTableNAm"/>
              <w:tabs>
                <w:tab w:val="clear" w:pos="567"/>
              </w:tabs>
              <w:ind w:right="204"/>
              <w:jc w:val="right"/>
            </w:pPr>
            <w:r>
              <w:rPr>
                <w:szCs w:val="22"/>
              </w:rPr>
              <w:t>1 444.00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$1.25.</w:t>
            </w:r>
          </w:p>
        </w:tc>
        <w:tc>
          <w:tcPr>
            <w:tcW w:w="1276" w:type="dxa"/>
          </w:tcPr>
          <w:p>
            <w:pPr>
              <w:pStyle w:val="yTableNAm"/>
              <w:tabs>
                <w:tab w:val="clear" w:pos="567"/>
              </w:tabs>
              <w:ind w:right="206"/>
              <w:jc w:val="right"/>
            </w:pPr>
            <w:r>
              <w:br/>
            </w:r>
            <w:r>
              <w:br/>
              <w:t>28.10</w:t>
            </w:r>
          </w:p>
        </w:tc>
        <w:tc>
          <w:tcPr>
            <w:tcW w:w="1240" w:type="dxa"/>
          </w:tcPr>
          <w:p>
            <w:pPr>
              <w:pStyle w:val="yTableNAm"/>
              <w:tabs>
                <w:tab w:val="clear" w:pos="567"/>
              </w:tabs>
              <w:ind w:right="204"/>
              <w:jc w:val="right"/>
            </w:pPr>
            <w:r>
              <w:br/>
            </w:r>
            <w:r>
              <w:br/>
              <w:t>28.10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9.80</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9.80</w:t>
            </w:r>
          </w:p>
          <w:p>
            <w:pPr>
              <w:pStyle w:val="yTableNAm"/>
              <w:tabs>
                <w:tab w:val="clear" w:pos="567"/>
              </w:tabs>
              <w:ind w:right="204"/>
              <w:jc w:val="right"/>
            </w:pPr>
            <w:r>
              <w:br/>
            </w:r>
            <w:r>
              <w:br/>
            </w:r>
            <w:r>
              <w:rPr>
                <w:szCs w:val="22"/>
              </w:rPr>
              <w:t>1.25</w:t>
            </w:r>
          </w:p>
          <w:p>
            <w:pPr>
              <w:pStyle w:val="yTableNAm"/>
              <w:tabs>
                <w:tab w:val="clear" w:pos="567"/>
              </w:tabs>
              <w:ind w:right="204"/>
              <w:jc w:val="right"/>
            </w:pPr>
            <w:r>
              <w:br/>
            </w:r>
            <w:r>
              <w:br/>
            </w:r>
            <w:r>
              <w:rPr>
                <w:szCs w:val="22"/>
              </w:rPr>
              <w:t>13.50</w:t>
            </w:r>
          </w:p>
          <w:p>
            <w:pPr>
              <w:pStyle w:val="yTableNAm"/>
              <w:tabs>
                <w:tab w:val="clear" w:pos="567"/>
              </w:tabs>
              <w:ind w:right="204"/>
              <w:jc w:val="right"/>
            </w:pPr>
            <w:r>
              <w:rPr>
                <w:szCs w:val="22"/>
              </w:rPr>
              <w:br/>
              <w:t>29.10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br/>
            </w:r>
            <w:r>
              <w:rPr>
                <w:szCs w:val="22"/>
              </w:rPr>
              <w:t>13.50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5.45</w:t>
            </w:r>
          </w:p>
          <w:p>
            <w:pPr>
              <w:pStyle w:val="yTableNAm"/>
              <w:tabs>
                <w:tab w:val="clear" w:pos="567"/>
              </w:tabs>
              <w:ind w:right="204"/>
              <w:jc w:val="right"/>
            </w:pPr>
            <w:r>
              <w:br/>
            </w:r>
            <w:r>
              <w:br/>
            </w:r>
            <w:r>
              <w:br/>
            </w:r>
            <w:r>
              <w:br/>
            </w:r>
            <w:r>
              <w:br/>
            </w:r>
            <w:r>
              <w:rPr>
                <w:szCs w:val="22"/>
              </w:rPr>
              <w:t>13.50</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w:t>
      </w:r>
    </w:p>
    <w:p>
      <w:pPr>
        <w:pStyle w:val="yScheduleHeading"/>
      </w:pPr>
      <w:bookmarkStart w:id="164" w:name="_Toc239758531"/>
      <w:bookmarkStart w:id="165" w:name="_Toc239761855"/>
      <w:bookmarkStart w:id="166" w:name="_Toc244333854"/>
      <w:bookmarkStart w:id="167" w:name="_Toc245873246"/>
      <w:bookmarkStart w:id="168" w:name="_Toc268173683"/>
      <w:bookmarkStart w:id="169" w:name="_Toc287360185"/>
      <w:bookmarkStart w:id="170" w:name="_Toc312141666"/>
      <w:bookmarkStart w:id="171" w:name="_Toc320525378"/>
      <w:bookmarkStart w:id="172" w:name="_Toc320531624"/>
      <w:bookmarkStart w:id="173" w:name="_Toc341883158"/>
      <w:bookmarkStart w:id="174" w:name="_Toc341959558"/>
      <w:bookmarkStart w:id="175" w:name="_Toc341962849"/>
      <w:bookmarkStart w:id="176" w:name="_Toc342300839"/>
      <w:bookmarkStart w:id="177" w:name="_Toc361990163"/>
      <w:r>
        <w:rPr>
          <w:rStyle w:val="CharSchNo"/>
        </w:rPr>
        <w:t>Schedule 2</w:t>
      </w:r>
      <w:r>
        <w:rPr>
          <w:rStyle w:val="CharSDivNo"/>
        </w:rPr>
        <w:t> </w:t>
      </w:r>
      <w:r>
        <w:t>—</w:t>
      </w:r>
      <w:r>
        <w:rPr>
          <w:rStyle w:val="CharSDivText"/>
        </w:rPr>
        <w:t> </w:t>
      </w:r>
      <w:r>
        <w:rPr>
          <w:rStyle w:val="CharSchText"/>
        </w:rPr>
        <w:t>Sheriff’s fees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87.90</w:t>
            </w:r>
          </w:p>
          <w:p>
            <w:pPr>
              <w:pStyle w:val="yTableNAm"/>
              <w:tabs>
                <w:tab w:val="clear" w:pos="567"/>
              </w:tabs>
              <w:spacing w:before="80"/>
              <w:ind w:right="241"/>
              <w:jc w:val="right"/>
            </w:pPr>
            <w:r>
              <w:br/>
            </w:r>
            <w:r>
              <w:br/>
            </w:r>
            <w:r>
              <w:rPr>
                <w:szCs w:val="22"/>
              </w:rPr>
              <w:t>87.90</w:t>
            </w:r>
          </w:p>
          <w:p>
            <w:pPr>
              <w:pStyle w:val="yTableNAm"/>
              <w:tabs>
                <w:tab w:val="clear" w:pos="567"/>
              </w:tabs>
              <w:spacing w:before="80"/>
              <w:ind w:right="241"/>
              <w:jc w:val="right"/>
              <w:rPr>
                <w:b/>
              </w:rPr>
            </w:pPr>
            <w:r>
              <w:br/>
            </w:r>
            <w:r>
              <w:br/>
            </w:r>
            <w:r>
              <w:br/>
            </w:r>
            <w:r>
              <w:br/>
            </w:r>
            <w:r>
              <w:rPr>
                <w:szCs w:val="22"/>
              </w:rPr>
              <w:t>23.30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48.20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1.25</w:t>
            </w:r>
          </w:p>
          <w:p>
            <w:pPr>
              <w:pStyle w:val="yTableNAm"/>
              <w:ind w:right="246"/>
              <w:jc w:val="right"/>
            </w:pPr>
            <w:r>
              <w:br/>
            </w:r>
            <w:r>
              <w:rPr>
                <w:szCs w:val="22"/>
              </w:rPr>
              <w:t>1.35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46.60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149.50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w:t>
      </w:r>
    </w:p>
    <w:p>
      <w:pPr>
        <w:pStyle w:val="yScheduleHeading"/>
      </w:pPr>
      <w:bookmarkStart w:id="178" w:name="_Toc239758532"/>
      <w:bookmarkStart w:id="179" w:name="_Toc239761856"/>
      <w:bookmarkStart w:id="180" w:name="_Toc244333855"/>
      <w:bookmarkStart w:id="181" w:name="_Toc245873247"/>
      <w:bookmarkStart w:id="182" w:name="_Toc268173684"/>
      <w:bookmarkStart w:id="183" w:name="_Toc287360186"/>
      <w:bookmarkStart w:id="184" w:name="_Toc312141667"/>
      <w:bookmarkStart w:id="185" w:name="_Toc320525379"/>
      <w:bookmarkStart w:id="186" w:name="_Toc320531625"/>
      <w:bookmarkStart w:id="187" w:name="_Toc341883159"/>
      <w:bookmarkStart w:id="188" w:name="_Toc341959559"/>
      <w:bookmarkStart w:id="189" w:name="_Toc341962850"/>
      <w:bookmarkStart w:id="190" w:name="_Toc342300840"/>
      <w:bookmarkStart w:id="191" w:name="_Toc361990164"/>
      <w:r>
        <w:rPr>
          <w:rStyle w:val="CharSchNo"/>
        </w:rPr>
        <w:t>Schedule 3</w:t>
      </w:r>
      <w:r>
        <w:t> — </w:t>
      </w:r>
      <w:r>
        <w:rPr>
          <w:rStyle w:val="CharSchText"/>
        </w:rPr>
        <w:t>Probate fees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55.50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55.50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69.50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28.10</w:t>
            </w:r>
          </w:p>
        </w:tc>
      </w:tr>
    </w:tbl>
    <w:p>
      <w:pPr>
        <w:pStyle w:val="yFootnotesection"/>
      </w:pPr>
      <w:r>
        <w:tab/>
        <w:t>[Schedule 3 inserted in Gazette 4 Sep 2009 p. 3471-2; amended in Gazette 8 Mar 2011 p. 784; 20 Dec 2011 p. 5379; 30 Nov 2012 p. 5787</w:t>
      </w:r>
      <w:r>
        <w:noBreakHyphen/>
        <w:t>8.]</w:t>
      </w:r>
    </w:p>
    <w:p>
      <w:pPr>
        <w:pStyle w:val="yScheduleHeading"/>
      </w:pPr>
      <w:bookmarkStart w:id="192" w:name="_Toc244333856"/>
      <w:bookmarkStart w:id="193" w:name="_Toc245873248"/>
      <w:bookmarkStart w:id="194" w:name="_Toc268173685"/>
      <w:bookmarkStart w:id="195" w:name="_Toc287360187"/>
      <w:bookmarkStart w:id="196" w:name="_Toc312141668"/>
      <w:bookmarkStart w:id="197" w:name="_Toc320525380"/>
      <w:bookmarkStart w:id="198" w:name="_Toc320531626"/>
      <w:bookmarkStart w:id="199" w:name="_Toc341883160"/>
      <w:bookmarkStart w:id="200" w:name="_Toc341959560"/>
      <w:bookmarkStart w:id="201" w:name="_Toc341962851"/>
      <w:bookmarkStart w:id="202" w:name="_Toc342300841"/>
      <w:bookmarkStart w:id="203" w:name="_Toc361990165"/>
      <w:r>
        <w:rPr>
          <w:rStyle w:val="CharSchNo"/>
        </w:rPr>
        <w:t>Schedule 4</w:t>
      </w:r>
      <w:r>
        <w:t xml:space="preserve"> — </w:t>
      </w:r>
      <w:r>
        <w:rPr>
          <w:rStyle w:val="CharSchText"/>
        </w:rPr>
        <w:t>Forms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spacing w:after="120"/>
      </w:pPr>
      <w:r>
        <w:t xml:space="preserve">[r. </w:t>
      </w:r>
      <w:bookmarkStart w:id="204" w:name="_Hlt533327436"/>
      <w:r>
        <w:t>4(7)</w:t>
      </w:r>
      <w:bookmarkEnd w:id="204"/>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5" w:name="_Toc102891015"/>
      <w:bookmarkStart w:id="206" w:name="_Toc107626250"/>
      <w:bookmarkStart w:id="207" w:name="_Toc139175210"/>
      <w:bookmarkStart w:id="208" w:name="_Toc139365941"/>
      <w:bookmarkStart w:id="209" w:name="_Toc141847812"/>
      <w:bookmarkStart w:id="210" w:name="_Toc142382646"/>
      <w:bookmarkStart w:id="211" w:name="_Toc144009329"/>
      <w:bookmarkStart w:id="212" w:name="_Toc144009445"/>
      <w:bookmarkStart w:id="213" w:name="_Toc144010743"/>
      <w:bookmarkStart w:id="214" w:name="_Toc144616507"/>
      <w:bookmarkStart w:id="215" w:name="_Toc145814170"/>
      <w:bookmarkStart w:id="216" w:name="_Toc170790396"/>
      <w:bookmarkStart w:id="217" w:name="_Toc171051026"/>
      <w:bookmarkStart w:id="218" w:name="_Toc202265392"/>
      <w:bookmarkStart w:id="219" w:name="_Toc232310904"/>
      <w:bookmarkStart w:id="220" w:name="_Toc233086413"/>
      <w:bookmarkStart w:id="221" w:name="_Toc233519306"/>
      <w:bookmarkStart w:id="222" w:name="_Toc233526465"/>
      <w:bookmarkStart w:id="223" w:name="_Toc244333857"/>
      <w:bookmarkStart w:id="224" w:name="_Toc245873249"/>
      <w:bookmarkStart w:id="225" w:name="_Toc268173686"/>
      <w:bookmarkStart w:id="226" w:name="_Toc287360188"/>
      <w:bookmarkStart w:id="227" w:name="_Toc312141669"/>
      <w:bookmarkStart w:id="228" w:name="_Toc320525381"/>
      <w:bookmarkStart w:id="229" w:name="_Toc320531627"/>
      <w:bookmarkStart w:id="230" w:name="_Toc341883161"/>
      <w:bookmarkStart w:id="231" w:name="_Toc341959561"/>
      <w:bookmarkStart w:id="232" w:name="_Toc341962852"/>
      <w:bookmarkStart w:id="233" w:name="_Toc342300842"/>
      <w:bookmarkStart w:id="234" w:name="_Toc361990166"/>
      <w:r>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5" w:name="_Toc361990167"/>
      <w:r>
        <w:t>Compilation table</w:t>
      </w:r>
      <w:bookmarkEnd w:id="235"/>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30 Jul 2010</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31 Jul 2010</w:t>
            </w:r>
            <w:r>
              <w:rPr>
                <w:rFonts w:ascii="Times" w:hAnsi="Times"/>
                <w:snapToGrid w:val="0"/>
                <w:sz w:val="19"/>
                <w:lang w:val="en-US"/>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rPr>
          <w:cantSplit/>
        </w:trPr>
        <w:tc>
          <w:tcPr>
            <w:tcW w:w="3122" w:type="dxa"/>
            <w:tcBorders>
              <w:bottom w:val="single" w:sz="4" w:space="0" w:color="auto"/>
            </w:tcBorders>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Borders>
              <w:bottom w:val="single" w:sz="4" w:space="0" w:color="auto"/>
            </w:tcBorders>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 w:name="_Toc361990168"/>
      <w:r>
        <w:t>Provisions that have not come into operation</w:t>
      </w:r>
      <w:bookmarkEnd w:id="23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Supreme Court (Fees) Amendment Regulations 2013</w:t>
            </w:r>
            <w:r>
              <w:t xml:space="preserve"> r. 3</w:t>
            </w:r>
            <w:r>
              <w:noBreakHyphen/>
              <w:t>4 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19 Jul 2013 p. 3268-9</w:t>
            </w:r>
          </w:p>
        </w:tc>
        <w:tc>
          <w:tcPr>
            <w:tcW w:w="2693" w:type="dxa"/>
            <w:tcBorders>
              <w:top w:val="single" w:sz="8" w:space="0" w:color="auto"/>
              <w:bottom w:val="single" w:sz="8" w:space="0" w:color="auto"/>
            </w:tcBorders>
          </w:tcPr>
          <w:p>
            <w:pPr>
              <w:pStyle w:val="nTable"/>
              <w:spacing w:after="40"/>
              <w:rPr>
                <w:sz w:val="19"/>
              </w:rPr>
            </w:pPr>
            <w:r>
              <w:rPr>
                <w:sz w:val="19"/>
              </w:rPr>
              <w:t xml:space="preserve">On commencement of the </w:t>
            </w:r>
            <w:r>
              <w:rPr>
                <w:i/>
                <w:sz w:val="19"/>
              </w:rPr>
              <w:t>Commercial Arbitration Act 2012</w:t>
            </w:r>
            <w:r>
              <w:rPr>
                <w:sz w:val="19"/>
              </w:rPr>
              <w:t xml:space="preserve"> s. 44 (see r. 2(b))</w:t>
            </w:r>
          </w:p>
        </w:tc>
      </w:tr>
    </w:tbl>
    <w:p>
      <w:pPr>
        <w:pStyle w:val="nSubsection"/>
        <w:keepNext/>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Supreme Court (Fees) Amendment Regulations 2013 </w:t>
      </w:r>
      <w:r>
        <w:rPr>
          <w:snapToGrid w:val="0"/>
        </w:rPr>
        <w:t>r. 3</w:t>
      </w:r>
      <w:r>
        <w:rPr>
          <w:snapToGrid w:val="0"/>
        </w:rPr>
        <w:noBreakHyphen/>
        <w:t>4 had not come into operation.  They read as follows:</w:t>
      </w:r>
    </w:p>
    <w:p>
      <w:pPr>
        <w:pStyle w:val="BlankOpen"/>
        <w:rPr>
          <w:snapToGrid w:val="0"/>
        </w:rPr>
      </w:pPr>
    </w:p>
    <w:p>
      <w:pPr>
        <w:pStyle w:val="nzHeading5"/>
        <w:rPr>
          <w:snapToGrid w:val="0"/>
        </w:rPr>
      </w:pPr>
      <w:bookmarkStart w:id="237" w:name="_Toc423332724"/>
      <w:bookmarkStart w:id="238" w:name="_Toc425219443"/>
      <w:bookmarkStart w:id="239" w:name="_Toc426249310"/>
      <w:bookmarkStart w:id="240" w:name="_Toc449924706"/>
      <w:bookmarkStart w:id="241" w:name="_Toc449947724"/>
      <w:bookmarkStart w:id="242" w:name="_Toc454185715"/>
      <w:bookmarkStart w:id="243" w:name="_Toc515958688"/>
      <w:r>
        <w:rPr>
          <w:rStyle w:val="CharSectno"/>
        </w:rPr>
        <w:t>3</w:t>
      </w:r>
      <w:r>
        <w:rPr>
          <w:snapToGrid w:val="0"/>
        </w:rPr>
        <w:t>.</w:t>
      </w:r>
      <w:r>
        <w:rPr>
          <w:snapToGrid w:val="0"/>
        </w:rPr>
        <w:tab/>
        <w:t>Regulations amended</w:t>
      </w:r>
      <w:bookmarkEnd w:id="237"/>
      <w:bookmarkEnd w:id="238"/>
      <w:bookmarkEnd w:id="239"/>
      <w:bookmarkEnd w:id="240"/>
      <w:bookmarkEnd w:id="241"/>
      <w:bookmarkEnd w:id="242"/>
      <w:bookmarkEnd w:id="243"/>
    </w:p>
    <w:p>
      <w:pPr>
        <w:pStyle w:val="nzSubsection"/>
      </w:pPr>
      <w:r>
        <w:tab/>
      </w:r>
      <w:r>
        <w:tab/>
      </w:r>
      <w:r>
        <w:rPr>
          <w:spacing w:val="-2"/>
        </w:rPr>
        <w:t>These</w:t>
      </w:r>
      <w:r>
        <w:t xml:space="preserve"> regulations amend the </w:t>
      </w:r>
      <w:r>
        <w:rPr>
          <w:i/>
        </w:rPr>
        <w:t>Supreme Court (Fees) Regulations 2002</w:t>
      </w:r>
      <w:r>
        <w:t>.</w:t>
      </w:r>
    </w:p>
    <w:p>
      <w:pPr>
        <w:pStyle w:val="nzHeading5"/>
      </w:pPr>
      <w:r>
        <w:rPr>
          <w:rStyle w:val="CharSectno"/>
        </w:rPr>
        <w:t>4</w:t>
      </w:r>
      <w:r>
        <w:t>.</w:t>
      </w:r>
      <w:r>
        <w:tab/>
        <w:t>Schedule 1 amended</w:t>
      </w:r>
    </w:p>
    <w:p>
      <w:pPr>
        <w:pStyle w:val="nzSubsection"/>
      </w:pPr>
      <w:r>
        <w:tab/>
      </w:r>
      <w:r>
        <w:tab/>
        <w:t>In Schedule 1 Division 1 item 9:</w:t>
      </w:r>
    </w:p>
    <w:p>
      <w:pPr>
        <w:pStyle w:val="nzIndenta"/>
      </w:pPr>
      <w:r>
        <w:tab/>
        <w:t>(a)</w:t>
      </w:r>
      <w:r>
        <w:tab/>
        <w:t>delete “</w:t>
      </w:r>
      <w:r>
        <w:rPr>
          <w:i/>
        </w:rPr>
        <w:t xml:space="preserve">2008 </w:t>
      </w:r>
      <w:r>
        <w:t xml:space="preserve">or the </w:t>
      </w:r>
      <w:r>
        <w:rPr>
          <w:i/>
          <w:sz w:val="22"/>
          <w:szCs w:val="22"/>
        </w:rPr>
        <w:t>Commercial Arbitration Act 1985</w:t>
      </w:r>
      <w:r>
        <w:rPr>
          <w:sz w:val="22"/>
          <w:szCs w:val="22"/>
        </w:rPr>
        <w:t> —</w:t>
      </w:r>
      <w:r>
        <w:t>” and insert:</w:t>
      </w:r>
    </w:p>
    <w:p>
      <w:pPr>
        <w:pStyle w:val="BlankOpen"/>
      </w:pPr>
    </w:p>
    <w:p>
      <w:pPr>
        <w:pStyle w:val="nzIndenta"/>
      </w:pPr>
      <w:r>
        <w:rPr>
          <w:i/>
          <w:sz w:val="22"/>
          <w:szCs w:val="22"/>
        </w:rPr>
        <w:tab/>
      </w:r>
      <w:r>
        <w:rPr>
          <w:i/>
          <w:sz w:val="22"/>
          <w:szCs w:val="22"/>
        </w:rPr>
        <w:tab/>
        <w:t>2008</w:t>
      </w:r>
      <w:r>
        <w:rPr>
          <w:sz w:val="22"/>
          <w:szCs w:val="22"/>
        </w:rPr>
        <w:t>, the</w:t>
      </w:r>
      <w:r>
        <w:rPr>
          <w:i/>
          <w:sz w:val="22"/>
          <w:szCs w:val="22"/>
        </w:rPr>
        <w:t xml:space="preserve"> Commercial Arbitration Act 1985 </w:t>
      </w:r>
      <w:r>
        <w:rPr>
          <w:sz w:val="22"/>
          <w:szCs w:val="22"/>
        </w:rPr>
        <w:t xml:space="preserve">or the </w:t>
      </w:r>
      <w:r>
        <w:rPr>
          <w:i/>
          <w:sz w:val="22"/>
          <w:szCs w:val="22"/>
        </w:rPr>
        <w:t>Commercial Arbitration Act 2012</w:t>
      </w:r>
      <w:r>
        <w:rPr>
          <w:sz w:val="22"/>
          <w:szCs w:val="22"/>
        </w:rPr>
        <w:t> —</w:t>
      </w:r>
    </w:p>
    <w:p>
      <w:pPr>
        <w:pStyle w:val="BlankClose"/>
      </w:pPr>
    </w:p>
    <w:p>
      <w:pPr>
        <w:pStyle w:val="nzIndenta"/>
      </w:pPr>
      <w:r>
        <w:tab/>
        <w:t>(b)</w:t>
      </w:r>
      <w:r>
        <w:tab/>
        <w:t xml:space="preserve">in Note 3 </w:t>
      </w:r>
      <w:r>
        <w:rPr>
          <w:szCs w:val="24"/>
        </w:rPr>
        <w:t>delete “</w:t>
      </w:r>
      <w:r>
        <w:rPr>
          <w:i/>
        </w:rPr>
        <w:t>2008</w:t>
      </w:r>
      <w:r>
        <w:t xml:space="preserve"> or the</w:t>
      </w:r>
      <w:r>
        <w:rPr>
          <w:i/>
        </w:rPr>
        <w:t xml:space="preserve"> Commercial Arbitration Act 1985</w:t>
      </w:r>
      <w:r>
        <w:rPr>
          <w:szCs w:val="24"/>
        </w:rPr>
        <w:t>” and insert</w:t>
      </w:r>
      <w:r>
        <w:rPr>
          <w:sz w:val="22"/>
          <w:szCs w:val="22"/>
        </w:rPr>
        <w:t>:</w:t>
      </w:r>
    </w:p>
    <w:p>
      <w:pPr>
        <w:pStyle w:val="BlankOpen"/>
      </w:pPr>
    </w:p>
    <w:p>
      <w:pPr>
        <w:pStyle w:val="nzIndenta"/>
      </w:pPr>
      <w:r>
        <w:rPr>
          <w:i/>
          <w:sz w:val="22"/>
          <w:szCs w:val="22"/>
        </w:rPr>
        <w:tab/>
      </w:r>
      <w:r>
        <w:rPr>
          <w:i/>
          <w:sz w:val="22"/>
          <w:szCs w:val="22"/>
        </w:rPr>
        <w:tab/>
      </w:r>
      <w:r>
        <w:rPr>
          <w:i/>
        </w:rPr>
        <w:t>2008</w:t>
      </w:r>
      <w:r>
        <w:t xml:space="preserve">, the </w:t>
      </w:r>
      <w:r>
        <w:rPr>
          <w:i/>
        </w:rPr>
        <w:t xml:space="preserve">Commercial Arbitration Act 1985 </w:t>
      </w:r>
      <w:r>
        <w:t xml:space="preserve">or the </w:t>
      </w:r>
      <w:r>
        <w:rPr>
          <w:i/>
        </w:rPr>
        <w:t>Commercial Arbitration Act 2012</w:t>
      </w:r>
    </w:p>
    <w:p>
      <w:pPr>
        <w:pStyle w:val="BlankClose"/>
      </w:pPr>
    </w:p>
    <w:p>
      <w:pPr>
        <w:pStyle w:val="BlankClose"/>
      </w:pP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244" w:name="_Toc233526467"/>
      <w:bookmarkStart w:id="245" w:name="_Toc244333859"/>
      <w:bookmarkStart w:id="246" w:name="_Toc245873251"/>
      <w:bookmarkStart w:id="247" w:name="_Toc268173688"/>
      <w:bookmarkStart w:id="248" w:name="_Toc287360190"/>
      <w:bookmarkStart w:id="249" w:name="_Toc312141671"/>
      <w:bookmarkStart w:id="250" w:name="_Toc320525383"/>
      <w:bookmarkStart w:id="251" w:name="_Toc320531629"/>
      <w:bookmarkStart w:id="252" w:name="_Toc341883163"/>
      <w:bookmarkStart w:id="253" w:name="_Toc341959563"/>
      <w:bookmarkStart w:id="254" w:name="_Toc341962854"/>
      <w:bookmarkStart w:id="255" w:name="_Toc342300844"/>
      <w:bookmarkStart w:id="256" w:name="_Toc361990169"/>
      <w:r>
        <w:rPr>
          <w:sz w:val="28"/>
        </w:rPr>
        <w:t>Defined terms</w:t>
      </w:r>
      <w:bookmarkEnd w:id="244"/>
      <w:bookmarkEnd w:id="245"/>
      <w:bookmarkEnd w:id="246"/>
      <w:bookmarkEnd w:id="247"/>
      <w:bookmarkEnd w:id="248"/>
      <w:bookmarkEnd w:id="249"/>
      <w:bookmarkEnd w:id="250"/>
      <w:bookmarkEnd w:id="251"/>
      <w:bookmarkEnd w:id="252"/>
      <w:bookmarkEnd w:id="253"/>
      <w:bookmarkEnd w:id="254"/>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7" w:name="DefinedTerms"/>
      <w:bookmarkEnd w:id="257"/>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8286</Words>
  <Characters>42095</Characters>
  <Application>Microsoft Office Word</Application>
  <DocSecurity>0</DocSecurity>
  <Lines>1913</Lines>
  <Paragraphs>987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2002 - 02-g0-00</dc:title>
  <dc:subject/>
  <dc:creator/>
  <cp:keywords/>
  <dc:description/>
  <cp:lastModifiedBy>svcMRProcess</cp:lastModifiedBy>
  <cp:revision>4</cp:revision>
  <cp:lastPrinted>2009-11-13T03:17:00Z</cp:lastPrinted>
  <dcterms:created xsi:type="dcterms:W3CDTF">2018-09-16T22:16:00Z</dcterms:created>
  <dcterms:modified xsi:type="dcterms:W3CDTF">2018-09-16T22:16:00Z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19 Jul 2013</vt:lpwstr>
  </property>
  <property fmtid="{D5CDD505-2E9C-101B-9397-08002B2CF9AE}" pid="8" name="Suffix">
    <vt:lpwstr>02-g0-00</vt:lpwstr>
  </property>
</Properties>
</file>