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0.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Residential Tenancies Act 1987</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5</w:t>
      </w:r>
      <w:r>
        <w:fldChar w:fldCharType="end"/>
      </w:r>
      <w:r>
        <w:t xml:space="preserve">:  The Act as at </w:t>
      </w:r>
      <w:r>
        <w:fldChar w:fldCharType="begin"/>
      </w:r>
      <w:r>
        <w:instrText xml:space="preserve"> DOCPROPERTY "ReprintedAsAt" \@ "d MMMM yyyy" </w:instrText>
      </w:r>
      <w:r>
        <w:fldChar w:fldCharType="separate"/>
      </w:r>
      <w:r>
        <w:t>19 July 2013</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9279453"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9"/>
        </w:numPr>
        <w:tabs>
          <w:tab w:val="clear" w:pos="360"/>
          <w:tab w:val="num" w:pos="1209"/>
        </w:tabs>
        <w:ind w:left="1200"/>
        <w:rPr>
          <w:sz w:val="20"/>
        </w:rPr>
      </w:pPr>
      <w:r>
        <w:rPr>
          <w:sz w:val="20"/>
        </w:rPr>
        <w:t>removed (because it was repealed or deleted from the law); or</w:t>
      </w:r>
    </w:p>
    <w:p>
      <w:pPr>
        <w:numPr>
          <w:ilvl w:val="0"/>
          <w:numId w:val="29"/>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 July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_Toc382386673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_Toc382386674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_Toc382386675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_Toc382386676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_Toc382386677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_Toc382386678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_Toc382386679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_Toc382386681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_Toc382386682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_Toc382386683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_Toc382386684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_Toc382386685 \h </w:instrText>
      </w:r>
      <w:r>
        <w:fldChar w:fldCharType="separate"/>
      </w:r>
      <w:r>
        <w:t>13</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_Toc382386686 \h </w:instrText>
      </w:r>
      <w:r>
        <w:fldChar w:fldCharType="separate"/>
      </w:r>
      <w:r>
        <w:t>14</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_Toc382386687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_Toc382386689 \h </w:instrText>
      </w:r>
      <w:r>
        <w:fldChar w:fldCharType="separate"/>
      </w:r>
      <w:r>
        <w:t>15</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_Toc382386690 \h </w:instrText>
      </w:r>
      <w:r>
        <w:fldChar w:fldCharType="separate"/>
      </w:r>
      <w:r>
        <w:t>15</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_Toc382386691 \h </w:instrText>
      </w:r>
      <w:r>
        <w:fldChar w:fldCharType="separate"/>
      </w:r>
      <w:r>
        <w:t>15</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_Toc382386692 \h </w:instrText>
      </w:r>
      <w:r>
        <w:fldChar w:fldCharType="separate"/>
      </w:r>
      <w:r>
        <w:t>16</w:t>
      </w:r>
      <w:r>
        <w:fldChar w:fldCharType="end"/>
      </w:r>
    </w:p>
    <w:p>
      <w:pPr>
        <w:pStyle w:val="TOC8"/>
        <w:rPr>
          <w:rFonts w:asciiTheme="minorHAnsi" w:eastAsiaTheme="minorEastAsia" w:hAnsiTheme="minorHAnsi" w:cstheme="minorBidi"/>
          <w:szCs w:val="22"/>
        </w:rPr>
      </w:pPr>
      <w:r>
        <w:t>13B.</w:t>
      </w:r>
      <w:r>
        <w:tab/>
        <w:t>Appeals from decisions of a registrar</w:t>
      </w:r>
      <w:r>
        <w:tab/>
      </w:r>
      <w:r>
        <w:fldChar w:fldCharType="begin"/>
      </w:r>
      <w:r>
        <w:instrText xml:space="preserve"> PAGEREF _Toc382386693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_Toc382386694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 for relief and orders that may be made</w:t>
      </w:r>
      <w:r>
        <w:tab/>
      </w:r>
      <w:r>
        <w:fldChar w:fldCharType="begin"/>
      </w:r>
      <w:r>
        <w:instrText xml:space="preserve"> PAGEREF _Toc382386695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_Toc382386696 \h </w:instrText>
      </w:r>
      <w:r>
        <w:fldChar w:fldCharType="separate"/>
      </w:r>
      <w:r>
        <w:t>19</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_Toc382386697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_Toc382386698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_Toc382386699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_Toc382386700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_Toc382386701 \h </w:instrText>
      </w:r>
      <w:r>
        <w:fldChar w:fldCharType="separate"/>
      </w:r>
      <w:r>
        <w:t>22</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_Toc382386702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_Toc382386703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_Toc382386704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_Toc382386705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_Toc382386706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_Toc382386707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IV — Residential tenancy agreements</w:t>
      </w:r>
    </w:p>
    <w:p>
      <w:pPr>
        <w:pStyle w:val="TOC4"/>
        <w:tabs>
          <w:tab w:val="right" w:leader="dot" w:pos="7086"/>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_Toc382386710 \h </w:instrText>
      </w:r>
      <w:r>
        <w:fldChar w:fldCharType="separate"/>
      </w:r>
      <w:r>
        <w:t>28</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_Toc382386711 \h </w:instrText>
      </w:r>
      <w:r>
        <w:fldChar w:fldCharType="separate"/>
      </w:r>
      <w:r>
        <w:t>28</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_Toc382386712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_Toc382386714 \h </w:instrText>
      </w:r>
      <w:r>
        <w:fldChar w:fldCharType="separate"/>
      </w:r>
      <w:r>
        <w:t>29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_Toc382386715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_Toc382386716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_Toc382386717 \h </w:instrText>
      </w:r>
      <w:r>
        <w:fldChar w:fldCharType="separate"/>
      </w:r>
      <w:r>
        <w:t>33</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_Toc382386718 \h </w:instrText>
      </w:r>
      <w:r>
        <w:fldChar w:fldCharType="separate"/>
      </w:r>
      <w:r>
        <w:t>34</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_Toc382386719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_Toc382386720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_Toc382386721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give receipt for rent</w:t>
      </w:r>
      <w:r>
        <w:tab/>
      </w:r>
      <w:r>
        <w:fldChar w:fldCharType="begin"/>
      </w:r>
      <w:r>
        <w:instrText xml:space="preserve"> PAGEREF _Toc382386722 \h </w:instrText>
      </w:r>
      <w:r>
        <w:fldChar w:fldCharType="separate"/>
      </w:r>
      <w:r>
        <w:t>37</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_Toc382386723 \h </w:instrText>
      </w:r>
      <w:r>
        <w:fldChar w:fldCharType="separate"/>
      </w:r>
      <w:r>
        <w:t>38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_Toc382386724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_Toc382386725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_Toc382386726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_Toc382386728 \h </w:instrText>
      </w:r>
      <w:r>
        <w:fldChar w:fldCharType="separate"/>
      </w:r>
      <w:r>
        <w:t>39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_Toc382386729 \h </w:instrText>
      </w:r>
      <w:r>
        <w:fldChar w:fldCharType="separate"/>
      </w:r>
      <w:r>
        <w:t>40</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_Toc382386730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_Toc382386731 \h </w:instrText>
      </w:r>
      <w:r>
        <w:fldChar w:fldCharType="separate"/>
      </w:r>
      <w:r>
        <w:t>41</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_Toc382386732 \h </w:instrText>
      </w:r>
      <w:r>
        <w:fldChar w:fldCharType="separate"/>
      </w:r>
      <w:r>
        <w:t>41</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_Toc382386733 \h </w:instrText>
      </w:r>
      <w:r>
        <w:fldChar w:fldCharType="separate"/>
      </w:r>
      <w:r>
        <w:t>42</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_Toc382386734 \h </w:instrText>
      </w:r>
      <w:r>
        <w:fldChar w:fldCharType="separate"/>
      </w:r>
      <w:r>
        <w:t>43</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_Toc382386735 \h </w:instrText>
      </w:r>
      <w:r>
        <w:fldChar w:fldCharType="separate"/>
      </w:r>
      <w:r>
        <w:t>44</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_Toc382386736 \h </w:instrText>
      </w:r>
      <w:r>
        <w:fldChar w:fldCharType="separate"/>
      </w:r>
      <w:r>
        <w:t>44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Right of tenant to affix and remove fixtures etc.</w:t>
      </w:r>
      <w:r>
        <w:tab/>
      </w:r>
      <w:r>
        <w:fldChar w:fldCharType="begin"/>
      </w:r>
      <w:r>
        <w:instrText xml:space="preserve"> PAGEREF _Toc382386737 \h </w:instrText>
      </w:r>
      <w:r>
        <w:fldChar w:fldCharType="separate"/>
      </w:r>
      <w:r>
        <w:t>46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_Toc382386738 \h </w:instrText>
      </w:r>
      <w:r>
        <w:fldChar w:fldCharType="separate"/>
      </w:r>
      <w:r>
        <w:t>47</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_Toc382386739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_Toc382386740 \h </w:instrText>
      </w:r>
      <w:r>
        <w:fldChar w:fldCharType="separate"/>
      </w:r>
      <w:r>
        <w:t>49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_Toc382386741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_Toc382386743 \h </w:instrText>
      </w:r>
      <w:r>
        <w:fldChar w:fldCharType="separate"/>
      </w:r>
      <w:r>
        <w:t>50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_Toc382386744 \h </w:instrText>
      </w:r>
      <w:r>
        <w:fldChar w:fldCharType="separate"/>
      </w:r>
      <w:r>
        <w:t>51</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_Toc382386745 \h </w:instrText>
      </w:r>
      <w:r>
        <w:fldChar w:fldCharType="separate"/>
      </w:r>
      <w:r>
        <w:t>51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_Toc382386746 \h </w:instrText>
      </w:r>
      <w:r>
        <w:fldChar w:fldCharType="separate"/>
      </w:r>
      <w:r>
        <w:t>52</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_Toc382386747 \h </w:instrText>
      </w:r>
      <w:r>
        <w:fldChar w:fldCharType="separate"/>
      </w:r>
      <w:r>
        <w:t>53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_Toc382386748 \h </w:instrText>
      </w:r>
      <w:r>
        <w:fldChar w:fldCharType="separate"/>
      </w:r>
      <w:r>
        <w:t>53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_Toc382386749 \h </w:instrText>
      </w:r>
      <w:r>
        <w:fldChar w:fldCharType="separate"/>
      </w:r>
      <w:r>
        <w:t>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_Toc382386750 \h </w:instrText>
      </w:r>
      <w:r>
        <w:fldChar w:fldCharType="separate"/>
      </w:r>
      <w:r>
        <w:t>54</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_Toc382386751 \h </w:instrText>
      </w:r>
      <w:r>
        <w:fldChar w:fldCharType="separate"/>
      </w:r>
      <w:r>
        <w:t>54</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_Toc382386752 \h </w:instrText>
      </w:r>
      <w:r>
        <w:fldChar w:fldCharType="separate"/>
      </w:r>
      <w:r>
        <w:t>55</w:t>
      </w:r>
      <w:r>
        <w:fldChar w:fldCharType="end"/>
      </w:r>
    </w:p>
    <w:p>
      <w:pPr>
        <w:pStyle w:val="TOC8"/>
        <w:rPr>
          <w:rFonts w:asciiTheme="minorHAnsi" w:eastAsiaTheme="minorEastAsia" w:hAnsiTheme="minorHAnsi" w:cstheme="minorBidi"/>
          <w:szCs w:val="22"/>
        </w:rPr>
      </w:pPr>
      <w:r>
        <w:t>59C.</w:t>
      </w:r>
      <w:r>
        <w:tab/>
        <w:t>Recognition of certain persons as tenants</w:t>
      </w:r>
      <w:r>
        <w:tab/>
      </w:r>
      <w:r>
        <w:fldChar w:fldCharType="begin"/>
      </w:r>
      <w:r>
        <w:instrText xml:space="preserve"> PAGEREF _Toc382386753 \h </w:instrText>
      </w:r>
      <w:r>
        <w:fldChar w:fldCharType="separate"/>
      </w:r>
      <w:r>
        <w:t>55</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_Toc382386754 \h </w:instrText>
      </w:r>
      <w:r>
        <w:fldChar w:fldCharType="separate"/>
      </w:r>
      <w:r>
        <w:t>56</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_Toc382386755 \h </w:instrText>
      </w:r>
      <w:r>
        <w:fldChar w:fldCharType="separate"/>
      </w:r>
      <w:r>
        <w:t>57</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_Toc382386756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86"/>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are terminated</w:t>
      </w:r>
      <w:r>
        <w:tab/>
      </w:r>
      <w:r>
        <w:fldChar w:fldCharType="begin"/>
      </w:r>
      <w:r>
        <w:instrText xml:space="preserve"> PAGEREF _Toc382386759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_Toc382386761 \h </w:instrText>
      </w:r>
      <w:r>
        <w:fldChar w:fldCharType="separate"/>
      </w:r>
      <w:r>
        <w:t>59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_Toc382386762 \h </w:instrText>
      </w:r>
      <w:r>
        <w:fldChar w:fldCharType="separate"/>
      </w:r>
      <w:r>
        <w:t>60</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_Toc382386763 \h </w:instrText>
      </w:r>
      <w:r>
        <w:fldChar w:fldCharType="separate"/>
      </w:r>
      <w:r>
        <w:t>61</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_Toc382386764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_Toc382386765 \h </w:instrText>
      </w:r>
      <w:r>
        <w:fldChar w:fldCharType="separate"/>
      </w:r>
      <w:r>
        <w:t>63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_Toc382386766 \h </w:instrText>
      </w:r>
      <w:r>
        <w:fldChar w:fldCharType="separate"/>
      </w:r>
      <w:r>
        <w:t>64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_Toc382386767 \h </w:instrText>
      </w:r>
      <w:r>
        <w:fldChar w:fldCharType="separate"/>
      </w:r>
      <w:r>
        <w:t>64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_Toc382386768 \h </w:instrText>
      </w:r>
      <w:r>
        <w:fldChar w:fldCharType="separate"/>
      </w:r>
      <w:r>
        <w:t>64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_Toc382386769 \h </w:instrText>
      </w:r>
      <w:r>
        <w:fldChar w:fldCharType="separate"/>
      </w:r>
      <w:r>
        <w:t>65</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_Toc382386770 \h </w:instrText>
      </w:r>
      <w:r>
        <w:fldChar w:fldCharType="separate"/>
      </w:r>
      <w:r>
        <w:t>65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_Toc382386771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3 — Special provisions about terminating social housing tenancy agreements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_Toc382386774 \h </w:instrText>
      </w:r>
      <w:r>
        <w:fldChar w:fldCharType="separate"/>
      </w:r>
      <w:r>
        <w:t>67</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_Toc382386775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_Toc382386777 \h </w:instrText>
      </w:r>
      <w:r>
        <w:fldChar w:fldCharType="separate"/>
      </w:r>
      <w:r>
        <w:t>68</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_Toc382386778 \h </w:instrText>
      </w:r>
      <w:r>
        <w:fldChar w:fldCharType="separate"/>
      </w:r>
      <w:r>
        <w:t>68</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_Toc382386779 \h </w:instrText>
      </w:r>
      <w:r>
        <w:fldChar w:fldCharType="separate"/>
      </w:r>
      <w:r>
        <w:t>69</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_Toc382386780 \h </w:instrText>
      </w:r>
      <w:r>
        <w:fldChar w:fldCharType="separate"/>
      </w:r>
      <w:r>
        <w:t>70</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_Toc382386781 \h </w:instrText>
      </w:r>
      <w:r>
        <w:fldChar w:fldCharType="separate"/>
      </w:r>
      <w:r>
        <w:t>71</w:t>
      </w:r>
      <w:r>
        <w:fldChar w:fldCharType="end"/>
      </w:r>
    </w:p>
    <w:p>
      <w:pPr>
        <w:pStyle w:val="TOC6"/>
        <w:tabs>
          <w:tab w:val="right" w:leader="dot" w:pos="7086"/>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_Toc382386783 \h </w:instrText>
      </w:r>
      <w:r>
        <w:fldChar w:fldCharType="separate"/>
      </w:r>
      <w:r>
        <w:t>71</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_Toc382386784 \h </w:instrText>
      </w:r>
      <w:r>
        <w:fldChar w:fldCharType="separate"/>
      </w:r>
      <w:r>
        <w:t>72</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_Toc382386785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_Toc382386787 \h </w:instrText>
      </w:r>
      <w:r>
        <w:fldChar w:fldCharType="separate"/>
      </w:r>
      <w:r>
        <w:t>74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_Toc382386788 \h </w:instrText>
      </w:r>
      <w:r>
        <w:fldChar w:fldCharType="separate"/>
      </w:r>
      <w:r>
        <w:t>78</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_Toc382386789 \h </w:instrText>
      </w:r>
      <w:r>
        <w:fldChar w:fldCharType="separate"/>
      </w:r>
      <w:r>
        <w:t>79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_Toc382386790 \h </w:instrText>
      </w:r>
      <w:r>
        <w:fldChar w:fldCharType="separate"/>
      </w:r>
      <w:r>
        <w:t>79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_Toc382386791 \h </w:instrText>
      </w:r>
      <w:r>
        <w:fldChar w:fldCharType="separate"/>
      </w:r>
      <w:r>
        <w:t>80</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_Toc382386792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Termination of agreement for breach by lessor</w:t>
      </w:r>
      <w:r>
        <w:tab/>
      </w:r>
      <w:r>
        <w:fldChar w:fldCharType="begin"/>
      </w:r>
      <w:r>
        <w:instrText xml:space="preserve"> PAGEREF _Toc382386793 \h </w:instrText>
      </w:r>
      <w:r>
        <w:fldChar w:fldCharType="separate"/>
      </w:r>
      <w:r>
        <w:t>81</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_Toc382386794 \h </w:instrText>
      </w:r>
      <w:r>
        <w:fldChar w:fldCharType="separate"/>
      </w:r>
      <w:r>
        <w:t>82</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_Toc382386795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_Toc382386797 \h </w:instrText>
      </w:r>
      <w:r>
        <w:fldChar w:fldCharType="separate"/>
      </w:r>
      <w:r>
        <w:t>83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_Toc382386798 \h </w:instrText>
      </w:r>
      <w:r>
        <w:fldChar w:fldCharType="separate"/>
      </w:r>
      <w:r>
        <w:t>83</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_Toc382386799 \h </w:instrText>
      </w:r>
      <w:r>
        <w:fldChar w:fldCharType="separate"/>
      </w:r>
      <w:r>
        <w:t>84</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_Toc382386800 \h </w:instrText>
      </w:r>
      <w:r>
        <w:fldChar w:fldCharType="separate"/>
      </w:r>
      <w:r>
        <w:t>85</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_Toc382386801 \h </w:instrText>
      </w:r>
      <w:r>
        <w:fldChar w:fldCharType="separate"/>
      </w:r>
      <w:r>
        <w:t>85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_Toc382386802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_Toc382386803 \h </w:instrText>
      </w:r>
      <w:r>
        <w:fldChar w:fldCharType="separate"/>
      </w:r>
      <w:r>
        <w:t>86</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_Toc382386804 \h </w:instrText>
      </w:r>
      <w:r>
        <w:fldChar w:fldCharType="separate"/>
      </w:r>
      <w:r>
        <w:t>89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_Toc382386805 \h </w:instrText>
      </w:r>
      <w:r>
        <w:fldChar w:fldCharType="separate"/>
      </w:r>
      <w:r>
        <w:t>91</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_Toc382386806 \h </w:instrText>
      </w:r>
      <w:r>
        <w:fldChar w:fldCharType="separate"/>
      </w:r>
      <w:r>
        <w:t>91</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_Toc382386807 \h </w:instrText>
      </w:r>
      <w:r>
        <w:fldChar w:fldCharType="separate"/>
      </w:r>
      <w:r>
        <w:t>93</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_Toc382386808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rPr>
      </w:pPr>
      <w:r>
        <w:t>Part VIA — Residential tenancy databases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rPr>
          <w:spacing w:val="-6"/>
        </w:rPr>
        <w:t>82A</w:t>
      </w:r>
      <w:r>
        <w:t>.</w:t>
      </w:r>
      <w:r>
        <w:tab/>
        <w:t>Terms used</w:t>
      </w:r>
      <w:r>
        <w:tab/>
      </w:r>
      <w:r>
        <w:fldChar w:fldCharType="begin"/>
      </w:r>
      <w:r>
        <w:instrText xml:space="preserve"> PAGEREF _Toc382386811 \h </w:instrText>
      </w:r>
      <w:r>
        <w:fldChar w:fldCharType="separate"/>
      </w:r>
      <w:r>
        <w:t>96</w:t>
      </w:r>
      <w:r>
        <w:fldChar w:fldCharType="end"/>
      </w:r>
    </w:p>
    <w:p>
      <w:pPr>
        <w:pStyle w:val="TOC8"/>
        <w:rPr>
          <w:rFonts w:asciiTheme="minorHAnsi" w:eastAsiaTheme="minorEastAsia" w:hAnsiTheme="minorHAnsi" w:cstheme="minorBidi"/>
          <w:szCs w:val="22"/>
        </w:rPr>
      </w:pPr>
      <w:r>
        <w:rPr>
          <w:spacing w:val="-6"/>
        </w:rPr>
        <w:t>82B</w:t>
      </w:r>
      <w:r>
        <w:t>.</w:t>
      </w:r>
      <w:r>
        <w:tab/>
        <w:t>Application of Part</w:t>
      </w:r>
      <w:r>
        <w:tab/>
      </w:r>
      <w:r>
        <w:fldChar w:fldCharType="begin"/>
      </w:r>
      <w:r>
        <w:instrText xml:space="preserve"> PAGEREF _Toc382386812 \h </w:instrText>
      </w:r>
      <w:r>
        <w:fldChar w:fldCharType="separate"/>
      </w:r>
      <w:r>
        <w:t>98</w:t>
      </w:r>
      <w:r>
        <w:fldChar w:fldCharType="end"/>
      </w:r>
    </w:p>
    <w:p>
      <w:pPr>
        <w:pStyle w:val="TOC4"/>
        <w:tabs>
          <w:tab w:val="right" w:leader="dot" w:pos="7086"/>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rPr>
          <w:spacing w:val="-6"/>
        </w:rPr>
        <w:t>82C</w:t>
      </w:r>
      <w:r>
        <w:t>.</w:t>
      </w:r>
      <w:r>
        <w:tab/>
        <w:t>Notice of usual use of database</w:t>
      </w:r>
      <w:r>
        <w:tab/>
      </w:r>
      <w:r>
        <w:fldChar w:fldCharType="begin"/>
      </w:r>
      <w:r>
        <w:instrText xml:space="preserve"> PAGEREF _Toc382386814 \h </w:instrText>
      </w:r>
      <w:r>
        <w:fldChar w:fldCharType="separate"/>
      </w:r>
      <w:r>
        <w:t>98</w:t>
      </w:r>
      <w:r>
        <w:fldChar w:fldCharType="end"/>
      </w:r>
    </w:p>
    <w:p>
      <w:pPr>
        <w:pStyle w:val="TOC8"/>
        <w:rPr>
          <w:rFonts w:asciiTheme="minorHAnsi" w:eastAsiaTheme="minorEastAsia" w:hAnsiTheme="minorHAnsi" w:cstheme="minorBidi"/>
          <w:szCs w:val="22"/>
        </w:rPr>
      </w:pPr>
      <w:r>
        <w:rPr>
          <w:spacing w:val="-6"/>
        </w:rPr>
        <w:t>82D</w:t>
      </w:r>
      <w:r>
        <w:t>.</w:t>
      </w:r>
      <w:r>
        <w:tab/>
        <w:t>Notice of listing if database used</w:t>
      </w:r>
      <w:r>
        <w:tab/>
      </w:r>
      <w:r>
        <w:fldChar w:fldCharType="begin"/>
      </w:r>
      <w:r>
        <w:instrText xml:space="preserve"> PAGEREF _Toc382386815 \h </w:instrText>
      </w:r>
      <w:r>
        <w:fldChar w:fldCharType="separate"/>
      </w:r>
      <w:r>
        <w:t>99</w:t>
      </w:r>
      <w:r>
        <w:fldChar w:fldCharType="end"/>
      </w:r>
    </w:p>
    <w:p>
      <w:pPr>
        <w:pStyle w:val="TOC8"/>
        <w:rPr>
          <w:rFonts w:asciiTheme="minorHAnsi" w:eastAsiaTheme="minorEastAsia" w:hAnsiTheme="minorHAnsi" w:cstheme="minorBidi"/>
          <w:szCs w:val="22"/>
        </w:rPr>
      </w:pPr>
      <w:r>
        <w:rPr>
          <w:spacing w:val="-6"/>
        </w:rPr>
        <w:t>82E</w:t>
      </w:r>
      <w:r>
        <w:t>.</w:t>
      </w:r>
      <w:r>
        <w:tab/>
        <w:t>Listing can be made only for particular breaches by particular persons</w:t>
      </w:r>
      <w:r>
        <w:tab/>
      </w:r>
      <w:r>
        <w:fldChar w:fldCharType="begin"/>
      </w:r>
      <w:r>
        <w:instrText xml:space="preserve"> PAGEREF _Toc382386816 \h </w:instrText>
      </w:r>
      <w:r>
        <w:fldChar w:fldCharType="separate"/>
      </w:r>
      <w:r>
        <w:t>100</w:t>
      </w:r>
      <w:r>
        <w:fldChar w:fldCharType="end"/>
      </w:r>
    </w:p>
    <w:p>
      <w:pPr>
        <w:pStyle w:val="TOC8"/>
        <w:rPr>
          <w:rFonts w:asciiTheme="minorHAnsi" w:eastAsiaTheme="minorEastAsia" w:hAnsiTheme="minorHAnsi" w:cstheme="minorBidi"/>
          <w:szCs w:val="22"/>
        </w:rPr>
      </w:pPr>
      <w:r>
        <w:rPr>
          <w:spacing w:val="-6"/>
        </w:rPr>
        <w:t>82F</w:t>
      </w:r>
      <w:r>
        <w:t>.</w:t>
      </w:r>
      <w:r>
        <w:tab/>
        <w:t>Further restriction on listing</w:t>
      </w:r>
      <w:r>
        <w:tab/>
      </w:r>
      <w:r>
        <w:fldChar w:fldCharType="begin"/>
      </w:r>
      <w:r>
        <w:instrText xml:space="preserve"> PAGEREF _Toc382386817 \h </w:instrText>
      </w:r>
      <w:r>
        <w:fldChar w:fldCharType="separate"/>
      </w:r>
      <w:r>
        <w:t>101</w:t>
      </w:r>
      <w:r>
        <w:fldChar w:fldCharType="end"/>
      </w:r>
    </w:p>
    <w:p>
      <w:pPr>
        <w:pStyle w:val="TOC8"/>
        <w:rPr>
          <w:rFonts w:asciiTheme="minorHAnsi" w:eastAsiaTheme="minorEastAsia" w:hAnsiTheme="minorHAnsi" w:cstheme="minorBidi"/>
          <w:szCs w:val="22"/>
        </w:rPr>
      </w:pPr>
      <w:r>
        <w:rPr>
          <w:spacing w:val="-6"/>
        </w:rPr>
        <w:t>82G</w:t>
      </w:r>
      <w:r>
        <w:t>.</w:t>
      </w:r>
      <w:r>
        <w:tab/>
        <w:t>Ensuring quality of listing — lessor’s or agent’s obligation</w:t>
      </w:r>
      <w:r>
        <w:tab/>
      </w:r>
      <w:r>
        <w:fldChar w:fldCharType="begin"/>
      </w:r>
      <w:r>
        <w:instrText xml:space="preserve"> PAGEREF _Toc382386818 \h </w:instrText>
      </w:r>
      <w:r>
        <w:fldChar w:fldCharType="separate"/>
      </w:r>
      <w:r>
        <w:t>102</w:t>
      </w:r>
      <w:r>
        <w:fldChar w:fldCharType="end"/>
      </w:r>
    </w:p>
    <w:p>
      <w:pPr>
        <w:pStyle w:val="TOC8"/>
        <w:rPr>
          <w:rFonts w:asciiTheme="minorHAnsi" w:eastAsiaTheme="minorEastAsia" w:hAnsiTheme="minorHAnsi" w:cstheme="minorBidi"/>
          <w:szCs w:val="22"/>
        </w:rPr>
      </w:pPr>
      <w:r>
        <w:rPr>
          <w:spacing w:val="-6"/>
        </w:rPr>
        <w:t>82H</w:t>
      </w:r>
      <w:r>
        <w:t>.</w:t>
      </w:r>
      <w:r>
        <w:tab/>
        <w:t>Ensuring quality of listing — database operator’s obligation</w:t>
      </w:r>
      <w:r>
        <w:tab/>
      </w:r>
      <w:r>
        <w:fldChar w:fldCharType="begin"/>
      </w:r>
      <w:r>
        <w:instrText xml:space="preserve"> PAGEREF _Toc382386819 \h </w:instrText>
      </w:r>
      <w:r>
        <w:fldChar w:fldCharType="separate"/>
      </w:r>
      <w:r>
        <w:t>102</w:t>
      </w:r>
      <w:r>
        <w:fldChar w:fldCharType="end"/>
      </w:r>
    </w:p>
    <w:p>
      <w:pPr>
        <w:pStyle w:val="TOC8"/>
        <w:rPr>
          <w:rFonts w:asciiTheme="minorHAnsi" w:eastAsiaTheme="minorEastAsia" w:hAnsiTheme="minorHAnsi" w:cstheme="minorBidi"/>
          <w:szCs w:val="22"/>
        </w:rPr>
      </w:pPr>
      <w:r>
        <w:rPr>
          <w:spacing w:val="-6"/>
        </w:rPr>
        <w:t>82I</w:t>
      </w:r>
      <w:r>
        <w:t>.</w:t>
      </w:r>
      <w:r>
        <w:tab/>
        <w:t>Providing copy of personal information listed</w:t>
      </w:r>
      <w:r>
        <w:tab/>
      </w:r>
      <w:r>
        <w:fldChar w:fldCharType="begin"/>
      </w:r>
      <w:r>
        <w:instrText xml:space="preserve"> PAGEREF _Toc382386820 \h </w:instrText>
      </w:r>
      <w:r>
        <w:fldChar w:fldCharType="separate"/>
      </w:r>
      <w:r>
        <w:t>103</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_Toc382386821 \h </w:instrText>
      </w:r>
      <w:r>
        <w:fldChar w:fldCharType="separate"/>
      </w:r>
      <w:r>
        <w:t>103</w:t>
      </w:r>
      <w:r>
        <w:fldChar w:fldCharType="end"/>
      </w:r>
    </w:p>
    <w:p>
      <w:pPr>
        <w:pStyle w:val="TOC8"/>
        <w:rPr>
          <w:rFonts w:asciiTheme="minorHAnsi" w:eastAsiaTheme="minorEastAsia" w:hAnsiTheme="minorHAnsi" w:cstheme="minorBidi"/>
          <w:szCs w:val="22"/>
        </w:rPr>
      </w:pPr>
      <w:r>
        <w:rPr>
          <w:spacing w:val="-6"/>
        </w:rPr>
        <w:t>82K</w:t>
      </w:r>
      <w:r>
        <w:t>.</w:t>
      </w:r>
      <w:r>
        <w:tab/>
        <w:t>Keeping personal information listed</w:t>
      </w:r>
      <w:r>
        <w:tab/>
      </w:r>
      <w:r>
        <w:fldChar w:fldCharType="begin"/>
      </w:r>
      <w:r>
        <w:instrText xml:space="preserve"> PAGEREF _Toc382386822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_Toc382386824 \h </w:instrText>
      </w:r>
      <w:r>
        <w:fldChar w:fldCharType="separate"/>
      </w:r>
      <w:r>
        <w:t>106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_Toc382386825 \h </w:instrText>
      </w:r>
      <w:r>
        <w:fldChar w:fldCharType="separate"/>
      </w:r>
      <w:r>
        <w:t>106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_Toc382386826 \h </w:instrText>
      </w:r>
      <w:r>
        <w:fldChar w:fldCharType="separate"/>
      </w:r>
      <w:r>
        <w:t>106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_Toc382386827 \h </w:instrText>
      </w:r>
      <w:r>
        <w:fldChar w:fldCharType="separate"/>
      </w:r>
      <w:r>
        <w:t>107</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_Toc382386828 \h </w:instrText>
      </w:r>
      <w:r>
        <w:fldChar w:fldCharType="separate"/>
      </w:r>
      <w:r>
        <w:t>108</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_Toc382386829 \h </w:instrText>
      </w:r>
      <w:r>
        <w:fldChar w:fldCharType="separate"/>
      </w:r>
      <w:r>
        <w:t>108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_Toc382386830 \h </w:instrText>
      </w:r>
      <w:r>
        <w:fldChar w:fldCharType="separate"/>
      </w:r>
      <w:r>
        <w:t>109</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_Toc382386831 \h </w:instrText>
      </w:r>
      <w:r>
        <w:fldChar w:fldCharType="separate"/>
      </w:r>
      <w:r>
        <w:t>109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_Toc382386832 \h </w:instrText>
      </w:r>
      <w:r>
        <w:fldChar w:fldCharType="separate"/>
      </w:r>
      <w:r>
        <w:t>111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_Toc382386833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86"/>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_Toc382386836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_Toc382386838 \h </w:instrText>
      </w:r>
      <w:r>
        <w:fldChar w:fldCharType="separate"/>
      </w:r>
      <w:r>
        <w:t>113</w:t>
      </w:r>
      <w:r>
        <w:fldChar w:fldCharType="end"/>
      </w:r>
    </w:p>
    <w:p>
      <w:pPr>
        <w:pStyle w:val="TOC8"/>
        <w:rPr>
          <w:rFonts w:asciiTheme="minorHAnsi" w:eastAsiaTheme="minorEastAsia" w:hAnsiTheme="minorHAnsi" w:cstheme="minorBidi"/>
          <w:szCs w:val="22"/>
        </w:rPr>
      </w:pPr>
      <w:r>
        <w:t>93.</w:t>
      </w:r>
      <w:r>
        <w:tab/>
        <w:t>All security bonds to be transferred to the bond administrator after renewal of agreement or within 18 months</w:t>
      </w:r>
      <w:r>
        <w:tab/>
      </w:r>
      <w:r>
        <w:fldChar w:fldCharType="begin"/>
      </w:r>
      <w:r>
        <w:instrText xml:space="preserve"> PAGEREF _Toc382386839 \h </w:instrText>
      </w:r>
      <w:r>
        <w:fldChar w:fldCharType="separate"/>
      </w:r>
      <w:r>
        <w:t>114</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_Toc382386840 \h </w:instrText>
      </w:r>
      <w:r>
        <w:fldChar w:fldCharType="separate"/>
      </w:r>
      <w:r>
        <w:t>115</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_Toc382386841 \h </w:instrText>
      </w:r>
      <w:r>
        <w:fldChar w:fldCharType="separate"/>
      </w:r>
      <w:r>
        <w:t>116</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_Toc382386842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rPr>
      </w:pPr>
      <w:r>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_Toc382386844 \h </w:instrText>
      </w:r>
      <w:r>
        <w:fldChar w:fldCharType="separate"/>
      </w:r>
      <w:r>
        <w:t>119</w:t>
      </w:r>
      <w:r>
        <w:fldChar w:fldCharType="end"/>
      </w:r>
    </w:p>
    <w:p>
      <w:pPr>
        <w:pStyle w:val="TOC2"/>
        <w:tabs>
          <w:tab w:val="right" w:leader="dot" w:pos="7086"/>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Term used: authorised agent</w:t>
      </w:r>
      <w:r>
        <w:tab/>
      </w:r>
      <w:r>
        <w:fldChar w:fldCharType="begin"/>
      </w:r>
      <w:r>
        <w:instrText xml:space="preserve"> PAGEREF _Toc382386847 \h </w:instrText>
      </w:r>
      <w:r>
        <w:fldChar w:fldCharType="separate"/>
      </w:r>
      <w:r>
        <w:t>120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_Toc382386848 \h </w:instrText>
      </w:r>
      <w:r>
        <w:fldChar w:fldCharType="separate"/>
      </w:r>
      <w:r>
        <w:t>120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_Toc382386849 \h </w:instrText>
      </w:r>
      <w:r>
        <w:fldChar w:fldCharType="separate"/>
      </w:r>
      <w:r>
        <w:t>122</w:t>
      </w:r>
      <w:r>
        <w:fldChar w:fldCharType="end"/>
      </w:r>
    </w:p>
    <w:p>
      <w:pPr>
        <w:pStyle w:val="TOC4"/>
        <w:tabs>
          <w:tab w:val="right" w:leader="dot" w:pos="7086"/>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_Toc382386851 \h </w:instrText>
      </w:r>
      <w:r>
        <w:fldChar w:fldCharType="separate"/>
      </w:r>
      <w:r>
        <w:t>123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Disposal of security bond by bond administrator</w:t>
      </w:r>
      <w:r>
        <w:tab/>
      </w:r>
      <w:r>
        <w:fldChar w:fldCharType="begin"/>
      </w:r>
      <w:r>
        <w:instrText xml:space="preserve"> PAGEREF _Toc382386852 \h </w:instrText>
      </w:r>
      <w:r>
        <w:fldChar w:fldCharType="separate"/>
      </w:r>
      <w:r>
        <w:t>123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may determine disposal of security bond</w:t>
      </w:r>
      <w:r>
        <w:tab/>
      </w:r>
      <w:r>
        <w:fldChar w:fldCharType="begin"/>
      </w:r>
      <w:r>
        <w:instrText xml:space="preserve"> PAGEREF _Toc382386853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_Toc382386855 \h </w:instrText>
      </w:r>
      <w:r>
        <w:fldChar w:fldCharType="separate"/>
      </w:r>
      <w:r>
        <w:t>126</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_Toc382386856 \h </w:instrText>
      </w:r>
      <w:r>
        <w:fldChar w:fldCharType="separate"/>
      </w:r>
      <w:r>
        <w:t>126</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_Toc382386857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_Toc382386859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w:t>
            </w:r>
            <w:r>
              <w:rPr>
                <w:b/>
                <w:snapToGrid w:val="0"/>
                <w:sz w:val="22"/>
              </w:rPr>
              <w:t xml:space="preserve"> July 2013</w:t>
            </w:r>
            <w:r>
              <w:rPr>
                <w:b/>
                <w:sz w:val="22"/>
              </w:rPr>
              <w:fldChar w:fldCharType="end"/>
            </w:r>
          </w:p>
        </w:tc>
      </w:tr>
    </w:tbl>
    <w:p>
      <w:pPr>
        <w:pStyle w:val="WA"/>
        <w:spacing w:before="120"/>
      </w:pPr>
      <w:r>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by No. 60 of 2011 s. 4.] </w:t>
      </w:r>
    </w:p>
    <w:p>
      <w:pPr>
        <w:pStyle w:val="Heading2"/>
      </w:pPr>
      <w:bookmarkStart w:id="1" w:name="_Toc382386483"/>
      <w:bookmarkStart w:id="2" w:name="_Toc382386672"/>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82386673"/>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4" w:name="_Toc382386674"/>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 w:name="_Toc382386675"/>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Commissioner as defined in the </w:t>
      </w:r>
      <w:r>
        <w:rPr>
          <w:i/>
        </w:rPr>
        <w:t>Fair Trading Act 2010</w:t>
      </w:r>
      <w:r>
        <w:t xml:space="preserve"> section 6;</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by No. 50 of 1988 s. 4; No. 57 of 1997 s. 39(10); No. 59 of 2004 s. 118; No. 28 of 2006 s. 133; No. 60 of 2011 s. 5 and 90.] </w:t>
      </w:r>
    </w:p>
    <w:p>
      <w:pPr>
        <w:pStyle w:val="Heading5"/>
        <w:rPr>
          <w:snapToGrid w:val="0"/>
        </w:rPr>
      </w:pPr>
      <w:bookmarkStart w:id="6" w:name="_Toc382386676"/>
      <w:r>
        <w:rPr>
          <w:rStyle w:val="CharSectno"/>
        </w:rPr>
        <w:t>4</w:t>
      </w:r>
      <w:r>
        <w:rPr>
          <w:snapToGrid w:val="0"/>
        </w:rPr>
        <w:t>.</w:t>
      </w:r>
      <w:r>
        <w:rPr>
          <w:snapToGrid w:val="0"/>
        </w:rPr>
        <w:tab/>
        <w:t>Position of Crown</w:t>
      </w:r>
      <w:bookmarkEnd w:id="6"/>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7" w:name="_Toc382386677"/>
      <w:r>
        <w:rPr>
          <w:rStyle w:val="CharSectno"/>
        </w:rPr>
        <w:t>5</w:t>
      </w:r>
      <w:r>
        <w:rPr>
          <w:snapToGrid w:val="0"/>
        </w:rPr>
        <w:t>.</w:t>
      </w:r>
      <w:r>
        <w:rPr>
          <w:snapToGrid w:val="0"/>
        </w:rPr>
        <w:tab/>
        <w:t>Application of Act</w:t>
      </w:r>
      <w:bookmarkEnd w:id="7"/>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 No. 60 of 2011 s. 6.]</w:t>
      </w:r>
    </w:p>
    <w:p>
      <w:pPr>
        <w:pStyle w:val="Heading5"/>
        <w:rPr>
          <w:snapToGrid w:val="0"/>
        </w:rPr>
      </w:pPr>
      <w:bookmarkStart w:id="8" w:name="_Toc382386678"/>
      <w:r>
        <w:rPr>
          <w:rStyle w:val="CharSectno"/>
        </w:rPr>
        <w:t>6</w:t>
      </w:r>
      <w:r>
        <w:rPr>
          <w:snapToGrid w:val="0"/>
        </w:rPr>
        <w:t>.</w:t>
      </w:r>
      <w:r>
        <w:rPr>
          <w:snapToGrid w:val="0"/>
        </w:rPr>
        <w:tab/>
        <w:t>Modification of application of Act by regulation</w:t>
      </w:r>
      <w:bookmarkEnd w:id="8"/>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9" w:name="_Toc382386679"/>
      <w:r>
        <w:rPr>
          <w:rStyle w:val="CharSectno"/>
        </w:rPr>
        <w:t>7</w:t>
      </w:r>
      <w:r>
        <w:rPr>
          <w:snapToGrid w:val="0"/>
        </w:rPr>
        <w:t>.</w:t>
      </w:r>
      <w:r>
        <w:rPr>
          <w:snapToGrid w:val="0"/>
        </w:rPr>
        <w:tab/>
      </w:r>
      <w:r>
        <w:rPr>
          <w:bCs/>
        </w:rPr>
        <w:t>Transitional provisions relating to commencement of this Act</w:t>
      </w:r>
      <w:bookmarkEnd w:id="9"/>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Sch. 1 cl. 149(5); No. 60 of 2011 s. 7 and 89.] </w:t>
      </w:r>
    </w:p>
    <w:p>
      <w:pPr>
        <w:pStyle w:val="Heading2"/>
      </w:pPr>
      <w:bookmarkStart w:id="10" w:name="_Toc382386491"/>
      <w:bookmarkStart w:id="11" w:name="_Toc382386680"/>
      <w:r>
        <w:rPr>
          <w:rStyle w:val="CharPartNo"/>
        </w:rPr>
        <w:t>Part II</w:t>
      </w:r>
      <w:r>
        <w:rPr>
          <w:rStyle w:val="CharDivNo"/>
        </w:rPr>
        <w:t> </w:t>
      </w:r>
      <w:r>
        <w:t>—</w:t>
      </w:r>
      <w:r>
        <w:rPr>
          <w:rStyle w:val="CharDivText"/>
        </w:rPr>
        <w:t> </w:t>
      </w:r>
      <w:r>
        <w:rPr>
          <w:rStyle w:val="CharPartText"/>
        </w:rPr>
        <w:t>Administration</w:t>
      </w:r>
      <w:bookmarkEnd w:id="10"/>
      <w:bookmarkEnd w:id="11"/>
    </w:p>
    <w:p>
      <w:pPr>
        <w:pStyle w:val="Heading5"/>
      </w:pPr>
      <w:bookmarkStart w:id="12" w:name="_Toc382386681"/>
      <w:r>
        <w:rPr>
          <w:rStyle w:val="CharSectno"/>
        </w:rPr>
        <w:t>7A</w:t>
      </w:r>
      <w:r>
        <w:t>.</w:t>
      </w:r>
      <w:r>
        <w:tab/>
        <w:t>Commissioner</w:t>
      </w:r>
      <w:bookmarkEnd w:id="1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3" w:name="_Toc382386682"/>
      <w:r>
        <w:rPr>
          <w:rStyle w:val="CharSectno"/>
        </w:rPr>
        <w:t>8</w:t>
      </w:r>
      <w:r>
        <w:rPr>
          <w:snapToGrid w:val="0"/>
        </w:rPr>
        <w:t>.</w:t>
      </w:r>
      <w:r>
        <w:rPr>
          <w:snapToGrid w:val="0"/>
        </w:rPr>
        <w:tab/>
        <w:t>Functions of Commissioner</w:t>
      </w:r>
      <w:bookmarkEnd w:id="13"/>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4" w:name="_Toc382386683"/>
      <w:r>
        <w:rPr>
          <w:rStyle w:val="CharSectno"/>
        </w:rPr>
        <w:t>9</w:t>
      </w:r>
      <w:r>
        <w:rPr>
          <w:snapToGrid w:val="0"/>
        </w:rPr>
        <w:t>.</w:t>
      </w:r>
      <w:r>
        <w:rPr>
          <w:snapToGrid w:val="0"/>
        </w:rPr>
        <w:tab/>
        <w:t>Commissioner may institute or defend proceedings for party</w:t>
      </w:r>
      <w:bookmarkEnd w:id="14"/>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 xml:space="preserve">in relation to a residential tenancy agreement that has terminated unless a complaint is made to </w:t>
      </w:r>
      <w:r>
        <w:t>the Commissioner</w:t>
      </w:r>
      <w:r>
        <w:rPr>
          <w:snapToGrid w:val="0"/>
          <w:spacing w:val="-2"/>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by No. 50 of 1988 s. 18; No. 6 of 1993 s. 11; No. 59 of 1995 s. 56; No. 59 of 2004 s. 121; No. 77 of 2006 s. 4; No. 60 of 2011 s. 8.] </w:t>
      </w:r>
    </w:p>
    <w:p>
      <w:pPr>
        <w:pStyle w:val="Heading5"/>
        <w:rPr>
          <w:snapToGrid w:val="0"/>
        </w:rPr>
      </w:pPr>
      <w:bookmarkStart w:id="15" w:name="_Toc382386684"/>
      <w:r>
        <w:rPr>
          <w:rStyle w:val="CharSectno"/>
        </w:rPr>
        <w:t>10</w:t>
      </w:r>
      <w:r>
        <w:rPr>
          <w:snapToGrid w:val="0"/>
        </w:rPr>
        <w:t>.</w:t>
      </w:r>
      <w:r>
        <w:rPr>
          <w:snapToGrid w:val="0"/>
        </w:rPr>
        <w:tab/>
        <w:t>Delegation by Commissioner</w:t>
      </w:r>
      <w:bookmarkEnd w:id="15"/>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by No. 60 of 2011 s. 9.] </w:t>
      </w:r>
    </w:p>
    <w:p>
      <w:pPr>
        <w:pStyle w:val="Heading5"/>
        <w:rPr>
          <w:snapToGrid w:val="0"/>
        </w:rPr>
      </w:pPr>
      <w:bookmarkStart w:id="16" w:name="_Toc382386685"/>
      <w:r>
        <w:rPr>
          <w:rStyle w:val="CharSectno"/>
        </w:rPr>
        <w:t>11</w:t>
      </w:r>
      <w:r>
        <w:rPr>
          <w:snapToGrid w:val="0"/>
        </w:rPr>
        <w:t>.</w:t>
      </w:r>
      <w:r>
        <w:rPr>
          <w:snapToGrid w:val="0"/>
        </w:rPr>
        <w:tab/>
        <w:t>Protection of officers</w:t>
      </w:r>
      <w:bookmarkEnd w:id="16"/>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7" w:name="_Toc382386686"/>
      <w:r>
        <w:rPr>
          <w:rStyle w:val="CharSectno"/>
        </w:rPr>
        <w:t>11A</w:t>
      </w:r>
      <w:r>
        <w:t>.</w:t>
      </w:r>
      <w:r>
        <w:tab/>
        <w:t>Information officially obtained to be confidential</w:t>
      </w:r>
      <w:bookmarkEnd w:id="1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by No. 28 of 2006 s. 136; amended by No. 60 of 2011 s. 10.]</w:t>
      </w:r>
    </w:p>
    <w:p>
      <w:pPr>
        <w:pStyle w:val="Heading5"/>
      </w:pPr>
      <w:bookmarkStart w:id="18" w:name="_Toc382386687"/>
      <w:r>
        <w:rPr>
          <w:rStyle w:val="CharSectno"/>
        </w:rPr>
        <w:t>11B</w:t>
      </w:r>
      <w:r>
        <w:t>.</w:t>
      </w:r>
      <w:r>
        <w:tab/>
        <w:t>Powers of investigation</w:t>
      </w:r>
      <w:bookmarkEnd w:id="18"/>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19" w:name="_Toc382386499"/>
      <w:bookmarkStart w:id="20" w:name="_Toc382386688"/>
      <w:r>
        <w:rPr>
          <w:rStyle w:val="CharPartNo"/>
        </w:rPr>
        <w:t>Part III</w:t>
      </w:r>
      <w:r>
        <w:rPr>
          <w:rStyle w:val="CharDivNo"/>
        </w:rPr>
        <w:t> </w:t>
      </w:r>
      <w:r>
        <w:t>—</w:t>
      </w:r>
      <w:r>
        <w:rPr>
          <w:rStyle w:val="CharDivText"/>
        </w:rPr>
        <w:t> </w:t>
      </w:r>
      <w:r>
        <w:rPr>
          <w:rStyle w:val="CharPartText"/>
        </w:rPr>
        <w:t>Determination of disputes</w:t>
      </w:r>
      <w:bookmarkEnd w:id="19"/>
      <w:bookmarkEnd w:id="20"/>
      <w:r>
        <w:rPr>
          <w:rStyle w:val="CharPartText"/>
        </w:rPr>
        <w:t xml:space="preserve"> </w:t>
      </w:r>
    </w:p>
    <w:p>
      <w:pPr>
        <w:pStyle w:val="Heading5"/>
      </w:pPr>
      <w:bookmarkStart w:id="21" w:name="_Toc382386689"/>
      <w:r>
        <w:rPr>
          <w:rStyle w:val="CharSectno"/>
        </w:rPr>
        <w:t>12</w:t>
      </w:r>
      <w:r>
        <w:t>.</w:t>
      </w:r>
      <w:r>
        <w:tab/>
        <w:t>Terms used</w:t>
      </w:r>
      <w:bookmarkEnd w:id="21"/>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22" w:name="_Toc382386690"/>
      <w:r>
        <w:rPr>
          <w:rStyle w:val="CharSectno"/>
        </w:rPr>
        <w:t>12A</w:t>
      </w:r>
      <w:r>
        <w:t>.</w:t>
      </w:r>
      <w:r>
        <w:tab/>
      </w:r>
      <w:r>
        <w:rPr>
          <w:snapToGrid w:val="0"/>
        </w:rPr>
        <w:t>Jurisdiction</w:t>
      </w:r>
      <w:r>
        <w:t xml:space="preserve"> over </w:t>
      </w:r>
      <w:r>
        <w:rPr>
          <w:snapToGrid w:val="0"/>
        </w:rPr>
        <w:t>prescribed</w:t>
      </w:r>
      <w:r>
        <w:t xml:space="preserve"> disputes</w:t>
      </w:r>
      <w:bookmarkEnd w:id="22"/>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23" w:name="_Toc382386691"/>
      <w:r>
        <w:rPr>
          <w:rStyle w:val="CharSectno"/>
        </w:rPr>
        <w:t>13</w:t>
      </w:r>
      <w:r>
        <w:t>.</w:t>
      </w:r>
      <w:r>
        <w:tab/>
        <w:t>Jurisdiction over other disputes</w:t>
      </w:r>
      <w:bookmarkEnd w:id="23"/>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by No. 59 of 2004 s. 119; amended by No. 60 of 2011 s. 11.] </w:t>
      </w:r>
    </w:p>
    <w:p>
      <w:pPr>
        <w:pStyle w:val="Heading5"/>
      </w:pPr>
      <w:bookmarkStart w:id="24" w:name="_Toc382386692"/>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24"/>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by No. 59 of 2004 s. 119; amended by No. 60 of 2011 s. 12.] </w:t>
      </w:r>
    </w:p>
    <w:p>
      <w:pPr>
        <w:pStyle w:val="Heading5"/>
      </w:pPr>
      <w:bookmarkStart w:id="25" w:name="_Toc382386693"/>
      <w:r>
        <w:rPr>
          <w:rStyle w:val="CharSectno"/>
        </w:rPr>
        <w:t>13B</w:t>
      </w:r>
      <w:r>
        <w:t>.</w:t>
      </w:r>
      <w:r>
        <w:tab/>
        <w:t>Appeals from decisions of a registrar</w:t>
      </w:r>
      <w:bookmarkEnd w:id="25"/>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26" w:name="_Toc382386694"/>
      <w:r>
        <w:rPr>
          <w:rStyle w:val="CharSectno"/>
        </w:rPr>
        <w:t>14</w:t>
      </w:r>
      <w:r>
        <w:rPr>
          <w:snapToGrid w:val="0"/>
        </w:rPr>
        <w:t>.</w:t>
      </w:r>
      <w:r>
        <w:rPr>
          <w:snapToGrid w:val="0"/>
        </w:rPr>
        <w:tab/>
        <w:t>Time for determination of proceedings</w:t>
      </w:r>
      <w:bookmarkEnd w:id="26"/>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7" w:name="_Toc382386695"/>
      <w:r>
        <w:rPr>
          <w:rStyle w:val="CharSectno"/>
        </w:rPr>
        <w:t>15</w:t>
      </w:r>
      <w:r>
        <w:rPr>
          <w:snapToGrid w:val="0"/>
        </w:rPr>
        <w:t>.</w:t>
      </w:r>
      <w:r>
        <w:rPr>
          <w:snapToGrid w:val="0"/>
        </w:rPr>
        <w:tab/>
        <w:t>Applications for relief and orders that may be made</w:t>
      </w:r>
      <w:bookmarkEnd w:id="27"/>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by No. 50 of 1988 s. 8 and 18; No. 59 of 2004 s. 120 and 121; No. 60 of 2011 s. 13 and 89.] </w:t>
      </w:r>
    </w:p>
    <w:p>
      <w:pPr>
        <w:pStyle w:val="Heading5"/>
        <w:rPr>
          <w:snapToGrid w:val="0"/>
        </w:rPr>
      </w:pPr>
      <w:bookmarkStart w:id="28" w:name="_Toc382386696"/>
      <w:r>
        <w:rPr>
          <w:rStyle w:val="CharSectno"/>
        </w:rPr>
        <w:t>16</w:t>
      </w:r>
      <w:r>
        <w:rPr>
          <w:snapToGrid w:val="0"/>
        </w:rPr>
        <w:t>.</w:t>
      </w:r>
      <w:r>
        <w:rPr>
          <w:snapToGrid w:val="0"/>
        </w:rPr>
        <w:tab/>
        <w:t>Enforcement</w:t>
      </w:r>
      <w:bookmarkEnd w:id="28"/>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No. 60 of 2011 s. 14.] </w:t>
      </w:r>
    </w:p>
    <w:p>
      <w:pPr>
        <w:pStyle w:val="Heading5"/>
      </w:pPr>
      <w:bookmarkStart w:id="29" w:name="_Toc382386697"/>
      <w:r>
        <w:rPr>
          <w:rStyle w:val="CharSectno"/>
        </w:rPr>
        <w:t>17A</w:t>
      </w:r>
      <w:r>
        <w:t>.</w:t>
      </w:r>
      <w:r>
        <w:tab/>
        <w:t>Disputes between tenants</w:t>
      </w:r>
      <w:bookmarkEnd w:id="29"/>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by No. 60 of 2011 s. 15.] </w:t>
      </w:r>
    </w:p>
    <w:p>
      <w:pPr>
        <w:pStyle w:val="Heading5"/>
        <w:rPr>
          <w:snapToGrid w:val="0"/>
        </w:rPr>
      </w:pPr>
      <w:bookmarkStart w:id="30" w:name="_Toc382386698"/>
      <w:r>
        <w:rPr>
          <w:rStyle w:val="CharSectno"/>
        </w:rPr>
        <w:t>17</w:t>
      </w:r>
      <w:r>
        <w:rPr>
          <w:snapToGrid w:val="0"/>
        </w:rPr>
        <w:t>.</w:t>
      </w:r>
      <w:r>
        <w:rPr>
          <w:snapToGrid w:val="0"/>
        </w:rPr>
        <w:tab/>
        <w:t>Application to vary or set aside order</w:t>
      </w:r>
      <w:bookmarkEnd w:id="30"/>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by No. 50 of 1988 s. 18; No. 59 of 2004 s. 121; No. 60 of 2011 s. 16.] </w:t>
      </w:r>
    </w:p>
    <w:p>
      <w:pPr>
        <w:pStyle w:val="Heading5"/>
        <w:rPr>
          <w:snapToGrid w:val="0"/>
        </w:rPr>
      </w:pPr>
      <w:bookmarkStart w:id="31" w:name="_Toc382386699"/>
      <w:r>
        <w:rPr>
          <w:rStyle w:val="CharSectno"/>
        </w:rPr>
        <w:t>18</w:t>
      </w:r>
      <w:r>
        <w:rPr>
          <w:snapToGrid w:val="0"/>
        </w:rPr>
        <w:t>.</w:t>
      </w:r>
      <w:r>
        <w:rPr>
          <w:snapToGrid w:val="0"/>
        </w:rPr>
        <w:tab/>
        <w:t>Form of applications and notice of hearing</w:t>
      </w:r>
      <w:bookmarkEnd w:id="31"/>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32" w:name="_Toc382386700"/>
      <w:r>
        <w:rPr>
          <w:rStyle w:val="CharSectno"/>
        </w:rPr>
        <w:t>19</w:t>
      </w:r>
      <w:r>
        <w:rPr>
          <w:snapToGrid w:val="0"/>
        </w:rPr>
        <w:t>.</w:t>
      </w:r>
      <w:r>
        <w:rPr>
          <w:snapToGrid w:val="0"/>
        </w:rPr>
        <w:tab/>
        <w:t>Witnesses and inspection of documents</w:t>
      </w:r>
      <w:bookmarkEnd w:id="32"/>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by No. 50 of 1988 s. 11 and 18; No. 59 of 2004 s. 120(2) and 121; No. 60 of 2011 s. 17.] </w:t>
      </w:r>
    </w:p>
    <w:p>
      <w:pPr>
        <w:pStyle w:val="Heading5"/>
        <w:rPr>
          <w:snapToGrid w:val="0"/>
        </w:rPr>
      </w:pPr>
      <w:bookmarkStart w:id="33" w:name="_Toc382386701"/>
      <w:r>
        <w:rPr>
          <w:rStyle w:val="CharSectno"/>
        </w:rPr>
        <w:t>20</w:t>
      </w:r>
      <w:r>
        <w:rPr>
          <w:snapToGrid w:val="0"/>
        </w:rPr>
        <w:t>.</w:t>
      </w:r>
      <w:r>
        <w:rPr>
          <w:snapToGrid w:val="0"/>
        </w:rPr>
        <w:tab/>
        <w:t>General powers in proceedings</w:t>
      </w:r>
      <w:bookmarkEnd w:id="33"/>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No. 60 of 2011 s. 18.] </w:t>
      </w:r>
    </w:p>
    <w:p>
      <w:pPr>
        <w:pStyle w:val="Heading5"/>
      </w:pPr>
      <w:bookmarkStart w:id="34" w:name="_Toc382386702"/>
      <w:r>
        <w:rPr>
          <w:rStyle w:val="CharSectno"/>
        </w:rPr>
        <w:t>21</w:t>
      </w:r>
      <w:r>
        <w:t>.</w:t>
      </w:r>
      <w:r>
        <w:tab/>
        <w:t>Evidence</w:t>
      </w:r>
      <w:bookmarkEnd w:id="34"/>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35" w:name="_Toc382386703"/>
      <w:r>
        <w:rPr>
          <w:rStyle w:val="CharSectno"/>
        </w:rPr>
        <w:t>22</w:t>
      </w:r>
      <w:r>
        <w:rPr>
          <w:snapToGrid w:val="0"/>
        </w:rPr>
        <w:t>.</w:t>
      </w:r>
      <w:r>
        <w:rPr>
          <w:snapToGrid w:val="0"/>
        </w:rPr>
        <w:tab/>
        <w:t>Presentation of cases</w:t>
      </w:r>
      <w:bookmarkEnd w:id="35"/>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No. 60 of 2011 s. 19.] </w:t>
      </w:r>
    </w:p>
    <w:p>
      <w:pPr>
        <w:pStyle w:val="Heading5"/>
        <w:rPr>
          <w:snapToGrid w:val="0"/>
        </w:rPr>
      </w:pPr>
      <w:bookmarkStart w:id="36" w:name="_Toc382386704"/>
      <w:r>
        <w:rPr>
          <w:rStyle w:val="CharSectno"/>
        </w:rPr>
        <w:t>23</w:t>
      </w:r>
      <w:r>
        <w:rPr>
          <w:snapToGrid w:val="0"/>
        </w:rPr>
        <w:t>.</w:t>
      </w:r>
      <w:r>
        <w:rPr>
          <w:snapToGrid w:val="0"/>
        </w:rPr>
        <w:tab/>
        <w:t>Settlement by conciliation</w:t>
      </w:r>
      <w:bookmarkEnd w:id="36"/>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 xml:space="preserve">interview the parties in private (either with or without any person who may be representing any of them or assisting any of them in the presentation of </w:t>
      </w:r>
      <w:r>
        <w:t>the party’s</w:t>
      </w:r>
      <w:r>
        <w:rPr>
          <w:snapToGrid w:val="0"/>
          <w:spacing w:val="-2"/>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by No. 50 of 1988 s. 18; No. 59 of 2004 s. 120(2) and (3) and 121; No. 60 of 2011 s. 20.] </w:t>
      </w:r>
    </w:p>
    <w:p>
      <w:pPr>
        <w:pStyle w:val="Heading5"/>
        <w:rPr>
          <w:snapToGrid w:val="0"/>
        </w:rPr>
      </w:pPr>
      <w:bookmarkStart w:id="37" w:name="_Toc382386705"/>
      <w:r>
        <w:rPr>
          <w:rStyle w:val="CharSectno"/>
        </w:rPr>
        <w:t>24</w:t>
      </w:r>
      <w:r>
        <w:rPr>
          <w:snapToGrid w:val="0"/>
        </w:rPr>
        <w:t>.</w:t>
      </w:r>
      <w:r>
        <w:rPr>
          <w:snapToGrid w:val="0"/>
        </w:rPr>
        <w:tab/>
        <w:t>Costs</w:t>
      </w:r>
      <w:bookmarkEnd w:id="3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38" w:name="_Toc382386706"/>
      <w:r>
        <w:rPr>
          <w:rStyle w:val="CharSectno"/>
        </w:rPr>
        <w:t>25</w:t>
      </w:r>
      <w:r>
        <w:rPr>
          <w:snapToGrid w:val="0"/>
        </w:rPr>
        <w:t>.</w:t>
      </w:r>
      <w:r>
        <w:rPr>
          <w:snapToGrid w:val="0"/>
        </w:rPr>
        <w:tab/>
        <w:t>Reservation of question of law</w:t>
      </w:r>
      <w:bookmarkEnd w:id="3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39" w:name="_Toc382386707"/>
      <w:r>
        <w:rPr>
          <w:rStyle w:val="CharSectno"/>
        </w:rPr>
        <w:t>26</w:t>
      </w:r>
      <w:r>
        <w:rPr>
          <w:snapToGrid w:val="0"/>
        </w:rPr>
        <w:t>.</w:t>
      </w:r>
      <w:r>
        <w:rPr>
          <w:snapToGrid w:val="0"/>
        </w:rPr>
        <w:tab/>
        <w:t>Finality of proceedings</w:t>
      </w:r>
      <w:bookmarkEnd w:id="39"/>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by No. 50 of 1988 s. 13; No. 59 of 2004 s. 120(3) and 121; No. 69 of 2006 s. 30.] </w:t>
      </w:r>
    </w:p>
    <w:p>
      <w:pPr>
        <w:pStyle w:val="Heading2"/>
      </w:pPr>
      <w:bookmarkStart w:id="40" w:name="_Toc382386519"/>
      <w:bookmarkStart w:id="41" w:name="_Toc382386708"/>
      <w:r>
        <w:rPr>
          <w:rStyle w:val="CharPartNo"/>
        </w:rPr>
        <w:t>Part IV</w:t>
      </w:r>
      <w:r>
        <w:t> — </w:t>
      </w:r>
      <w:r>
        <w:rPr>
          <w:rStyle w:val="CharPartText"/>
        </w:rPr>
        <w:t>Residential tenancy agreements</w:t>
      </w:r>
      <w:bookmarkEnd w:id="40"/>
      <w:bookmarkEnd w:id="41"/>
    </w:p>
    <w:p>
      <w:pPr>
        <w:pStyle w:val="Footnoteheading"/>
      </w:pPr>
      <w:r>
        <w:tab/>
        <w:t>[Heading inserted by No. 60 of 2011 s. 21.]</w:t>
      </w:r>
    </w:p>
    <w:p>
      <w:pPr>
        <w:pStyle w:val="Heading3"/>
      </w:pPr>
      <w:bookmarkStart w:id="42" w:name="_Toc382386520"/>
      <w:bookmarkStart w:id="43" w:name="_Toc382386709"/>
      <w:r>
        <w:rPr>
          <w:rStyle w:val="CharDivNo"/>
        </w:rPr>
        <w:t>Division 1A</w:t>
      </w:r>
      <w:r>
        <w:t> — </w:t>
      </w:r>
      <w:r>
        <w:rPr>
          <w:rStyle w:val="CharDivText"/>
        </w:rPr>
        <w:t>Form of residential tenancy agreement and associated documents</w:t>
      </w:r>
      <w:bookmarkEnd w:id="42"/>
      <w:bookmarkEnd w:id="43"/>
    </w:p>
    <w:p>
      <w:pPr>
        <w:pStyle w:val="Footnoteheading"/>
      </w:pPr>
      <w:r>
        <w:tab/>
        <w:t>[Heading inserted by No. 60 of 2011 s. 22.]</w:t>
      </w:r>
    </w:p>
    <w:p>
      <w:pPr>
        <w:pStyle w:val="Heading5"/>
      </w:pPr>
      <w:bookmarkStart w:id="44" w:name="_Toc382386710"/>
      <w:r>
        <w:rPr>
          <w:rStyle w:val="CharSectno"/>
        </w:rPr>
        <w:t>27A</w:t>
      </w:r>
      <w:r>
        <w:t>.</w:t>
      </w:r>
      <w:r>
        <w:tab/>
        <w:t>Written residential tenancy agreement to be in prescribed form</w:t>
      </w:r>
      <w:bookmarkEnd w:id="44"/>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by No. 60 of 2011 s. 22.] </w:t>
      </w:r>
    </w:p>
    <w:p>
      <w:pPr>
        <w:pStyle w:val="Heading5"/>
      </w:pPr>
      <w:bookmarkStart w:id="45" w:name="_Toc382386711"/>
      <w:r>
        <w:rPr>
          <w:rStyle w:val="CharSectno"/>
        </w:rPr>
        <w:t>27B</w:t>
      </w:r>
      <w:r>
        <w:t>.</w:t>
      </w:r>
      <w:r>
        <w:tab/>
        <w:t>Information to be given to tenant by lessor</w:t>
      </w:r>
      <w:bookmarkEnd w:id="45"/>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by No. 60 of 2011 s. 22.] </w:t>
      </w:r>
    </w:p>
    <w:p>
      <w:pPr>
        <w:pStyle w:val="Heading5"/>
      </w:pPr>
      <w:bookmarkStart w:id="46" w:name="_Toc382386712"/>
      <w:r>
        <w:rPr>
          <w:rStyle w:val="CharSectno"/>
        </w:rPr>
        <w:t>27C</w:t>
      </w:r>
      <w:r>
        <w:t>.</w:t>
      </w:r>
      <w:r>
        <w:tab/>
      </w:r>
      <w:r>
        <w:rPr>
          <w:snapToGrid w:val="0"/>
        </w:rPr>
        <w:t>Property condition report at start and end of tenancy</w:t>
      </w:r>
      <w:bookmarkEnd w:id="46"/>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by No. 60 of 2011 s. 22.] </w:t>
      </w:r>
    </w:p>
    <w:p>
      <w:pPr>
        <w:pStyle w:val="Heading3"/>
        <w:rPr>
          <w:snapToGrid w:val="0"/>
        </w:rPr>
      </w:pPr>
      <w:bookmarkStart w:id="47" w:name="_Toc382386524"/>
      <w:bookmarkStart w:id="48" w:name="_Toc382386713"/>
      <w:r>
        <w:rPr>
          <w:rStyle w:val="CharDivNo"/>
        </w:rPr>
        <w:t>Division 1</w:t>
      </w:r>
      <w:r>
        <w:rPr>
          <w:snapToGrid w:val="0"/>
        </w:rPr>
        <w:t> — </w:t>
      </w:r>
      <w:r>
        <w:rPr>
          <w:rStyle w:val="CharDivText"/>
        </w:rPr>
        <w:t>Rent and security bonds</w:t>
      </w:r>
      <w:bookmarkEnd w:id="47"/>
      <w:bookmarkEnd w:id="48"/>
    </w:p>
    <w:p>
      <w:pPr>
        <w:pStyle w:val="Heading5"/>
        <w:spacing w:before="160"/>
        <w:rPr>
          <w:snapToGrid w:val="0"/>
        </w:rPr>
      </w:pPr>
      <w:bookmarkStart w:id="49" w:name="_Toc382386714"/>
      <w:r>
        <w:rPr>
          <w:rStyle w:val="CharSectno"/>
        </w:rPr>
        <w:t>27</w:t>
      </w:r>
      <w:r>
        <w:rPr>
          <w:snapToGrid w:val="0"/>
        </w:rPr>
        <w:t>.</w:t>
      </w:r>
      <w:r>
        <w:rPr>
          <w:snapToGrid w:val="0"/>
        </w:rPr>
        <w:tab/>
        <w:t>Restriction on consideration for tenancy agreement</w:t>
      </w:r>
      <w:bookmarkEnd w:id="49"/>
      <w:r>
        <w:rPr>
          <w:snapToGrid w:val="0"/>
        </w:rPr>
        <w:t xml:space="preserve"> </w:t>
      </w:r>
    </w:p>
    <w:p>
      <w:pPr>
        <w:pStyle w:val="Subsection"/>
        <w:spacing w:line="240" w:lineRule="auto"/>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spacing w:line="240" w:lineRule="auto"/>
        <w:rPr>
          <w:snapToGrid w:val="0"/>
        </w:rPr>
      </w:pPr>
      <w:r>
        <w:rPr>
          <w:snapToGrid w:val="0"/>
        </w:rPr>
        <w:tab/>
        <w:t>(2)</w:t>
      </w:r>
      <w:r>
        <w:rPr>
          <w:snapToGrid w:val="0"/>
        </w:rPr>
        <w:tab/>
        <w:t>Subsection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by No. 59 of 1995 s. 46 and 55; No. 60 of 2011 s. 23 and 89.] </w:t>
      </w:r>
    </w:p>
    <w:p>
      <w:pPr>
        <w:pStyle w:val="Heading5"/>
        <w:rPr>
          <w:snapToGrid w:val="0"/>
        </w:rPr>
      </w:pPr>
      <w:bookmarkStart w:id="50" w:name="_Toc382386715"/>
      <w:r>
        <w:rPr>
          <w:rStyle w:val="CharSectno"/>
        </w:rPr>
        <w:t>28</w:t>
      </w:r>
      <w:r>
        <w:rPr>
          <w:snapToGrid w:val="0"/>
        </w:rPr>
        <w:t>.</w:t>
      </w:r>
      <w:r>
        <w:rPr>
          <w:snapToGrid w:val="0"/>
        </w:rPr>
        <w:tab/>
        <w:t>Rent in advance</w:t>
      </w:r>
      <w:bookmarkEnd w:id="50"/>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by No. 59 of 1995 s. 55; No. 60 of 2011 s. 24.] </w:t>
      </w:r>
    </w:p>
    <w:p>
      <w:pPr>
        <w:pStyle w:val="Heading5"/>
        <w:rPr>
          <w:snapToGrid w:val="0"/>
        </w:rPr>
      </w:pPr>
      <w:bookmarkStart w:id="51" w:name="_Toc382386716"/>
      <w:r>
        <w:rPr>
          <w:rStyle w:val="CharSectno"/>
        </w:rPr>
        <w:t>29</w:t>
      </w:r>
      <w:r>
        <w:rPr>
          <w:snapToGrid w:val="0"/>
        </w:rPr>
        <w:t>.</w:t>
      </w:r>
      <w:r>
        <w:rPr>
          <w:snapToGrid w:val="0"/>
        </w:rPr>
        <w:tab/>
        <w:t>Security bonds</w:t>
      </w:r>
      <w:bookmarkEnd w:id="51"/>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 guide dog as defined in the </w:t>
      </w:r>
      <w:r>
        <w:rPr>
          <w:i/>
          <w:iCs/>
        </w:rPr>
        <w:t>Dog Act 1976</w:t>
      </w:r>
      <w:r>
        <w:t xml:space="preserve"> section 3(1);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by No. 59 of 1995 s. 47 and 55; No. 69 of 2006 s. 31; No. 60 of 2011 s. 25.] </w:t>
      </w:r>
    </w:p>
    <w:p>
      <w:pPr>
        <w:pStyle w:val="Ednotesection"/>
      </w:pPr>
      <w:r>
        <w:t>[</w:t>
      </w:r>
      <w:r>
        <w:rPr>
          <w:b/>
        </w:rPr>
        <w:t>29A.</w:t>
      </w:r>
      <w:r>
        <w:tab/>
        <w:t>Deleted by No. 60 of 2011 s. 26.]</w:t>
      </w:r>
    </w:p>
    <w:p>
      <w:pPr>
        <w:pStyle w:val="Heading5"/>
        <w:rPr>
          <w:snapToGrid w:val="0"/>
        </w:rPr>
      </w:pPr>
      <w:bookmarkStart w:id="52" w:name="_Toc382386717"/>
      <w:r>
        <w:rPr>
          <w:rStyle w:val="CharSectno"/>
        </w:rPr>
        <w:t>30</w:t>
      </w:r>
      <w:r>
        <w:rPr>
          <w:snapToGrid w:val="0"/>
        </w:rPr>
        <w:t>.</w:t>
      </w:r>
      <w:r>
        <w:rPr>
          <w:snapToGrid w:val="0"/>
        </w:rPr>
        <w:tab/>
        <w:t>Variation of rent (except where calculated by reference to tenant’s income)</w:t>
      </w:r>
      <w:bookmarkEnd w:id="52"/>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by No. 60 of 2011 s. 27, 88 and 89.] </w:t>
      </w:r>
    </w:p>
    <w:p>
      <w:pPr>
        <w:pStyle w:val="Heading5"/>
      </w:pPr>
      <w:bookmarkStart w:id="53" w:name="_Toc382386718"/>
      <w:r>
        <w:rPr>
          <w:rStyle w:val="CharSectno"/>
        </w:rPr>
        <w:t>31A</w:t>
      </w:r>
      <w:r>
        <w:t>.</w:t>
      </w:r>
      <w:r>
        <w:tab/>
        <w:t>Variation of rent where calculated by reference to tenant’s income</w:t>
      </w:r>
      <w:bookmarkEnd w:id="53"/>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by No. 60 of 2011 s. 28.] </w:t>
      </w:r>
    </w:p>
    <w:p>
      <w:pPr>
        <w:pStyle w:val="Heading5"/>
      </w:pPr>
      <w:bookmarkStart w:id="54" w:name="_Toc382386719"/>
      <w:r>
        <w:rPr>
          <w:rStyle w:val="CharSectno"/>
        </w:rPr>
        <w:t>31B</w:t>
      </w:r>
      <w:r>
        <w:t>.</w:t>
      </w:r>
      <w:r>
        <w:tab/>
        <w:t>Increase in rent after renegotiating lease</w:t>
      </w:r>
      <w:bookmarkEnd w:id="54"/>
    </w:p>
    <w:p>
      <w:pPr>
        <w:pStyle w:val="Subsection"/>
      </w:pPr>
      <w:r>
        <w:tab/>
      </w:r>
      <w:r>
        <w:tab/>
        <w:t xml:space="preserve">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spacing w:before="120"/>
      </w:pPr>
      <w:r>
        <w:tab/>
      </w:r>
      <w:r>
        <w:tab/>
        <w:t>then, during the first 30 days after the new agreement was entered into, the tenant cannot be required under the new agreement to pay an amount of rent more than the amount payable under the former agreement.</w:t>
      </w:r>
    </w:p>
    <w:p>
      <w:pPr>
        <w:pStyle w:val="Footnotesection"/>
        <w:spacing w:before="100"/>
      </w:pPr>
      <w:r>
        <w:tab/>
        <w:t xml:space="preserve">[Section 31B inserted by No. 60 of 2011 s. 28.] </w:t>
      </w:r>
    </w:p>
    <w:p>
      <w:pPr>
        <w:pStyle w:val="Heading5"/>
        <w:rPr>
          <w:snapToGrid w:val="0"/>
        </w:rPr>
      </w:pPr>
      <w:bookmarkStart w:id="55" w:name="_Toc382386720"/>
      <w:r>
        <w:rPr>
          <w:rStyle w:val="CharSectno"/>
        </w:rPr>
        <w:t>31</w:t>
      </w:r>
      <w:r>
        <w:rPr>
          <w:snapToGrid w:val="0"/>
        </w:rPr>
        <w:t>.</w:t>
      </w:r>
      <w:r>
        <w:rPr>
          <w:snapToGrid w:val="0"/>
        </w:rPr>
        <w:tab/>
        <w:t>Increase in security bond</w:t>
      </w:r>
      <w:bookmarkEnd w:id="55"/>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section 30, 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by No. 60 of 2011 s. 29 and 89.] </w:t>
      </w:r>
    </w:p>
    <w:p>
      <w:pPr>
        <w:pStyle w:val="Heading5"/>
        <w:rPr>
          <w:snapToGrid w:val="0"/>
        </w:rPr>
      </w:pPr>
      <w:bookmarkStart w:id="56" w:name="_Toc382386721"/>
      <w:r>
        <w:rPr>
          <w:rStyle w:val="CharSectno"/>
        </w:rPr>
        <w:t>32</w:t>
      </w:r>
      <w:r>
        <w:rPr>
          <w:snapToGrid w:val="0"/>
        </w:rPr>
        <w:t>.</w:t>
      </w:r>
      <w:r>
        <w:rPr>
          <w:snapToGrid w:val="0"/>
        </w:rPr>
        <w:tab/>
        <w:t>Limitation of excessive rents in certain circumstances</w:t>
      </w:r>
      <w:bookmarkEnd w:id="56"/>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spacing w:before="60"/>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spacing w:before="60"/>
        <w:rPr>
          <w:snapToGrid w:val="0"/>
        </w:rPr>
      </w:pPr>
      <w:r>
        <w:rPr>
          <w:snapToGrid w:val="0"/>
        </w:rPr>
        <w:tab/>
        <w:t>(e)</w:t>
      </w:r>
      <w:r>
        <w:rPr>
          <w:snapToGrid w:val="0"/>
        </w:rPr>
        <w:tab/>
        <w:t>the value and nature of the chattels provided with the premises for use by the tenant; and</w:t>
      </w:r>
    </w:p>
    <w:p>
      <w:pPr>
        <w:pStyle w:val="Indenta"/>
        <w:spacing w:before="60"/>
        <w:rPr>
          <w:snapToGrid w:val="0"/>
        </w:rPr>
      </w:pPr>
      <w:r>
        <w:rPr>
          <w:snapToGrid w:val="0"/>
        </w:rPr>
        <w:tab/>
        <w:t>(f)</w:t>
      </w:r>
      <w:r>
        <w:rPr>
          <w:snapToGrid w:val="0"/>
        </w:rPr>
        <w:tab/>
        <w:t>the accommodation and amenities provided in the premises and the state of repair and general condition thereof; and</w:t>
      </w:r>
    </w:p>
    <w:p>
      <w:pPr>
        <w:pStyle w:val="Indenta"/>
        <w:spacing w:before="60"/>
        <w:rPr>
          <w:snapToGrid w:val="0"/>
        </w:rPr>
      </w:pPr>
      <w:r>
        <w:rPr>
          <w:snapToGrid w:val="0"/>
        </w:rPr>
        <w:tab/>
        <w:t>(g)</w:t>
      </w:r>
      <w:r>
        <w:rPr>
          <w:snapToGrid w:val="0"/>
        </w:rPr>
        <w:tab/>
        <w:t>any other relevant matter.</w:t>
      </w:r>
    </w:p>
    <w:p>
      <w:pPr>
        <w:pStyle w:val="Subsection"/>
        <w:spacing w:before="120"/>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spacing w:before="120"/>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spacing w:before="120"/>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spacing w:before="120"/>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spacing w:before="100"/>
      </w:pPr>
      <w:r>
        <w:tab/>
        <w:t xml:space="preserve">[Section 32 amended by No. 50 of 1988 s. 18; No. 59 of 2004 s. 120 and 121; No. 60 of 2011 s. 30 and 89.] </w:t>
      </w:r>
    </w:p>
    <w:p>
      <w:pPr>
        <w:pStyle w:val="Heading5"/>
        <w:rPr>
          <w:snapToGrid w:val="0"/>
        </w:rPr>
      </w:pPr>
      <w:bookmarkStart w:id="57" w:name="_Toc382386722"/>
      <w:r>
        <w:rPr>
          <w:rStyle w:val="CharSectno"/>
        </w:rPr>
        <w:t>33</w:t>
      </w:r>
      <w:r>
        <w:rPr>
          <w:snapToGrid w:val="0"/>
        </w:rPr>
        <w:t>.</w:t>
      </w:r>
      <w:r>
        <w:rPr>
          <w:snapToGrid w:val="0"/>
        </w:rPr>
        <w:tab/>
        <w:t>Duty to give receipt for rent</w:t>
      </w:r>
      <w:bookmarkEnd w:id="57"/>
      <w:r>
        <w:rPr>
          <w:snapToGrid w:val="0"/>
        </w:rPr>
        <w:t xml:space="preserve"> </w:t>
      </w:r>
    </w:p>
    <w:p>
      <w:pPr>
        <w:pStyle w:val="Subsection"/>
        <w:spacing w:before="120"/>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w:t>
      </w:r>
      <w:r>
        <w:rPr>
          <w:b/>
          <w:i/>
          <w:snapToGrid w:val="0"/>
        </w:rPr>
        <w:t>excluded day</w:t>
      </w:r>
      <w:r>
        <w:rPr>
          <w:snapToGrid w:val="0"/>
        </w:rPr>
        <w:t xml:space="preserve">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31, 88 and 89.] </w:t>
      </w:r>
    </w:p>
    <w:p>
      <w:pPr>
        <w:pStyle w:val="Heading5"/>
      </w:pPr>
      <w:bookmarkStart w:id="58" w:name="_Toc382386723"/>
      <w:r>
        <w:rPr>
          <w:rStyle w:val="CharSectno"/>
        </w:rPr>
        <w:t>34A</w:t>
      </w:r>
      <w:r>
        <w:t>.</w:t>
      </w:r>
      <w:r>
        <w:tab/>
        <w:t>Manner of payment of rent</w:t>
      </w:r>
      <w:bookmarkEnd w:id="58"/>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by No. 60 of 2011 s. 32.] </w:t>
      </w:r>
    </w:p>
    <w:p>
      <w:pPr>
        <w:pStyle w:val="Heading5"/>
        <w:rPr>
          <w:snapToGrid w:val="0"/>
        </w:rPr>
      </w:pPr>
      <w:bookmarkStart w:id="59" w:name="_Toc382386724"/>
      <w:r>
        <w:rPr>
          <w:rStyle w:val="CharSectno"/>
        </w:rPr>
        <w:t>34</w:t>
      </w:r>
      <w:r>
        <w:rPr>
          <w:snapToGrid w:val="0"/>
        </w:rPr>
        <w:t>.</w:t>
      </w:r>
      <w:r>
        <w:rPr>
          <w:snapToGrid w:val="0"/>
        </w:rPr>
        <w:tab/>
        <w:t>Proper records of rent to be kept</w:t>
      </w:r>
      <w:bookmarkEnd w:id="59"/>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by No. 59 of 1995 s. 55; No. 60 of 2011 s. 33 and 89.] </w:t>
      </w:r>
    </w:p>
    <w:p>
      <w:pPr>
        <w:pStyle w:val="Heading5"/>
        <w:rPr>
          <w:snapToGrid w:val="0"/>
        </w:rPr>
      </w:pPr>
      <w:bookmarkStart w:id="60" w:name="_Toc382386725"/>
      <w:r>
        <w:rPr>
          <w:rStyle w:val="CharSectno"/>
        </w:rPr>
        <w:t>35</w:t>
      </w:r>
      <w:r>
        <w:rPr>
          <w:snapToGrid w:val="0"/>
        </w:rPr>
        <w:t>.</w:t>
      </w:r>
      <w:r>
        <w:rPr>
          <w:snapToGrid w:val="0"/>
        </w:rPr>
        <w:tab/>
        <w:t>Payment of rent by post</w:t>
      </w:r>
      <w:r>
        <w:rPr>
          <w:snapToGrid w:val="0"/>
        </w:rPr>
        <w:noBreakHyphen/>
        <w:t>dated cheques etc. prohibited</w:t>
      </w:r>
      <w:bookmarkEnd w:id="60"/>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by No. 59 of 1995 s. 55; No. 60 of 2011 s. 34.] </w:t>
      </w:r>
    </w:p>
    <w:p>
      <w:pPr>
        <w:pStyle w:val="Heading5"/>
        <w:rPr>
          <w:snapToGrid w:val="0"/>
        </w:rPr>
      </w:pPr>
      <w:bookmarkStart w:id="61" w:name="_Toc382386726"/>
      <w:r>
        <w:rPr>
          <w:rStyle w:val="CharSectno"/>
        </w:rPr>
        <w:t>36</w:t>
      </w:r>
      <w:r>
        <w:rPr>
          <w:snapToGrid w:val="0"/>
        </w:rPr>
        <w:t>.</w:t>
      </w:r>
      <w:r>
        <w:rPr>
          <w:snapToGrid w:val="0"/>
        </w:rPr>
        <w:tab/>
        <w:t>Apportionment of rent</w:t>
      </w:r>
      <w:bookmarkEnd w:id="61"/>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62" w:name="_Toc382386538"/>
      <w:bookmarkStart w:id="63" w:name="_Toc382386727"/>
      <w:r>
        <w:rPr>
          <w:rStyle w:val="CharDivNo"/>
        </w:rPr>
        <w:t>Division 2</w:t>
      </w:r>
      <w:r>
        <w:rPr>
          <w:snapToGrid w:val="0"/>
        </w:rPr>
        <w:t> — </w:t>
      </w:r>
      <w:r>
        <w:rPr>
          <w:rStyle w:val="CharDivText"/>
        </w:rPr>
        <w:t>Standard terms</w:t>
      </w:r>
      <w:bookmarkEnd w:id="62"/>
      <w:bookmarkEnd w:id="63"/>
    </w:p>
    <w:p>
      <w:pPr>
        <w:pStyle w:val="Footnoteheading"/>
      </w:pPr>
      <w:r>
        <w:tab/>
        <w:t>[Heading amended by No. 60 of 2011 s. 35.]</w:t>
      </w:r>
    </w:p>
    <w:p>
      <w:pPr>
        <w:pStyle w:val="Ednotesection"/>
      </w:pPr>
      <w:r>
        <w:t>[</w:t>
      </w:r>
      <w:r>
        <w:rPr>
          <w:b/>
        </w:rPr>
        <w:t>37.</w:t>
      </w:r>
      <w:r>
        <w:tab/>
        <w:t>Deleted by No. 60 of 2011 s. 36.]</w:t>
      </w:r>
    </w:p>
    <w:p>
      <w:pPr>
        <w:pStyle w:val="Heading5"/>
        <w:rPr>
          <w:snapToGrid w:val="0"/>
        </w:rPr>
      </w:pPr>
      <w:bookmarkStart w:id="64" w:name="_Toc382386728"/>
      <w:r>
        <w:rPr>
          <w:rStyle w:val="CharSectno"/>
        </w:rPr>
        <w:t>38</w:t>
      </w:r>
      <w:r>
        <w:rPr>
          <w:snapToGrid w:val="0"/>
        </w:rPr>
        <w:t>.</w:t>
      </w:r>
      <w:r>
        <w:rPr>
          <w:snapToGrid w:val="0"/>
        </w:rPr>
        <w:tab/>
        <w:t>Tenant’s responsibility for cleanliness and damage</w:t>
      </w:r>
      <w:bookmarkEnd w:id="64"/>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by No. 60 of 2011 s. 37 and 89.]</w:t>
      </w:r>
    </w:p>
    <w:p>
      <w:pPr>
        <w:pStyle w:val="Heading5"/>
        <w:rPr>
          <w:snapToGrid w:val="0"/>
        </w:rPr>
      </w:pPr>
      <w:bookmarkStart w:id="65" w:name="_Toc382386729"/>
      <w:r>
        <w:rPr>
          <w:rStyle w:val="CharSectno"/>
        </w:rPr>
        <w:t>39</w:t>
      </w:r>
      <w:r>
        <w:rPr>
          <w:snapToGrid w:val="0"/>
        </w:rPr>
        <w:t>.</w:t>
      </w:r>
      <w:r>
        <w:rPr>
          <w:snapToGrid w:val="0"/>
        </w:rPr>
        <w:tab/>
        <w:t>Tenant’s conduct on premises</w:t>
      </w:r>
      <w:bookmarkEnd w:id="65"/>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by No. 60 of 2011 s. 38.]</w:t>
      </w:r>
    </w:p>
    <w:p>
      <w:pPr>
        <w:pStyle w:val="Heading5"/>
      </w:pPr>
      <w:bookmarkStart w:id="66" w:name="_Toc382386730"/>
      <w:r>
        <w:rPr>
          <w:rStyle w:val="CharSectno"/>
        </w:rPr>
        <w:t>40</w:t>
      </w:r>
      <w:r>
        <w:t>.</w:t>
      </w:r>
      <w:r>
        <w:tab/>
        <w:t>Vacant possession</w:t>
      </w:r>
      <w:bookmarkEnd w:id="66"/>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by No. 60 of 2011 s. 39.]</w:t>
      </w:r>
    </w:p>
    <w:p>
      <w:pPr>
        <w:pStyle w:val="Heading5"/>
        <w:rPr>
          <w:snapToGrid w:val="0"/>
        </w:rPr>
      </w:pPr>
      <w:bookmarkStart w:id="67" w:name="_Toc382386731"/>
      <w:r>
        <w:rPr>
          <w:rStyle w:val="CharSectno"/>
        </w:rPr>
        <w:t>41</w:t>
      </w:r>
      <w:r>
        <w:rPr>
          <w:snapToGrid w:val="0"/>
        </w:rPr>
        <w:t>.</w:t>
      </w:r>
      <w:r>
        <w:rPr>
          <w:snapToGrid w:val="0"/>
        </w:rPr>
        <w:tab/>
        <w:t>Legal impediments to occupation as residence</w:t>
      </w:r>
      <w:bookmarkEnd w:id="67"/>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r>
        <w:tab/>
        <w:t>[Section 41 amended by No. 60 of 2011 s. 40 and 89.]</w:t>
      </w:r>
    </w:p>
    <w:p>
      <w:pPr>
        <w:pStyle w:val="Heading5"/>
      </w:pPr>
      <w:bookmarkStart w:id="68" w:name="_Toc382386732"/>
      <w:r>
        <w:rPr>
          <w:rStyle w:val="CharSectno"/>
        </w:rPr>
        <w:t>42</w:t>
      </w:r>
      <w:r>
        <w:t>.</w:t>
      </w:r>
      <w:r>
        <w:tab/>
        <w:t>Lessor’s responsibility for cleanliness and repairs</w:t>
      </w:r>
      <w:bookmarkEnd w:id="68"/>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by No. 60 of 2011 s. 41.]</w:t>
      </w:r>
    </w:p>
    <w:p>
      <w:pPr>
        <w:pStyle w:val="Heading5"/>
      </w:pPr>
      <w:bookmarkStart w:id="69" w:name="_Toc382386733"/>
      <w:r>
        <w:rPr>
          <w:rStyle w:val="CharSectno"/>
        </w:rPr>
        <w:t>43</w:t>
      </w:r>
      <w:r>
        <w:t>.</w:t>
      </w:r>
      <w:r>
        <w:tab/>
        <w:t>Urgent repairs</w:t>
      </w:r>
      <w:bookmarkEnd w:id="69"/>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by No. 60 of 2011 s. 41.]</w:t>
      </w:r>
    </w:p>
    <w:p>
      <w:pPr>
        <w:pStyle w:val="Heading5"/>
      </w:pPr>
      <w:bookmarkStart w:id="70" w:name="_Toc382386734"/>
      <w:r>
        <w:rPr>
          <w:rStyle w:val="CharSectno"/>
        </w:rPr>
        <w:t>44</w:t>
      </w:r>
      <w:r>
        <w:t>.</w:t>
      </w:r>
      <w:r>
        <w:tab/>
        <w:t>Quiet enjoyment</w:t>
      </w:r>
      <w:bookmarkEnd w:id="70"/>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by No. 60 of 2011 s. 41.]</w:t>
      </w:r>
    </w:p>
    <w:p>
      <w:pPr>
        <w:pStyle w:val="Heading5"/>
      </w:pPr>
      <w:bookmarkStart w:id="71" w:name="_Toc382386735"/>
      <w:r>
        <w:rPr>
          <w:rStyle w:val="CharSectno"/>
        </w:rPr>
        <w:t>45</w:t>
      </w:r>
      <w:r>
        <w:t>.</w:t>
      </w:r>
      <w:r>
        <w:tab/>
        <w:t>Securing premises</w:t>
      </w:r>
      <w:bookmarkEnd w:id="71"/>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r>
        <w:tab/>
        <w:t>[Section 45 inserted by No. 60 of 2011 s. 41.]</w:t>
      </w:r>
    </w:p>
    <w:p>
      <w:pPr>
        <w:pStyle w:val="Heading5"/>
      </w:pPr>
      <w:bookmarkStart w:id="72" w:name="_Toc382386736"/>
      <w:r>
        <w:rPr>
          <w:rStyle w:val="CharSectno"/>
        </w:rPr>
        <w:t>46</w:t>
      </w:r>
      <w:r>
        <w:t>.</w:t>
      </w:r>
      <w:r>
        <w:tab/>
        <w:t>Lessor’s right of entry</w:t>
      </w:r>
      <w:bookmarkEnd w:id="72"/>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by No. 60 of 2011 s. 41.]</w:t>
      </w:r>
    </w:p>
    <w:p>
      <w:pPr>
        <w:pStyle w:val="Heading5"/>
        <w:rPr>
          <w:snapToGrid w:val="0"/>
        </w:rPr>
      </w:pPr>
      <w:bookmarkStart w:id="73" w:name="_Toc382386737"/>
      <w:r>
        <w:rPr>
          <w:rStyle w:val="CharSectno"/>
        </w:rPr>
        <w:t>47</w:t>
      </w:r>
      <w:r>
        <w:rPr>
          <w:snapToGrid w:val="0"/>
        </w:rPr>
        <w:t>.</w:t>
      </w:r>
      <w:r>
        <w:rPr>
          <w:snapToGrid w:val="0"/>
        </w:rPr>
        <w:tab/>
        <w:t>Right of tenant to affix and remove fixtures etc.</w:t>
      </w:r>
      <w:bookmarkEnd w:id="73"/>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spacing w:val="-2"/>
        </w:rPr>
      </w:pPr>
      <w:r>
        <w:rPr>
          <w:snapToGrid w:val="0"/>
          <w:spacing w:val="-2"/>
        </w:rPr>
        <w:tab/>
        <w:t>(b)</w:t>
      </w:r>
      <w:r>
        <w:rPr>
          <w:snapToGrid w:val="0"/>
          <w:spacing w:val="-2"/>
        </w:rPr>
        <w:tab/>
        <w:t xml:space="preserve">the tenant may remove any fixture that </w:t>
      </w:r>
      <w:r>
        <w:t>the tenant</w:t>
      </w:r>
      <w:r>
        <w:rPr>
          <w:snapToGrid w:val="0"/>
          <w:spacing w:val="-2"/>
        </w:rPr>
        <w:t xml:space="preserve"> has affixed to the premises, with the </w:t>
      </w:r>
      <w:r>
        <w:t>lessor’s</w:t>
      </w:r>
      <w:r>
        <w:rPr>
          <w:snapToGrid w:val="0"/>
          <w:spacing w:val="-2"/>
        </w:rPr>
        <w:t xml:space="preserve"> consent, during the period that </w:t>
      </w:r>
      <w:r>
        <w:t>the tenant</w:t>
      </w:r>
      <w:r>
        <w:rPr>
          <w:snapToGrid w:val="0"/>
          <w:spacing w:val="-2"/>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w:t>
      </w:r>
      <w:r>
        <w:rPr>
          <w:snapToGrid w:val="0"/>
          <w:spacing w:val="-4"/>
        </w:rPr>
        <w:t>lessor</w:t>
      </w:r>
      <w:r>
        <w:rPr>
          <w:snapToGrid w:val="0"/>
        </w:rPr>
        <w:t xml:space="preserve"> for any reasonable expenses incurred by the </w:t>
      </w:r>
      <w:r>
        <w:rPr>
          <w:snapToGrid w:val="0"/>
          <w:spacing w:val="-4"/>
        </w:rPr>
        <w:t>lessor</w:t>
      </w:r>
      <w:r>
        <w:rPr>
          <w:snapToGrid w:val="0"/>
        </w:rPr>
        <w:t xml:space="preserve">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by No. 60 of 2011 s. 42, 88 and 89.] </w:t>
      </w:r>
    </w:p>
    <w:p>
      <w:pPr>
        <w:pStyle w:val="Heading5"/>
        <w:rPr>
          <w:snapToGrid w:val="0"/>
        </w:rPr>
      </w:pPr>
      <w:bookmarkStart w:id="74" w:name="_Toc382386738"/>
      <w:r>
        <w:rPr>
          <w:rStyle w:val="CharSectno"/>
        </w:rPr>
        <w:t>48</w:t>
      </w:r>
      <w:r>
        <w:rPr>
          <w:snapToGrid w:val="0"/>
        </w:rPr>
        <w:t>.</w:t>
      </w:r>
      <w:r>
        <w:rPr>
          <w:snapToGrid w:val="0"/>
        </w:rPr>
        <w:tab/>
        <w:t>Lessor to bear outgoings in respect of premises</w:t>
      </w:r>
      <w:bookmarkEnd w:id="74"/>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by No. 73 of 1995 s. 188; No. 14 of 1996 s. 4; No. 45 of 2002 s. 21; No. 60 of 2011 s. 43 and 89.] </w:t>
      </w:r>
    </w:p>
    <w:p>
      <w:pPr>
        <w:pStyle w:val="Heading5"/>
      </w:pPr>
      <w:bookmarkStart w:id="75" w:name="_Toc382386739"/>
      <w:r>
        <w:rPr>
          <w:rStyle w:val="CharSectno"/>
        </w:rPr>
        <w:t>49A</w:t>
      </w:r>
      <w:r>
        <w:t>.</w:t>
      </w:r>
      <w:r>
        <w:tab/>
        <w:t>Lessor’s and tenant’s responsibilities in respect of public utility services</w:t>
      </w:r>
      <w:bookmarkEnd w:id="75"/>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pPr>
      <w:r>
        <w:rPr>
          <w:snapToGrid w:val="0"/>
        </w:rPr>
        <w:tab/>
        <w:t>(a)</w:t>
      </w:r>
      <w:r>
        <w:rPr>
          <w:snapToGrid w:val="0"/>
        </w:rPr>
        <w:tab/>
        <w:t>the charge is calculated by reference to consumption at the residential premises by the tenant; and</w:t>
      </w:r>
    </w:p>
    <w:p>
      <w:pPr>
        <w:pStyle w:val="Indenta"/>
      </w:pPr>
      <w:r>
        <w:rPr>
          <w:snapToGrid w:val="0"/>
        </w:rPr>
        <w:tab/>
        <w:t>(b)</w:t>
      </w:r>
      <w:r>
        <w:rPr>
          <w:snapToGrid w:val="0"/>
        </w:rPr>
        <w:tab/>
        <w:t>the tenant is given notice in writing of the charge in relation to the public utility service, specifying —</w:t>
      </w:r>
    </w:p>
    <w:p>
      <w:pPr>
        <w:pStyle w:val="Indenti"/>
      </w:pPr>
      <w:r>
        <w:tab/>
        <w:t>(i)</w:t>
      </w:r>
      <w:r>
        <w:tab/>
      </w:r>
      <w:r>
        <w:rPr>
          <w:snapToGrid w:val="0"/>
        </w:rPr>
        <w:t>if consumption at the premises is metered — the relevant meter reading, or readings, and the charge per metered unit; or</w:t>
      </w:r>
    </w:p>
    <w:p>
      <w:pPr>
        <w:pStyle w:val="Indenti"/>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pPr>
      <w:r>
        <w:tab/>
      </w:r>
      <w:r>
        <w:tab/>
        <w:t>and</w:t>
      </w:r>
    </w:p>
    <w:p>
      <w:pPr>
        <w:pStyle w:val="Indenta"/>
      </w:pPr>
      <w:r>
        <w:tab/>
        <w:t>(c)</w:t>
      </w:r>
      <w:r>
        <w:tab/>
        <w:t>the tenant is provided with full details of the account for the charge including —</w:t>
      </w:r>
    </w:p>
    <w:p>
      <w:pPr>
        <w:pStyle w:val="Indenti"/>
      </w:pPr>
      <w:r>
        <w:tab/>
        <w:t>(i)</w:t>
      </w:r>
      <w:r>
        <w:tab/>
        <w:t>any meter readings and the charge per metered unit; or</w:t>
      </w:r>
    </w:p>
    <w:p>
      <w:pPr>
        <w:pStyle w:val="Indenti"/>
      </w:pPr>
      <w:r>
        <w:tab/>
        <w:t>(ii)</w:t>
      </w:r>
      <w:r>
        <w:tab/>
        <w:t>the agreed method of calculating referred to in paragraph (b)(ii),</w:t>
      </w:r>
    </w:p>
    <w:p>
      <w:pPr>
        <w:pStyle w:val="Indenta"/>
      </w:pPr>
      <w:r>
        <w:tab/>
      </w:r>
      <w:r>
        <w:tab/>
        <w:t>and the amount of GST payable in respect of the provision of the public utility service to the residential premises.</w:t>
      </w:r>
    </w:p>
    <w:p>
      <w:pPr>
        <w:pStyle w:val="Footnotesection"/>
      </w:pPr>
      <w:r>
        <w:tab/>
        <w:t xml:space="preserve">[Section 49A inserted by No. 60 of 2011 s. 44.] </w:t>
      </w:r>
    </w:p>
    <w:p>
      <w:pPr>
        <w:pStyle w:val="Heading5"/>
        <w:rPr>
          <w:snapToGrid w:val="0"/>
        </w:rPr>
      </w:pPr>
      <w:bookmarkStart w:id="76" w:name="_Toc382386740"/>
      <w:r>
        <w:rPr>
          <w:rStyle w:val="CharSectno"/>
        </w:rPr>
        <w:t>49</w:t>
      </w:r>
      <w:r>
        <w:rPr>
          <w:snapToGrid w:val="0"/>
        </w:rPr>
        <w:t>.</w:t>
      </w:r>
      <w:r>
        <w:rPr>
          <w:snapToGrid w:val="0"/>
        </w:rPr>
        <w:tab/>
        <w:t>Right of tenant to assign or sub</w:t>
      </w:r>
      <w:r>
        <w:rPr>
          <w:snapToGrid w:val="0"/>
        </w:rPr>
        <w:noBreakHyphen/>
        <w:t>let</w:t>
      </w:r>
      <w:bookmarkEnd w:id="76"/>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by No. 60 of 2011 s. 45, 88 and 89.] </w:t>
      </w:r>
    </w:p>
    <w:p>
      <w:pPr>
        <w:pStyle w:val="Heading5"/>
        <w:rPr>
          <w:snapToGrid w:val="0"/>
        </w:rPr>
      </w:pPr>
      <w:bookmarkStart w:id="77" w:name="_Toc382386741"/>
      <w:r>
        <w:rPr>
          <w:rStyle w:val="CharSectno"/>
        </w:rPr>
        <w:t>50</w:t>
      </w:r>
      <w:r>
        <w:rPr>
          <w:snapToGrid w:val="0"/>
        </w:rPr>
        <w:t>.</w:t>
      </w:r>
      <w:r>
        <w:rPr>
          <w:snapToGrid w:val="0"/>
        </w:rPr>
        <w:tab/>
        <w:t>Vicarious responsibility of tenant for breach by other person lawfully on premises</w:t>
      </w:r>
      <w:bookmarkEnd w:id="77"/>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by No. 60 of 2011 s. 46.] </w:t>
      </w:r>
    </w:p>
    <w:p>
      <w:pPr>
        <w:pStyle w:val="Heading3"/>
      </w:pPr>
      <w:bookmarkStart w:id="78" w:name="_Toc382386553"/>
      <w:bookmarkStart w:id="79" w:name="_Toc382386742"/>
      <w:r>
        <w:rPr>
          <w:rStyle w:val="CharDivNo"/>
        </w:rPr>
        <w:t>Division 3</w:t>
      </w:r>
      <w:r>
        <w:t> — </w:t>
      </w:r>
      <w:r>
        <w:rPr>
          <w:rStyle w:val="CharDivText"/>
        </w:rPr>
        <w:t>General</w:t>
      </w:r>
      <w:bookmarkEnd w:id="78"/>
      <w:bookmarkEnd w:id="79"/>
    </w:p>
    <w:p>
      <w:pPr>
        <w:pStyle w:val="Footnoteheading"/>
      </w:pPr>
      <w:r>
        <w:tab/>
        <w:t xml:space="preserve">[Heading inserted by No. 60 of 2011 s. 47.] </w:t>
      </w:r>
    </w:p>
    <w:p>
      <w:pPr>
        <w:pStyle w:val="Heading5"/>
      </w:pPr>
      <w:bookmarkStart w:id="80" w:name="_Toc382386743"/>
      <w:r>
        <w:rPr>
          <w:rStyle w:val="CharSectno"/>
        </w:rPr>
        <w:t>51</w:t>
      </w:r>
      <w:r>
        <w:t>.</w:t>
      </w:r>
      <w:r>
        <w:tab/>
        <w:t>Tenant to be notified of lessor’s name and address</w:t>
      </w:r>
      <w:bookmarkEnd w:id="80"/>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pPr>
      <w:r>
        <w:tab/>
        <w:t xml:space="preserve">[Section 51 inserted by No. 60 of 2011 s. 48.] </w:t>
      </w:r>
    </w:p>
    <w:p>
      <w:pPr>
        <w:pStyle w:val="Heading5"/>
        <w:rPr>
          <w:snapToGrid w:val="0"/>
        </w:rPr>
      </w:pPr>
      <w:bookmarkStart w:id="81" w:name="_Toc382386744"/>
      <w:r>
        <w:rPr>
          <w:rStyle w:val="CharSectno"/>
        </w:rPr>
        <w:t>52</w:t>
      </w:r>
      <w:r>
        <w:rPr>
          <w:snapToGrid w:val="0"/>
        </w:rPr>
        <w:t>.</w:t>
      </w:r>
      <w:r>
        <w:rPr>
          <w:snapToGrid w:val="0"/>
        </w:rPr>
        <w:tab/>
        <w:t>Failure to pay rent with intention it be recovered from security bond</w:t>
      </w:r>
      <w:bookmarkEnd w:id="81"/>
      <w:r>
        <w:rPr>
          <w:snapToGrid w:val="0"/>
        </w:rPr>
        <w:t xml:space="preserve"> </w:t>
      </w:r>
    </w:p>
    <w:p>
      <w:pPr>
        <w:pStyle w:val="Subsection"/>
        <w:rPr>
          <w:snapToGrid w:val="0"/>
          <w:spacing w:val="-2"/>
        </w:rPr>
      </w:pPr>
      <w:r>
        <w:rPr>
          <w:snapToGrid w:val="0"/>
          <w:spacing w:val="-2"/>
        </w:rPr>
        <w:tab/>
      </w:r>
      <w:r>
        <w:rPr>
          <w:snapToGrid w:val="0"/>
          <w:spacing w:val="-2"/>
        </w:rPr>
        <w:tab/>
        <w:t xml:space="preserve">A tenant shall not fail or refuse to pay any rent due under </w:t>
      </w:r>
      <w:r>
        <w:t>a residential tenancy agreement</w:t>
      </w:r>
      <w:r>
        <w:rPr>
          <w:snapToGrid w:val="0"/>
          <w:spacing w:val="-2"/>
        </w:rPr>
        <w:t xml:space="preserve"> with the intention that the amount of such rent be recovered by </w:t>
      </w:r>
      <w:r>
        <w:t>the lessor</w:t>
      </w:r>
      <w:r>
        <w:rPr>
          <w:snapToGrid w:val="0"/>
          <w:spacing w:val="-2"/>
        </w:rPr>
        <w:t xml:space="preserve"> from the security bond paid by the tenant.</w:t>
      </w:r>
    </w:p>
    <w:p>
      <w:pPr>
        <w:pStyle w:val="Penstart"/>
      </w:pPr>
      <w:r>
        <w:tab/>
        <w:t>Penalty: a fine of $5 000.</w:t>
      </w:r>
    </w:p>
    <w:p>
      <w:pPr>
        <w:pStyle w:val="Footnotesection"/>
      </w:pPr>
      <w:r>
        <w:tab/>
        <w:t xml:space="preserve">[Section 52 amended by No. 59 of 1995 s. 55; No. 60 of 2011 s. 49, 88 and 89.] </w:t>
      </w:r>
    </w:p>
    <w:p>
      <w:pPr>
        <w:pStyle w:val="Heading5"/>
      </w:pPr>
      <w:bookmarkStart w:id="82" w:name="_Toc382386745"/>
      <w:r>
        <w:rPr>
          <w:rStyle w:val="CharSectno"/>
        </w:rPr>
        <w:t>53</w:t>
      </w:r>
      <w:r>
        <w:t>.</w:t>
      </w:r>
      <w:r>
        <w:tab/>
        <w:t>Tenant’s name, place of employment and forwarding address</w:t>
      </w:r>
      <w:bookmarkEnd w:id="82"/>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by No. 60 of 2011 s. 50.] </w:t>
      </w:r>
    </w:p>
    <w:p>
      <w:pPr>
        <w:pStyle w:val="Heading5"/>
        <w:rPr>
          <w:snapToGrid w:val="0"/>
        </w:rPr>
      </w:pPr>
      <w:bookmarkStart w:id="83" w:name="_Toc382386746"/>
      <w:r>
        <w:rPr>
          <w:rStyle w:val="CharSectno"/>
        </w:rPr>
        <w:t>54</w:t>
      </w:r>
      <w:r>
        <w:rPr>
          <w:snapToGrid w:val="0"/>
        </w:rPr>
        <w:t>.</w:t>
      </w:r>
      <w:r>
        <w:rPr>
          <w:snapToGrid w:val="0"/>
        </w:rPr>
        <w:tab/>
        <w:t>Lessor to deliver copy of agreement to tenant</w:t>
      </w:r>
      <w:bookmarkEnd w:id="83"/>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by No. 59 of 1995 s. 55; No. 60 of 2011 s. 51.] </w:t>
      </w:r>
    </w:p>
    <w:p>
      <w:pPr>
        <w:pStyle w:val="Heading5"/>
      </w:pPr>
      <w:bookmarkStart w:id="84" w:name="_Toc382386747"/>
      <w:r>
        <w:rPr>
          <w:rStyle w:val="CharSectno"/>
        </w:rPr>
        <w:t>55</w:t>
      </w:r>
      <w:r>
        <w:t>.</w:t>
      </w:r>
      <w:r>
        <w:tab/>
        <w:t>Cost of written agreement to be borne by lessor</w:t>
      </w:r>
      <w:bookmarkEnd w:id="84"/>
    </w:p>
    <w:p>
      <w:pPr>
        <w:pStyle w:val="Subsection"/>
        <w:spacing w:before="120"/>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00"/>
      </w:pPr>
      <w:r>
        <w:tab/>
        <w:t xml:space="preserve">[Section 55 inserted by No. 60 of 2011 s. 52.] </w:t>
      </w:r>
    </w:p>
    <w:p>
      <w:pPr>
        <w:pStyle w:val="Heading5"/>
        <w:spacing w:before="200"/>
        <w:rPr>
          <w:snapToGrid w:val="0"/>
        </w:rPr>
      </w:pPr>
      <w:bookmarkStart w:id="85" w:name="_Toc382386748"/>
      <w:r>
        <w:rPr>
          <w:rStyle w:val="CharSectno"/>
        </w:rPr>
        <w:t>56</w:t>
      </w:r>
      <w:r>
        <w:rPr>
          <w:snapToGrid w:val="0"/>
        </w:rPr>
        <w:t>.</w:t>
      </w:r>
      <w:r>
        <w:rPr>
          <w:snapToGrid w:val="0"/>
        </w:rPr>
        <w:tab/>
        <w:t>Discrimination against tenants with children</w:t>
      </w:r>
      <w:bookmarkEnd w:id="85"/>
      <w:r>
        <w:rPr>
          <w:snapToGrid w:val="0"/>
        </w:rPr>
        <w:t xml:space="preserve"> </w:t>
      </w:r>
    </w:p>
    <w:p>
      <w:pPr>
        <w:pStyle w:val="Subsection"/>
        <w:spacing w:before="120"/>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spacing w:before="120"/>
        <w:rPr>
          <w:snapToGrid w:val="0"/>
        </w:rPr>
      </w:pPr>
      <w:r>
        <w:rPr>
          <w:snapToGrid w:val="0"/>
        </w:rPr>
        <w:tab/>
        <w:t>(2)</w:t>
      </w:r>
      <w:r>
        <w:rPr>
          <w:snapToGrid w:val="0"/>
        </w:rPr>
        <w:tab/>
        <w:t>A person shall not — </w:t>
      </w:r>
    </w:p>
    <w:p>
      <w:pPr>
        <w:pStyle w:val="Indenta"/>
        <w:spacing w:before="60"/>
        <w:rPr>
          <w:snapToGrid w:val="0"/>
        </w:rPr>
      </w:pPr>
      <w:r>
        <w:rPr>
          <w:snapToGrid w:val="0"/>
        </w:rPr>
        <w:tab/>
        <w:t>(a)</w:t>
      </w:r>
      <w:r>
        <w:rPr>
          <w:snapToGrid w:val="0"/>
        </w:rPr>
        <w:tab/>
        <w:t>instruct any person not to grant; or</w:t>
      </w:r>
    </w:p>
    <w:p>
      <w:pPr>
        <w:pStyle w:val="Indenta"/>
        <w:keepNext/>
        <w:keepLines/>
        <w:spacing w:before="60"/>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spacing w:before="100"/>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spacing w:before="100"/>
      </w:pPr>
      <w:r>
        <w:tab/>
        <w:t xml:space="preserve">[Section 56 amended by No. 59 of 1995 s. 55; No. 60 of 2011 s. 53.] </w:t>
      </w:r>
    </w:p>
    <w:p>
      <w:pPr>
        <w:pStyle w:val="Heading5"/>
        <w:spacing w:before="200"/>
        <w:rPr>
          <w:snapToGrid w:val="0"/>
        </w:rPr>
      </w:pPr>
      <w:bookmarkStart w:id="86" w:name="_Toc382386749"/>
      <w:r>
        <w:rPr>
          <w:rStyle w:val="CharSectno"/>
        </w:rPr>
        <w:t>57</w:t>
      </w:r>
      <w:r>
        <w:rPr>
          <w:snapToGrid w:val="0"/>
        </w:rPr>
        <w:t>.</w:t>
      </w:r>
      <w:r>
        <w:rPr>
          <w:snapToGrid w:val="0"/>
        </w:rPr>
        <w:tab/>
        <w:t>Accelerated rent and liquidated damages prohibited</w:t>
      </w:r>
      <w:bookmarkEnd w:id="86"/>
      <w:r>
        <w:rPr>
          <w:snapToGrid w:val="0"/>
        </w:rPr>
        <w:t xml:space="preserve"> </w:t>
      </w:r>
    </w:p>
    <w:p>
      <w:pPr>
        <w:pStyle w:val="Subsection"/>
        <w:spacing w:before="120"/>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spacing w:before="60"/>
        <w:rPr>
          <w:snapToGrid w:val="0"/>
        </w:rPr>
      </w:pPr>
      <w:r>
        <w:rPr>
          <w:snapToGrid w:val="0"/>
        </w:rPr>
        <w:tab/>
        <w:t>(a)</w:t>
      </w:r>
      <w:r>
        <w:rPr>
          <w:snapToGrid w:val="0"/>
        </w:rPr>
        <w:tab/>
        <w:t>all or any part of the rent remaining payable under the agreement; or</w:t>
      </w:r>
    </w:p>
    <w:p>
      <w:pPr>
        <w:pStyle w:val="Indenta"/>
        <w:spacing w:before="60"/>
        <w:rPr>
          <w:snapToGrid w:val="0"/>
        </w:rPr>
      </w:pPr>
      <w:r>
        <w:rPr>
          <w:snapToGrid w:val="0"/>
        </w:rPr>
        <w:tab/>
        <w:t>(b)</w:t>
      </w:r>
      <w:r>
        <w:rPr>
          <w:snapToGrid w:val="0"/>
        </w:rPr>
        <w:tab/>
        <w:t>rent of an increased amount; or</w:t>
      </w:r>
    </w:p>
    <w:p>
      <w:pPr>
        <w:pStyle w:val="Indenta"/>
        <w:spacing w:before="60"/>
        <w:rPr>
          <w:snapToGrid w:val="0"/>
        </w:rPr>
      </w:pPr>
      <w:r>
        <w:rPr>
          <w:snapToGrid w:val="0"/>
        </w:rPr>
        <w:tab/>
        <w:t>(c)</w:t>
      </w:r>
      <w:r>
        <w:rPr>
          <w:snapToGrid w:val="0"/>
        </w:rPr>
        <w:tab/>
        <w:t>any amount by way of a penalty; or</w:t>
      </w:r>
    </w:p>
    <w:p>
      <w:pPr>
        <w:pStyle w:val="Indenta"/>
        <w:spacing w:before="60"/>
        <w:rPr>
          <w:snapToGrid w:val="0"/>
        </w:rPr>
      </w:pPr>
      <w:r>
        <w:rPr>
          <w:snapToGrid w:val="0"/>
        </w:rPr>
        <w:tab/>
        <w:t>(d)</w:t>
      </w:r>
      <w:r>
        <w:rPr>
          <w:snapToGrid w:val="0"/>
        </w:rPr>
        <w:tab/>
        <w:t>any amount by way of liquidated damages,</w:t>
      </w:r>
    </w:p>
    <w:p>
      <w:pPr>
        <w:pStyle w:val="Subsection"/>
        <w:spacing w:before="10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by No. 60 of 2011 s. 54 and 88.] </w:t>
      </w:r>
    </w:p>
    <w:p>
      <w:pPr>
        <w:pStyle w:val="Heading5"/>
        <w:rPr>
          <w:snapToGrid w:val="0"/>
        </w:rPr>
      </w:pPr>
      <w:bookmarkStart w:id="87" w:name="_Toc382386750"/>
      <w:r>
        <w:rPr>
          <w:rStyle w:val="CharSectno"/>
        </w:rPr>
        <w:t>58</w:t>
      </w:r>
      <w:r>
        <w:rPr>
          <w:snapToGrid w:val="0"/>
        </w:rPr>
        <w:t>.</w:t>
      </w:r>
      <w:r>
        <w:rPr>
          <w:snapToGrid w:val="0"/>
        </w:rPr>
        <w:tab/>
        <w:t>Duty of mitigation</w:t>
      </w:r>
      <w:bookmarkEnd w:id="87"/>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by No. 60 of 2011 s. 55.] </w:t>
      </w:r>
    </w:p>
    <w:p>
      <w:pPr>
        <w:pStyle w:val="Heading5"/>
      </w:pPr>
      <w:bookmarkStart w:id="88" w:name="_Toc382386751"/>
      <w:r>
        <w:rPr>
          <w:rStyle w:val="CharSectno"/>
        </w:rPr>
        <w:t>59A</w:t>
      </w:r>
      <w:r>
        <w:t>.</w:t>
      </w:r>
      <w:r>
        <w:tab/>
        <w:t>Minors</w:t>
      </w:r>
      <w:bookmarkEnd w:id="88"/>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pPr>
      <w:r>
        <w:tab/>
        <w:t>(a)</w:t>
      </w:r>
      <w:r>
        <w:tab/>
        <w:t>a minor has the capacity to enter into a residential tenancy agreement as a tenant; and</w:t>
      </w:r>
    </w:p>
    <w:p>
      <w:pPr>
        <w:pStyle w:val="Indenta"/>
      </w:pPr>
      <w:r>
        <w:tab/>
        <w:t>(b)</w:t>
      </w:r>
      <w:r>
        <w:tab/>
        <w:t>a residential tenancy agreement may be enforced in accordance with this Act against a minor who is a tenant.</w:t>
      </w:r>
    </w:p>
    <w:p>
      <w:pPr>
        <w:pStyle w:val="Footnotesection"/>
      </w:pPr>
      <w:r>
        <w:tab/>
        <w:t>[Section 59A inserted by No. 60 of 2011 s. 56.]</w:t>
      </w:r>
    </w:p>
    <w:p>
      <w:pPr>
        <w:pStyle w:val="Heading5"/>
      </w:pPr>
      <w:bookmarkStart w:id="89" w:name="_Toc382386752"/>
      <w:r>
        <w:rPr>
          <w:rStyle w:val="CharSectno"/>
        </w:rPr>
        <w:t>59B</w:t>
      </w:r>
      <w:r>
        <w:t>.</w:t>
      </w:r>
      <w:r>
        <w:tab/>
        <w:t>Death of one of 2 or more tenants</w:t>
      </w:r>
      <w:bookmarkEnd w:id="89"/>
    </w:p>
    <w:p>
      <w:pPr>
        <w:pStyle w:val="Subsection"/>
        <w:spacing w:before="140"/>
      </w:pPr>
      <w:r>
        <w:tab/>
        <w:t>(1)</w:t>
      </w:r>
      <w:r>
        <w:tab/>
        <w:t>This section applies if —</w:t>
      </w:r>
    </w:p>
    <w:p>
      <w:pPr>
        <w:pStyle w:val="Indenta"/>
        <w:spacing w:before="60"/>
      </w:pPr>
      <w:r>
        <w:tab/>
        <w:t>(a)</w:t>
      </w:r>
      <w:r>
        <w:tab/>
        <w:t>2 or more tenants are parties to a residential tenancy agreement; and</w:t>
      </w:r>
    </w:p>
    <w:p>
      <w:pPr>
        <w:pStyle w:val="Indenta"/>
        <w:spacing w:before="60"/>
      </w:pPr>
      <w:r>
        <w:tab/>
        <w:t>(b)</w:t>
      </w:r>
      <w:r>
        <w:tab/>
        <w:t>the tenants are not joint tenants under the agreement; and</w:t>
      </w:r>
    </w:p>
    <w:p>
      <w:pPr>
        <w:pStyle w:val="Indenta"/>
        <w:spacing w:before="60"/>
      </w:pPr>
      <w:r>
        <w:tab/>
        <w:t>(c)</w:t>
      </w:r>
      <w:r>
        <w:tab/>
        <w:t>one of the tenants dies.</w:t>
      </w:r>
    </w:p>
    <w:p>
      <w:pPr>
        <w:pStyle w:val="Subsection"/>
        <w:spacing w:before="140"/>
      </w:pPr>
      <w:r>
        <w:tab/>
        <w:t>(2)</w:t>
      </w:r>
      <w:r>
        <w:tab/>
        <w:t>On the death of the tenant —</w:t>
      </w:r>
    </w:p>
    <w:p>
      <w:pPr>
        <w:pStyle w:val="Indenta"/>
        <w:spacing w:before="60"/>
      </w:pPr>
      <w:r>
        <w:tab/>
        <w:t>(a)</w:t>
      </w:r>
      <w:r>
        <w:tab/>
        <w:t>the deceased tenant’s interest in the tenancy ends; and</w:t>
      </w:r>
    </w:p>
    <w:p>
      <w:pPr>
        <w:pStyle w:val="Indenta"/>
        <w:spacing w:before="60"/>
      </w:pPr>
      <w:r>
        <w:tab/>
        <w:t>(b)</w:t>
      </w:r>
      <w:r>
        <w:tab/>
        <w:t>the agreement continues in force with the parties to the agreement being the lessor and the surviving tenant or tenants.</w:t>
      </w:r>
    </w:p>
    <w:p>
      <w:pPr>
        <w:pStyle w:val="Subsection"/>
        <w:spacing w:before="140"/>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by No. 60 of 2011 s. 56.]</w:t>
      </w:r>
    </w:p>
    <w:p>
      <w:pPr>
        <w:pStyle w:val="Heading5"/>
      </w:pPr>
      <w:bookmarkStart w:id="90" w:name="_Toc382386753"/>
      <w:r>
        <w:rPr>
          <w:rStyle w:val="CharSectno"/>
        </w:rPr>
        <w:t>59C</w:t>
      </w:r>
      <w:r>
        <w:t>.</w:t>
      </w:r>
      <w:r>
        <w:tab/>
        <w:t>Recognition of certain persons as tenants</w:t>
      </w:r>
      <w:bookmarkEnd w:id="90"/>
    </w:p>
    <w:p>
      <w:pPr>
        <w:pStyle w:val="Subsection"/>
        <w:spacing w:before="140"/>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spacing w:before="140"/>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spacing w:before="140"/>
      </w:pPr>
      <w:r>
        <w:tab/>
        <w:t>(3)</w:t>
      </w:r>
      <w:r>
        <w:tab/>
        <w:t xml:space="preserve">On application by a person under this section the court may make either or both of the following orders — </w:t>
      </w:r>
    </w:p>
    <w:p>
      <w:pPr>
        <w:pStyle w:val="Indenta"/>
        <w:spacing w:before="60"/>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by No. 60 of 2011 s. 56.]</w:t>
      </w:r>
    </w:p>
    <w:p>
      <w:pPr>
        <w:pStyle w:val="Heading5"/>
      </w:pPr>
      <w:bookmarkStart w:id="91" w:name="_Toc382386754"/>
      <w:r>
        <w:rPr>
          <w:rStyle w:val="CharSectno"/>
        </w:rPr>
        <w:t>59D</w:t>
      </w:r>
      <w:r>
        <w:t>.</w:t>
      </w:r>
      <w:r>
        <w:tab/>
        <w:t>Tenant compensation bonds</w:t>
      </w:r>
      <w:bookmarkEnd w:id="91"/>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spacing w:before="60"/>
      </w:pPr>
      <w:r>
        <w:tab/>
        <w:t>(a)</w:t>
      </w:r>
      <w:r>
        <w:tab/>
        <w:t>Schedule 1 clause 10; or</w:t>
      </w:r>
    </w:p>
    <w:p>
      <w:pPr>
        <w:pStyle w:val="Indenta"/>
        <w:spacing w:before="60"/>
      </w:pPr>
      <w:r>
        <w:tab/>
        <w:t>(b)</w:t>
      </w:r>
      <w:r>
        <w:tab/>
        <w:t>an order under subsection (5) and Schedule 1 clause 11.</w:t>
      </w:r>
    </w:p>
    <w:p>
      <w:pPr>
        <w:pStyle w:val="Footnotesection"/>
      </w:pPr>
      <w:r>
        <w:tab/>
        <w:t>[Section 59D inserted by No. 60 of 2011 s. 56.]</w:t>
      </w:r>
    </w:p>
    <w:p>
      <w:pPr>
        <w:pStyle w:val="Heading5"/>
        <w:spacing w:before="180"/>
      </w:pPr>
      <w:bookmarkStart w:id="92" w:name="_Toc382386755"/>
      <w:r>
        <w:rPr>
          <w:rStyle w:val="CharSectno"/>
        </w:rPr>
        <w:t>59E</w:t>
      </w:r>
      <w:r>
        <w:t>.</w:t>
      </w:r>
      <w:r>
        <w:tab/>
      </w:r>
      <w:r>
        <w:rPr>
          <w:snapToGrid w:val="0"/>
        </w:rPr>
        <w:t>Interference with quiet enjoyment</w:t>
      </w:r>
      <w:bookmarkEnd w:id="92"/>
    </w:p>
    <w:p>
      <w:pPr>
        <w:pStyle w:val="Subsection"/>
        <w:spacing w:before="120"/>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spacing w:before="60"/>
      </w:pPr>
      <w:r>
        <w:tab/>
        <w:t>Penalty: a fine of $10 000.</w:t>
      </w:r>
    </w:p>
    <w:p>
      <w:pPr>
        <w:pStyle w:val="Subsection"/>
        <w:spacing w:before="120"/>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spacing w:before="80"/>
      </w:pPr>
      <w:r>
        <w:tab/>
        <w:t>[Section 59E inserted by No. 60 of 2011 s. 56.]</w:t>
      </w:r>
    </w:p>
    <w:p>
      <w:pPr>
        <w:pStyle w:val="Heading5"/>
        <w:spacing w:before="180"/>
      </w:pPr>
      <w:bookmarkStart w:id="93" w:name="_Toc382386756"/>
      <w:r>
        <w:rPr>
          <w:rStyle w:val="CharSectno"/>
        </w:rPr>
        <w:t>59F</w:t>
      </w:r>
      <w:r>
        <w:t>.</w:t>
      </w:r>
      <w:r>
        <w:tab/>
      </w:r>
      <w:r>
        <w:rPr>
          <w:snapToGrid w:val="0"/>
        </w:rPr>
        <w:t>Offences relating to security of residential premises</w:t>
      </w:r>
      <w:bookmarkEnd w:id="93"/>
    </w:p>
    <w:p>
      <w:pPr>
        <w:pStyle w:val="Subsection"/>
        <w:spacing w:before="120"/>
      </w:pPr>
      <w:r>
        <w:tab/>
        <w:t>(1)</w:t>
      </w:r>
      <w:r>
        <w:tab/>
        <w:t>A lessor or tenant who breaches the term referred to in section 45(b) without reasonable excuse commits an offence.</w:t>
      </w:r>
    </w:p>
    <w:p>
      <w:pPr>
        <w:pStyle w:val="Penstart"/>
        <w:spacing w:before="60"/>
      </w:pPr>
      <w:r>
        <w:tab/>
        <w:t>Penalty: a fine of $20 000.</w:t>
      </w:r>
    </w:p>
    <w:p>
      <w:pPr>
        <w:pStyle w:val="Subsection"/>
        <w:spacing w:before="120"/>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spacing w:before="60"/>
      </w:pPr>
      <w:r>
        <w:tab/>
        <w:t>Penalty: a fine of $20 000.</w:t>
      </w:r>
    </w:p>
    <w:p>
      <w:pPr>
        <w:pStyle w:val="Subsection"/>
        <w:spacing w:before="120"/>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spacing w:before="80"/>
      </w:pPr>
      <w:r>
        <w:tab/>
        <w:t>[Section 59F inserted by No. 60 of 2011 s. 56.]</w:t>
      </w:r>
    </w:p>
    <w:p>
      <w:pPr>
        <w:pStyle w:val="Heading2"/>
      </w:pPr>
      <w:bookmarkStart w:id="94" w:name="_Toc382386568"/>
      <w:bookmarkStart w:id="95" w:name="_Toc382386757"/>
      <w:r>
        <w:rPr>
          <w:rStyle w:val="CharPartNo"/>
        </w:rPr>
        <w:t>Part V</w:t>
      </w:r>
      <w:r>
        <w:t> — </w:t>
      </w:r>
      <w:r>
        <w:rPr>
          <w:rStyle w:val="CharPartText"/>
        </w:rPr>
        <w:t>Termination of residential tenancy agreements</w:t>
      </w:r>
      <w:bookmarkEnd w:id="94"/>
      <w:bookmarkEnd w:id="95"/>
    </w:p>
    <w:p>
      <w:pPr>
        <w:pStyle w:val="Heading3"/>
      </w:pPr>
      <w:bookmarkStart w:id="96" w:name="_Toc382386569"/>
      <w:bookmarkStart w:id="97" w:name="_Toc382386758"/>
      <w:r>
        <w:rPr>
          <w:rStyle w:val="CharDivNo"/>
        </w:rPr>
        <w:t>Division 1</w:t>
      </w:r>
      <w:r>
        <w:t> — </w:t>
      </w:r>
      <w:r>
        <w:rPr>
          <w:rStyle w:val="CharDivText"/>
        </w:rPr>
        <w:t>How residential tenancy agreements are terminated</w:t>
      </w:r>
      <w:bookmarkEnd w:id="96"/>
      <w:bookmarkEnd w:id="97"/>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98" w:name="_Toc382386759"/>
      <w:r>
        <w:rPr>
          <w:rStyle w:val="CharSectno"/>
        </w:rPr>
        <w:t>60</w:t>
      </w:r>
      <w:r>
        <w:rPr>
          <w:snapToGrid w:val="0"/>
        </w:rPr>
        <w:t>.</w:t>
      </w:r>
      <w:r>
        <w:rPr>
          <w:snapToGrid w:val="0"/>
        </w:rPr>
        <w:tab/>
        <w:t>How residential tenancy agreements are terminated</w:t>
      </w:r>
      <w:bookmarkEnd w:id="98"/>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by No. 50 of 1988 s. 18; No. 59 of 1995 s. 49; No. 59 of 2004 s. 120(1); No. 60 of 2011 s. 59, 88, 89 and 91.] </w:t>
      </w:r>
    </w:p>
    <w:p>
      <w:pPr>
        <w:pStyle w:val="Heading3"/>
      </w:pPr>
      <w:bookmarkStart w:id="99" w:name="_Toc382386571"/>
      <w:bookmarkStart w:id="100" w:name="_Toc382386760"/>
      <w:r>
        <w:rPr>
          <w:rStyle w:val="CharDivNo"/>
        </w:rPr>
        <w:t>Division 2</w:t>
      </w:r>
      <w:r>
        <w:t> — </w:t>
      </w:r>
      <w:r>
        <w:rPr>
          <w:rStyle w:val="CharDivText"/>
        </w:rPr>
        <w:t>Notices of termination</w:t>
      </w:r>
      <w:bookmarkEnd w:id="99"/>
      <w:bookmarkEnd w:id="100"/>
    </w:p>
    <w:p>
      <w:pPr>
        <w:pStyle w:val="Footnoteheading"/>
      </w:pPr>
      <w:r>
        <w:tab/>
        <w:t>[Heading inserted by No. 60 of 2011 s. 60.]</w:t>
      </w:r>
    </w:p>
    <w:p>
      <w:pPr>
        <w:pStyle w:val="Heading5"/>
      </w:pPr>
      <w:bookmarkStart w:id="101" w:name="_Toc382386761"/>
      <w:r>
        <w:rPr>
          <w:rStyle w:val="CharSectno"/>
        </w:rPr>
        <w:t>61</w:t>
      </w:r>
      <w:r>
        <w:t>.</w:t>
      </w:r>
      <w:r>
        <w:tab/>
        <w:t>Form of notice of termination by lessor</w:t>
      </w:r>
      <w:bookmarkEnd w:id="101"/>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by No. 60 of 2011 s. 61.]</w:t>
      </w:r>
    </w:p>
    <w:p>
      <w:pPr>
        <w:pStyle w:val="Heading5"/>
        <w:rPr>
          <w:snapToGrid w:val="0"/>
        </w:rPr>
      </w:pPr>
      <w:bookmarkStart w:id="102" w:name="_Toc382386762"/>
      <w:r>
        <w:rPr>
          <w:rStyle w:val="CharSectno"/>
        </w:rPr>
        <w:t>62</w:t>
      </w:r>
      <w:r>
        <w:rPr>
          <w:snapToGrid w:val="0"/>
        </w:rPr>
        <w:t>.</w:t>
      </w:r>
      <w:r>
        <w:rPr>
          <w:snapToGrid w:val="0"/>
        </w:rPr>
        <w:tab/>
        <w:t>Notice of termination by lessor upon ground of breach of term of agreement</w:t>
      </w:r>
      <w:bookmarkEnd w:id="102"/>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by No. 59 of 1995 s. 50; No. 60 of 2011 s. 62, 88 and 89.] </w:t>
      </w:r>
    </w:p>
    <w:p>
      <w:pPr>
        <w:pStyle w:val="Heading5"/>
      </w:pPr>
      <w:bookmarkStart w:id="103" w:name="_Toc382386763"/>
      <w:r>
        <w:rPr>
          <w:rStyle w:val="CharSectno"/>
        </w:rPr>
        <w:t>63</w:t>
      </w:r>
      <w:r>
        <w:t>.</w:t>
      </w:r>
      <w:r>
        <w:tab/>
        <w:t>Notice of termination by lessor who has entered into contract of sale</w:t>
      </w:r>
      <w:bookmarkEnd w:id="103"/>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by No. 60 of 2011 s. 63.]</w:t>
      </w:r>
    </w:p>
    <w:p>
      <w:pPr>
        <w:pStyle w:val="Heading5"/>
      </w:pPr>
      <w:bookmarkStart w:id="104" w:name="_Toc382386764"/>
      <w:r>
        <w:rPr>
          <w:rStyle w:val="CharSectno"/>
        </w:rPr>
        <w:t>64</w:t>
      </w:r>
      <w:r>
        <w:t>.</w:t>
      </w:r>
      <w:r>
        <w:tab/>
        <w:t>Notice of termination by lessor without any ground</w:t>
      </w:r>
      <w:bookmarkEnd w:id="104"/>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by No. 60 of 2011 s. 63.]</w:t>
      </w:r>
    </w:p>
    <w:p>
      <w:pPr>
        <w:pStyle w:val="Heading5"/>
        <w:rPr>
          <w:snapToGrid w:val="0"/>
        </w:rPr>
      </w:pPr>
      <w:bookmarkStart w:id="105" w:name="_Toc382386765"/>
      <w:r>
        <w:rPr>
          <w:rStyle w:val="CharSectno"/>
        </w:rPr>
        <w:t>65</w:t>
      </w:r>
      <w:r>
        <w:rPr>
          <w:snapToGrid w:val="0"/>
        </w:rPr>
        <w:t>.</w:t>
      </w:r>
      <w:r>
        <w:rPr>
          <w:snapToGrid w:val="0"/>
        </w:rPr>
        <w:tab/>
        <w:t>Termination by lessor where s. 32 invoked</w:t>
      </w:r>
      <w:bookmarkEnd w:id="105"/>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w:t>
      </w:r>
      <w:r>
        <w:t>a lessor</w:t>
      </w:r>
      <w:r>
        <w:rPr>
          <w:snapToGrid w:val="0"/>
          <w:spacing w:val="-2"/>
        </w:rPr>
        <w:t xml:space="preserve">, authorise </w:t>
      </w:r>
      <w:r>
        <w:t>the lessor</w:t>
      </w:r>
      <w:r>
        <w:rPr>
          <w:snapToGrid w:val="0"/>
          <w:spacing w:val="-2"/>
        </w:rPr>
        <w:t xml:space="preserve"> to give notice of termination, if </w:t>
      </w:r>
      <w:r>
        <w:rPr>
          <w:snapToGrid w:val="0"/>
        </w:rPr>
        <w:t xml:space="preserve">it </w:t>
      </w:r>
      <w:r>
        <w:rPr>
          <w:snapToGrid w:val="0"/>
          <w:spacing w:val="-2"/>
        </w:rPr>
        <w:t xml:space="preserve">is satisfied that neither the institution of the proceedings for the order nor the making of the order has wholly or partly motivated </w:t>
      </w:r>
      <w:r>
        <w:t>the lessor</w:t>
      </w:r>
      <w:r>
        <w:rPr>
          <w:snapToGrid w:val="0"/>
          <w:spacing w:val="-2"/>
        </w:rPr>
        <w:t xml:space="preserve"> to give notice of termination.</w:t>
      </w:r>
    </w:p>
    <w:p>
      <w:pPr>
        <w:pStyle w:val="Footnotesection"/>
      </w:pPr>
      <w:r>
        <w:tab/>
        <w:t xml:space="preserve">[Section 65 amended by No. 50 of 1988 s. 18; No. 59 of 2004 s. 120(1) and (2); No. 60 of 2011 s. 64 and 89.] </w:t>
      </w:r>
    </w:p>
    <w:p>
      <w:pPr>
        <w:pStyle w:val="Heading5"/>
        <w:rPr>
          <w:snapToGrid w:val="0"/>
        </w:rPr>
      </w:pPr>
      <w:bookmarkStart w:id="106" w:name="_Toc382386766"/>
      <w:r>
        <w:rPr>
          <w:rStyle w:val="CharSectno"/>
        </w:rPr>
        <w:t>66</w:t>
      </w:r>
      <w:r>
        <w:rPr>
          <w:snapToGrid w:val="0"/>
        </w:rPr>
        <w:t>.</w:t>
      </w:r>
      <w:r>
        <w:rPr>
          <w:snapToGrid w:val="0"/>
        </w:rPr>
        <w:tab/>
        <w:t>Notice by lessor not waived by acceptance of rent</w:t>
      </w:r>
      <w:bookmarkEnd w:id="106"/>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by No. 60 of 2011 s. 65 and 89.] </w:t>
      </w:r>
    </w:p>
    <w:p>
      <w:pPr>
        <w:pStyle w:val="Heading5"/>
        <w:rPr>
          <w:snapToGrid w:val="0"/>
        </w:rPr>
      </w:pPr>
      <w:bookmarkStart w:id="107" w:name="_Toc382386767"/>
      <w:r>
        <w:rPr>
          <w:rStyle w:val="CharSectno"/>
        </w:rPr>
        <w:t>67</w:t>
      </w:r>
      <w:r>
        <w:rPr>
          <w:snapToGrid w:val="0"/>
        </w:rPr>
        <w:t>.</w:t>
      </w:r>
      <w:r>
        <w:rPr>
          <w:snapToGrid w:val="0"/>
        </w:rPr>
        <w:tab/>
        <w:t>Form of notice of termination by tenant</w:t>
      </w:r>
      <w:bookmarkEnd w:id="107"/>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r>
        <w:tab/>
        <w:t xml:space="preserve">[Section 67 amended by No. 60 of 2011 s. 88.] </w:t>
      </w:r>
    </w:p>
    <w:p>
      <w:pPr>
        <w:pStyle w:val="Heading5"/>
        <w:rPr>
          <w:snapToGrid w:val="0"/>
        </w:rPr>
      </w:pPr>
      <w:bookmarkStart w:id="108" w:name="_Toc382386768"/>
      <w:r>
        <w:rPr>
          <w:rStyle w:val="CharSectno"/>
        </w:rPr>
        <w:t>68</w:t>
      </w:r>
      <w:r>
        <w:rPr>
          <w:snapToGrid w:val="0"/>
        </w:rPr>
        <w:t>.</w:t>
      </w:r>
      <w:r>
        <w:rPr>
          <w:snapToGrid w:val="0"/>
        </w:rPr>
        <w:tab/>
        <w:t>Notice of termination by tenant</w:t>
      </w:r>
      <w:bookmarkEnd w:id="108"/>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by No. 60 of 2011 s. 66, 88 and 89.] </w:t>
      </w:r>
    </w:p>
    <w:p>
      <w:pPr>
        <w:pStyle w:val="Heading5"/>
        <w:rPr>
          <w:snapToGrid w:val="0"/>
        </w:rPr>
      </w:pPr>
      <w:bookmarkStart w:id="109" w:name="_Toc382386769"/>
      <w:r>
        <w:rPr>
          <w:rStyle w:val="CharSectno"/>
        </w:rPr>
        <w:t>69</w:t>
      </w:r>
      <w:r>
        <w:rPr>
          <w:snapToGrid w:val="0"/>
        </w:rPr>
        <w:t>.</w:t>
      </w:r>
      <w:r>
        <w:rPr>
          <w:snapToGrid w:val="0"/>
        </w:rPr>
        <w:tab/>
        <w:t>Notice of termination by lessor or tenant where agreement frustrated</w:t>
      </w:r>
      <w:bookmarkEnd w:id="109"/>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spacing w:val="-4"/>
        </w:rPr>
      </w:pPr>
      <w:r>
        <w:rPr>
          <w:snapToGrid w:val="0"/>
          <w:spacing w:val="-4"/>
        </w:rPr>
        <w:tab/>
        <w:t>(4)</w:t>
      </w:r>
      <w:r>
        <w:rPr>
          <w:snapToGrid w:val="0"/>
          <w:spacing w:val="-4"/>
        </w:rPr>
        <w:tab/>
        <w:t xml:space="preserve">Where notice of termination is given under this section in respect of </w:t>
      </w:r>
      <w:r>
        <w:t>a residential tenancy agreement</w:t>
      </w:r>
      <w:r>
        <w:rPr>
          <w:snapToGrid w:val="0"/>
          <w:spacing w:val="-4"/>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by No. 60 of 2011 s. 67, 88 and 89.] </w:t>
      </w:r>
    </w:p>
    <w:p>
      <w:pPr>
        <w:pStyle w:val="Heading5"/>
      </w:pPr>
      <w:bookmarkStart w:id="110" w:name="_Toc382386770"/>
      <w:r>
        <w:rPr>
          <w:rStyle w:val="CharSectno"/>
        </w:rPr>
        <w:t>70A</w:t>
      </w:r>
      <w:r>
        <w:t>.</w:t>
      </w:r>
      <w:r>
        <w:tab/>
        <w:t>Notice of termination by lessor or tenant at end of fixed term tenancy</w:t>
      </w:r>
      <w:bookmarkEnd w:id="110"/>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by No. 60 of 2011 s. 68.] </w:t>
      </w:r>
    </w:p>
    <w:p>
      <w:pPr>
        <w:pStyle w:val="Heading5"/>
        <w:rPr>
          <w:snapToGrid w:val="0"/>
        </w:rPr>
      </w:pPr>
      <w:bookmarkStart w:id="111" w:name="_Toc382386771"/>
      <w:r>
        <w:rPr>
          <w:rStyle w:val="CharSectno"/>
        </w:rPr>
        <w:t>70</w:t>
      </w:r>
      <w:r>
        <w:rPr>
          <w:snapToGrid w:val="0"/>
        </w:rPr>
        <w:t>.</w:t>
      </w:r>
      <w:r>
        <w:rPr>
          <w:snapToGrid w:val="0"/>
        </w:rPr>
        <w:tab/>
        <w:t>Effect of notice of termination of periodic tenancy</w:t>
      </w:r>
      <w:bookmarkEnd w:id="111"/>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by No. 60 of 2011 s. 88.] </w:t>
      </w:r>
    </w:p>
    <w:p>
      <w:pPr>
        <w:pStyle w:val="Heading3"/>
      </w:pPr>
      <w:bookmarkStart w:id="112" w:name="_Toc382386583"/>
      <w:bookmarkStart w:id="113" w:name="_Toc382386772"/>
      <w:r>
        <w:rPr>
          <w:rStyle w:val="CharDivNo"/>
        </w:rPr>
        <w:t>Division 3</w:t>
      </w:r>
      <w:r>
        <w:t> — </w:t>
      </w:r>
      <w:r>
        <w:rPr>
          <w:rStyle w:val="CharDivText"/>
        </w:rPr>
        <w:t>Special provisions about terminating social housing tenancy agreements</w:t>
      </w:r>
      <w:bookmarkEnd w:id="112"/>
      <w:bookmarkEnd w:id="113"/>
    </w:p>
    <w:p>
      <w:pPr>
        <w:pStyle w:val="Footnoteheading"/>
      </w:pPr>
      <w:r>
        <w:tab/>
        <w:t>[Heading inserted by No. 60 of 2011 s. 92.]</w:t>
      </w:r>
    </w:p>
    <w:p>
      <w:pPr>
        <w:pStyle w:val="Heading4"/>
      </w:pPr>
      <w:bookmarkStart w:id="114" w:name="_Toc382386584"/>
      <w:bookmarkStart w:id="115" w:name="_Toc382386773"/>
      <w:r>
        <w:t>Subdivision 1 — Preliminary</w:t>
      </w:r>
      <w:bookmarkEnd w:id="114"/>
      <w:bookmarkEnd w:id="115"/>
    </w:p>
    <w:p>
      <w:pPr>
        <w:pStyle w:val="Footnoteheading"/>
      </w:pPr>
      <w:r>
        <w:tab/>
        <w:t>[Heading inserted by No. 60 of 2011 s. 92.]</w:t>
      </w:r>
    </w:p>
    <w:p>
      <w:pPr>
        <w:pStyle w:val="Heading5"/>
      </w:pPr>
      <w:bookmarkStart w:id="116" w:name="_Toc382386774"/>
      <w:r>
        <w:rPr>
          <w:rStyle w:val="CharSectno"/>
        </w:rPr>
        <w:t>71A</w:t>
      </w:r>
      <w:r>
        <w:t>.</w:t>
      </w:r>
      <w:r>
        <w:tab/>
        <w:t>Terms used</w:t>
      </w:r>
      <w:bookmarkEnd w:id="116"/>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by No. 60 of 2011 s. 92.]</w:t>
      </w:r>
    </w:p>
    <w:p>
      <w:pPr>
        <w:pStyle w:val="Heading5"/>
      </w:pPr>
      <w:bookmarkStart w:id="117" w:name="_Toc382386775"/>
      <w:r>
        <w:rPr>
          <w:rStyle w:val="CharSectno"/>
        </w:rPr>
        <w:t>71B</w:t>
      </w:r>
      <w:r>
        <w:t>.</w:t>
      </w:r>
      <w:r>
        <w:tab/>
        <w:t>Application of Division</w:t>
      </w:r>
      <w:bookmarkEnd w:id="117"/>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118" w:name="_Toc382386587"/>
      <w:bookmarkStart w:id="119" w:name="_Toc382386776"/>
      <w:r>
        <w:t>Subdivision 2 — Notice of termination where tenant not eligible for social housing premises</w:t>
      </w:r>
      <w:bookmarkEnd w:id="118"/>
      <w:bookmarkEnd w:id="119"/>
    </w:p>
    <w:p>
      <w:pPr>
        <w:pStyle w:val="Footnoteheading"/>
      </w:pPr>
      <w:r>
        <w:tab/>
        <w:t>[Heading inserted by No. 60 of 2011 s. 92.]</w:t>
      </w:r>
    </w:p>
    <w:p>
      <w:pPr>
        <w:pStyle w:val="Heading5"/>
        <w:rPr>
          <w:snapToGrid w:val="0"/>
        </w:rPr>
      </w:pPr>
      <w:bookmarkStart w:id="120" w:name="_Toc382386777"/>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120"/>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by No. 60 of 2011 s. 92.]</w:t>
      </w:r>
    </w:p>
    <w:p>
      <w:pPr>
        <w:pStyle w:val="Heading5"/>
      </w:pPr>
      <w:bookmarkStart w:id="121" w:name="_Toc382386778"/>
      <w:r>
        <w:rPr>
          <w:rStyle w:val="CharSectno"/>
        </w:rPr>
        <w:t>71D</w:t>
      </w:r>
      <w:r>
        <w:t>.</w:t>
      </w:r>
      <w:r>
        <w:tab/>
        <w:t>Assessment of tenants eligibility for social housing premises</w:t>
      </w:r>
      <w:bookmarkEnd w:id="121"/>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by No. 60 of 2011 s. 92.]</w:t>
      </w:r>
    </w:p>
    <w:p>
      <w:pPr>
        <w:pStyle w:val="Heading5"/>
      </w:pPr>
      <w:bookmarkStart w:id="122" w:name="_Toc382386779"/>
      <w:r>
        <w:rPr>
          <w:rStyle w:val="CharSectno"/>
        </w:rPr>
        <w:t>71E</w:t>
      </w:r>
      <w:r>
        <w:t>.</w:t>
      </w:r>
      <w:r>
        <w:tab/>
        <w:t>Criteria for assessing eligibility of tenants for social housing premises under s. 71D</w:t>
      </w:r>
      <w:bookmarkEnd w:id="122"/>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by No. 60 of 2011 s. 92.]</w:t>
      </w:r>
    </w:p>
    <w:p>
      <w:pPr>
        <w:pStyle w:val="Heading5"/>
      </w:pPr>
      <w:bookmarkStart w:id="123" w:name="_Toc382386780"/>
      <w:r>
        <w:rPr>
          <w:rStyle w:val="CharSectno"/>
        </w:rPr>
        <w:t>71F</w:t>
      </w:r>
      <w:r>
        <w:t>.</w:t>
      </w:r>
      <w:r>
        <w:tab/>
        <w:t>Review of decision to give notice on ground that tenant not eligible for social housing premises</w:t>
      </w:r>
      <w:bookmarkEnd w:id="123"/>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by No. 60 of 2011 s. 92.]</w:t>
      </w:r>
    </w:p>
    <w:p>
      <w:pPr>
        <w:pStyle w:val="Heading5"/>
        <w:rPr>
          <w:snapToGrid w:val="0"/>
        </w:rPr>
      </w:pPr>
      <w:bookmarkStart w:id="124" w:name="_Toc382386781"/>
      <w:r>
        <w:rPr>
          <w:rStyle w:val="CharSectno"/>
        </w:rPr>
        <w:t>71G</w:t>
      </w:r>
      <w:r>
        <w:t>.</w:t>
      </w:r>
      <w:r>
        <w:tab/>
        <w:t xml:space="preserve">Time </w:t>
      </w:r>
      <w:r>
        <w:rPr>
          <w:snapToGrid w:val="0"/>
        </w:rPr>
        <w:t>periods to be observed where notice of termination given under this Subdivision</w:t>
      </w:r>
      <w:bookmarkEnd w:id="124"/>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by No. 60 of 2011 s. 92.]</w:t>
      </w:r>
    </w:p>
    <w:p>
      <w:pPr>
        <w:pStyle w:val="Heading4"/>
      </w:pPr>
      <w:bookmarkStart w:id="125" w:name="_Toc382386593"/>
      <w:bookmarkStart w:id="126" w:name="_Toc382386782"/>
      <w:r>
        <w:t>Subdivision 3 — Notice of termination where tenant offered alternative social housing premises</w:t>
      </w:r>
      <w:bookmarkEnd w:id="125"/>
      <w:bookmarkEnd w:id="126"/>
    </w:p>
    <w:p>
      <w:pPr>
        <w:pStyle w:val="Footnoteheading"/>
        <w:spacing w:before="100"/>
      </w:pPr>
      <w:r>
        <w:tab/>
        <w:t>[Heading inserted by No. 60 of 2011 s. 92.]</w:t>
      </w:r>
    </w:p>
    <w:p>
      <w:pPr>
        <w:pStyle w:val="Heading5"/>
        <w:rPr>
          <w:snapToGrid w:val="0"/>
        </w:rPr>
      </w:pPr>
      <w:bookmarkStart w:id="127" w:name="_Toc382386783"/>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127"/>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by No. 60 of 2011 s. 92.]</w:t>
      </w:r>
    </w:p>
    <w:p>
      <w:pPr>
        <w:pStyle w:val="Heading5"/>
      </w:pPr>
      <w:bookmarkStart w:id="128" w:name="_Toc382386784"/>
      <w:r>
        <w:rPr>
          <w:rStyle w:val="CharSectno"/>
        </w:rPr>
        <w:t>71I</w:t>
      </w:r>
      <w:r>
        <w:t>.</w:t>
      </w:r>
      <w:r>
        <w:tab/>
        <w:t>Review of decision to give notice on ground that tenant offered alternative social housing premises</w:t>
      </w:r>
      <w:bookmarkEnd w:id="128"/>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by No. 60 of 2011 s. 92.]</w:t>
      </w:r>
    </w:p>
    <w:p>
      <w:pPr>
        <w:pStyle w:val="Heading5"/>
      </w:pPr>
      <w:bookmarkStart w:id="129" w:name="_Toc382386785"/>
      <w:r>
        <w:rPr>
          <w:rStyle w:val="CharSectno"/>
        </w:rPr>
        <w:t>71J</w:t>
      </w:r>
      <w:r>
        <w:t>.</w:t>
      </w:r>
      <w:r>
        <w:tab/>
        <w:t xml:space="preserve">Time periods to be observed </w:t>
      </w:r>
      <w:r>
        <w:rPr>
          <w:snapToGrid w:val="0"/>
        </w:rPr>
        <w:t xml:space="preserve">where notice of termination given </w:t>
      </w:r>
      <w:r>
        <w:t>under this Subdivision</w:t>
      </w:r>
      <w:bookmarkEnd w:id="129"/>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130" w:name="_Toc382386597"/>
      <w:bookmarkStart w:id="131" w:name="_Toc382386786"/>
      <w:r>
        <w:rPr>
          <w:rStyle w:val="CharDivNo"/>
        </w:rPr>
        <w:t>Division 4</w:t>
      </w:r>
      <w:r>
        <w:t> — </w:t>
      </w:r>
      <w:r>
        <w:rPr>
          <w:rStyle w:val="CharDivText"/>
        </w:rPr>
        <w:t>Orders for termination of residential tenancy agreement</w:t>
      </w:r>
      <w:bookmarkEnd w:id="130"/>
      <w:bookmarkEnd w:id="131"/>
    </w:p>
    <w:p>
      <w:pPr>
        <w:pStyle w:val="Footnoteheading"/>
      </w:pPr>
      <w:r>
        <w:tab/>
        <w:t>[Heading inserted by No. 60 of 2011 s. 69.]</w:t>
      </w:r>
    </w:p>
    <w:p>
      <w:pPr>
        <w:pStyle w:val="Heading5"/>
        <w:rPr>
          <w:snapToGrid w:val="0"/>
        </w:rPr>
      </w:pPr>
      <w:bookmarkStart w:id="132" w:name="_Toc382386787"/>
      <w:r>
        <w:rPr>
          <w:rStyle w:val="CharSectno"/>
        </w:rPr>
        <w:t>71</w:t>
      </w:r>
      <w:r>
        <w:rPr>
          <w:snapToGrid w:val="0"/>
        </w:rPr>
        <w:t>.</w:t>
      </w:r>
      <w:r>
        <w:rPr>
          <w:snapToGrid w:val="0"/>
        </w:rPr>
        <w:tab/>
        <w:t>Application by lessor for termination and order for possession</w:t>
      </w:r>
      <w:bookmarkEnd w:id="132"/>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spacing w:val="-4"/>
        </w:rPr>
        <w:tab/>
        <w:t>(4)</w:t>
      </w:r>
      <w:r>
        <w:rPr>
          <w:snapToGrid w:val="0"/>
          <w:spacing w:val="-4"/>
        </w:rPr>
        <w:tab/>
      </w:r>
      <w:r>
        <w:rPr>
          <w:snapToGrid w:val="0"/>
        </w:rPr>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by No. 50 of 1988 s. 18; No. 59 of 1995 s. 51; No. 59 of 2004 s. 120; No. 20 of 2005 s. 23; No. 60 of 2011 s. 70, 88, 89 and 93.] </w:t>
      </w:r>
    </w:p>
    <w:p>
      <w:pPr>
        <w:pStyle w:val="Heading5"/>
        <w:rPr>
          <w:snapToGrid w:val="0"/>
        </w:rPr>
      </w:pPr>
      <w:bookmarkStart w:id="133" w:name="_Toc382386788"/>
      <w:r>
        <w:rPr>
          <w:rStyle w:val="CharSectno"/>
        </w:rPr>
        <w:t>72</w:t>
      </w:r>
      <w:r>
        <w:rPr>
          <w:snapToGrid w:val="0"/>
        </w:rPr>
        <w:t>.</w:t>
      </w:r>
      <w:r>
        <w:rPr>
          <w:snapToGrid w:val="0"/>
        </w:rPr>
        <w:tab/>
        <w:t>Application for termination and order for possession in relation to fixed term agreements</w:t>
      </w:r>
      <w:bookmarkEnd w:id="133"/>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by No. 50 of 1988 s. 18; No. 59 of 2004 s. 120 and 121; No. 20 of 2005 s. 23; No. 60 of 2011 s. 71, 88 and 89.]</w:t>
      </w:r>
    </w:p>
    <w:p>
      <w:pPr>
        <w:pStyle w:val="Heading5"/>
        <w:spacing w:before="200"/>
      </w:pPr>
      <w:bookmarkStart w:id="134" w:name="_Toc382386789"/>
      <w:r>
        <w:rPr>
          <w:rStyle w:val="CharSectno"/>
        </w:rPr>
        <w:t>73A</w:t>
      </w:r>
      <w:r>
        <w:t>.</w:t>
      </w:r>
      <w:r>
        <w:tab/>
        <w:t>Notice of termination not required in certain cases</w:t>
      </w:r>
      <w:bookmarkEnd w:id="134"/>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by No. 60 of 2011 s. 94.]</w:t>
      </w:r>
    </w:p>
    <w:p>
      <w:pPr>
        <w:pStyle w:val="Heading5"/>
        <w:spacing w:before="200"/>
        <w:rPr>
          <w:snapToGrid w:val="0"/>
        </w:rPr>
      </w:pPr>
      <w:bookmarkStart w:id="135" w:name="_Toc382386790"/>
      <w:r>
        <w:rPr>
          <w:rStyle w:val="CharSectno"/>
        </w:rPr>
        <w:t>73</w:t>
      </w:r>
      <w:r>
        <w:rPr>
          <w:snapToGrid w:val="0"/>
        </w:rPr>
        <w:t>.</w:t>
      </w:r>
      <w:r>
        <w:rPr>
          <w:snapToGrid w:val="0"/>
        </w:rPr>
        <w:tab/>
        <w:t>Termination of agreement where tenant causing serious damage or injury</w:t>
      </w:r>
      <w:bookmarkEnd w:id="135"/>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by No. 50 of 1988 s. 18; No. 59 of 2004 s. 120; No. 60 of 2011 s. 72, 88 and 89.] </w:t>
      </w:r>
    </w:p>
    <w:p>
      <w:pPr>
        <w:pStyle w:val="Heading5"/>
        <w:rPr>
          <w:snapToGrid w:val="0"/>
        </w:rPr>
      </w:pPr>
      <w:bookmarkStart w:id="136" w:name="_Toc382386791"/>
      <w:r>
        <w:rPr>
          <w:rStyle w:val="CharSectno"/>
        </w:rPr>
        <w:t>74</w:t>
      </w:r>
      <w:r>
        <w:rPr>
          <w:snapToGrid w:val="0"/>
        </w:rPr>
        <w:t>.</w:t>
      </w:r>
      <w:r>
        <w:rPr>
          <w:snapToGrid w:val="0"/>
        </w:rPr>
        <w:tab/>
        <w:t>Termination of agreement where lessor or tenant would otherwise suffer undue hardship</w:t>
      </w:r>
      <w:bookmarkEnd w:id="136"/>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by No. 50 of 1988 s. 18; No. 59 of 2004 s. 120 and 121; No. 60 of 2011 s. 73 and 88.] </w:t>
      </w:r>
    </w:p>
    <w:p>
      <w:pPr>
        <w:pStyle w:val="Heading5"/>
      </w:pPr>
      <w:bookmarkStart w:id="137" w:name="_Toc382386792"/>
      <w:r>
        <w:rPr>
          <w:rStyle w:val="CharSectno"/>
        </w:rPr>
        <w:t>75A</w:t>
      </w:r>
      <w:r>
        <w:t>.</w:t>
      </w:r>
      <w:r>
        <w:tab/>
        <w:t>Termination of social housing tenancy agreement due to objectionable behaviour</w:t>
      </w:r>
      <w:bookmarkEnd w:id="137"/>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138" w:name="_Toc382386793"/>
      <w:r>
        <w:rPr>
          <w:rStyle w:val="CharSectno"/>
        </w:rPr>
        <w:t>75</w:t>
      </w:r>
      <w:r>
        <w:rPr>
          <w:snapToGrid w:val="0"/>
        </w:rPr>
        <w:t>.</w:t>
      </w:r>
      <w:r>
        <w:rPr>
          <w:snapToGrid w:val="0"/>
        </w:rPr>
        <w:tab/>
        <w:t>Termination of agreement for breach by lessor</w:t>
      </w:r>
      <w:bookmarkEnd w:id="138"/>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by No. 50 of 1988 s. 18; No. 59 of 2004 s. 120; No. 60 of 2011 s. 88 and 89.] </w:t>
      </w:r>
    </w:p>
    <w:p>
      <w:pPr>
        <w:pStyle w:val="Heading5"/>
      </w:pPr>
      <w:bookmarkStart w:id="139" w:name="_Toc382386794"/>
      <w:r>
        <w:rPr>
          <w:rStyle w:val="CharSectno"/>
        </w:rPr>
        <w:t>76A</w:t>
      </w:r>
      <w:r>
        <w:t>.</w:t>
      </w:r>
      <w:r>
        <w:tab/>
        <w:t>Termination of agreement by lessor if premises abandoned</w:t>
      </w:r>
      <w:bookmarkEnd w:id="139"/>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by No. 60 of 2011 s. 74.]</w:t>
      </w:r>
    </w:p>
    <w:p>
      <w:pPr>
        <w:pStyle w:val="Heading5"/>
      </w:pPr>
      <w:bookmarkStart w:id="140" w:name="_Toc382386795"/>
      <w:r>
        <w:rPr>
          <w:rStyle w:val="CharSectno"/>
        </w:rPr>
        <w:t>76B</w:t>
      </w:r>
      <w:r>
        <w:t>.</w:t>
      </w:r>
      <w:r>
        <w:tab/>
        <w:t>Dispute about s. 76A notice</w:t>
      </w:r>
      <w:bookmarkEnd w:id="140"/>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by No. 60 of 2011 s. 74.]</w:t>
      </w:r>
    </w:p>
    <w:p>
      <w:pPr>
        <w:pStyle w:val="Heading3"/>
      </w:pPr>
      <w:bookmarkStart w:id="141" w:name="_Toc382386607"/>
      <w:bookmarkStart w:id="142" w:name="_Toc382386796"/>
      <w:r>
        <w:rPr>
          <w:rStyle w:val="CharDivNo"/>
        </w:rPr>
        <w:t>Division 5</w:t>
      </w:r>
      <w:r>
        <w:t> — </w:t>
      </w:r>
      <w:r>
        <w:rPr>
          <w:rStyle w:val="CharDivText"/>
        </w:rPr>
        <w:t>General</w:t>
      </w:r>
      <w:bookmarkEnd w:id="141"/>
      <w:bookmarkEnd w:id="142"/>
    </w:p>
    <w:p>
      <w:pPr>
        <w:pStyle w:val="Footnoteheading"/>
        <w:spacing w:before="80"/>
      </w:pPr>
      <w:r>
        <w:tab/>
        <w:t>[Heading inserted by No. 60 of 2011 s. 74.]</w:t>
      </w:r>
    </w:p>
    <w:p>
      <w:pPr>
        <w:pStyle w:val="Heading5"/>
      </w:pPr>
      <w:bookmarkStart w:id="143" w:name="_Toc382386797"/>
      <w:r>
        <w:rPr>
          <w:rStyle w:val="CharSectno"/>
        </w:rPr>
        <w:t>76C</w:t>
      </w:r>
      <w:r>
        <w:t>.</w:t>
      </w:r>
      <w:r>
        <w:tab/>
        <w:t>Fixed term tenancies continued as periodic tenancies</w:t>
      </w:r>
      <w:bookmarkEnd w:id="143"/>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by No. 60 of 2011 s. 74.]</w:t>
      </w:r>
    </w:p>
    <w:p>
      <w:pPr>
        <w:pStyle w:val="Heading5"/>
        <w:keepLines w:val="0"/>
        <w:rPr>
          <w:snapToGrid w:val="0"/>
        </w:rPr>
      </w:pPr>
      <w:bookmarkStart w:id="144" w:name="_Toc382386798"/>
      <w:r>
        <w:rPr>
          <w:rStyle w:val="CharSectno"/>
        </w:rPr>
        <w:t>76</w:t>
      </w:r>
      <w:r>
        <w:rPr>
          <w:snapToGrid w:val="0"/>
        </w:rPr>
        <w:t>.</w:t>
      </w:r>
      <w:r>
        <w:rPr>
          <w:snapToGrid w:val="0"/>
        </w:rPr>
        <w:tab/>
        <w:t>Compensation to lessor for holding over</w:t>
      </w:r>
      <w:bookmarkEnd w:id="144"/>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order the tenant to pay to the lessor any compensation to which the lessor is entitled under this section.</w:t>
      </w:r>
    </w:p>
    <w:p>
      <w:pPr>
        <w:pStyle w:val="Footnotesection"/>
      </w:pPr>
      <w:r>
        <w:tab/>
        <w:t xml:space="preserve">[Section 76 amended by No. 50 of 1988 s. 18; No. 59 of 2004 s. 120(1) and (3); No. 60 of 2011 s. 89.] </w:t>
      </w:r>
    </w:p>
    <w:p>
      <w:pPr>
        <w:pStyle w:val="Heading5"/>
      </w:pPr>
      <w:bookmarkStart w:id="145" w:name="_Toc382386799"/>
      <w:r>
        <w:rPr>
          <w:rStyle w:val="CharSectno"/>
        </w:rPr>
        <w:t>77</w:t>
      </w:r>
      <w:r>
        <w:t>.</w:t>
      </w:r>
      <w:r>
        <w:tab/>
        <w:t>Abandonment of premises</w:t>
      </w:r>
      <w:bookmarkEnd w:id="145"/>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by No. 60 of 2011 s. 75.]</w:t>
      </w:r>
    </w:p>
    <w:p>
      <w:pPr>
        <w:pStyle w:val="Heading5"/>
      </w:pPr>
      <w:bookmarkStart w:id="146" w:name="_Toc382386800"/>
      <w:r>
        <w:rPr>
          <w:rStyle w:val="CharSectno"/>
        </w:rPr>
        <w:t>78A</w:t>
      </w:r>
      <w:r>
        <w:t>.</w:t>
      </w:r>
      <w:r>
        <w:tab/>
        <w:t>Order about abandonment</w:t>
      </w:r>
      <w:bookmarkEnd w:id="146"/>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by No. 60 of 2011 s. 75.]</w:t>
      </w:r>
    </w:p>
    <w:p>
      <w:pPr>
        <w:pStyle w:val="Heading5"/>
      </w:pPr>
      <w:bookmarkStart w:id="147" w:name="_Toc382386801"/>
      <w:r>
        <w:rPr>
          <w:rStyle w:val="CharSectno"/>
        </w:rPr>
        <w:t>78B</w:t>
      </w:r>
      <w:r>
        <w:t>.</w:t>
      </w:r>
      <w:r>
        <w:tab/>
        <w:t>Review of abandonment order</w:t>
      </w:r>
      <w:bookmarkEnd w:id="147"/>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by No. 60 of 2011 s. 75.]</w:t>
      </w:r>
    </w:p>
    <w:p>
      <w:pPr>
        <w:pStyle w:val="Heading5"/>
        <w:rPr>
          <w:snapToGrid w:val="0"/>
        </w:rPr>
      </w:pPr>
      <w:bookmarkStart w:id="148" w:name="_Toc382386802"/>
      <w:r>
        <w:rPr>
          <w:rStyle w:val="CharSectno"/>
        </w:rPr>
        <w:t>78</w:t>
      </w:r>
      <w:r>
        <w:rPr>
          <w:snapToGrid w:val="0"/>
        </w:rPr>
        <w:t>.</w:t>
      </w:r>
      <w:r>
        <w:rPr>
          <w:snapToGrid w:val="0"/>
        </w:rPr>
        <w:tab/>
      </w:r>
      <w:r>
        <w:rPr>
          <w:bCs/>
        </w:rPr>
        <w:t>Right of lessor to compensation where tenant abandons premises</w:t>
      </w:r>
      <w:bookmarkEnd w:id="148"/>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xml:space="preserve">, order the tenant to pay to the lessor any compensation to which </w:t>
      </w:r>
      <w:r>
        <w:t>the lessor</w:t>
      </w:r>
      <w:r>
        <w:rPr>
          <w:snapToGrid w:val="0"/>
          <w:spacing w:val="-4"/>
        </w:rPr>
        <w:t xml:space="preserve"> is entitled under this section.</w:t>
      </w:r>
    </w:p>
    <w:p>
      <w:pPr>
        <w:pStyle w:val="Footnotesection"/>
        <w:spacing w:before="100"/>
      </w:pPr>
      <w:r>
        <w:tab/>
        <w:t xml:space="preserve">[Section 78 amended by No. 50 of 1988 s. 18; No. 59 of 2004 s. 120(1); No. 60 of 2011 s. 88 and 89.] </w:t>
      </w:r>
    </w:p>
    <w:p>
      <w:pPr>
        <w:pStyle w:val="Heading5"/>
        <w:spacing w:before="200"/>
        <w:rPr>
          <w:snapToGrid w:val="0"/>
        </w:rPr>
      </w:pPr>
      <w:bookmarkStart w:id="149" w:name="_Toc382386803"/>
      <w:r>
        <w:rPr>
          <w:rStyle w:val="CharSectno"/>
        </w:rPr>
        <w:t>79</w:t>
      </w:r>
      <w:r>
        <w:rPr>
          <w:snapToGrid w:val="0"/>
        </w:rPr>
        <w:t>.</w:t>
      </w:r>
      <w:r>
        <w:rPr>
          <w:snapToGrid w:val="0"/>
        </w:rPr>
        <w:tab/>
        <w:t>Abandoned goods</w:t>
      </w:r>
      <w:bookmarkEnd w:id="149"/>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a fine of $5 000.</w:t>
      </w:r>
    </w:p>
    <w:p>
      <w:pPr>
        <w:pStyle w:val="Subsection"/>
        <w:rPr>
          <w:snapToGrid w:val="0"/>
        </w:rPr>
      </w:pPr>
      <w:r>
        <w:rPr>
          <w:snapToGrid w:val="0"/>
        </w:rPr>
        <w:tab/>
        <w:t>(3)</w:t>
      </w:r>
      <w:r>
        <w:rPr>
          <w:snapToGrid w:val="0"/>
        </w:rPr>
        <w:tab/>
      </w:r>
      <w:r>
        <w:t>A lessor</w:t>
      </w:r>
      <w:r>
        <w:rPr>
          <w:snapToGrid w:val="0"/>
        </w:rPr>
        <w:t xml:space="preserve"> shall before the expiration of 7 days after </w:t>
      </w:r>
      <w:r>
        <w:t>the lessor</w:t>
      </w:r>
      <w:r>
        <w:rPr>
          <w:snapToGrid w:val="0"/>
        </w:rPr>
        <w:t xml:space="preserve"> has stored goods under subsection (2) — </w:t>
      </w:r>
    </w:p>
    <w:p>
      <w:pPr>
        <w:pStyle w:val="Indenta"/>
        <w:rPr>
          <w:snapToGrid w:val="0"/>
        </w:rPr>
      </w:pPr>
      <w:r>
        <w:rPr>
          <w:snapToGrid w:val="0"/>
        </w:rPr>
        <w:tab/>
        <w:t>(a)</w:t>
      </w:r>
      <w:r>
        <w:rPr>
          <w:snapToGrid w:val="0"/>
        </w:rPr>
        <w:tab/>
        <w:t xml:space="preserve">where the tenant has informed </w:t>
      </w:r>
      <w:r>
        <w:t>the lessor</w:t>
      </w:r>
      <w:r>
        <w:rPr>
          <w:snapToGrid w:val="0"/>
        </w:rPr>
        <w:t xml:space="preserve"> of </w:t>
      </w:r>
      <w:r>
        <w:t>the tenant’s</w:t>
      </w:r>
      <w:r>
        <w:rPr>
          <w:snapToGrid w:val="0"/>
        </w:rPr>
        <w:t xml:space="preserve">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Penstart"/>
      </w:pPr>
      <w:r>
        <w:tab/>
        <w:t>Penalty: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spacing w:val="-4"/>
        </w:rPr>
      </w:pPr>
      <w:r>
        <w:rPr>
          <w:snapToGrid w:val="0"/>
          <w:spacing w:val="-4"/>
        </w:rPr>
        <w:tab/>
        <w:t>(8)</w:t>
      </w:r>
      <w:r>
        <w:rPr>
          <w:snapToGrid w:val="0"/>
          <w:spacing w:val="-4"/>
        </w:rPr>
        <w:tab/>
        <w:t xml:space="preserve">Where goods are stored under subsection (2) and have not been reclaimed within 60 days after the day on which they were removed and stored, </w:t>
      </w:r>
      <w:r>
        <w:t>the lessor</w:t>
      </w:r>
      <w:r>
        <w:rPr>
          <w:snapToGrid w:val="0"/>
          <w:spacing w:val="-4"/>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by No. 50 of 1988 s. 14 and 18; No. 59 of 1995 s. 56; No. 59 of 2004 s. 120 and 121; No. 77 of 2006 Sch. 1 cl. 149(1) and (5); No. 60 of 2011 s. 76, 88 and 89.] </w:t>
      </w:r>
    </w:p>
    <w:p>
      <w:pPr>
        <w:pStyle w:val="Heading5"/>
      </w:pPr>
      <w:bookmarkStart w:id="150" w:name="_Toc382386804"/>
      <w:r>
        <w:rPr>
          <w:rStyle w:val="CharSectno"/>
        </w:rPr>
        <w:t>80A</w:t>
      </w:r>
      <w:r>
        <w:t>.</w:t>
      </w:r>
      <w:r>
        <w:tab/>
        <w:t>Abandoned documents</w:t>
      </w:r>
      <w:bookmarkEnd w:id="150"/>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spacing w:val="-4"/>
        </w:rPr>
        <w:t xml:space="preserve"> </w:t>
      </w:r>
      <w:r>
        <w:t>competent court</w:t>
      </w:r>
      <w:r>
        <w:rPr>
          <w:snapToGrid w:val="0"/>
          <w:spacing w:val="-4"/>
        </w:rPr>
        <w:t xml:space="preserve"> may, on an application by the lessor, </w:t>
      </w:r>
      <w:r>
        <w:rPr>
          <w:snapToGrid w:val="0"/>
        </w:rPr>
        <w:t>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by No. 60 of 2011 s. 77.] </w:t>
      </w:r>
    </w:p>
    <w:p>
      <w:pPr>
        <w:pStyle w:val="Heading5"/>
        <w:rPr>
          <w:snapToGrid w:val="0"/>
        </w:rPr>
      </w:pPr>
      <w:bookmarkStart w:id="151" w:name="_Toc382386805"/>
      <w:r>
        <w:rPr>
          <w:rStyle w:val="CharSectno"/>
        </w:rPr>
        <w:t>80</w:t>
      </w:r>
      <w:r>
        <w:rPr>
          <w:snapToGrid w:val="0"/>
        </w:rPr>
        <w:t>.</w:t>
      </w:r>
      <w:r>
        <w:rPr>
          <w:snapToGrid w:val="0"/>
        </w:rPr>
        <w:tab/>
        <w:t>Recovery of possession of premises prohibited except by court order</w:t>
      </w:r>
      <w:bookmarkEnd w:id="151"/>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by No. 50 of 1988 s. 18; No. 59 of 1995 s. 55; No. 59 of 2004 s. 120(1); No. 60 of 2011 s. 78 and 88.] </w:t>
      </w:r>
    </w:p>
    <w:p>
      <w:pPr>
        <w:pStyle w:val="Heading5"/>
      </w:pPr>
      <w:bookmarkStart w:id="152" w:name="_Toc382386806"/>
      <w:r>
        <w:rPr>
          <w:rStyle w:val="CharSectno"/>
        </w:rPr>
        <w:t>81A</w:t>
      </w:r>
      <w:r>
        <w:t>.</w:t>
      </w:r>
      <w:r>
        <w:tab/>
        <w:t>Mortgagee repossessions of rented properties</w:t>
      </w:r>
      <w:bookmarkEnd w:id="152"/>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by No. 60 of 2011 s. 79.] </w:t>
      </w:r>
    </w:p>
    <w:p>
      <w:pPr>
        <w:pStyle w:val="Heading5"/>
      </w:pPr>
      <w:bookmarkStart w:id="153" w:name="_Toc382386807"/>
      <w:r>
        <w:rPr>
          <w:rStyle w:val="CharSectno"/>
        </w:rPr>
        <w:t>81B</w:t>
      </w:r>
      <w:r>
        <w:t>.</w:t>
      </w:r>
      <w:r>
        <w:tab/>
        <w:t>Notice of proposed recovery of premises by person with superior title</w:t>
      </w:r>
      <w:bookmarkEnd w:id="153"/>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by No. 60 of 2011 s. 79.] </w:t>
      </w:r>
    </w:p>
    <w:p>
      <w:pPr>
        <w:pStyle w:val="Heading5"/>
      </w:pPr>
      <w:bookmarkStart w:id="154" w:name="_Toc382386808"/>
      <w:r>
        <w:rPr>
          <w:rStyle w:val="CharSectno"/>
        </w:rPr>
        <w:t>81</w:t>
      </w:r>
      <w:r>
        <w:t>.</w:t>
      </w:r>
      <w:r>
        <w:tab/>
        <w:t>Order for tenancy against person with superior title</w:t>
      </w:r>
      <w:bookmarkEnd w:id="154"/>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by No. 60 of 2011 s. 79.] </w:t>
      </w:r>
    </w:p>
    <w:p>
      <w:pPr>
        <w:pStyle w:val="Heading2"/>
      </w:pPr>
      <w:bookmarkStart w:id="155" w:name="_Toc382386620"/>
      <w:bookmarkStart w:id="156" w:name="_Toc382386809"/>
      <w:r>
        <w:rPr>
          <w:rStyle w:val="CharPartNo"/>
        </w:rPr>
        <w:t>Part VIA</w:t>
      </w:r>
      <w:r>
        <w:t> — </w:t>
      </w:r>
      <w:r>
        <w:rPr>
          <w:rStyle w:val="CharPartText"/>
        </w:rPr>
        <w:t>Residential tenancy databases</w:t>
      </w:r>
      <w:bookmarkEnd w:id="155"/>
      <w:bookmarkEnd w:id="156"/>
    </w:p>
    <w:p>
      <w:pPr>
        <w:pStyle w:val="Footnoteheading"/>
      </w:pPr>
      <w:r>
        <w:tab/>
        <w:t xml:space="preserve">[Heading inserted by No. 60 of 2011 s. 96.] </w:t>
      </w:r>
    </w:p>
    <w:p>
      <w:pPr>
        <w:pStyle w:val="Heading3"/>
      </w:pPr>
      <w:bookmarkStart w:id="157" w:name="_Toc382386621"/>
      <w:bookmarkStart w:id="158" w:name="_Toc382386810"/>
      <w:r>
        <w:rPr>
          <w:rStyle w:val="CharDivNo"/>
        </w:rPr>
        <w:t>Division 1</w:t>
      </w:r>
      <w:r>
        <w:t> — </w:t>
      </w:r>
      <w:r>
        <w:rPr>
          <w:rStyle w:val="CharDivText"/>
        </w:rPr>
        <w:t>Preliminary</w:t>
      </w:r>
      <w:bookmarkEnd w:id="157"/>
      <w:bookmarkEnd w:id="158"/>
    </w:p>
    <w:p>
      <w:pPr>
        <w:pStyle w:val="Footnoteheading"/>
      </w:pPr>
      <w:r>
        <w:tab/>
        <w:t xml:space="preserve">[Heading inserted by No. 60 of 2011 s. 96.] </w:t>
      </w:r>
    </w:p>
    <w:p>
      <w:pPr>
        <w:pStyle w:val="Heading5"/>
      </w:pPr>
      <w:bookmarkStart w:id="159" w:name="_Toc382386811"/>
      <w:r>
        <w:rPr>
          <w:rStyle w:val="CharSectno"/>
          <w:spacing w:val="-6"/>
        </w:rPr>
        <w:t>82A</w:t>
      </w:r>
      <w:r>
        <w:t>.</w:t>
      </w:r>
      <w:r>
        <w:tab/>
        <w:t>Terms used</w:t>
      </w:r>
      <w:bookmarkEnd w:id="159"/>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by No. 60 of 2011 s. 96.] </w:t>
      </w:r>
    </w:p>
    <w:p>
      <w:pPr>
        <w:pStyle w:val="Heading5"/>
      </w:pPr>
      <w:bookmarkStart w:id="160" w:name="_Toc382386812"/>
      <w:r>
        <w:rPr>
          <w:rStyle w:val="CharSectno"/>
          <w:spacing w:val="-6"/>
        </w:rPr>
        <w:t>82B</w:t>
      </w:r>
      <w:r>
        <w:t>.</w:t>
      </w:r>
      <w:r>
        <w:tab/>
        <w:t>Application of Part</w:t>
      </w:r>
      <w:bookmarkEnd w:id="160"/>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by No. 60 of 2011 s. 96.] </w:t>
      </w:r>
    </w:p>
    <w:p>
      <w:pPr>
        <w:pStyle w:val="Heading3"/>
      </w:pPr>
      <w:bookmarkStart w:id="161" w:name="_Toc382386624"/>
      <w:bookmarkStart w:id="162" w:name="_Toc382386813"/>
      <w:r>
        <w:rPr>
          <w:rStyle w:val="CharDivNo"/>
        </w:rPr>
        <w:t>Division 2</w:t>
      </w:r>
      <w:r>
        <w:t> — </w:t>
      </w:r>
      <w:r>
        <w:rPr>
          <w:rStyle w:val="CharDivText"/>
        </w:rPr>
        <w:t>Tenancy database information</w:t>
      </w:r>
      <w:bookmarkEnd w:id="161"/>
      <w:bookmarkEnd w:id="162"/>
    </w:p>
    <w:p>
      <w:pPr>
        <w:pStyle w:val="Footnoteheading"/>
        <w:spacing w:before="100"/>
      </w:pPr>
      <w:r>
        <w:tab/>
        <w:t xml:space="preserve">[Heading inserted by No. 60 of 2011 s. 96.] </w:t>
      </w:r>
    </w:p>
    <w:p>
      <w:pPr>
        <w:pStyle w:val="Heading5"/>
      </w:pPr>
      <w:bookmarkStart w:id="163" w:name="_Toc382386814"/>
      <w:r>
        <w:rPr>
          <w:rStyle w:val="CharSectno"/>
          <w:spacing w:val="-6"/>
        </w:rPr>
        <w:t>82C</w:t>
      </w:r>
      <w:r>
        <w:t>.</w:t>
      </w:r>
      <w:r>
        <w:tab/>
        <w:t>Notice of usual use of database</w:t>
      </w:r>
      <w:bookmarkEnd w:id="163"/>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by No. 60 of 2011 s. 96.] </w:t>
      </w:r>
    </w:p>
    <w:p>
      <w:pPr>
        <w:pStyle w:val="Heading5"/>
      </w:pPr>
      <w:bookmarkStart w:id="164" w:name="_Toc382386815"/>
      <w:r>
        <w:rPr>
          <w:rStyle w:val="CharSectno"/>
          <w:spacing w:val="-6"/>
        </w:rPr>
        <w:t>82D</w:t>
      </w:r>
      <w:r>
        <w:t>.</w:t>
      </w:r>
      <w:r>
        <w:tab/>
        <w:t>Notice of listing if database used</w:t>
      </w:r>
      <w:bookmarkEnd w:id="164"/>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by No. 60 of 2011 s. 96.] </w:t>
      </w:r>
    </w:p>
    <w:p>
      <w:pPr>
        <w:pStyle w:val="Heading5"/>
      </w:pPr>
      <w:bookmarkStart w:id="165" w:name="_Toc382386816"/>
      <w:r>
        <w:rPr>
          <w:rStyle w:val="CharSectno"/>
          <w:spacing w:val="-6"/>
        </w:rPr>
        <w:t>82E</w:t>
      </w:r>
      <w:r>
        <w:t>.</w:t>
      </w:r>
      <w:r>
        <w:tab/>
        <w:t>Listing can be made only for particular breaches by particular persons</w:t>
      </w:r>
      <w:bookmarkEnd w:id="165"/>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by No. 60 of 2011 s. 96.] </w:t>
      </w:r>
    </w:p>
    <w:p>
      <w:pPr>
        <w:pStyle w:val="Heading5"/>
      </w:pPr>
      <w:bookmarkStart w:id="166" w:name="_Toc382386817"/>
      <w:r>
        <w:rPr>
          <w:rStyle w:val="CharSectno"/>
          <w:spacing w:val="-6"/>
        </w:rPr>
        <w:t>82F</w:t>
      </w:r>
      <w:r>
        <w:t>.</w:t>
      </w:r>
      <w:r>
        <w:tab/>
        <w:t>Further restriction on listing</w:t>
      </w:r>
      <w:bookmarkEnd w:id="166"/>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by No. 60 of 2011 s. 96.] </w:t>
      </w:r>
    </w:p>
    <w:p>
      <w:pPr>
        <w:pStyle w:val="Heading5"/>
      </w:pPr>
      <w:bookmarkStart w:id="167" w:name="_Toc382386818"/>
      <w:r>
        <w:rPr>
          <w:rStyle w:val="CharSectno"/>
          <w:spacing w:val="-6"/>
        </w:rPr>
        <w:t>82G</w:t>
      </w:r>
      <w:r>
        <w:t>.</w:t>
      </w:r>
      <w:r>
        <w:tab/>
        <w:t>Ensuring quality of listing — lessor’s or agent’s obligation</w:t>
      </w:r>
      <w:bookmarkEnd w:id="167"/>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r>
        <w:tab/>
        <w:t xml:space="preserve">[Section 82G inserted by No. 60 of 2011 s. 96.] </w:t>
      </w:r>
    </w:p>
    <w:p>
      <w:pPr>
        <w:pStyle w:val="Heading5"/>
      </w:pPr>
      <w:bookmarkStart w:id="168" w:name="_Toc382386819"/>
      <w:r>
        <w:rPr>
          <w:rStyle w:val="CharSectno"/>
          <w:spacing w:val="-6"/>
        </w:rPr>
        <w:t>82H</w:t>
      </w:r>
      <w:r>
        <w:t>.</w:t>
      </w:r>
      <w:r>
        <w:tab/>
        <w:t>Ensuring quality of listing — database operator’s obligation</w:t>
      </w:r>
      <w:bookmarkEnd w:id="168"/>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r>
        <w:tab/>
        <w:t xml:space="preserve">[Section 82H inserted by No. 60 of 2011 s. 96.] </w:t>
      </w:r>
    </w:p>
    <w:p>
      <w:pPr>
        <w:pStyle w:val="Heading5"/>
      </w:pPr>
      <w:bookmarkStart w:id="169" w:name="_Toc382386820"/>
      <w:r>
        <w:rPr>
          <w:rStyle w:val="CharSectno"/>
          <w:spacing w:val="-6"/>
        </w:rPr>
        <w:t>82I</w:t>
      </w:r>
      <w:r>
        <w:t>.</w:t>
      </w:r>
      <w:r>
        <w:tab/>
        <w:t>Providing copy of personal information listed</w:t>
      </w:r>
      <w:bookmarkEnd w:id="169"/>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by No. 60 of 2011 s. 96.] </w:t>
      </w:r>
    </w:p>
    <w:p>
      <w:pPr>
        <w:pStyle w:val="Heading5"/>
      </w:pPr>
      <w:bookmarkStart w:id="170" w:name="_Toc382386821"/>
      <w:r>
        <w:rPr>
          <w:rStyle w:val="CharSectno"/>
        </w:rPr>
        <w:t>82J</w:t>
      </w:r>
      <w:r>
        <w:t>.</w:t>
      </w:r>
      <w:r>
        <w:tab/>
        <w:t>Disputes about listings</w:t>
      </w:r>
      <w:bookmarkEnd w:id="170"/>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by No. 60 of 2011 s. 96.] </w:t>
      </w:r>
    </w:p>
    <w:p>
      <w:pPr>
        <w:pStyle w:val="Heading5"/>
      </w:pPr>
      <w:bookmarkStart w:id="171" w:name="_Toc382386822"/>
      <w:r>
        <w:rPr>
          <w:rStyle w:val="CharSectno"/>
          <w:spacing w:val="-6"/>
        </w:rPr>
        <w:t>82K</w:t>
      </w:r>
      <w:r>
        <w:t>.</w:t>
      </w:r>
      <w:r>
        <w:tab/>
        <w:t>Keeping personal information listed</w:t>
      </w:r>
      <w:bookmarkEnd w:id="171"/>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by No. 60 of 2011 s. 96.] </w:t>
      </w:r>
    </w:p>
    <w:p>
      <w:pPr>
        <w:pStyle w:val="Heading2"/>
      </w:pPr>
      <w:bookmarkStart w:id="172" w:name="_Toc382386634"/>
      <w:bookmarkStart w:id="173" w:name="_Toc382386823"/>
      <w:r>
        <w:rPr>
          <w:rStyle w:val="CharPartNo"/>
        </w:rPr>
        <w:t>Part VI</w:t>
      </w:r>
      <w:r>
        <w:rPr>
          <w:rStyle w:val="CharDivNo"/>
        </w:rPr>
        <w:t> </w:t>
      </w:r>
      <w:r>
        <w:t>—</w:t>
      </w:r>
      <w:r>
        <w:rPr>
          <w:rStyle w:val="CharDivText"/>
        </w:rPr>
        <w:t> </w:t>
      </w:r>
      <w:r>
        <w:rPr>
          <w:rStyle w:val="CharPartText"/>
        </w:rPr>
        <w:t>Miscellaneous</w:t>
      </w:r>
      <w:bookmarkEnd w:id="172"/>
      <w:bookmarkEnd w:id="173"/>
    </w:p>
    <w:p>
      <w:pPr>
        <w:pStyle w:val="Heading5"/>
        <w:spacing w:before="200"/>
        <w:rPr>
          <w:snapToGrid w:val="0"/>
        </w:rPr>
      </w:pPr>
      <w:bookmarkStart w:id="174" w:name="_Toc382386824"/>
      <w:r>
        <w:rPr>
          <w:rStyle w:val="CharSectno"/>
        </w:rPr>
        <w:t>82</w:t>
      </w:r>
      <w:r>
        <w:rPr>
          <w:snapToGrid w:val="0"/>
        </w:rPr>
        <w:t>.</w:t>
      </w:r>
      <w:r>
        <w:rPr>
          <w:snapToGrid w:val="0"/>
        </w:rPr>
        <w:tab/>
        <w:t>Contracting out</w:t>
      </w:r>
      <w:bookmarkEnd w:id="174"/>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r>
        <w:tab/>
        <w:t>[(3)</w:t>
      </w:r>
      <w:r>
        <w:tab/>
        <w:t>deleted]</w:t>
      </w:r>
    </w:p>
    <w:p>
      <w:pPr>
        <w:pStyle w:val="Footnotesection"/>
        <w:spacing w:before="100"/>
      </w:pPr>
      <w:r>
        <w:tab/>
        <w:t xml:space="preserve">[Section 82 amended by No. 60 of 2011 s. 80.] </w:t>
      </w:r>
    </w:p>
    <w:p>
      <w:pPr>
        <w:pStyle w:val="Heading5"/>
        <w:spacing w:before="200"/>
        <w:rPr>
          <w:snapToGrid w:val="0"/>
        </w:rPr>
      </w:pPr>
      <w:bookmarkStart w:id="175" w:name="_Toc382386825"/>
      <w:r>
        <w:rPr>
          <w:rStyle w:val="CharSectno"/>
        </w:rPr>
        <w:t>83</w:t>
      </w:r>
      <w:r>
        <w:rPr>
          <w:snapToGrid w:val="0"/>
        </w:rPr>
        <w:t>.</w:t>
      </w:r>
      <w:r>
        <w:rPr>
          <w:snapToGrid w:val="0"/>
        </w:rPr>
        <w:tab/>
        <w:t>Recovery of amounts paid under mistake of law or fact</w:t>
      </w:r>
      <w:bookmarkEnd w:id="175"/>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by No. 50 of 1988 s. 18; No. 59 of 2004 s. 120(1).] </w:t>
      </w:r>
    </w:p>
    <w:p>
      <w:pPr>
        <w:pStyle w:val="Heading5"/>
        <w:spacing w:before="200"/>
        <w:rPr>
          <w:snapToGrid w:val="0"/>
        </w:rPr>
      </w:pPr>
      <w:bookmarkStart w:id="176" w:name="_Toc382386826"/>
      <w:r>
        <w:rPr>
          <w:rStyle w:val="CharSectno"/>
        </w:rPr>
        <w:t>84</w:t>
      </w:r>
      <w:r>
        <w:rPr>
          <w:snapToGrid w:val="0"/>
        </w:rPr>
        <w:t>.</w:t>
      </w:r>
      <w:r>
        <w:rPr>
          <w:snapToGrid w:val="0"/>
        </w:rPr>
        <w:tab/>
        <w:t>Exemption of tenancy agreement or premises from provision of Act</w:t>
      </w:r>
      <w:bookmarkEnd w:id="176"/>
      <w:r>
        <w:rPr>
          <w:snapToGrid w:val="0"/>
        </w:rPr>
        <w:t xml:space="preserve"> </w:t>
      </w:r>
    </w:p>
    <w:p>
      <w:pPr>
        <w:pStyle w:val="Subsection"/>
        <w:spacing w:before="120"/>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by No. 50 of 1988 s. 16; No. 59 of 2004 s. 120(1) and (3).] </w:t>
      </w:r>
    </w:p>
    <w:p>
      <w:pPr>
        <w:pStyle w:val="Heading5"/>
        <w:rPr>
          <w:snapToGrid w:val="0"/>
        </w:rPr>
      </w:pPr>
      <w:bookmarkStart w:id="177" w:name="_Toc382386827"/>
      <w:r>
        <w:rPr>
          <w:rStyle w:val="CharSectno"/>
        </w:rPr>
        <w:t>85</w:t>
      </w:r>
      <w:r>
        <w:rPr>
          <w:snapToGrid w:val="0"/>
        </w:rPr>
        <w:t>.</w:t>
      </w:r>
      <w:r>
        <w:rPr>
          <w:snapToGrid w:val="0"/>
        </w:rPr>
        <w:tab/>
        <w:t>Service</w:t>
      </w:r>
      <w:bookmarkEnd w:id="177"/>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 xml:space="preserve">Any notice or document required or authorised to be given under this Act to any person whose address is unknown shall be deemed to have been given to that person </w:t>
      </w:r>
      <w:r>
        <w:t>if —</w:t>
      </w:r>
    </w:p>
    <w:p>
      <w:pPr>
        <w:pStyle w:val="Indenta"/>
        <w:spacing w:before="60"/>
      </w:pPr>
      <w:r>
        <w:tab/>
        <w:t>(a)</w:t>
      </w:r>
      <w:r>
        <w:tab/>
        <w:t>a copy of it is published in a daily newspaper circulating throughout the State; or</w:t>
      </w:r>
    </w:p>
    <w:p>
      <w:pPr>
        <w:pStyle w:val="Indenta"/>
        <w:spacing w:before="60"/>
      </w:pPr>
      <w:r>
        <w:tab/>
        <w:t>(b)</w:t>
      </w:r>
      <w:r>
        <w:tab/>
        <w:t>a court hearing proceedings under this Act orders an alternative means of giving the notice or document, and that means of giving the notice or document is effected.</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 xml:space="preserve">to any person apparently over the age of 16 years apparently residing at the place of residence of </w:t>
      </w:r>
      <w:r>
        <w:rPr>
          <w:snapToGrid w:val="0"/>
          <w:spacing w:val="-4"/>
        </w:rPr>
        <w:t>the lessor</w:t>
      </w:r>
      <w:r>
        <w:rPr>
          <w:snapToGrid w:val="0"/>
        </w:rPr>
        <w:t>,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by No. 60 of 2011 s. 81 and 89.] </w:t>
      </w:r>
    </w:p>
    <w:p>
      <w:pPr>
        <w:pStyle w:val="Heading5"/>
        <w:spacing w:before="260"/>
      </w:pPr>
      <w:bookmarkStart w:id="178" w:name="_Toc382386828"/>
      <w:r>
        <w:rPr>
          <w:rStyle w:val="CharSectno"/>
        </w:rPr>
        <w:t>86</w:t>
      </w:r>
      <w:r>
        <w:t>.</w:t>
      </w:r>
      <w:r>
        <w:tab/>
        <w:t>Court may refer matter to Commissioner for investigation</w:t>
      </w:r>
      <w:bookmarkEnd w:id="178"/>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by No. 60 of 2011 s. 82.] </w:t>
      </w:r>
    </w:p>
    <w:p>
      <w:pPr>
        <w:pStyle w:val="Heading5"/>
        <w:spacing w:before="260"/>
      </w:pPr>
      <w:bookmarkStart w:id="179" w:name="_Toc382386829"/>
      <w:r>
        <w:rPr>
          <w:rStyle w:val="CharSectno"/>
        </w:rPr>
        <w:t>87A</w:t>
      </w:r>
      <w:r>
        <w:t>.</w:t>
      </w:r>
      <w:r>
        <w:tab/>
        <w:t>Defence where lessor and property manager are both charged with the same offence</w:t>
      </w:r>
      <w:bookmarkEnd w:id="179"/>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by No. 60 of 2011 s. 82.] </w:t>
      </w:r>
    </w:p>
    <w:p>
      <w:pPr>
        <w:pStyle w:val="Heading5"/>
        <w:rPr>
          <w:snapToGrid w:val="0"/>
        </w:rPr>
      </w:pPr>
      <w:bookmarkStart w:id="180" w:name="_Toc382386830"/>
      <w:r>
        <w:rPr>
          <w:rStyle w:val="CharSectno"/>
        </w:rPr>
        <w:t>87</w:t>
      </w:r>
      <w:r>
        <w:rPr>
          <w:snapToGrid w:val="0"/>
        </w:rPr>
        <w:t>.</w:t>
      </w:r>
      <w:r>
        <w:rPr>
          <w:snapToGrid w:val="0"/>
        </w:rPr>
        <w:tab/>
        <w:t>Time for bringing proceedings</w:t>
      </w:r>
      <w:bookmarkEnd w:id="180"/>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181" w:name="_Toc382386831"/>
      <w:r>
        <w:rPr>
          <w:rStyle w:val="CharSectno"/>
        </w:rPr>
        <w:t>88A</w:t>
      </w:r>
      <w:r>
        <w:t>.</w:t>
      </w:r>
      <w:r>
        <w:tab/>
        <w:t>Infringement notices</w:t>
      </w:r>
      <w:bookmarkEnd w:id="181"/>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by No. 60 of 2011 s. 83.] </w:t>
      </w:r>
    </w:p>
    <w:p>
      <w:pPr>
        <w:pStyle w:val="Heading5"/>
        <w:rPr>
          <w:snapToGrid w:val="0"/>
        </w:rPr>
      </w:pPr>
      <w:bookmarkStart w:id="182" w:name="_Toc382386832"/>
      <w:r>
        <w:rPr>
          <w:rStyle w:val="CharSectno"/>
        </w:rPr>
        <w:t>88</w:t>
      </w:r>
      <w:r>
        <w:rPr>
          <w:snapToGrid w:val="0"/>
        </w:rPr>
        <w:t>.</w:t>
      </w:r>
      <w:r>
        <w:rPr>
          <w:snapToGrid w:val="0"/>
        </w:rPr>
        <w:tab/>
        <w:t>Regulations</w:t>
      </w:r>
      <w:bookmarkEnd w:id="18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by No. 60 of 2011 s. 84.] </w:t>
      </w:r>
    </w:p>
    <w:p>
      <w:pPr>
        <w:pStyle w:val="Ednotesection"/>
      </w:pPr>
      <w:r>
        <w:t>[</w:t>
      </w:r>
      <w:r>
        <w:rPr>
          <w:b/>
        </w:rPr>
        <w:t>89.</w:t>
      </w:r>
      <w:r>
        <w:tab/>
        <w:t>Omitted under the Reprints Act 1984 s. 7(4)(e).]</w:t>
      </w:r>
    </w:p>
    <w:p>
      <w:pPr>
        <w:pStyle w:val="Heading5"/>
        <w:rPr>
          <w:snapToGrid w:val="0"/>
        </w:rPr>
      </w:pPr>
      <w:bookmarkStart w:id="183" w:name="_Toc382386833"/>
      <w:r>
        <w:rPr>
          <w:rStyle w:val="CharSectno"/>
        </w:rPr>
        <w:t>90</w:t>
      </w:r>
      <w:r>
        <w:rPr>
          <w:snapToGrid w:val="0"/>
        </w:rPr>
        <w:t>.</w:t>
      </w:r>
      <w:r>
        <w:rPr>
          <w:snapToGrid w:val="0"/>
        </w:rPr>
        <w:tab/>
        <w:t>Review of Act</w:t>
      </w:r>
      <w:bookmarkEnd w:id="183"/>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by No. 59 of 1995 s. 53; No. 60 of 2011 s. 85.] </w:t>
      </w:r>
    </w:p>
    <w:p>
      <w:pPr>
        <w:pStyle w:val="Heading2"/>
      </w:pPr>
      <w:bookmarkStart w:id="184" w:name="_Toc382386645"/>
      <w:bookmarkStart w:id="185" w:name="_Toc382386834"/>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184"/>
      <w:bookmarkEnd w:id="185"/>
    </w:p>
    <w:p>
      <w:pPr>
        <w:pStyle w:val="Footnoteheading"/>
      </w:pPr>
      <w:r>
        <w:tab/>
        <w:t xml:space="preserve">[Heading inserted by No. 60 of 2011 s. 86.] </w:t>
      </w:r>
    </w:p>
    <w:p>
      <w:pPr>
        <w:pStyle w:val="Heading3"/>
      </w:pPr>
      <w:bookmarkStart w:id="186" w:name="_Toc382386646"/>
      <w:bookmarkStart w:id="187" w:name="_Toc382386835"/>
      <w:r>
        <w:rPr>
          <w:rStyle w:val="CharDivNo"/>
        </w:rPr>
        <w:t>Division 1</w:t>
      </w:r>
      <w:r>
        <w:t> — </w:t>
      </w:r>
      <w:r>
        <w:rPr>
          <w:rStyle w:val="CharDivText"/>
        </w:rPr>
        <w:t>Contracting out</w:t>
      </w:r>
      <w:bookmarkEnd w:id="186"/>
      <w:bookmarkEnd w:id="187"/>
    </w:p>
    <w:p>
      <w:pPr>
        <w:pStyle w:val="Footnoteheading"/>
      </w:pPr>
      <w:r>
        <w:tab/>
        <w:t xml:space="preserve">[Heading inserted by No. 60 of 2011 s. 86.] </w:t>
      </w:r>
    </w:p>
    <w:p>
      <w:pPr>
        <w:pStyle w:val="Heading5"/>
      </w:pPr>
      <w:bookmarkStart w:id="188" w:name="_Toc382386836"/>
      <w:r>
        <w:rPr>
          <w:rStyle w:val="CharSectno"/>
        </w:rPr>
        <w:t>91</w:t>
      </w:r>
      <w:r>
        <w:t>.</w:t>
      </w:r>
      <w:r>
        <w:tab/>
        <w:t>Savings in relation to contracting out of standard terms</w:t>
      </w:r>
      <w:bookmarkEnd w:id="18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by No. 60 of 2011 s. 86.] </w:t>
      </w:r>
    </w:p>
    <w:p>
      <w:pPr>
        <w:pStyle w:val="Heading3"/>
      </w:pPr>
      <w:bookmarkStart w:id="189" w:name="_Toc382386648"/>
      <w:bookmarkStart w:id="190" w:name="_Toc382386837"/>
      <w:r>
        <w:rPr>
          <w:rStyle w:val="CharDivNo"/>
        </w:rPr>
        <w:t>Division 2</w:t>
      </w:r>
      <w:r>
        <w:t> — </w:t>
      </w:r>
      <w:r>
        <w:rPr>
          <w:rStyle w:val="CharDivText"/>
        </w:rPr>
        <w:t>Security bonds held in AFI</w:t>
      </w:r>
      <w:bookmarkEnd w:id="189"/>
      <w:bookmarkEnd w:id="190"/>
    </w:p>
    <w:p>
      <w:pPr>
        <w:pStyle w:val="Footnoteheading"/>
      </w:pPr>
      <w:r>
        <w:tab/>
        <w:t xml:space="preserve">[Heading inserted by No. 60 of 2011 s. 86.] </w:t>
      </w:r>
    </w:p>
    <w:p>
      <w:pPr>
        <w:pStyle w:val="Heading5"/>
      </w:pPr>
      <w:bookmarkStart w:id="191" w:name="_Toc382386838"/>
      <w:r>
        <w:rPr>
          <w:rStyle w:val="CharSectno"/>
        </w:rPr>
        <w:t>92</w:t>
      </w:r>
      <w:r>
        <w:t>.</w:t>
      </w:r>
      <w:r>
        <w:tab/>
        <w:t>Terms used</w:t>
      </w:r>
      <w:bookmarkEnd w:id="191"/>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by No. 60 of 2011 s. 86.] </w:t>
      </w:r>
    </w:p>
    <w:p>
      <w:pPr>
        <w:pStyle w:val="Heading5"/>
      </w:pPr>
      <w:bookmarkStart w:id="192" w:name="_Toc382386839"/>
      <w:r>
        <w:rPr>
          <w:rStyle w:val="CharSectno"/>
        </w:rPr>
        <w:t>93</w:t>
      </w:r>
      <w:r>
        <w:t>.</w:t>
      </w:r>
      <w:r>
        <w:tab/>
        <w:t>All security bonds to be transferred to the bond administrator after renewal of agreement or within 18 months</w:t>
      </w:r>
      <w:bookmarkEnd w:id="192"/>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by No. 60 of 2011 s. 86.] </w:t>
      </w:r>
    </w:p>
    <w:p>
      <w:pPr>
        <w:pStyle w:val="Heading5"/>
      </w:pPr>
      <w:bookmarkStart w:id="193" w:name="_Toc382386840"/>
      <w:r>
        <w:rPr>
          <w:rStyle w:val="CharSectno"/>
        </w:rPr>
        <w:t>94</w:t>
      </w:r>
      <w:r>
        <w:t>.</w:t>
      </w:r>
      <w:r>
        <w:tab/>
        <w:t>Requirements for AFI holding security bonds</w:t>
      </w:r>
      <w:bookmarkEnd w:id="193"/>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r>
        <w:tab/>
        <w:t xml:space="preserve">[Section 94 inserted by No. 60 of 2011 s. 86.] </w:t>
      </w:r>
    </w:p>
    <w:p>
      <w:pPr>
        <w:pStyle w:val="Heading5"/>
      </w:pPr>
      <w:bookmarkStart w:id="194" w:name="_Toc382386841"/>
      <w:r>
        <w:rPr>
          <w:rStyle w:val="CharSectno"/>
        </w:rPr>
        <w:t>95</w:t>
      </w:r>
      <w:r>
        <w:t>.</w:t>
      </w:r>
      <w:r>
        <w:tab/>
        <w:t>Power of Commissioner to obtain information relating to AFI security bond accounts</w:t>
      </w:r>
      <w:bookmarkEnd w:id="194"/>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by No. 60 of 2011 s. 86.] </w:t>
      </w:r>
    </w:p>
    <w:p>
      <w:pPr>
        <w:pStyle w:val="Heading5"/>
      </w:pPr>
      <w:bookmarkStart w:id="195" w:name="_Toc382386842"/>
      <w:r>
        <w:rPr>
          <w:rStyle w:val="CharSectno"/>
        </w:rPr>
        <w:t>96</w:t>
      </w:r>
      <w:r>
        <w:t>.</w:t>
      </w:r>
      <w:r>
        <w:tab/>
        <w:t>Disposal of security bond held in AFIs</w:t>
      </w:r>
      <w:bookmarkEnd w:id="195"/>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by No. 60 of 2011 s. 86.] </w:t>
      </w:r>
    </w:p>
    <w:p>
      <w:pPr>
        <w:pStyle w:val="Heading3"/>
      </w:pPr>
      <w:bookmarkStart w:id="196" w:name="_Toc382386654"/>
      <w:bookmarkStart w:id="197" w:name="_Toc382386843"/>
      <w:r>
        <w:rPr>
          <w:rStyle w:val="CharDivNo"/>
        </w:rPr>
        <w:t>Division 3</w:t>
      </w:r>
      <w:r>
        <w:t> — </w:t>
      </w:r>
      <w:r>
        <w:rPr>
          <w:rStyle w:val="CharDivText"/>
        </w:rPr>
        <w:t>Residential tenancy databases</w:t>
      </w:r>
      <w:bookmarkEnd w:id="196"/>
      <w:bookmarkEnd w:id="197"/>
    </w:p>
    <w:p>
      <w:pPr>
        <w:pStyle w:val="Footnoteheading"/>
        <w:keepNext/>
      </w:pPr>
      <w:r>
        <w:tab/>
        <w:t xml:space="preserve">[Heading inserted by No. 60 of 2011 s. 86.] </w:t>
      </w:r>
    </w:p>
    <w:p>
      <w:pPr>
        <w:pStyle w:val="Heading5"/>
      </w:pPr>
      <w:bookmarkStart w:id="198" w:name="_Toc382386844"/>
      <w:r>
        <w:rPr>
          <w:rStyle w:val="CharSectno"/>
        </w:rPr>
        <w:t>97</w:t>
      </w:r>
      <w:r>
        <w:t>.</w:t>
      </w:r>
      <w:r>
        <w:tab/>
        <w:t>Application of Part VIA to listings existing before commencement day</w:t>
      </w:r>
      <w:bookmarkEnd w:id="198"/>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by No. 60 of 2011 s. 86.] </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99" w:name="_Toc382386656"/>
      <w:bookmarkStart w:id="200" w:name="_Toc382386845"/>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199"/>
      <w:bookmarkEnd w:id="200"/>
    </w:p>
    <w:p>
      <w:pPr>
        <w:pStyle w:val="yShoulderClause"/>
      </w:pPr>
      <w:r>
        <w:t>[s. 3, 7(3), 12, 29(4), (7), (8), 59D(6), 79(5), (6), (11) and 80A(8)]</w:t>
      </w:r>
    </w:p>
    <w:p>
      <w:pPr>
        <w:pStyle w:val="yFootnoteheading"/>
      </w:pPr>
      <w:r>
        <w:tab/>
        <w:t xml:space="preserve">[Heading inserted by No. 60 of 2011 s. 87(1).] </w:t>
      </w:r>
    </w:p>
    <w:p>
      <w:pPr>
        <w:pStyle w:val="yHeading3"/>
      </w:pPr>
      <w:bookmarkStart w:id="201" w:name="_Toc382386657"/>
      <w:bookmarkStart w:id="202" w:name="_Toc382386846"/>
      <w:r>
        <w:rPr>
          <w:rStyle w:val="CharSDivNo"/>
        </w:rPr>
        <w:t>Division 1</w:t>
      </w:r>
      <w:r>
        <w:t> — </w:t>
      </w:r>
      <w:r>
        <w:rPr>
          <w:rStyle w:val="CharSDivText"/>
        </w:rPr>
        <w:t>General</w:t>
      </w:r>
      <w:bookmarkEnd w:id="201"/>
      <w:bookmarkEnd w:id="202"/>
    </w:p>
    <w:p>
      <w:pPr>
        <w:pStyle w:val="yFootnoteheading"/>
      </w:pPr>
      <w:r>
        <w:tab/>
        <w:t>[Heading inserted by No. 60 of 2011 s. 87(2).]</w:t>
      </w:r>
    </w:p>
    <w:p>
      <w:pPr>
        <w:pStyle w:val="yHeading5"/>
        <w:outlineLvl w:val="9"/>
        <w:rPr>
          <w:snapToGrid w:val="0"/>
        </w:rPr>
      </w:pPr>
      <w:bookmarkStart w:id="203" w:name="_Toc382386847"/>
      <w:r>
        <w:rPr>
          <w:rStyle w:val="CharSClsNo"/>
        </w:rPr>
        <w:t>1</w:t>
      </w:r>
      <w:r>
        <w:rPr>
          <w:snapToGrid w:val="0"/>
        </w:rPr>
        <w:t>.</w:t>
      </w:r>
      <w:r>
        <w:rPr>
          <w:snapToGrid w:val="0"/>
        </w:rPr>
        <w:tab/>
        <w:t>Term used: authorised agent</w:t>
      </w:r>
      <w:bookmarkEnd w:id="203"/>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by No. 31 of 1993 s. 63(a); No. 59 of 1995 s. 54(1)(a); No. 26 of 1999 s. 100(3); No. 60  of 2011 s. 87(3)-(4).] </w:t>
      </w:r>
    </w:p>
    <w:p>
      <w:pPr>
        <w:pStyle w:val="yEdnotesection"/>
      </w:pPr>
      <w:r>
        <w:t>[</w:t>
      </w:r>
      <w:r>
        <w:rPr>
          <w:b/>
        </w:rPr>
        <w:t>2.</w:t>
      </w:r>
      <w:r>
        <w:tab/>
        <w:t>Deleted by No. 60 of 2011 s. 87(5).]</w:t>
      </w:r>
    </w:p>
    <w:p>
      <w:pPr>
        <w:pStyle w:val="yHeading5"/>
        <w:outlineLvl w:val="9"/>
        <w:rPr>
          <w:snapToGrid w:val="0"/>
        </w:rPr>
      </w:pPr>
      <w:bookmarkStart w:id="204" w:name="_Toc382386848"/>
      <w:r>
        <w:rPr>
          <w:rStyle w:val="CharSClsNo"/>
        </w:rPr>
        <w:t>3</w:t>
      </w:r>
      <w:r>
        <w:rPr>
          <w:snapToGrid w:val="0"/>
        </w:rPr>
        <w:t>.</w:t>
      </w:r>
      <w:r>
        <w:rPr>
          <w:snapToGrid w:val="0"/>
        </w:rPr>
        <w:tab/>
        <w:t>Rental Accommodation Account</w:t>
      </w:r>
      <w:bookmarkEnd w:id="204"/>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by No. 50 of 1988 s. 17(a); No. 6 of 1993 s. 11; No. 31 of 1993 s. 63(b); No. 59 of 1995 s. 54(1)(d) and (e) and 56; No. 59 of 2004 s. 121; No. 28 of 2006 s. 137; No. 32 of 2006 s. 98; No. 77 of 2006 s. 4 and Sch. 1 cl. 149(2)-(5); No. 60 of 2011 s. 87(6)-(9).]</w:t>
      </w:r>
    </w:p>
    <w:p>
      <w:pPr>
        <w:pStyle w:val="yHeading5"/>
        <w:outlineLvl w:val="9"/>
        <w:rPr>
          <w:snapToGrid w:val="0"/>
        </w:rPr>
      </w:pPr>
      <w:bookmarkStart w:id="205" w:name="_Toc382386849"/>
      <w:r>
        <w:rPr>
          <w:rStyle w:val="CharSClsNo"/>
        </w:rPr>
        <w:t>4</w:t>
      </w:r>
      <w:r>
        <w:rPr>
          <w:snapToGrid w:val="0"/>
        </w:rPr>
        <w:t>.</w:t>
      </w:r>
      <w:r>
        <w:rPr>
          <w:snapToGrid w:val="0"/>
        </w:rPr>
        <w:tab/>
        <w:t>Duties of bond administrator</w:t>
      </w:r>
      <w:bookmarkEnd w:id="205"/>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by No. 77 of 2006 Sch. 1 cl. 149(5); No. 60 of 2011 s. 87(10) and 89.] </w:t>
      </w:r>
    </w:p>
    <w:p>
      <w:pPr>
        <w:pStyle w:val="yHeading3"/>
      </w:pPr>
      <w:bookmarkStart w:id="206" w:name="_Toc382386661"/>
      <w:bookmarkStart w:id="207" w:name="_Toc382386850"/>
      <w:r>
        <w:rPr>
          <w:rStyle w:val="CharSDivNo"/>
        </w:rPr>
        <w:t>Division 2</w:t>
      </w:r>
      <w:r>
        <w:t> — </w:t>
      </w:r>
      <w:r>
        <w:rPr>
          <w:rStyle w:val="CharSDivText"/>
        </w:rPr>
        <w:t>Security bonds</w:t>
      </w:r>
      <w:bookmarkEnd w:id="206"/>
      <w:bookmarkEnd w:id="207"/>
    </w:p>
    <w:p>
      <w:pPr>
        <w:pStyle w:val="yFootnoteheading"/>
      </w:pPr>
      <w:r>
        <w:tab/>
        <w:t>[Heading inserted by No. 60 of 2011 s. 87(11).]</w:t>
      </w:r>
    </w:p>
    <w:p>
      <w:pPr>
        <w:pStyle w:val="yHeading5"/>
      </w:pPr>
      <w:bookmarkStart w:id="208" w:name="_Toc382386851"/>
      <w:r>
        <w:rPr>
          <w:rStyle w:val="CharSClsNo"/>
        </w:rPr>
        <w:t>5A</w:t>
      </w:r>
      <w:r>
        <w:t>.</w:t>
      </w:r>
      <w:r>
        <w:tab/>
        <w:t>Security bond moneys to be paid to bond administrator</w:t>
      </w:r>
      <w:bookmarkEnd w:id="208"/>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by No. 60 of 2011 s. 87(12).] </w:t>
      </w:r>
    </w:p>
    <w:p>
      <w:pPr>
        <w:pStyle w:val="yHeading5"/>
        <w:outlineLvl w:val="9"/>
        <w:rPr>
          <w:snapToGrid w:val="0"/>
        </w:rPr>
      </w:pPr>
      <w:bookmarkStart w:id="209" w:name="_Toc382386852"/>
      <w:r>
        <w:rPr>
          <w:rStyle w:val="CharSClsNo"/>
        </w:rPr>
        <w:t>5</w:t>
      </w:r>
      <w:r>
        <w:rPr>
          <w:snapToGrid w:val="0"/>
        </w:rPr>
        <w:t>.</w:t>
      </w:r>
      <w:r>
        <w:rPr>
          <w:snapToGrid w:val="0"/>
        </w:rPr>
        <w:tab/>
        <w:t>Disposal of security bond by bond administrator</w:t>
      </w:r>
      <w:bookmarkEnd w:id="209"/>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by No. 69 of 2006 s. 32(2) and (3); No. 60 of 2011 s. 87(13)-(15).] </w:t>
      </w:r>
    </w:p>
    <w:p>
      <w:pPr>
        <w:pStyle w:val="yEdnotesection"/>
      </w:pPr>
      <w:r>
        <w:t>[Part C (cl. 6-7) deleted by No. 60 of 2011 s. 87(16).]</w:t>
      </w:r>
    </w:p>
    <w:p>
      <w:pPr>
        <w:pStyle w:val="yEdnotesection"/>
      </w:pPr>
      <w:r>
        <w:tab/>
        <w:t>[Heading deleted by No. 60 of 2011 s. 87(17).]</w:t>
      </w:r>
    </w:p>
    <w:p>
      <w:pPr>
        <w:pStyle w:val="yHeading5"/>
        <w:outlineLvl w:val="9"/>
        <w:rPr>
          <w:snapToGrid w:val="0"/>
        </w:rPr>
      </w:pPr>
      <w:bookmarkStart w:id="210" w:name="_Toc382386853"/>
      <w:r>
        <w:rPr>
          <w:rStyle w:val="CharSClsNo"/>
        </w:rPr>
        <w:t>8</w:t>
      </w:r>
      <w:r>
        <w:rPr>
          <w:snapToGrid w:val="0"/>
        </w:rPr>
        <w:t>.</w:t>
      </w:r>
      <w:r>
        <w:rPr>
          <w:snapToGrid w:val="0"/>
        </w:rPr>
        <w:tab/>
        <w:t>Court may determine disposal of security bond</w:t>
      </w:r>
      <w:bookmarkEnd w:id="210"/>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prescribed form, 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prescribed form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by No. 50 of 1988 s. 17(b) and (c) and 18; No. 59 of 1995 s. 54(1)(h); No. 59 of 2004 s. 120 and 121; No. 60 of 2011 s. 87(18)-(22) and 89.]</w:t>
      </w:r>
    </w:p>
    <w:p>
      <w:pPr>
        <w:pStyle w:val="yHeading3"/>
      </w:pPr>
      <w:bookmarkStart w:id="211" w:name="_Toc382386665"/>
      <w:bookmarkStart w:id="212" w:name="_Toc382386854"/>
      <w:r>
        <w:rPr>
          <w:rStyle w:val="CharSDivNo"/>
        </w:rPr>
        <w:t>Division 3</w:t>
      </w:r>
      <w:r>
        <w:t> — </w:t>
      </w:r>
      <w:r>
        <w:rPr>
          <w:rStyle w:val="CharSDivText"/>
        </w:rPr>
        <w:t>Tenant compensation bonds</w:t>
      </w:r>
      <w:bookmarkEnd w:id="211"/>
      <w:bookmarkEnd w:id="212"/>
    </w:p>
    <w:p>
      <w:pPr>
        <w:pStyle w:val="yFootnotesection"/>
      </w:pPr>
      <w:r>
        <w:tab/>
        <w:t>[Heading inserted by No. 60 of 2011 s. 87(23).]</w:t>
      </w:r>
    </w:p>
    <w:p>
      <w:pPr>
        <w:pStyle w:val="yHeading5"/>
      </w:pPr>
      <w:bookmarkStart w:id="213" w:name="_Toc382386855"/>
      <w:r>
        <w:rPr>
          <w:rStyle w:val="CharSClsNo"/>
        </w:rPr>
        <w:t>9</w:t>
      </w:r>
      <w:r>
        <w:t>.</w:t>
      </w:r>
      <w:r>
        <w:tab/>
        <w:t>Application of Division</w:t>
      </w:r>
      <w:bookmarkEnd w:id="213"/>
    </w:p>
    <w:p>
      <w:pPr>
        <w:pStyle w:val="ySubsection"/>
      </w:pPr>
      <w:r>
        <w:tab/>
      </w:r>
      <w:r>
        <w:tab/>
        <w:t>This Division applies where the bond administrator has been paid a tenant compensation bond in accordance with an order under section 59D(2).</w:t>
      </w:r>
    </w:p>
    <w:p>
      <w:pPr>
        <w:pStyle w:val="yFootnotesection"/>
      </w:pPr>
      <w:r>
        <w:tab/>
        <w:t>[Clause 9 inserted by No. 60 of 2011 s. 87(23).]</w:t>
      </w:r>
    </w:p>
    <w:p>
      <w:pPr>
        <w:pStyle w:val="yHeading5"/>
      </w:pPr>
      <w:bookmarkStart w:id="214" w:name="_Toc382386856"/>
      <w:r>
        <w:rPr>
          <w:rStyle w:val="CharSClsNo"/>
        </w:rPr>
        <w:t>10</w:t>
      </w:r>
      <w:r>
        <w:t>.</w:t>
      </w:r>
      <w:r>
        <w:tab/>
        <w:t>Disposal of tenant compensation bond to tenant by bond administrator</w:t>
      </w:r>
      <w:bookmarkEnd w:id="214"/>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by No. 60 of 2011 s. 87(23).]</w:t>
      </w:r>
    </w:p>
    <w:p>
      <w:pPr>
        <w:pStyle w:val="yHeading5"/>
      </w:pPr>
      <w:bookmarkStart w:id="215" w:name="_Toc382386857"/>
      <w:r>
        <w:rPr>
          <w:rStyle w:val="CharSClsNo"/>
        </w:rPr>
        <w:t>11</w:t>
      </w:r>
      <w:r>
        <w:t>.</w:t>
      </w:r>
      <w:r>
        <w:tab/>
        <w:t>Disposal of tenant compensation bond to lessor by bond administrator</w:t>
      </w:r>
      <w:bookmarkEnd w:id="215"/>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by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216" w:name="_Toc382386669"/>
      <w:bookmarkStart w:id="217" w:name="_Toc382386858"/>
      <w:r>
        <w:t>Notes</w:t>
      </w:r>
      <w:bookmarkEnd w:id="216"/>
      <w:bookmarkEnd w:id="217"/>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19 July 2013</w:t>
      </w:r>
      <w:r>
        <w:rPr>
          <w:snapToGrid w:val="0"/>
        </w:rPr>
        <w:fldChar w:fldCharType="end"/>
      </w:r>
      <w:r>
        <w:rPr>
          <w:snapToGrid w:val="0"/>
        </w:rPr>
        <w:t xml:space="preserve"> of the </w:t>
      </w:r>
      <w:r>
        <w:rPr>
          <w:i/>
          <w:noProof/>
          <w:snapToGrid w:val="0"/>
        </w:rPr>
        <w:t>Residential Tenancies Act 1987</w:t>
      </w:r>
      <w:r>
        <w:rPr>
          <w:snapToGrid w:val="0"/>
        </w:rPr>
        <w:t xml:space="preserve"> and includes the amendments made by the other written laws referred to in the following table.  The table also contains information about any reprint.</w:t>
      </w:r>
    </w:p>
    <w:p>
      <w:pPr>
        <w:pStyle w:val="nHeading3"/>
      </w:pPr>
      <w:bookmarkStart w:id="218" w:name="_Toc382386859"/>
      <w:r>
        <w:t>Compilation table</w:t>
      </w:r>
      <w:bookmarkEnd w:id="21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gridAfter w:val="1"/>
          <w:wAfter w:w="9" w:type="dxa"/>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gridAfter w:val="1"/>
          <w:wAfter w:w="9" w:type="dxa"/>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9" w:type="dxa"/>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gridAfter w:val="1"/>
          <w:wAfter w:w="9" w:type="dxa"/>
          <w:cantSplit/>
        </w:trPr>
        <w:tc>
          <w:tcPr>
            <w:tcW w:w="2273"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gridAfter w:val="1"/>
          <w:wAfter w:w="9" w:type="dxa"/>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gridAfter w:val="1"/>
          <w:wAfter w:w="9" w:type="dxa"/>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gridAfter w:val="1"/>
          <w:wAfter w:w="9" w:type="dxa"/>
          <w:cantSplit/>
        </w:trPr>
        <w:tc>
          <w:tcPr>
            <w:tcW w:w="709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gridAfter w:val="1"/>
          <w:wAfter w:w="9" w:type="dxa"/>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9" w:type="dxa"/>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9" w:type="dxa"/>
          <w:cantSplit/>
        </w:trPr>
        <w:tc>
          <w:tcPr>
            <w:tcW w:w="709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After w:val="1"/>
          <w:wAfter w:w="9" w:type="dxa"/>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9" w:type="dxa"/>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9" w:type="dxa"/>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9" w:type="dxa"/>
          <w:cantSplit/>
        </w:trPr>
        <w:tc>
          <w:tcPr>
            <w:tcW w:w="2273" w:type="dxa"/>
          </w:tcPr>
          <w:p>
            <w:pPr>
              <w:pStyle w:val="nTable"/>
              <w:spacing w:after="40"/>
              <w:rPr>
                <w:i/>
                <w:sz w:val="19"/>
              </w:rPr>
            </w:pPr>
            <w:r>
              <w:rPr>
                <w:i/>
                <w:snapToGrid w:val="0"/>
                <w:sz w:val="19"/>
              </w:rPr>
              <w:t>Courts Legislation Amendment and Repeal Act 2004</w:t>
            </w:r>
            <w:r>
              <w:rPr>
                <w:snapToGrid w:val="0"/>
                <w:sz w:val="19"/>
              </w:rPr>
              <w:t xml:space="preserve"> Pt. 16</w:t>
            </w:r>
          </w:p>
        </w:tc>
        <w:tc>
          <w:tcPr>
            <w:tcW w:w="1138" w:type="dxa"/>
          </w:tcPr>
          <w:p>
            <w:pPr>
              <w:pStyle w:val="nTable"/>
              <w:spacing w:after="40"/>
              <w:rPr>
                <w:sz w:val="19"/>
              </w:rPr>
            </w:pPr>
            <w:r>
              <w:rPr>
                <w:snapToGrid w:val="0"/>
                <w:sz w:val="19"/>
              </w:rPr>
              <w:t>59 of 2004</w:t>
            </w:r>
          </w:p>
        </w:tc>
        <w:tc>
          <w:tcPr>
            <w:tcW w:w="1135"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9" w:type="dxa"/>
          <w:cantSplit/>
        </w:trPr>
        <w:tc>
          <w:tcPr>
            <w:tcW w:w="7097" w:type="dxa"/>
            <w:gridSpan w:val="4"/>
          </w:tcPr>
          <w:p>
            <w:pPr>
              <w:pStyle w:val="nTable"/>
              <w:spacing w:after="40"/>
              <w:rPr>
                <w:snapToGrid w:val="0"/>
                <w:sz w:val="19"/>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trPr>
        <w:tc>
          <w:tcPr>
            <w:tcW w:w="2273"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s. 23</w:t>
            </w:r>
          </w:p>
        </w:tc>
        <w:tc>
          <w:tcPr>
            <w:tcW w:w="1138" w:type="dxa"/>
          </w:tcPr>
          <w:p>
            <w:pPr>
              <w:pStyle w:val="nTable"/>
              <w:spacing w:after="40"/>
              <w:rPr>
                <w:snapToGrid w:val="0"/>
                <w:sz w:val="19"/>
              </w:rPr>
            </w:pPr>
            <w:r>
              <w:rPr>
                <w:snapToGrid w:val="0"/>
                <w:sz w:val="19"/>
              </w:rPr>
              <w:t>20 of 2005</w:t>
            </w:r>
          </w:p>
        </w:tc>
        <w:tc>
          <w:tcPr>
            <w:tcW w:w="1135" w:type="dxa"/>
          </w:tcPr>
          <w:p>
            <w:pPr>
              <w:pStyle w:val="nTable"/>
              <w:spacing w:after="40"/>
              <w:rPr>
                <w:sz w:val="19"/>
              </w:rPr>
            </w:pPr>
            <w:r>
              <w:rPr>
                <w:sz w:val="19"/>
              </w:rPr>
              <w:t>15 Nov 2005</w:t>
            </w:r>
          </w:p>
        </w:tc>
        <w:tc>
          <w:tcPr>
            <w:tcW w:w="2551" w:type="dxa"/>
          </w:tcPr>
          <w:p>
            <w:pPr>
              <w:pStyle w:val="nTable"/>
              <w:spacing w:after="40"/>
              <w:rPr>
                <w:snapToGrid w:val="0"/>
                <w:sz w:val="19"/>
              </w:rPr>
            </w:pPr>
            <w:r>
              <w:rPr>
                <w:snapToGrid w:val="0"/>
                <w:sz w:val="19"/>
              </w:rPr>
              <w:t>15 Nov 2005 (see s. 2)</w:t>
            </w:r>
          </w:p>
        </w:tc>
      </w:tr>
      <w:tr>
        <w:trPr>
          <w:gridAfter w:val="1"/>
          <w:wAfter w:w="9" w:type="dxa"/>
        </w:trPr>
        <w:tc>
          <w:tcPr>
            <w:tcW w:w="2273" w:type="dxa"/>
          </w:tcPr>
          <w:p>
            <w:pPr>
              <w:pStyle w:val="nTable"/>
              <w:spacing w:after="40"/>
              <w:rPr>
                <w:snapToGrid w:val="0"/>
                <w:sz w:val="19"/>
                <w:vertAlign w:val="superscript"/>
              </w:rPr>
            </w:pPr>
            <w:r>
              <w:rPr>
                <w:i/>
                <w:snapToGrid w:val="0"/>
                <w:sz w:val="19"/>
              </w:rPr>
              <w:t>Machinery of Government (Miscellaneous Amendments) Act 2006</w:t>
            </w:r>
            <w:r>
              <w:rPr>
                <w:snapToGrid w:val="0"/>
                <w:sz w:val="19"/>
              </w:rPr>
              <w:t xml:space="preserve"> Pt. 4 Div. 20 </w:t>
            </w:r>
            <w:r>
              <w:rPr>
                <w:snapToGrid w:val="0"/>
                <w:sz w:val="19"/>
                <w:vertAlign w:val="superscript"/>
              </w:rPr>
              <w:t>7</w:t>
            </w:r>
          </w:p>
        </w:tc>
        <w:tc>
          <w:tcPr>
            <w:tcW w:w="1138" w:type="dxa"/>
          </w:tcPr>
          <w:p>
            <w:pPr>
              <w:pStyle w:val="nTable"/>
              <w:spacing w:after="40"/>
              <w:rPr>
                <w:snapToGrid w:val="0"/>
                <w:sz w:val="19"/>
              </w:rPr>
            </w:pPr>
            <w:r>
              <w:rPr>
                <w:snapToGrid w:val="0"/>
                <w:sz w:val="19"/>
              </w:rPr>
              <w:t>28 of 2006</w:t>
            </w:r>
          </w:p>
        </w:tc>
        <w:tc>
          <w:tcPr>
            <w:tcW w:w="1135" w:type="dxa"/>
          </w:tcPr>
          <w:p>
            <w:pPr>
              <w:pStyle w:val="nTable"/>
              <w:spacing w:after="40"/>
              <w:rPr>
                <w:sz w:val="19"/>
              </w:rPr>
            </w:pPr>
            <w:r>
              <w:rPr>
                <w:sz w:val="19"/>
              </w:rPr>
              <w:t>26 Jun 2006</w:t>
            </w:r>
          </w:p>
        </w:tc>
        <w:tc>
          <w:tcPr>
            <w:tcW w:w="2551" w:type="dxa"/>
          </w:tcPr>
          <w:p>
            <w:pPr>
              <w:pStyle w:val="nTable"/>
              <w:spacing w:after="40"/>
              <w:rPr>
                <w:snapToGrid w:val="0"/>
                <w:sz w:val="19"/>
              </w:rPr>
            </w:pPr>
            <w:r>
              <w:rPr>
                <w:snapToGrid w:val="0"/>
                <w:sz w:val="19"/>
              </w:rPr>
              <w:t xml:space="preserve">1 Jul 2006 (see s. 2 and </w:t>
            </w:r>
            <w:r>
              <w:rPr>
                <w:i/>
                <w:snapToGrid w:val="0"/>
                <w:sz w:val="19"/>
              </w:rPr>
              <w:t>Gazette</w:t>
            </w:r>
            <w:r>
              <w:rPr>
                <w:snapToGrid w:val="0"/>
                <w:sz w:val="19"/>
              </w:rPr>
              <w:t xml:space="preserve"> 27 Jun 2006 p. 2347)</w:t>
            </w:r>
          </w:p>
        </w:tc>
      </w:tr>
      <w:tr>
        <w:trPr>
          <w:gridAfter w:val="1"/>
          <w:wAfter w:w="9" w:type="dxa"/>
        </w:trPr>
        <w:tc>
          <w:tcPr>
            <w:tcW w:w="2273" w:type="dxa"/>
          </w:tcPr>
          <w:p>
            <w:pPr>
              <w:pStyle w:val="nTable"/>
              <w:spacing w:after="40"/>
              <w:rPr>
                <w:iCs/>
                <w:snapToGrid w:val="0"/>
                <w:sz w:val="19"/>
              </w:rPr>
            </w:pPr>
            <w:r>
              <w:rPr>
                <w:i/>
                <w:snapToGrid w:val="0"/>
                <w:sz w:val="19"/>
              </w:rPr>
              <w:t>Residential Parks (Long</w:t>
            </w:r>
            <w:r>
              <w:rPr>
                <w:i/>
                <w:snapToGrid w:val="0"/>
                <w:sz w:val="19"/>
              </w:rPr>
              <w:noBreakHyphen/>
              <w:t>stay Tenants) Act 2006</w:t>
            </w:r>
            <w:r>
              <w:rPr>
                <w:iCs/>
                <w:snapToGrid w:val="0"/>
                <w:sz w:val="19"/>
              </w:rPr>
              <w:t xml:space="preserve"> s. 98</w:t>
            </w:r>
          </w:p>
        </w:tc>
        <w:tc>
          <w:tcPr>
            <w:tcW w:w="1138" w:type="dxa"/>
          </w:tcPr>
          <w:p>
            <w:pPr>
              <w:pStyle w:val="nTable"/>
              <w:spacing w:after="40"/>
              <w:rPr>
                <w:snapToGrid w:val="0"/>
                <w:sz w:val="19"/>
              </w:rPr>
            </w:pPr>
            <w:r>
              <w:rPr>
                <w:snapToGrid w:val="0"/>
                <w:sz w:val="19"/>
              </w:rPr>
              <w:t>32 of 2006</w:t>
            </w:r>
          </w:p>
        </w:tc>
        <w:tc>
          <w:tcPr>
            <w:tcW w:w="1135" w:type="dxa"/>
          </w:tcPr>
          <w:p>
            <w:pPr>
              <w:pStyle w:val="nTable"/>
              <w:spacing w:after="40"/>
              <w:rPr>
                <w:sz w:val="19"/>
              </w:rPr>
            </w:pPr>
            <w:r>
              <w:rPr>
                <w:sz w:val="19"/>
              </w:rPr>
              <w:t>4 Jul 2006</w:t>
            </w:r>
          </w:p>
        </w:tc>
        <w:tc>
          <w:tcPr>
            <w:tcW w:w="2551" w:type="dxa"/>
          </w:tcPr>
          <w:p>
            <w:pPr>
              <w:pStyle w:val="nTable"/>
              <w:spacing w:after="40"/>
              <w:rPr>
                <w:snapToGrid w:val="0"/>
                <w:sz w:val="19"/>
              </w:rPr>
            </w:pPr>
            <w:r>
              <w:rPr>
                <w:snapToGrid w:val="0"/>
                <w:sz w:val="19"/>
              </w:rPr>
              <w:t xml:space="preserve">3 Aug 2007 (see s. 2 and </w:t>
            </w:r>
            <w:r>
              <w:rPr>
                <w:i/>
                <w:iCs/>
                <w:snapToGrid w:val="0"/>
                <w:sz w:val="19"/>
              </w:rPr>
              <w:t>Gazette</w:t>
            </w:r>
            <w:r>
              <w:rPr>
                <w:snapToGrid w:val="0"/>
                <w:sz w:val="19"/>
              </w:rPr>
              <w:t xml:space="preserve"> 1 Aug 2007 p. 3835)</w:t>
            </w:r>
          </w:p>
        </w:tc>
      </w:tr>
      <w:tr>
        <w:trPr>
          <w:gridAfter w:val="1"/>
          <w:wAfter w:w="9" w:type="dxa"/>
        </w:trPr>
        <w:tc>
          <w:tcPr>
            <w:tcW w:w="2273" w:type="dxa"/>
          </w:tcPr>
          <w:p>
            <w:pPr>
              <w:pStyle w:val="nTable"/>
              <w:spacing w:after="40"/>
              <w:rPr>
                <w:i/>
                <w:snapToGrid w:val="0"/>
                <w:sz w:val="19"/>
              </w:rPr>
            </w:pPr>
            <w:r>
              <w:rPr>
                <w:i/>
                <w:snapToGrid w:val="0"/>
                <w:sz w:val="19"/>
              </w:rPr>
              <w:t>Consumer Protection Legislation Amendment and Repeal Act 2006</w:t>
            </w:r>
            <w:r>
              <w:rPr>
                <w:iCs/>
                <w:snapToGrid w:val="0"/>
                <w:sz w:val="19"/>
              </w:rPr>
              <w:t xml:space="preserve"> Pt. 9</w:t>
            </w:r>
          </w:p>
        </w:tc>
        <w:tc>
          <w:tcPr>
            <w:tcW w:w="1138" w:type="dxa"/>
          </w:tcPr>
          <w:p>
            <w:pPr>
              <w:pStyle w:val="nTable"/>
              <w:spacing w:after="40"/>
              <w:rPr>
                <w:snapToGrid w:val="0"/>
                <w:sz w:val="19"/>
              </w:rPr>
            </w:pPr>
            <w:r>
              <w:rPr>
                <w:snapToGrid w:val="0"/>
                <w:sz w:val="19"/>
              </w:rPr>
              <w:t>69 of 2006</w:t>
            </w:r>
          </w:p>
        </w:tc>
        <w:tc>
          <w:tcPr>
            <w:tcW w:w="1135" w:type="dxa"/>
          </w:tcPr>
          <w:p>
            <w:pPr>
              <w:pStyle w:val="nTable"/>
              <w:spacing w:after="40"/>
              <w:rPr>
                <w:sz w:val="19"/>
              </w:rPr>
            </w:pPr>
            <w:r>
              <w:rPr>
                <w:sz w:val="19"/>
              </w:rPr>
              <w:t>13 Dec 2006</w:t>
            </w:r>
          </w:p>
        </w:tc>
        <w:tc>
          <w:tcPr>
            <w:tcW w:w="2551" w:type="dxa"/>
          </w:tcPr>
          <w:p>
            <w:pPr>
              <w:pStyle w:val="nTable"/>
              <w:spacing w:after="40"/>
              <w:rPr>
                <w:snapToGrid w:val="0"/>
                <w:sz w:val="19"/>
              </w:rPr>
            </w:pPr>
            <w:r>
              <w:rPr>
                <w:snapToGrid w:val="0"/>
                <w:sz w:val="19"/>
              </w:rPr>
              <w:t xml:space="preserve">14 Jul 2007 (see s. 2 and </w:t>
            </w:r>
            <w:r>
              <w:rPr>
                <w:i/>
                <w:iCs/>
                <w:snapToGrid w:val="0"/>
                <w:sz w:val="19"/>
              </w:rPr>
              <w:t>Gazette</w:t>
            </w:r>
            <w:r>
              <w:rPr>
                <w:snapToGrid w:val="0"/>
                <w:sz w:val="19"/>
              </w:rPr>
              <w:t xml:space="preserve"> 13 Jul 2007 p. 3453)</w:t>
            </w:r>
          </w:p>
        </w:tc>
      </w:tr>
      <w:tr>
        <w:trPr>
          <w:gridAfter w:val="1"/>
          <w:wAfter w:w="9" w:type="dxa"/>
        </w:trPr>
        <w:tc>
          <w:tcPr>
            <w:tcW w:w="2273" w:type="dxa"/>
          </w:tcPr>
          <w:p>
            <w:pPr>
              <w:pStyle w:val="nTable"/>
              <w:spacing w:after="40"/>
              <w:rPr>
                <w:i/>
                <w:snapToGrid w:val="0"/>
                <w:sz w:val="19"/>
              </w:rPr>
            </w:pPr>
            <w:r>
              <w:rPr>
                <w:i/>
                <w:snapToGrid w:val="0"/>
                <w:sz w:val="19"/>
              </w:rPr>
              <w:t xml:space="preserve">Financial Legislation Amendment and Repeal Act 2006 </w:t>
            </w:r>
            <w:r>
              <w:rPr>
                <w:snapToGrid w:val="0"/>
                <w:sz w:val="19"/>
              </w:rPr>
              <w:t>s. 4 and Sch. 1 cl. 149</w:t>
            </w:r>
          </w:p>
        </w:tc>
        <w:tc>
          <w:tcPr>
            <w:tcW w:w="1138" w:type="dxa"/>
          </w:tcPr>
          <w:p>
            <w:pPr>
              <w:pStyle w:val="nTable"/>
              <w:spacing w:after="40"/>
              <w:rPr>
                <w:snapToGrid w:val="0"/>
                <w:sz w:val="19"/>
              </w:rPr>
            </w:pPr>
            <w:r>
              <w:rPr>
                <w:snapToGrid w:val="0"/>
                <w:sz w:val="19"/>
              </w:rPr>
              <w:t xml:space="preserve">77 of 2006 </w:t>
            </w:r>
          </w:p>
        </w:tc>
        <w:tc>
          <w:tcPr>
            <w:tcW w:w="1135" w:type="dxa"/>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9" w:type="dxa"/>
          <w:cantSplit/>
        </w:trPr>
        <w:tc>
          <w:tcPr>
            <w:tcW w:w="7097" w:type="dxa"/>
            <w:gridSpan w:val="4"/>
          </w:tcPr>
          <w:p>
            <w:pPr>
              <w:pStyle w:val="nTable"/>
              <w:spacing w:after="40"/>
              <w:rPr>
                <w:snapToGrid w:val="0"/>
                <w:sz w:val="19"/>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 except those in the </w:t>
            </w:r>
            <w:r>
              <w:rPr>
                <w:i/>
                <w:snapToGrid w:val="0"/>
                <w:sz w:val="19"/>
              </w:rPr>
              <w:t>Residential Parks (Long</w:t>
            </w:r>
            <w:r>
              <w:rPr>
                <w:i/>
                <w:snapToGrid w:val="0"/>
                <w:sz w:val="19"/>
              </w:rPr>
              <w:noBreakHyphen/>
              <w:t>stay Tenants) Act 2006</w:t>
            </w:r>
            <w:r>
              <w:rPr>
                <w:sz w:val="19"/>
              </w:rPr>
              <w:t>)</w:t>
            </w:r>
          </w:p>
        </w:tc>
      </w:tr>
      <w:tr>
        <w:trPr>
          <w:gridAfter w:val="1"/>
          <w:wAfter w:w="9" w:type="dxa"/>
        </w:trPr>
        <w:tc>
          <w:tcPr>
            <w:tcW w:w="2273" w:type="dxa"/>
          </w:tcPr>
          <w:p>
            <w:pPr>
              <w:pStyle w:val="nTable"/>
              <w:spacing w:after="40"/>
              <w:rPr>
                <w:i/>
                <w:snapToGrid w:val="0"/>
                <w:sz w:val="19"/>
              </w:rPr>
            </w:pPr>
            <w:r>
              <w:rPr>
                <w:i/>
                <w:iCs/>
                <w:snapToGrid w:val="0"/>
                <w:sz w:val="19"/>
              </w:rPr>
              <w:t>Legal Profession Act 2008</w:t>
            </w:r>
            <w:r>
              <w:rPr>
                <w:snapToGrid w:val="0"/>
                <w:sz w:val="19"/>
              </w:rPr>
              <w:t xml:space="preserve"> s. 698</w:t>
            </w:r>
          </w:p>
        </w:tc>
        <w:tc>
          <w:tcPr>
            <w:tcW w:w="1138" w:type="dxa"/>
          </w:tcPr>
          <w:p>
            <w:pPr>
              <w:pStyle w:val="nTable"/>
              <w:spacing w:after="40"/>
              <w:rPr>
                <w:snapToGrid w:val="0"/>
                <w:sz w:val="19"/>
              </w:rPr>
            </w:pPr>
            <w:r>
              <w:rPr>
                <w:snapToGrid w:val="0"/>
                <w:sz w:val="19"/>
              </w:rPr>
              <w:t>21 of 2008</w:t>
            </w:r>
          </w:p>
        </w:tc>
        <w:tc>
          <w:tcPr>
            <w:tcW w:w="1135" w:type="dxa"/>
          </w:tcPr>
          <w:p>
            <w:pPr>
              <w:pStyle w:val="nTable"/>
              <w:spacing w:after="40"/>
              <w:rPr>
                <w:sz w:val="19"/>
              </w:rPr>
            </w:pPr>
            <w:r>
              <w:rPr>
                <w:sz w:val="19"/>
              </w:rPr>
              <w:t>27 May 2008</w:t>
            </w:r>
          </w:p>
        </w:tc>
        <w:tc>
          <w:tcPr>
            <w:tcW w:w="2551"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gridAfter w:val="1"/>
          <w:wAfter w:w="9" w:type="dxa"/>
          <w:cantSplit/>
        </w:trPr>
        <w:tc>
          <w:tcPr>
            <w:tcW w:w="2273"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29</w:t>
            </w:r>
          </w:p>
        </w:tc>
        <w:tc>
          <w:tcPr>
            <w:tcW w:w="1138"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9" w:type="dxa"/>
          <w:cantSplit/>
        </w:trPr>
        <w:tc>
          <w:tcPr>
            <w:tcW w:w="2273" w:type="dxa"/>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189</w:t>
            </w:r>
          </w:p>
        </w:tc>
        <w:tc>
          <w:tcPr>
            <w:tcW w:w="1138" w:type="dxa"/>
          </w:tcPr>
          <w:p>
            <w:pPr>
              <w:pStyle w:val="nTable"/>
              <w:spacing w:after="40"/>
              <w:rPr>
                <w:snapToGrid w:val="0"/>
                <w:sz w:val="19"/>
              </w:rPr>
            </w:pPr>
            <w:r>
              <w:rPr>
                <w:sz w:val="19"/>
              </w:rPr>
              <w:t>58 of 2010</w:t>
            </w:r>
          </w:p>
        </w:tc>
        <w:tc>
          <w:tcPr>
            <w:tcW w:w="1135" w:type="dxa"/>
          </w:tcPr>
          <w:p>
            <w:pPr>
              <w:pStyle w:val="nTable"/>
              <w:spacing w:after="40"/>
              <w:rPr>
                <w:snapToGrid w:val="0"/>
                <w:sz w:val="19"/>
              </w:rPr>
            </w:pPr>
            <w:r>
              <w:rPr>
                <w:sz w:val="19"/>
              </w:rPr>
              <w:t>8 Dec 2010</w:t>
            </w:r>
          </w:p>
        </w:tc>
        <w:tc>
          <w:tcPr>
            <w:tcW w:w="2551" w:type="dxa"/>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rPr>
          <w:gridAfter w:val="1"/>
          <w:wAfter w:w="9" w:type="dxa"/>
          <w:cantSplit/>
        </w:trPr>
        <w:tc>
          <w:tcPr>
            <w:tcW w:w="2273" w:type="dxa"/>
            <w:shd w:val="clear" w:color="auto" w:fill="auto"/>
          </w:tcPr>
          <w:p>
            <w:pPr>
              <w:pStyle w:val="nTable"/>
              <w:spacing w:after="40"/>
              <w:ind w:right="113"/>
              <w:rPr>
                <w:rFonts w:ascii="Arial" w:hAnsi="Arial"/>
                <w:i/>
                <w:noProof/>
                <w:snapToGrid w:val="0"/>
                <w:sz w:val="19"/>
              </w:rPr>
            </w:pPr>
            <w:r>
              <w:rPr>
                <w:i/>
                <w:snapToGrid w:val="0"/>
                <w:sz w:val="19"/>
              </w:rPr>
              <w:t>Residential Tenancies Amendment Act 2011</w:t>
            </w:r>
          </w:p>
        </w:tc>
        <w:tc>
          <w:tcPr>
            <w:tcW w:w="1138" w:type="dxa"/>
            <w:shd w:val="clear" w:color="auto" w:fill="auto"/>
          </w:tcPr>
          <w:p>
            <w:pPr>
              <w:pStyle w:val="nTable"/>
              <w:spacing w:after="40"/>
              <w:rPr>
                <w:sz w:val="19"/>
              </w:rPr>
            </w:pPr>
            <w:r>
              <w:rPr>
                <w:snapToGrid w:val="0"/>
                <w:sz w:val="19"/>
              </w:rPr>
              <w:t>60 of 2011</w:t>
            </w:r>
          </w:p>
        </w:tc>
        <w:tc>
          <w:tcPr>
            <w:tcW w:w="1135" w:type="dxa"/>
            <w:shd w:val="clear" w:color="auto" w:fill="auto"/>
          </w:tcPr>
          <w:p>
            <w:pPr>
              <w:pStyle w:val="nTable"/>
              <w:spacing w:after="40"/>
              <w:rPr>
                <w:sz w:val="19"/>
              </w:rPr>
            </w:pPr>
            <w:r>
              <w:rPr>
                <w:sz w:val="19"/>
              </w:rPr>
              <w:t>14 Dec 2011</w:t>
            </w:r>
          </w:p>
        </w:tc>
        <w:tc>
          <w:tcPr>
            <w:tcW w:w="2551" w:type="dxa"/>
            <w:shd w:val="clear" w:color="auto" w:fill="auto"/>
          </w:tcPr>
          <w:p>
            <w:pPr>
              <w:pStyle w:val="nTable"/>
              <w:spacing w:after="40"/>
              <w:rPr>
                <w:rFonts w:ascii="Arial" w:hAnsi="Arial"/>
                <w:sz w:val="19"/>
              </w:rPr>
            </w:pPr>
            <w:r>
              <w:rPr>
                <w:snapToGrid w:val="0"/>
                <w:sz w:val="19"/>
              </w:rPr>
              <w:t xml:space="preserve">s. 1 and 2: </w:t>
            </w:r>
            <w:r>
              <w:rPr>
                <w:sz w:val="19"/>
              </w:rPr>
              <w:t>14 Dec 2011 (see s. 2(a));</w:t>
            </w:r>
            <w:r>
              <w:rPr>
                <w:sz w:val="19"/>
              </w:rPr>
              <w:br/>
            </w:r>
            <w:r>
              <w:rPr>
                <w:snapToGrid w:val="0"/>
                <w:sz w:val="19"/>
              </w:rPr>
              <w:t xml:space="preserve">s. 5(2) </w:t>
            </w:r>
            <w:r>
              <w:rPr>
                <w:sz w:val="19"/>
              </w:rPr>
              <w:t xml:space="preserve">(to the extent that it inserts the definition of </w:t>
            </w:r>
            <w:r>
              <w:rPr>
                <w:b/>
                <w:i/>
                <w:sz w:val="19"/>
              </w:rPr>
              <w:t>lessor</w:t>
            </w:r>
            <w:r>
              <w:rPr>
                <w:sz w:val="19"/>
              </w:rPr>
              <w:t>)</w:t>
            </w:r>
            <w:r>
              <w:rPr>
                <w:snapToGrid w:val="0"/>
                <w:sz w:val="19"/>
              </w:rPr>
              <w:t xml:space="preserve">, 42(1) and (2), 45(1), 57, 58, 60, 69, 88, 89 </w:t>
            </w:r>
            <w:r>
              <w:rPr>
                <w:sz w:val="19"/>
              </w:rPr>
              <w:t>(to the extent that it amends s. 71) and 90</w:t>
            </w:r>
            <w:r>
              <w:rPr>
                <w:sz w:val="19"/>
              </w:rPr>
              <w:noBreakHyphen/>
              <w:t xml:space="preserve">95: 30 Jul 2012 (see s. 2(b) and </w:t>
            </w:r>
            <w:r>
              <w:rPr>
                <w:i/>
                <w:sz w:val="19"/>
              </w:rPr>
              <w:t>Gazette</w:t>
            </w:r>
            <w:r>
              <w:rPr>
                <w:sz w:val="19"/>
              </w:rPr>
              <w:t xml:space="preserve"> 27 Jul 2012 p. 3663);</w:t>
            </w:r>
            <w:r>
              <w:rPr>
                <w:sz w:val="19"/>
              </w:rPr>
              <w:br/>
            </w:r>
            <w:r>
              <w:rPr>
                <w:snapToGrid w:val="0"/>
                <w:sz w:val="19"/>
              </w:rPr>
              <w:t xml:space="preserve">s. 3-5 (except to the extent that it inserts the definition of </w:t>
            </w:r>
            <w:r>
              <w:rPr>
                <w:b/>
                <w:i/>
                <w:snapToGrid w:val="0"/>
                <w:sz w:val="19"/>
              </w:rPr>
              <w:t>lessor</w:t>
            </w:r>
            <w:r>
              <w:rPr>
                <w:snapToGrid w:val="0"/>
                <w:sz w:val="19"/>
              </w:rPr>
              <w:t>), 6-41, 42(3), 43-44, 45(2), 46-56, 59, 61-68, 70</w:t>
            </w:r>
            <w:r>
              <w:rPr>
                <w:snapToGrid w:val="0"/>
                <w:sz w:val="19"/>
              </w:rPr>
              <w:noBreakHyphen/>
              <w:t xml:space="preserve">87, 89 (except to the extent that it amends s. 71) and Pt. 4 (s. 96): 1 Jul 2013 (see s. 2(b) and </w:t>
            </w:r>
            <w:r>
              <w:rPr>
                <w:i/>
                <w:snapToGrid w:val="0"/>
                <w:sz w:val="19"/>
              </w:rPr>
              <w:t>Gazette</w:t>
            </w:r>
            <w:r>
              <w:rPr>
                <w:snapToGrid w:val="0"/>
                <w:sz w:val="19"/>
              </w:rPr>
              <w:t xml:space="preserve"> 3 May 2013 p. 1735)</w:t>
            </w:r>
          </w:p>
        </w:tc>
      </w:tr>
      <w:tr>
        <w:trPr>
          <w:gridAfter w:val="1"/>
          <w:wAfter w:w="9" w:type="dxa"/>
          <w:cantSplit/>
        </w:trPr>
        <w:tc>
          <w:tcPr>
            <w:tcW w:w="7097" w:type="dxa"/>
            <w:gridSpan w:val="4"/>
            <w:tcBorders>
              <w:bottom w:val="single" w:sz="8" w:space="0" w:color="auto"/>
            </w:tcBorders>
            <w:shd w:val="clear" w:color="auto" w:fill="auto"/>
          </w:tcPr>
          <w:p>
            <w:pPr>
              <w:pStyle w:val="nTable"/>
              <w:spacing w:after="40"/>
              <w:rPr>
                <w:snapToGrid w:val="0"/>
                <w:sz w:val="19"/>
              </w:rPr>
            </w:pPr>
            <w:r>
              <w:rPr>
                <w:b/>
                <w:sz w:val="19"/>
              </w:rPr>
              <w:t xml:space="preserve">Reprint 5: The </w:t>
            </w:r>
            <w:r>
              <w:rPr>
                <w:b/>
                <w:i/>
                <w:sz w:val="19"/>
              </w:rPr>
              <w:t xml:space="preserve">Residential Tenancies Act 1987 </w:t>
            </w:r>
            <w:r>
              <w:rPr>
                <w:b/>
                <w:sz w:val="19"/>
              </w:rPr>
              <w:t>as at 19 Jul 2013</w:t>
            </w:r>
            <w:r>
              <w:rPr>
                <w:sz w:val="19"/>
              </w:rPr>
              <w:t xml:space="preserve"> (includes amendments listed above)</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Pr>
        <w:pStyle w:val="nHeading2"/>
        <w:rPr>
          <w:sz w:val="28"/>
        </w:rPr>
      </w:pPr>
      <w:bookmarkStart w:id="219" w:name="_Toc382386671"/>
      <w:bookmarkStart w:id="220" w:name="_Toc382386860"/>
      <w:r>
        <w:rPr>
          <w:sz w:val="28"/>
        </w:rPr>
        <w:t>Defined terms</w:t>
      </w:r>
      <w:bookmarkEnd w:id="219"/>
      <w:bookmarkEnd w:id="2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1" w:name="DefinedTerms"/>
      <w:bookmarkEnd w:id="221"/>
      <w:r>
        <w:t>AFI</w:t>
      </w:r>
      <w:r>
        <w:tab/>
        <w:t>92</w:t>
      </w:r>
    </w:p>
    <w:p>
      <w:pPr>
        <w:pStyle w:val="DefinedTerms"/>
      </w:pPr>
      <w:r>
        <w:t>agent</w:t>
      </w:r>
      <w:r>
        <w:tab/>
        <w:t>22(6), 82A</w:t>
      </w:r>
    </w:p>
    <w:p>
      <w:pPr>
        <w:pStyle w:val="DefinedTerms"/>
      </w:pPr>
      <w:r>
        <w:t>agreement</w:t>
      </w:r>
      <w:r>
        <w:tab/>
        <w:t>70A(1), 71D(1), 72(1A)</w:t>
      </w:r>
    </w:p>
    <w:p>
      <w:pPr>
        <w:pStyle w:val="DefinedTerms"/>
      </w:pPr>
      <w:r>
        <w:t>applicant</w:t>
      </w:r>
      <w:r>
        <w:tab/>
        <w:t>82C(1)(a), 82D(1)(a)</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 xml:space="preserve">bond </w:t>
      </w:r>
      <w:r>
        <w:tab/>
        <w:t>3</w:t>
      </w:r>
    </w:p>
    <w:p>
      <w:pPr>
        <w:pStyle w:val="DefinedTerms"/>
      </w:pPr>
      <w:r>
        <w:t>bond administrator</w:t>
      </w:r>
      <w:r>
        <w:tab/>
        <w:t>3</w:t>
      </w:r>
    </w:p>
    <w:p>
      <w:pPr>
        <w:pStyle w:val="DefinedTerms"/>
      </w:pPr>
      <w:r>
        <w:t>commencement day</w:t>
      </w:r>
      <w:r>
        <w:tab/>
        <w:t>91(1), 92, 97(1)</w:t>
      </w:r>
    </w:p>
    <w:p>
      <w:pPr>
        <w:pStyle w:val="DefinedTerms"/>
      </w:pPr>
      <w:r>
        <w:t>Commissioner</w:t>
      </w:r>
      <w:r>
        <w:tab/>
        <w:t>3</w:t>
      </w:r>
    </w:p>
    <w:p>
      <w:pPr>
        <w:pStyle w:val="DefinedTerms"/>
      </w:pPr>
      <w:r>
        <w:t>competent court</w:t>
      </w:r>
      <w:r>
        <w:tab/>
        <w:t>3</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first tenant</w:t>
      </w:r>
      <w:r>
        <w:tab/>
        <w:t>17A(1)</w:t>
      </w:r>
    </w:p>
    <w:p>
      <w:pPr>
        <w:pStyle w:val="DefinedTerms"/>
      </w:pPr>
      <w:r>
        <w:t>former agreement</w:t>
      </w:r>
      <w:r>
        <w:tab/>
        <w:t>31B(a)</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t>minor</w:t>
      </w:r>
      <w:r>
        <w:tab/>
        <w:t>59A(1)</w:t>
      </w:r>
    </w:p>
    <w:p>
      <w:pPr>
        <w:pStyle w:val="DefinedTerms"/>
      </w:pPr>
      <w:r>
        <w:t>national privacy principles</w:t>
      </w:r>
      <w:r>
        <w:tab/>
        <w:t>82K(1)</w:t>
      </w:r>
    </w:p>
    <w:p>
      <w:pPr>
        <w:pStyle w:val="DefinedTerms"/>
      </w:pPr>
      <w:r>
        <w:t>new agreement</w:t>
      </w:r>
      <w:r>
        <w:tab/>
        <w:t>31B(b)</w:t>
      </w:r>
    </w:p>
    <w:p>
      <w:pPr>
        <w:pStyle w:val="DefinedTerms"/>
      </w:pPr>
      <w:r>
        <w:t>notice</w:t>
      </w:r>
      <w:r>
        <w:tab/>
        <w:t>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public utility services</w:t>
      </w:r>
      <w:r>
        <w:tab/>
        <w:t>49A(1)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suitable repairer</w:t>
      </w:r>
      <w:r>
        <w:tab/>
        <w:t>43(1)</w:t>
      </w:r>
    </w:p>
    <w:p>
      <w:pPr>
        <w:pStyle w:val="DefinedTerms"/>
      </w:pPr>
      <w:r>
        <w:t>tenancy</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urgent repairs</w:t>
      </w:r>
      <w:r>
        <w:tab/>
        <w:t>43(1)</w:t>
      </w:r>
    </w:p>
    <w:p>
      <w:pPr>
        <w:pStyle w:val="DefinedTerms"/>
      </w:pPr>
    </w:p>
    <w:p>
      <w:pPr>
        <w:rPr>
          <w:sz w:val="20"/>
        </w:rPr>
      </w:pPr>
    </w:p>
    <w:p/>
    <w:p/>
    <w:p/>
    <w:p/>
    <w:p/>
    <w:p/>
    <w:p/>
    <w:p/>
    <w:p/>
    <w:p/>
    <w:p/>
    <w:p>
      <w:pPr>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headerReference w:type="default" r:id="rId44"/>
      <w:footerReference w:type="even" r:id="rId45"/>
      <w:footerReference w:type="default" r:id="rId46"/>
      <w:headerReference w:type="first" r:id="rId47"/>
      <w:footerReference w:type="first" r:id="rId4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viii</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130</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132</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133</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34"/>
  </w:num>
  <w:num w:numId="26">
    <w:abstractNumId w:val="13"/>
  </w:num>
  <w:num w:numId="27">
    <w:abstractNumId w:val="14"/>
  </w:num>
  <w:num w:numId="28">
    <w:abstractNumId w:val="33"/>
  </w:num>
  <w:num w:numId="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10844"/>
    <w:docVar w:name="WAFER_20140312110844" w:val="RemoveTocBookmarks,RemoveUnusedBookmarks,RemoveLanguageTags,UsedStyles,ResetPageSize"/>
    <w:docVar w:name="WAFER_20140312110844_GUID" w:val="abd74a61-e779-4c81-88a5-3d9f2c0c65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2.xml"/><Relationship Id="rId47" Type="http://schemas.openxmlformats.org/officeDocument/2006/relationships/header" Target="header20.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1.xml"/><Relationship Id="rId45" Type="http://schemas.openxmlformats.org/officeDocument/2006/relationships/footer" Target="footer13.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49"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3.xml"/><Relationship Id="rId43" Type="http://schemas.openxmlformats.org/officeDocument/2006/relationships/header" Target="header18.xml"/><Relationship Id="rId48" Type="http://schemas.openxmlformats.org/officeDocument/2006/relationships/footer" Target="footer15.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9F5DD9-1AF3-4ACE-95D4-016E0486C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143</Pages>
  <Words>38066</Words>
  <Characters>178151</Characters>
  <Application>Microsoft Office Word</Application>
  <DocSecurity>0</DocSecurity>
  <Lines>4688</Lines>
  <Paragraphs>2574</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213643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1987 - 05-00-01</dc:title>
  <dc:subject/>
  <dc:creator/>
  <cp:keywords/>
  <dc:description/>
  <cp:lastModifiedBy>svcMRProcess</cp:lastModifiedBy>
  <cp:revision>4</cp:revision>
  <cp:lastPrinted>2013-07-23T23:41:00Z</cp:lastPrinted>
  <dcterms:created xsi:type="dcterms:W3CDTF">2020-04-24T16:24:00Z</dcterms:created>
  <dcterms:modified xsi:type="dcterms:W3CDTF">2020-04-24T16:24:00Z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20130719</vt:lpwstr>
  </property>
  <property fmtid="{D5CDD505-2E9C-101B-9397-08002B2CF9AE}" pid="4" name="DocumentType">
    <vt:lpwstr>Act</vt:lpwstr>
  </property>
  <property fmtid="{D5CDD505-2E9C-101B-9397-08002B2CF9AE}" pid="5" name="OwlsUID">
    <vt:i4>693</vt:i4>
  </property>
  <property fmtid="{D5CDD505-2E9C-101B-9397-08002B2CF9AE}" pid="6" name="AsAtDate">
    <vt:lpwstr>19 Jul 2013</vt:lpwstr>
  </property>
  <property fmtid="{D5CDD505-2E9C-101B-9397-08002B2CF9AE}" pid="7" name="Suffix">
    <vt:lpwstr>05-00-01</vt:lpwstr>
  </property>
  <property fmtid="{D5CDD505-2E9C-101B-9397-08002B2CF9AE}" pid="8" name="ReprintNo">
    <vt:lpwstr>5</vt:lpwstr>
  </property>
  <property fmtid="{D5CDD505-2E9C-101B-9397-08002B2CF9AE}" pid="9" name="ReprintedAsAt">
    <vt:filetime>2013-07-18T16:00:00Z</vt:filetime>
  </property>
</Properties>
</file>