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Unclaimed Money Act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_Toc434931198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_Toc434931199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_Toc434931200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_Toc434931201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Questions as to jurisdiction</w:t>
      </w:r>
      <w:r>
        <w:tab/>
      </w:r>
      <w:r>
        <w:fldChar w:fldCharType="begin"/>
      </w:r>
      <w:r>
        <w:instrText xml:space="preserve"> PAGEREF _Toc434931202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Unclaimed money</w:t>
      </w:r>
    </w:p>
    <w:p>
      <w:pPr>
        <w:pStyle w:val="TOC8"/>
        <w:rPr>
          <w:rFonts w:asciiTheme="minorHAnsi" w:eastAsiaTheme="minorEastAsia" w:hAnsiTheme="minorHAnsi" w:cstheme="minorBidi"/>
          <w:szCs w:val="22"/>
        </w:rPr>
      </w:pPr>
      <w:r>
        <w:t>6</w:t>
      </w:r>
      <w:r>
        <w:rPr>
          <w:snapToGrid w:val="0"/>
        </w:rPr>
        <w:t>.</w:t>
      </w:r>
      <w:r>
        <w:rPr>
          <w:snapToGrid w:val="0"/>
        </w:rPr>
        <w:tab/>
        <w:t>Unclaimed money</w:t>
      </w:r>
      <w:r>
        <w:tab/>
      </w:r>
      <w:r>
        <w:fldChar w:fldCharType="begin"/>
      </w:r>
      <w:r>
        <w:instrText xml:space="preserve"> PAGEREF _Toc434931204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Persons taken, or deemed, to be holders of unclaimed money</w:t>
      </w:r>
      <w:r>
        <w:tab/>
      </w:r>
      <w:r>
        <w:fldChar w:fldCharType="begin"/>
      </w:r>
      <w:r>
        <w:instrText xml:space="preserve"> PAGEREF _Toc434931205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Treasurer to be notified of unclaimed money, or its payment</w:t>
      </w:r>
      <w:r>
        <w:tab/>
      </w:r>
      <w:r>
        <w:fldChar w:fldCharType="begin"/>
      </w:r>
      <w:r>
        <w:instrText xml:space="preserve"> PAGEREF _Toc434931206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Prescribed retained money</w:t>
      </w:r>
    </w:p>
    <w:p>
      <w:pPr>
        <w:pStyle w:val="TOC8"/>
        <w:rPr>
          <w:rFonts w:asciiTheme="minorHAnsi" w:eastAsiaTheme="minorEastAsia" w:hAnsiTheme="minorHAnsi" w:cstheme="minorBidi"/>
          <w:szCs w:val="22"/>
        </w:rPr>
      </w:pPr>
      <w:r>
        <w:t>9</w:t>
      </w:r>
      <w:r>
        <w:rPr>
          <w:snapToGrid w:val="0"/>
        </w:rPr>
        <w:t>.</w:t>
      </w:r>
      <w:r>
        <w:rPr>
          <w:snapToGrid w:val="0"/>
        </w:rPr>
        <w:tab/>
        <w:t>Prescribed retained money</w:t>
      </w:r>
      <w:r>
        <w:tab/>
      </w:r>
      <w:r>
        <w:fldChar w:fldCharType="begin"/>
      </w:r>
      <w:r>
        <w:instrText xml:space="preserve"> PAGEREF _Toc434931208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How prescribed retained money shall be dealt with by the Treasurer</w:t>
      </w:r>
      <w:r>
        <w:tab/>
      </w:r>
      <w:r>
        <w:fldChar w:fldCharType="begin"/>
      </w:r>
      <w:r>
        <w:instrText xml:space="preserve"> PAGEREF _Toc434931209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Treasury procedures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Advertisement</w:t>
      </w:r>
    </w:p>
    <w:p>
      <w:pPr>
        <w:pStyle w:val="TOC8"/>
        <w:rPr>
          <w:rFonts w:asciiTheme="minorHAnsi" w:eastAsiaTheme="minorEastAsia" w:hAnsiTheme="minorHAnsi" w:cstheme="minorBidi"/>
          <w:szCs w:val="22"/>
        </w:rPr>
      </w:pPr>
      <w:r>
        <w:t>11</w:t>
      </w:r>
      <w:r>
        <w:rPr>
          <w:snapToGrid w:val="0"/>
        </w:rPr>
        <w:t>.</w:t>
      </w:r>
      <w:r>
        <w:rPr>
          <w:snapToGrid w:val="0"/>
        </w:rPr>
        <w:tab/>
        <w:t>Treasurer to advertise</w:t>
      </w:r>
      <w:r>
        <w:tab/>
      </w:r>
      <w:r>
        <w:fldChar w:fldCharType="begin"/>
      </w:r>
      <w:r>
        <w:instrText xml:space="preserve"> PAGEREF _Toc434931212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Effect of advertisement of moneys</w:t>
      </w:r>
      <w:r>
        <w:tab/>
      </w:r>
      <w:r>
        <w:fldChar w:fldCharType="begin"/>
      </w:r>
      <w:r>
        <w:instrText xml:space="preserve"> PAGEREF _Toc434931213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Payments to or from Treasury</w:t>
      </w:r>
    </w:p>
    <w:p>
      <w:pPr>
        <w:pStyle w:val="TOC8"/>
        <w:rPr>
          <w:rFonts w:asciiTheme="minorHAnsi" w:eastAsiaTheme="minorEastAsia" w:hAnsiTheme="minorHAnsi" w:cstheme="minorBidi"/>
          <w:szCs w:val="22"/>
        </w:rPr>
      </w:pPr>
      <w:r>
        <w:t>13</w:t>
      </w:r>
      <w:r>
        <w:rPr>
          <w:snapToGrid w:val="0"/>
        </w:rPr>
        <w:t>.</w:t>
      </w:r>
      <w:r>
        <w:rPr>
          <w:snapToGrid w:val="0"/>
        </w:rPr>
        <w:tab/>
        <w:t>Money not claimed, and voluntarily paid to Treasury otherwise than as unclaimed or prescribed retained money</w:t>
      </w:r>
      <w:r>
        <w:tab/>
      </w:r>
      <w:r>
        <w:fldChar w:fldCharType="begin"/>
      </w:r>
      <w:r>
        <w:instrText xml:space="preserve"> PAGEREF _Toc434931215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Advertised money unpaid payable to the Treasurer</w:t>
      </w:r>
      <w:r>
        <w:tab/>
      </w:r>
      <w:r>
        <w:fldChar w:fldCharType="begin"/>
      </w:r>
      <w:r>
        <w:instrText xml:space="preserve"> PAGEREF _Toc434931216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Treasurer may make payment to claimant</w:t>
      </w:r>
      <w:r>
        <w:tab/>
      </w:r>
      <w:r>
        <w:fldChar w:fldCharType="begin"/>
      </w:r>
      <w:r>
        <w:instrText xml:space="preserve"> PAGEREF _Toc434931217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Interest on payments made</w:t>
      </w:r>
      <w:r>
        <w:tab/>
      </w:r>
      <w:r>
        <w:fldChar w:fldCharType="begin"/>
      </w:r>
      <w:r>
        <w:instrText xml:space="preserve"> PAGEREF _Toc434931218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Money recoverable by Treasurer</w:t>
      </w:r>
      <w:r>
        <w:tab/>
      </w:r>
      <w:r>
        <w:fldChar w:fldCharType="begin"/>
      </w:r>
      <w:r>
        <w:instrText xml:space="preserve"> PAGEREF _Toc434931219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into Consolidated Account</w:t>
      </w:r>
      <w:r>
        <w:tab/>
      </w:r>
      <w:r>
        <w:fldChar w:fldCharType="begin"/>
      </w:r>
      <w:r>
        <w:instrText xml:space="preserve"> PAGEREF _Toc434931220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19</w:t>
      </w:r>
      <w:r>
        <w:rPr>
          <w:snapToGrid w:val="0"/>
        </w:rPr>
        <w:t>.</w:t>
      </w:r>
      <w:r>
        <w:rPr>
          <w:snapToGrid w:val="0"/>
        </w:rPr>
        <w:tab/>
        <w:t>Exemption</w:t>
      </w:r>
      <w:r>
        <w:tab/>
      </w:r>
      <w:r>
        <w:fldChar w:fldCharType="begin"/>
      </w:r>
      <w:r>
        <w:instrText xml:space="preserve"> PAGEREF _Toc434931222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Exemptions in respect of money subject to a trust</w:t>
      </w:r>
      <w:r>
        <w:tab/>
      </w:r>
      <w:r>
        <w:fldChar w:fldCharType="begin"/>
      </w:r>
      <w:r>
        <w:instrText xml:space="preserve"> PAGEREF _Toc434931223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Delegations and authorisations</w:t>
      </w:r>
      <w:r>
        <w:tab/>
      </w:r>
      <w:r>
        <w:fldChar w:fldCharType="begin"/>
      </w:r>
      <w:r>
        <w:instrText xml:space="preserve"> PAGEREF _Toc434931224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w:t>
      </w:r>
      <w:r>
        <w:tab/>
      </w:r>
      <w:r>
        <w:fldChar w:fldCharType="begin"/>
      </w:r>
      <w:r>
        <w:instrText xml:space="preserve"> PAGEREF _Toc434931225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_Toc434931226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Repeal</w:t>
      </w:r>
      <w:r>
        <w:tab/>
      </w:r>
      <w:r>
        <w:fldChar w:fldCharType="begin"/>
      </w:r>
      <w:r>
        <w:instrText xml:space="preserve"> PAGEREF _Toc434931227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provision</w:t>
      </w:r>
      <w:r>
        <w:tab/>
      </w:r>
      <w:r>
        <w:fldChar w:fldCharType="begin"/>
      </w:r>
      <w:r>
        <w:instrText xml:space="preserve"> PAGEREF _Toc434931228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_Toc434931230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No. 6 of 1993 s. 11; No. 77 of 2006 s. 4.]</w:t>
      </w:r>
    </w:p>
    <w:p>
      <w:pPr>
        <w:pStyle w:val="Heading2"/>
      </w:pPr>
      <w:bookmarkStart w:id="3" w:name="_Toc379290247"/>
      <w:bookmarkStart w:id="4" w:name="_Toc424558486"/>
      <w:bookmarkStart w:id="5" w:name="_Toc434931162"/>
      <w:bookmarkStart w:id="6" w:name="_Toc4349311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9290248"/>
      <w:bookmarkStart w:id="8" w:name="_Toc43493119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9" w:name="_Toc379290249"/>
      <w:bookmarkStart w:id="10" w:name="_Toc43493119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1" w:name="_Toc379290250"/>
      <w:bookmarkStart w:id="12" w:name="_Toc434931200"/>
      <w:r>
        <w:rPr>
          <w:rStyle w:val="CharSectno"/>
        </w:rPr>
        <w:t>3</w:t>
      </w:r>
      <w:r>
        <w:rPr>
          <w:snapToGrid w:val="0"/>
        </w:rPr>
        <w:t>.</w:t>
      </w:r>
      <w:r>
        <w:rPr>
          <w:snapToGrid w:val="0"/>
        </w:rPr>
        <w:tab/>
        <w:t>Interpretation</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claim</w:t>
      </w:r>
      <w:r>
        <w:t>, in relation to any account or deposit, includes any payment in or withdrawal or any instruction given;</w:t>
      </w:r>
    </w:p>
    <w:p>
      <w:pPr>
        <w:pStyle w:val="Defstart"/>
      </w:pPr>
      <w:r>
        <w:rPr>
          <w:b/>
        </w:rPr>
        <w:tab/>
      </w:r>
      <w:r>
        <w:rPr>
          <w:rStyle w:val="CharDefText"/>
        </w:rPr>
        <w:t>disbursable</w:t>
      </w:r>
      <w:r>
        <w:t>, in relation to prescribed retained money, has the meaning given in section 10(2);</w:t>
      </w:r>
    </w:p>
    <w:p>
      <w:pPr>
        <w:pStyle w:val="Defstart"/>
      </w:pPr>
      <w:r>
        <w:rPr>
          <w:b/>
        </w:rPr>
        <w:tab/>
      </w:r>
      <w:r>
        <w:rPr>
          <w:rStyle w:val="CharDefText"/>
        </w:rPr>
        <w:t>holder</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r>
      <w:r>
        <w:rPr>
          <w:rStyle w:val="CharDefText"/>
        </w:rPr>
        <w:t>owner</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r>
      <w:r>
        <w:rPr>
          <w:rStyle w:val="CharDefText"/>
        </w:rPr>
        <w:t>prescribed retained money</w:t>
      </w:r>
      <w:r>
        <w:t xml:space="preserve"> means money to which section 9 applies;</w:t>
      </w:r>
    </w:p>
    <w:p>
      <w:pPr>
        <w:pStyle w:val="Defstart"/>
      </w:pPr>
      <w:r>
        <w:rPr>
          <w:b/>
        </w:rPr>
        <w:tab/>
      </w:r>
      <w:r>
        <w:rPr>
          <w:rStyle w:val="CharDefText"/>
        </w:rPr>
        <w:t>the repealed Act</w:t>
      </w:r>
      <w:r>
        <w:t xml:space="preserve"> means the </w:t>
      </w:r>
      <w:r>
        <w:rPr>
          <w:i/>
        </w:rPr>
        <w:t>Unclaimed Moneys Act 1912</w:t>
      </w:r>
      <w:r>
        <w:t>;</w:t>
      </w:r>
    </w:p>
    <w:p>
      <w:pPr>
        <w:pStyle w:val="Defstart"/>
      </w:pPr>
      <w:r>
        <w:rPr>
          <w:b/>
        </w:rPr>
        <w:tab/>
      </w:r>
      <w:r>
        <w:rPr>
          <w:rStyle w:val="CharDefText"/>
        </w:rPr>
        <w:t>unclaimed money</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13" w:name="_Toc379290251"/>
      <w:bookmarkStart w:id="14" w:name="_Toc434931201"/>
      <w:r>
        <w:rPr>
          <w:rStyle w:val="CharSectno"/>
        </w:rPr>
        <w:t>4</w:t>
      </w:r>
      <w:r>
        <w:rPr>
          <w:snapToGrid w:val="0"/>
        </w:rPr>
        <w:t>.</w:t>
      </w:r>
      <w:r>
        <w:rPr>
          <w:snapToGrid w:val="0"/>
        </w:rPr>
        <w:tab/>
        <w:t>Application</w:t>
      </w:r>
      <w:bookmarkEnd w:id="13"/>
      <w:bookmarkEnd w:id="14"/>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deleted]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No. 73 of 1990 s. 45; No. 73 of 1994 s. 4; No. 19 of 2003 s. 26.]</w:t>
      </w:r>
    </w:p>
    <w:p>
      <w:pPr>
        <w:pStyle w:val="Heading5"/>
        <w:rPr>
          <w:snapToGrid w:val="0"/>
        </w:rPr>
      </w:pPr>
      <w:bookmarkStart w:id="15" w:name="_Toc379290252"/>
      <w:bookmarkStart w:id="16" w:name="_Toc434931202"/>
      <w:r>
        <w:rPr>
          <w:rStyle w:val="CharSectno"/>
        </w:rPr>
        <w:t>5</w:t>
      </w:r>
      <w:r>
        <w:rPr>
          <w:snapToGrid w:val="0"/>
        </w:rPr>
        <w:t>.</w:t>
      </w:r>
      <w:r>
        <w:rPr>
          <w:snapToGrid w:val="0"/>
        </w:rPr>
        <w:tab/>
        <w:t>Questions as to jurisdiction</w:t>
      </w:r>
      <w:bookmarkEnd w:id="15"/>
      <w:bookmarkEnd w:id="16"/>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17" w:name="_Toc379290253"/>
      <w:bookmarkStart w:id="18" w:name="_Toc424558492"/>
      <w:bookmarkStart w:id="19" w:name="_Toc434931168"/>
      <w:bookmarkStart w:id="20" w:name="_Toc434931203"/>
      <w:r>
        <w:rPr>
          <w:rStyle w:val="CharPartNo"/>
        </w:rPr>
        <w:t>Part 2</w:t>
      </w:r>
      <w:r>
        <w:rPr>
          <w:rStyle w:val="CharDivNo"/>
        </w:rPr>
        <w:t> </w:t>
      </w:r>
      <w:r>
        <w:t>—</w:t>
      </w:r>
      <w:r>
        <w:rPr>
          <w:rStyle w:val="CharDivText"/>
        </w:rPr>
        <w:t> </w:t>
      </w:r>
      <w:r>
        <w:rPr>
          <w:rStyle w:val="CharPartText"/>
        </w:rPr>
        <w:t>Unclaimed money</w:t>
      </w:r>
      <w:bookmarkEnd w:id="17"/>
      <w:bookmarkEnd w:id="18"/>
      <w:bookmarkEnd w:id="19"/>
      <w:bookmarkEnd w:id="20"/>
    </w:p>
    <w:p>
      <w:pPr>
        <w:pStyle w:val="Heading5"/>
        <w:rPr>
          <w:snapToGrid w:val="0"/>
        </w:rPr>
      </w:pPr>
      <w:bookmarkStart w:id="21" w:name="_Toc379290254"/>
      <w:bookmarkStart w:id="22" w:name="_Toc434931204"/>
      <w:r>
        <w:rPr>
          <w:rStyle w:val="CharSectno"/>
        </w:rPr>
        <w:t>6</w:t>
      </w:r>
      <w:r>
        <w:rPr>
          <w:snapToGrid w:val="0"/>
        </w:rPr>
        <w:t>.</w:t>
      </w:r>
      <w:r>
        <w:rPr>
          <w:snapToGrid w:val="0"/>
        </w:rPr>
        <w:tab/>
        <w:t>Unclaimed money</w:t>
      </w:r>
      <w:bookmarkEnd w:id="21"/>
      <w:bookmarkEnd w:id="22"/>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No. 73 of 1994 s. 4.]</w:t>
      </w:r>
    </w:p>
    <w:p>
      <w:pPr>
        <w:pStyle w:val="Heading5"/>
        <w:rPr>
          <w:snapToGrid w:val="0"/>
        </w:rPr>
      </w:pPr>
      <w:bookmarkStart w:id="23" w:name="_Toc379290255"/>
      <w:bookmarkStart w:id="24" w:name="_Toc434931205"/>
      <w:r>
        <w:rPr>
          <w:rStyle w:val="CharSectno"/>
        </w:rPr>
        <w:t>7</w:t>
      </w:r>
      <w:r>
        <w:rPr>
          <w:snapToGrid w:val="0"/>
        </w:rPr>
        <w:t>.</w:t>
      </w:r>
      <w:r>
        <w:rPr>
          <w:snapToGrid w:val="0"/>
        </w:rPr>
        <w:tab/>
        <w:t>Persons taken, or deemed, to be holders of unclaimed money</w:t>
      </w:r>
      <w:bookmarkEnd w:id="23"/>
      <w:bookmarkEnd w:id="24"/>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No. 20 of 2003 s. 51.]</w:t>
      </w:r>
    </w:p>
    <w:p>
      <w:pPr>
        <w:pStyle w:val="Heading5"/>
        <w:rPr>
          <w:snapToGrid w:val="0"/>
        </w:rPr>
      </w:pPr>
      <w:bookmarkStart w:id="25" w:name="_Toc379290256"/>
      <w:bookmarkStart w:id="26" w:name="_Toc434931206"/>
      <w:r>
        <w:rPr>
          <w:rStyle w:val="CharSectno"/>
        </w:rPr>
        <w:t>8</w:t>
      </w:r>
      <w:r>
        <w:rPr>
          <w:snapToGrid w:val="0"/>
        </w:rPr>
        <w:t>.</w:t>
      </w:r>
      <w:r>
        <w:rPr>
          <w:snapToGrid w:val="0"/>
        </w:rPr>
        <w:tab/>
        <w:t>Treasurer to be notified of unclaimed money, or its payment</w:t>
      </w:r>
      <w:bookmarkEnd w:id="25"/>
      <w:bookmarkEnd w:id="26"/>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27" w:name="_Toc379290257"/>
      <w:bookmarkStart w:id="28" w:name="_Toc424558496"/>
      <w:bookmarkStart w:id="29" w:name="_Toc434931172"/>
      <w:bookmarkStart w:id="30" w:name="_Toc434931207"/>
      <w:r>
        <w:rPr>
          <w:rStyle w:val="CharPartNo"/>
        </w:rPr>
        <w:t>Part 3</w:t>
      </w:r>
      <w:r>
        <w:rPr>
          <w:rStyle w:val="CharDivNo"/>
        </w:rPr>
        <w:t> </w:t>
      </w:r>
      <w:r>
        <w:t>—</w:t>
      </w:r>
      <w:r>
        <w:rPr>
          <w:rStyle w:val="CharDivText"/>
        </w:rPr>
        <w:t> </w:t>
      </w:r>
      <w:r>
        <w:rPr>
          <w:rStyle w:val="CharPartText"/>
        </w:rPr>
        <w:t>Prescribed retained money</w:t>
      </w:r>
      <w:bookmarkEnd w:id="27"/>
      <w:bookmarkEnd w:id="28"/>
      <w:bookmarkEnd w:id="29"/>
      <w:bookmarkEnd w:id="30"/>
    </w:p>
    <w:p>
      <w:pPr>
        <w:pStyle w:val="Heading5"/>
        <w:rPr>
          <w:snapToGrid w:val="0"/>
        </w:rPr>
      </w:pPr>
      <w:bookmarkStart w:id="31" w:name="_Toc379290258"/>
      <w:bookmarkStart w:id="32" w:name="_Toc434931208"/>
      <w:r>
        <w:rPr>
          <w:rStyle w:val="CharSectno"/>
        </w:rPr>
        <w:t>9</w:t>
      </w:r>
      <w:r>
        <w:rPr>
          <w:snapToGrid w:val="0"/>
        </w:rPr>
        <w:t>.</w:t>
      </w:r>
      <w:r>
        <w:rPr>
          <w:snapToGrid w:val="0"/>
        </w:rPr>
        <w:tab/>
        <w:t>Prescribed retained money</w:t>
      </w:r>
      <w:bookmarkEnd w:id="31"/>
      <w:bookmarkEnd w:id="32"/>
    </w:p>
    <w:p>
      <w:pPr>
        <w:pStyle w:val="Subsection"/>
        <w:rPr>
          <w:snapToGrid w:val="0"/>
        </w:rPr>
      </w:pPr>
      <w:r>
        <w:rPr>
          <w:snapToGrid w:val="0"/>
        </w:rPr>
        <w:tab/>
        <w:t>(1)</w:t>
      </w:r>
      <w:r>
        <w:rPr>
          <w:snapToGrid w:val="0"/>
        </w:rPr>
        <w:tab/>
        <w:t>Where money —</w:t>
      </w:r>
    </w:p>
    <w:p>
      <w:pPr>
        <w:pStyle w:val="Ednotepara"/>
        <w:rPr>
          <w:snapToGrid w:val="0"/>
        </w:rPr>
      </w:pPr>
      <w:r>
        <w:tab/>
        <w:t>[(a)</w:t>
      </w:r>
      <w:r>
        <w:tab/>
        <w:t>deleted]</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or under an Act repealed by that Act, and not distributed, is vested in the Public Trustee and is for the time being held in</w:t>
      </w:r>
      <w:r>
        <w:t xml:space="preserve"> the Common Account as defined in section 2 of the </w:t>
      </w:r>
      <w:r>
        <w:rPr>
          <w:i/>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pPr>
      <w:r>
        <w:tab/>
        <w:t>(h)</w:t>
      </w:r>
      <w:r>
        <w:tab/>
        <w:t xml:space="preserve">is money that under the </w:t>
      </w:r>
      <w:r>
        <w:rPr>
          <w:i/>
          <w:iCs/>
        </w:rPr>
        <w:t>Criminal and Found Property Disposal Act 2006</w:t>
      </w:r>
      <w:r>
        <w:t xml:space="preserve"> is to be dealt with under this Act;</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noBreakHyphen/>
        <w:t>(q)</w:t>
      </w:r>
      <w:r>
        <w:rPr>
          <w:snapToGrid w:val="0"/>
        </w:rPr>
        <w:tab/>
        <w:t>deleted]</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No. 6 of 1993 s. 11 and 16(1); No. 73 of 1994 s. 4; No. 49 of 1996, s. 64; No. 24 of 1998 s. 68(2); No. 5 of 1999 s. 21 and 26; No. 26 of 1999 s. 109; No. 10 of 2004 s. 15(2); No. 59 of 2006 s. 73; No. 77 of 2006 s. 4 and 17; No. 9 of 2008 s. 36; No. 8 of 2009 s. 11; No. 38 of 2012 s. 7.]</w:t>
      </w:r>
    </w:p>
    <w:p>
      <w:pPr>
        <w:pStyle w:val="Heading5"/>
        <w:rPr>
          <w:snapToGrid w:val="0"/>
        </w:rPr>
      </w:pPr>
      <w:bookmarkStart w:id="33" w:name="_Toc379290259"/>
      <w:bookmarkStart w:id="34" w:name="_Toc434931209"/>
      <w:r>
        <w:rPr>
          <w:rStyle w:val="CharSectno"/>
        </w:rPr>
        <w:t>10</w:t>
      </w:r>
      <w:r>
        <w:rPr>
          <w:snapToGrid w:val="0"/>
        </w:rPr>
        <w:t>.</w:t>
      </w:r>
      <w:r>
        <w:rPr>
          <w:snapToGrid w:val="0"/>
        </w:rPr>
        <w:tab/>
        <w:t>How prescribed retained money shall be dealt with by the Treasurer</w:t>
      </w:r>
      <w:bookmarkEnd w:id="33"/>
      <w:bookmarkEnd w:id="34"/>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35" w:name="_Toc379290260"/>
      <w:bookmarkStart w:id="36" w:name="_Toc424558499"/>
      <w:bookmarkStart w:id="37" w:name="_Toc434931175"/>
      <w:bookmarkStart w:id="38" w:name="_Toc434931210"/>
      <w:r>
        <w:rPr>
          <w:rStyle w:val="CharPartNo"/>
        </w:rPr>
        <w:t>Part 4</w:t>
      </w:r>
      <w:r>
        <w:t> — </w:t>
      </w:r>
      <w:r>
        <w:rPr>
          <w:rStyle w:val="CharPartText"/>
        </w:rPr>
        <w:t>Treasury procedures</w:t>
      </w:r>
      <w:bookmarkEnd w:id="35"/>
      <w:bookmarkEnd w:id="36"/>
      <w:bookmarkEnd w:id="37"/>
      <w:bookmarkEnd w:id="38"/>
    </w:p>
    <w:p>
      <w:pPr>
        <w:pStyle w:val="Heading3"/>
      </w:pPr>
      <w:bookmarkStart w:id="39" w:name="_Toc379290261"/>
      <w:bookmarkStart w:id="40" w:name="_Toc424558500"/>
      <w:bookmarkStart w:id="41" w:name="_Toc434931176"/>
      <w:bookmarkStart w:id="42" w:name="_Toc434931211"/>
      <w:r>
        <w:rPr>
          <w:rStyle w:val="CharDivNo"/>
        </w:rPr>
        <w:t>Division 1</w:t>
      </w:r>
      <w:r>
        <w:rPr>
          <w:snapToGrid w:val="0"/>
        </w:rPr>
        <w:t> — </w:t>
      </w:r>
      <w:r>
        <w:rPr>
          <w:rStyle w:val="CharDivText"/>
        </w:rPr>
        <w:t>Advertisement</w:t>
      </w:r>
      <w:bookmarkEnd w:id="39"/>
      <w:bookmarkEnd w:id="40"/>
      <w:bookmarkEnd w:id="41"/>
      <w:bookmarkEnd w:id="42"/>
    </w:p>
    <w:p>
      <w:pPr>
        <w:pStyle w:val="Heading5"/>
        <w:rPr>
          <w:snapToGrid w:val="0"/>
        </w:rPr>
      </w:pPr>
      <w:bookmarkStart w:id="43" w:name="_Toc379290262"/>
      <w:bookmarkStart w:id="44" w:name="_Toc434931212"/>
      <w:r>
        <w:rPr>
          <w:rStyle w:val="CharSectno"/>
        </w:rPr>
        <w:t>11</w:t>
      </w:r>
      <w:r>
        <w:rPr>
          <w:snapToGrid w:val="0"/>
        </w:rPr>
        <w:t>.</w:t>
      </w:r>
      <w:r>
        <w:rPr>
          <w:snapToGrid w:val="0"/>
        </w:rPr>
        <w:tab/>
        <w:t>Treasurer to advertise</w:t>
      </w:r>
      <w:bookmarkEnd w:id="43"/>
      <w:bookmarkEnd w:id="44"/>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No. 14 of 1996 s. 4.]</w:t>
      </w:r>
    </w:p>
    <w:p>
      <w:pPr>
        <w:pStyle w:val="Heading5"/>
        <w:rPr>
          <w:snapToGrid w:val="0"/>
        </w:rPr>
      </w:pPr>
      <w:bookmarkStart w:id="45" w:name="_Toc379290263"/>
      <w:bookmarkStart w:id="46" w:name="_Toc434931213"/>
      <w:r>
        <w:rPr>
          <w:rStyle w:val="CharSectno"/>
        </w:rPr>
        <w:t>12</w:t>
      </w:r>
      <w:r>
        <w:rPr>
          <w:snapToGrid w:val="0"/>
        </w:rPr>
        <w:t>.</w:t>
      </w:r>
      <w:r>
        <w:rPr>
          <w:snapToGrid w:val="0"/>
        </w:rPr>
        <w:tab/>
        <w:t>Effect of advertisement of moneys</w:t>
      </w:r>
      <w:bookmarkEnd w:id="45"/>
      <w:bookmarkEnd w:id="46"/>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47" w:name="_Toc379290264"/>
      <w:bookmarkStart w:id="48" w:name="_Toc424558503"/>
      <w:bookmarkStart w:id="49" w:name="_Toc434931179"/>
      <w:bookmarkStart w:id="50" w:name="_Toc434931214"/>
      <w:r>
        <w:rPr>
          <w:rStyle w:val="CharDivNo"/>
        </w:rPr>
        <w:t>Division 2</w:t>
      </w:r>
      <w:r>
        <w:rPr>
          <w:snapToGrid w:val="0"/>
        </w:rPr>
        <w:t> — </w:t>
      </w:r>
      <w:r>
        <w:rPr>
          <w:rStyle w:val="CharDivText"/>
        </w:rPr>
        <w:t>Payments to or from Treasury</w:t>
      </w:r>
      <w:bookmarkEnd w:id="47"/>
      <w:bookmarkEnd w:id="48"/>
      <w:bookmarkEnd w:id="49"/>
      <w:bookmarkEnd w:id="50"/>
    </w:p>
    <w:p>
      <w:pPr>
        <w:pStyle w:val="Heading5"/>
        <w:rPr>
          <w:snapToGrid w:val="0"/>
        </w:rPr>
      </w:pPr>
      <w:bookmarkStart w:id="51" w:name="_Toc379290265"/>
      <w:bookmarkStart w:id="52" w:name="_Toc434931215"/>
      <w:r>
        <w:rPr>
          <w:rStyle w:val="CharSectno"/>
        </w:rPr>
        <w:t>13</w:t>
      </w:r>
      <w:r>
        <w:rPr>
          <w:snapToGrid w:val="0"/>
        </w:rPr>
        <w:t>.</w:t>
      </w:r>
      <w:r>
        <w:rPr>
          <w:snapToGrid w:val="0"/>
        </w:rPr>
        <w:tab/>
        <w:t>Money not claimed, and voluntarily paid to Treasury otherwise than as unclaimed or prescribed retained money</w:t>
      </w:r>
      <w:bookmarkEnd w:id="51"/>
      <w:bookmarkEnd w:id="52"/>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53" w:name="_Toc379290266"/>
      <w:bookmarkStart w:id="54" w:name="_Toc434931216"/>
      <w:r>
        <w:rPr>
          <w:rStyle w:val="CharSectno"/>
        </w:rPr>
        <w:t>14</w:t>
      </w:r>
      <w:r>
        <w:rPr>
          <w:snapToGrid w:val="0"/>
        </w:rPr>
        <w:t>.</w:t>
      </w:r>
      <w:r>
        <w:rPr>
          <w:snapToGrid w:val="0"/>
        </w:rPr>
        <w:tab/>
        <w:t>Advertised money unpaid payable to the Treasurer</w:t>
      </w:r>
      <w:bookmarkEnd w:id="53"/>
      <w:bookmarkEnd w:id="54"/>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55" w:name="_Toc379290267"/>
      <w:bookmarkStart w:id="56" w:name="_Toc434931217"/>
      <w:r>
        <w:rPr>
          <w:rStyle w:val="CharSectno"/>
        </w:rPr>
        <w:t>15</w:t>
      </w:r>
      <w:r>
        <w:rPr>
          <w:snapToGrid w:val="0"/>
        </w:rPr>
        <w:t>.</w:t>
      </w:r>
      <w:r>
        <w:rPr>
          <w:snapToGrid w:val="0"/>
        </w:rPr>
        <w:tab/>
        <w:t>Treasurer may make payment to claimant</w:t>
      </w:r>
      <w:bookmarkEnd w:id="55"/>
      <w:bookmarkEnd w:id="56"/>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No. 6 of 1993 s. 11; No. 49 of 1996 s. 64; No. 77 of 2006 s. 4.]</w:t>
      </w:r>
    </w:p>
    <w:p>
      <w:pPr>
        <w:pStyle w:val="Heading5"/>
        <w:rPr>
          <w:snapToGrid w:val="0"/>
        </w:rPr>
      </w:pPr>
      <w:bookmarkStart w:id="57" w:name="_Toc379290268"/>
      <w:bookmarkStart w:id="58" w:name="_Toc434931218"/>
      <w:r>
        <w:rPr>
          <w:rStyle w:val="CharSectno"/>
        </w:rPr>
        <w:t>16</w:t>
      </w:r>
      <w:r>
        <w:rPr>
          <w:snapToGrid w:val="0"/>
        </w:rPr>
        <w:t>.</w:t>
      </w:r>
      <w:r>
        <w:rPr>
          <w:snapToGrid w:val="0"/>
        </w:rPr>
        <w:tab/>
        <w:t>Interest on payments made</w:t>
      </w:r>
      <w:bookmarkEnd w:id="57"/>
      <w:bookmarkEnd w:id="58"/>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 xml:space="preserve">The interest payable under subsection (2) shall be calculated at a rate to be determined by the Treasurer, being a rate not less than that payable from time to time on ordinary savings accounts with the Commonwealth Bank of </w:t>
      </w:r>
      <w:smartTag w:uri="urn:schemas-microsoft-com:office:smarttags" w:element="country-region">
        <w:smartTag w:uri="urn:schemas-microsoft-com:office:smarttags" w:element="place">
          <w:r>
            <w:rPr>
              <w:snapToGrid w:val="0"/>
            </w:rPr>
            <w:t>Australia</w:t>
          </w:r>
        </w:smartTag>
      </w:smartTag>
      <w:r>
        <w:rPr>
          <w:snapToGrid w:val="0"/>
        </w:rPr>
        <w:t>.</w:t>
      </w:r>
    </w:p>
    <w:p>
      <w:pPr>
        <w:pStyle w:val="Footnotesection"/>
      </w:pPr>
      <w:r>
        <w:tab/>
        <w:t>[Section 16 amended: No. 6 of 1994 s. 13; No. 14 of 1995 s. 44.]</w:t>
      </w:r>
    </w:p>
    <w:p>
      <w:pPr>
        <w:pStyle w:val="Heading5"/>
        <w:rPr>
          <w:snapToGrid w:val="0"/>
        </w:rPr>
      </w:pPr>
      <w:bookmarkStart w:id="59" w:name="_Toc379290269"/>
      <w:bookmarkStart w:id="60" w:name="_Toc434931219"/>
      <w:r>
        <w:rPr>
          <w:rStyle w:val="CharSectno"/>
        </w:rPr>
        <w:t>17</w:t>
      </w:r>
      <w:r>
        <w:rPr>
          <w:snapToGrid w:val="0"/>
        </w:rPr>
        <w:t>.</w:t>
      </w:r>
      <w:r>
        <w:rPr>
          <w:snapToGrid w:val="0"/>
        </w:rPr>
        <w:tab/>
        <w:t>Money recoverable by Treasurer</w:t>
      </w:r>
      <w:bookmarkEnd w:id="59"/>
      <w:bookmarkEnd w:id="60"/>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61" w:name="_Toc379290270"/>
      <w:bookmarkStart w:id="62" w:name="_Toc434931220"/>
      <w:r>
        <w:rPr>
          <w:rStyle w:val="CharSectno"/>
        </w:rPr>
        <w:t>18</w:t>
      </w:r>
      <w:r>
        <w:rPr>
          <w:snapToGrid w:val="0"/>
        </w:rPr>
        <w:t>.</w:t>
      </w:r>
      <w:r>
        <w:rPr>
          <w:snapToGrid w:val="0"/>
        </w:rPr>
        <w:tab/>
        <w:t>Payment into Consolidated Account</w:t>
      </w:r>
      <w:bookmarkEnd w:id="61"/>
      <w:bookmarkEnd w:id="62"/>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No. 6 of 1993 s. 11; No. 49 of 1996 s. 64; No. 77 of 2006 s. 4.]</w:t>
      </w:r>
    </w:p>
    <w:p>
      <w:pPr>
        <w:pStyle w:val="Heading2"/>
      </w:pPr>
      <w:bookmarkStart w:id="63" w:name="_Toc379290271"/>
      <w:bookmarkStart w:id="64" w:name="_Toc424558510"/>
      <w:bookmarkStart w:id="65" w:name="_Toc434931186"/>
      <w:bookmarkStart w:id="66" w:name="_Toc434931221"/>
      <w:r>
        <w:rPr>
          <w:rStyle w:val="CharPartNo"/>
        </w:rPr>
        <w:t>Part 5</w:t>
      </w:r>
      <w:r>
        <w:rPr>
          <w:rStyle w:val="CharDivNo"/>
        </w:rPr>
        <w:t> </w:t>
      </w:r>
      <w:r>
        <w:t>—</w:t>
      </w:r>
      <w:r>
        <w:rPr>
          <w:rStyle w:val="CharDivText"/>
        </w:rPr>
        <w:t> </w:t>
      </w:r>
      <w:r>
        <w:rPr>
          <w:rStyle w:val="CharPartText"/>
        </w:rPr>
        <w:t>Administration</w:t>
      </w:r>
      <w:bookmarkEnd w:id="63"/>
      <w:bookmarkEnd w:id="64"/>
      <w:bookmarkEnd w:id="65"/>
      <w:bookmarkEnd w:id="66"/>
    </w:p>
    <w:p>
      <w:pPr>
        <w:pStyle w:val="Heading5"/>
        <w:rPr>
          <w:snapToGrid w:val="0"/>
        </w:rPr>
      </w:pPr>
      <w:bookmarkStart w:id="67" w:name="_Toc379290272"/>
      <w:bookmarkStart w:id="68" w:name="_Toc434931222"/>
      <w:r>
        <w:rPr>
          <w:rStyle w:val="CharSectno"/>
        </w:rPr>
        <w:t>19</w:t>
      </w:r>
      <w:r>
        <w:rPr>
          <w:snapToGrid w:val="0"/>
        </w:rPr>
        <w:t>.</w:t>
      </w:r>
      <w:r>
        <w:rPr>
          <w:snapToGrid w:val="0"/>
        </w:rPr>
        <w:tab/>
        <w:t>Exemption</w:t>
      </w:r>
      <w:bookmarkEnd w:id="67"/>
      <w:bookmarkEnd w:id="68"/>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69" w:name="_Toc379290273"/>
      <w:bookmarkStart w:id="70" w:name="_Toc434931223"/>
      <w:r>
        <w:rPr>
          <w:rStyle w:val="CharSectno"/>
        </w:rPr>
        <w:t>20</w:t>
      </w:r>
      <w:r>
        <w:rPr>
          <w:snapToGrid w:val="0"/>
        </w:rPr>
        <w:t>.</w:t>
      </w:r>
      <w:r>
        <w:rPr>
          <w:snapToGrid w:val="0"/>
        </w:rPr>
        <w:tab/>
        <w:t>Exemptions in respect of money subject to a trust</w:t>
      </w:r>
      <w:bookmarkEnd w:id="69"/>
      <w:bookmarkEnd w:id="70"/>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71" w:name="_Toc379290274"/>
      <w:bookmarkStart w:id="72" w:name="_Toc434931224"/>
      <w:r>
        <w:rPr>
          <w:rStyle w:val="CharSectno"/>
        </w:rPr>
        <w:t>21</w:t>
      </w:r>
      <w:r>
        <w:rPr>
          <w:snapToGrid w:val="0"/>
        </w:rPr>
        <w:t>.</w:t>
      </w:r>
      <w:r>
        <w:rPr>
          <w:snapToGrid w:val="0"/>
        </w:rPr>
        <w:tab/>
        <w:t>Delegations and authorisations</w:t>
      </w:r>
      <w:bookmarkEnd w:id="71"/>
      <w:bookmarkEnd w:id="72"/>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73" w:name="_Toc379290275"/>
      <w:bookmarkStart w:id="74" w:name="_Toc434931225"/>
      <w:r>
        <w:rPr>
          <w:rStyle w:val="CharSectno"/>
        </w:rPr>
        <w:t>22</w:t>
      </w:r>
      <w:r>
        <w:rPr>
          <w:snapToGrid w:val="0"/>
        </w:rPr>
        <w:t>.</w:t>
      </w:r>
      <w:r>
        <w:rPr>
          <w:snapToGrid w:val="0"/>
        </w:rPr>
        <w:tab/>
        <w:t>Offences</w:t>
      </w:r>
      <w:bookmarkEnd w:id="73"/>
      <w:bookmarkEnd w:id="74"/>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No. 50 of 2003 s. 101(2).]</w:t>
      </w:r>
    </w:p>
    <w:p>
      <w:pPr>
        <w:pStyle w:val="Heading5"/>
        <w:rPr>
          <w:snapToGrid w:val="0"/>
        </w:rPr>
      </w:pPr>
      <w:bookmarkStart w:id="75" w:name="_Toc379290276"/>
      <w:bookmarkStart w:id="76" w:name="_Toc434931226"/>
      <w:r>
        <w:rPr>
          <w:rStyle w:val="CharSectno"/>
        </w:rPr>
        <w:t>23</w:t>
      </w:r>
      <w:r>
        <w:rPr>
          <w:snapToGrid w:val="0"/>
        </w:rPr>
        <w:t>.</w:t>
      </w:r>
      <w:r>
        <w:rPr>
          <w:snapToGrid w:val="0"/>
        </w:rPr>
        <w:tab/>
        <w:t>Regulations</w:t>
      </w:r>
      <w:bookmarkEnd w:id="75"/>
      <w:bookmarkEnd w:id="7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7" w:name="_Toc379290277"/>
      <w:bookmarkStart w:id="78" w:name="_Toc434931227"/>
      <w:r>
        <w:rPr>
          <w:rStyle w:val="CharSectno"/>
        </w:rPr>
        <w:t>24</w:t>
      </w:r>
      <w:r>
        <w:rPr>
          <w:snapToGrid w:val="0"/>
        </w:rPr>
        <w:t>.</w:t>
      </w:r>
      <w:r>
        <w:rPr>
          <w:snapToGrid w:val="0"/>
        </w:rPr>
        <w:tab/>
        <w:t>Repeal</w:t>
      </w:r>
      <w:bookmarkEnd w:id="77"/>
      <w:bookmarkEnd w:id="78"/>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79" w:name="_Toc379290278"/>
      <w:bookmarkStart w:id="80" w:name="_Toc434931228"/>
      <w:r>
        <w:rPr>
          <w:rStyle w:val="CharSectno"/>
        </w:rPr>
        <w:t>25</w:t>
      </w:r>
      <w:r>
        <w:rPr>
          <w:snapToGrid w:val="0"/>
        </w:rPr>
        <w:t>.</w:t>
      </w:r>
      <w:r>
        <w:rPr>
          <w:snapToGrid w:val="0"/>
        </w:rPr>
        <w:tab/>
        <w:t>Transitional provision</w:t>
      </w:r>
      <w:bookmarkEnd w:id="79"/>
      <w:bookmarkEnd w:id="80"/>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No. 6 of 1993 s. 11.]</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1" w:name="_Toc379290279"/>
      <w:bookmarkStart w:id="82" w:name="_Toc424558518"/>
      <w:bookmarkStart w:id="83" w:name="_Toc434931194"/>
      <w:bookmarkStart w:id="84" w:name="_Toc434931229"/>
      <w:r>
        <w:t>Notes</w:t>
      </w:r>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Unclaimed Money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379290280"/>
      <w:bookmarkStart w:id="86" w:name="_Toc434931230"/>
      <w:r>
        <w:rPr>
          <w:snapToGrid w:val="0"/>
        </w:rPr>
        <w:t>Compilation table</w:t>
      </w:r>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Unclaimed Money Act 1990</w:t>
            </w:r>
          </w:p>
        </w:tc>
        <w:tc>
          <w:tcPr>
            <w:tcW w:w="1134" w:type="dxa"/>
            <w:tcBorders>
              <w:top w:val="single" w:sz="8" w:space="0" w:color="auto"/>
            </w:tcBorders>
          </w:tcPr>
          <w:p>
            <w:pPr>
              <w:pStyle w:val="nTable"/>
              <w:spacing w:after="40"/>
            </w:pPr>
            <w:r>
              <w:t>31 of 1990</w:t>
            </w:r>
          </w:p>
        </w:tc>
        <w:tc>
          <w:tcPr>
            <w:tcW w:w="1134" w:type="dxa"/>
            <w:tcBorders>
              <w:top w:val="single" w:sz="8" w:space="0" w:color="auto"/>
            </w:tcBorders>
          </w:tcPr>
          <w:p>
            <w:pPr>
              <w:pStyle w:val="nTable"/>
              <w:spacing w:after="40"/>
            </w:pPr>
            <w:r>
              <w:t>9 Oct 1990</w:t>
            </w:r>
          </w:p>
        </w:tc>
        <w:tc>
          <w:tcPr>
            <w:tcW w:w="2552" w:type="dxa"/>
            <w:tcBorders>
              <w:top w:val="single" w:sz="8" w:space="0" w:color="auto"/>
            </w:tcBorders>
          </w:tcPr>
          <w:p>
            <w:pPr>
              <w:pStyle w:val="nTable"/>
              <w:spacing w:after="40"/>
            </w:pPr>
            <w:r>
              <w:t xml:space="preserve">12 Apr 1991 (see s. 2 and </w:t>
            </w:r>
            <w:r>
              <w:rPr>
                <w:i/>
              </w:rPr>
              <w:t>Gazette</w:t>
            </w:r>
            <w:r>
              <w:t xml:space="preserve"> 12 Apr 1991 p. 1597)</w:t>
            </w:r>
          </w:p>
        </w:tc>
      </w:tr>
      <w:tr>
        <w:trPr>
          <w:cantSplit/>
        </w:trPr>
        <w:tc>
          <w:tcPr>
            <w:tcW w:w="2269" w:type="dxa"/>
          </w:tcPr>
          <w:p>
            <w:pPr>
              <w:pStyle w:val="nTable"/>
              <w:spacing w:after="40"/>
              <w:ind w:right="170"/>
            </w:pPr>
            <w:r>
              <w:rPr>
                <w:i/>
              </w:rPr>
              <w:t>R &amp; I Bank Act 1990</w:t>
            </w:r>
            <w:r>
              <w:t xml:space="preserve"> 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rPr>
          <w:cantSplit/>
        </w:trPr>
        <w:tc>
          <w:tcPr>
            <w:tcW w:w="2269" w:type="dxa"/>
          </w:tcPr>
          <w:p>
            <w:pPr>
              <w:pStyle w:val="nTable"/>
              <w:spacing w:after="40"/>
              <w:ind w:right="170"/>
            </w:pPr>
            <w:r>
              <w:rPr>
                <w:i/>
              </w:rPr>
              <w:t>Financial Administration Legislation Amendment  Act 1993</w:t>
            </w:r>
            <w:r>
              <w:t xml:space="preserve"> s. 11 and 16(1)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spacing w:val="-2"/>
              </w:rPr>
              <w:t>R &amp; I Bank Amendment Act 1994</w:t>
            </w:r>
            <w:r>
              <w:rPr>
                <w:spacing w:val="-2"/>
              </w:rPr>
              <w:t xml:space="preserve"> 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2(2) and </w:t>
            </w:r>
            <w:r>
              <w:rPr>
                <w:i/>
                <w:spacing w:val="-2"/>
              </w:rPr>
              <w:t>Gazette</w:t>
            </w:r>
            <w:r>
              <w:rPr>
                <w:spacing w:val="-2"/>
              </w:rPr>
              <w:t xml:space="preserve"> 26 Apr 1994 p. 1743)</w:t>
            </w:r>
          </w:p>
        </w:tc>
      </w:tr>
      <w:tr>
        <w:trPr>
          <w:cantSplit/>
        </w:trPr>
        <w:tc>
          <w:tcPr>
            <w:tcW w:w="2269" w:type="dxa"/>
          </w:tcPr>
          <w:p>
            <w:pPr>
              <w:pStyle w:val="nTable"/>
              <w:spacing w:after="40"/>
              <w:ind w:right="170"/>
            </w:pPr>
            <w:r>
              <w:rPr>
                <w:i/>
                <w:spacing w:val="-2"/>
              </w:rPr>
              <w:t>Statutes (Repeals and Minor Amendments) Act 1994</w:t>
            </w:r>
            <w:r>
              <w:rPr>
                <w:spacing w:val="-2"/>
              </w:rPr>
              <w:t xml:space="preserve"> 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rPr>
          <w:cantSplit/>
        </w:trPr>
        <w:tc>
          <w:tcPr>
            <w:tcW w:w="2269" w:type="dxa"/>
          </w:tcPr>
          <w:p>
            <w:pPr>
              <w:pStyle w:val="nTable"/>
              <w:spacing w:after="40"/>
              <w:ind w:right="170"/>
            </w:pPr>
            <w:r>
              <w:rPr>
                <w:i/>
                <w:spacing w:val="-2"/>
              </w:rPr>
              <w:t xml:space="preserve">Bank of </w:t>
            </w:r>
            <w:smartTag w:uri="urn:schemas-microsoft-com:office:smarttags" w:element="State">
              <w:smartTag w:uri="urn:schemas-microsoft-com:office:smarttags" w:element="place">
                <w:r>
                  <w:rPr>
                    <w:i/>
                    <w:spacing w:val="-2"/>
                  </w:rPr>
                  <w:t>Western Australia</w:t>
                </w:r>
              </w:smartTag>
            </w:smartTag>
            <w:r>
              <w:rPr>
                <w:i/>
                <w:spacing w:val="-2"/>
              </w:rPr>
              <w:t xml:space="preserve"> Act 1995</w:t>
            </w:r>
            <w:r>
              <w:rPr>
                <w:spacing w:val="-2"/>
              </w:rPr>
              <w:t xml:space="preserve"> s. 44</w:t>
            </w:r>
          </w:p>
        </w:tc>
        <w:tc>
          <w:tcPr>
            <w:tcW w:w="1134" w:type="dxa"/>
          </w:tcPr>
          <w:p>
            <w:pPr>
              <w:pStyle w:val="nTable"/>
              <w:keepNext/>
              <w:spacing w:after="40"/>
              <w:rPr>
                <w:spacing w:val="-2"/>
              </w:rPr>
            </w:pPr>
            <w:r>
              <w:rPr>
                <w:spacing w:val="-2"/>
              </w:rPr>
              <w:t>14 of 1995</w:t>
            </w:r>
          </w:p>
        </w:tc>
        <w:tc>
          <w:tcPr>
            <w:tcW w:w="1134" w:type="dxa"/>
          </w:tcPr>
          <w:p>
            <w:pPr>
              <w:pStyle w:val="nTable"/>
              <w:keepNext/>
              <w:spacing w:after="40"/>
            </w:pPr>
            <w:r>
              <w:rPr>
                <w:spacing w:val="-2"/>
              </w:rPr>
              <w:t>4 Jul 1995</w:t>
            </w:r>
          </w:p>
        </w:tc>
        <w:tc>
          <w:tcPr>
            <w:tcW w:w="2552" w:type="dxa"/>
          </w:tcPr>
          <w:p>
            <w:pPr>
              <w:pStyle w:val="nTable"/>
              <w:keepNext/>
              <w:spacing w:after="40"/>
            </w:pPr>
            <w:r>
              <w:rPr>
                <w:spacing w:val="-2"/>
              </w:rPr>
              <w:t xml:space="preserve">1 Dec 1995 (see s. 2(3) and </w:t>
            </w:r>
            <w:r>
              <w:rPr>
                <w:i/>
                <w:spacing w:val="-2"/>
              </w:rPr>
              <w:t>Gazette</w:t>
            </w:r>
            <w:r>
              <w:rPr>
                <w:spacing w:val="-2"/>
              </w:rPr>
              <w:t xml:space="preserve"> 29 Nov 1995 p. 5529)</w:t>
            </w:r>
          </w:p>
        </w:tc>
      </w:tr>
      <w:tr>
        <w:trPr>
          <w:cantSplit/>
        </w:trPr>
        <w:tc>
          <w:tcPr>
            <w:tcW w:w="2269" w:type="dxa"/>
          </w:tcPr>
          <w:p>
            <w:pPr>
              <w:pStyle w:val="nTable"/>
              <w:spacing w:after="40"/>
              <w:ind w:right="170"/>
              <w:rPr>
                <w:i/>
                <w:spacing w:val="-2"/>
              </w:rPr>
            </w:pPr>
            <w:r>
              <w:rPr>
                <w:i/>
                <w:spacing w:val="-2"/>
              </w:rPr>
              <w:t>Local Government (</w:t>
            </w:r>
            <w:r>
              <w:rPr>
                <w:i/>
              </w:rPr>
              <w:t>Consequential</w:t>
            </w:r>
            <w:r>
              <w:rPr>
                <w:i/>
                <w:spacing w:val="-2"/>
              </w:rPr>
              <w:t xml:space="preserve"> Amendments) Act 1996</w:t>
            </w:r>
            <w:r>
              <w:rPr>
                <w:spacing w:val="-2"/>
              </w:rPr>
              <w:t xml:space="preserve"> s. 4</w:t>
            </w:r>
          </w:p>
        </w:tc>
        <w:tc>
          <w:tcPr>
            <w:tcW w:w="1134" w:type="dxa"/>
          </w:tcPr>
          <w:p>
            <w:pPr>
              <w:pStyle w:val="nTable"/>
              <w:spacing w:after="40"/>
              <w:rPr>
                <w:spacing w:val="-2"/>
              </w:rPr>
            </w:pPr>
            <w:r>
              <w:rPr>
                <w:spacing w:val="-2"/>
              </w:rPr>
              <w:t>14 of 1996</w:t>
            </w:r>
          </w:p>
        </w:tc>
        <w:tc>
          <w:tcPr>
            <w:tcW w:w="1134" w:type="dxa"/>
          </w:tcPr>
          <w:p>
            <w:pPr>
              <w:pStyle w:val="nTable"/>
              <w:spacing w:after="40"/>
              <w:rPr>
                <w:spacing w:val="-2"/>
              </w:rPr>
            </w:pPr>
            <w:r>
              <w:rPr>
                <w:spacing w:val="-2"/>
              </w:rPr>
              <w:t>28 Jun 1996</w:t>
            </w:r>
          </w:p>
        </w:tc>
        <w:tc>
          <w:tcPr>
            <w:tcW w:w="2552" w:type="dxa"/>
          </w:tcPr>
          <w:p>
            <w:pPr>
              <w:pStyle w:val="nTable"/>
              <w:spacing w:after="40"/>
              <w:rPr>
                <w:spacing w:val="-2"/>
              </w:rPr>
            </w:pPr>
            <w:r>
              <w:rPr>
                <w:spacing w:val="-2"/>
              </w:rPr>
              <w:t>1 Jul 1996 (see s. 2)</w:t>
            </w:r>
          </w:p>
        </w:tc>
      </w:tr>
      <w:tr>
        <w:trPr>
          <w:cantSplit/>
        </w:trPr>
        <w:tc>
          <w:tcPr>
            <w:tcW w:w="2269" w:type="dxa"/>
          </w:tcPr>
          <w:p>
            <w:pPr>
              <w:pStyle w:val="nTable"/>
              <w:spacing w:after="40"/>
              <w:ind w:right="170"/>
            </w:pPr>
            <w:r>
              <w:rPr>
                <w:i/>
              </w:rPr>
              <w:t xml:space="preserve">Financial Legislation Amendment Act 1996 </w:t>
            </w:r>
            <w:r>
              <w:t>s. 64</w:t>
            </w:r>
          </w:p>
        </w:tc>
        <w:tc>
          <w:tcPr>
            <w:tcW w:w="1134" w:type="dxa"/>
          </w:tcPr>
          <w:p>
            <w:pPr>
              <w:pStyle w:val="nTable"/>
              <w:spacing w:after="40"/>
              <w:rPr>
                <w:spacing w:val="-2"/>
              </w:rPr>
            </w:pPr>
            <w:r>
              <w:rPr>
                <w:spacing w:val="-2"/>
              </w:rP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(Gaming) Act 1998</w:t>
            </w:r>
            <w:r>
              <w:t xml:space="preserve"> s. 68(2)</w:t>
            </w:r>
          </w:p>
        </w:tc>
        <w:tc>
          <w:tcPr>
            <w:tcW w:w="1134" w:type="dxa"/>
          </w:tcPr>
          <w:p>
            <w:pPr>
              <w:pStyle w:val="nTable"/>
              <w:spacing w:after="40"/>
              <w:rPr>
                <w:spacing w:val="-2"/>
              </w:rPr>
            </w:pPr>
            <w:r>
              <w:rPr>
                <w:spacing w:val="-2"/>
              </w:rP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rPr>
          <w:cantSplit/>
        </w:trPr>
        <w:tc>
          <w:tcPr>
            <w:tcW w:w="2269" w:type="dxa"/>
          </w:tcPr>
          <w:p>
            <w:pPr>
              <w:pStyle w:val="nTable"/>
              <w:spacing w:after="40"/>
              <w:ind w:right="170"/>
            </w:pPr>
            <w:r>
              <w:rPr>
                <w:i/>
              </w:rPr>
              <w:t>Port Authorities (Consequential Provisions) Act 1999</w:t>
            </w:r>
            <w:r>
              <w:t xml:space="preserve"> s. 21 and 26</w:t>
            </w:r>
          </w:p>
        </w:tc>
        <w:tc>
          <w:tcPr>
            <w:tcW w:w="1134" w:type="dxa"/>
          </w:tcPr>
          <w:p>
            <w:pPr>
              <w:pStyle w:val="nTable"/>
              <w:spacing w:after="40"/>
              <w:rPr>
                <w:spacing w:val="-2"/>
              </w:rPr>
            </w:pPr>
            <w:r>
              <w:rPr>
                <w:spacing w:val="-2"/>
              </w:rPr>
              <w:t>5 of 1999</w:t>
            </w:r>
          </w:p>
        </w:tc>
        <w:tc>
          <w:tcPr>
            <w:tcW w:w="1134" w:type="dxa"/>
          </w:tcPr>
          <w:p>
            <w:pPr>
              <w:pStyle w:val="nTable"/>
              <w:spacing w:after="40"/>
            </w:pPr>
            <w:r>
              <w:t>13 Apr 1999</w:t>
            </w:r>
          </w:p>
        </w:tc>
        <w:tc>
          <w:tcPr>
            <w:tcW w:w="2552" w:type="dxa"/>
          </w:tcPr>
          <w:p>
            <w:pPr>
              <w:pStyle w:val="nTable"/>
              <w:spacing w:after="40"/>
            </w:pPr>
            <w:r>
              <w:t xml:space="preserve">14 Aug 1999 (see s. 2 and </w:t>
            </w:r>
            <w:r>
              <w:rPr>
                <w:i/>
              </w:rPr>
              <w:t>Gazette</w:t>
            </w:r>
            <w:r>
              <w:t xml:space="preserve"> 13 Aug 1999 p. 3823)</w:t>
            </w:r>
          </w:p>
        </w:tc>
      </w:tr>
      <w:tr>
        <w:trPr>
          <w:cantSplit/>
        </w:trPr>
        <w:tc>
          <w:tcPr>
            <w:tcW w:w="2269" w:type="dxa"/>
          </w:tcPr>
          <w:p>
            <w:pPr>
              <w:pStyle w:val="nTable"/>
              <w:spacing w:after="40"/>
              <w:ind w:right="170"/>
            </w:pPr>
            <w:r>
              <w:rPr>
                <w:i/>
              </w:rPr>
              <w:t>Acts Amendment and Repeal (Financial Sector Reform) Act 1999</w:t>
            </w:r>
            <w:r>
              <w:t xml:space="preserve"> s. 109</w:t>
            </w:r>
          </w:p>
        </w:tc>
        <w:tc>
          <w:tcPr>
            <w:tcW w:w="1134" w:type="dxa"/>
          </w:tcPr>
          <w:p>
            <w:pPr>
              <w:pStyle w:val="nTable"/>
              <w:spacing w:after="40"/>
              <w:rPr>
                <w:spacing w:val="-2"/>
              </w:rPr>
            </w:pPr>
            <w:r>
              <w:rPr>
                <w:spacing w:val="-2"/>
              </w:rP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7089" w:type="dxa"/>
            <w:gridSpan w:val="4"/>
          </w:tcPr>
          <w:p>
            <w:pPr>
              <w:pStyle w:val="nTable"/>
              <w:spacing w:after="40"/>
            </w:pPr>
            <w:r>
              <w:rPr>
                <w:b/>
                <w:bCs/>
              </w:rPr>
              <w:t xml:space="preserve">Reprint of the </w:t>
            </w:r>
            <w:r>
              <w:rPr>
                <w:b/>
                <w:bCs/>
                <w:i/>
              </w:rPr>
              <w:t>Unclaimed Money Act 1990</w:t>
            </w:r>
            <w:r>
              <w:rPr>
                <w:b/>
                <w:bCs/>
              </w:rPr>
              <w:t xml:space="preserve"> as at 5 Nov 1999</w:t>
            </w:r>
            <w:r>
              <w:t xml:space="preserve"> (includes amendments listed above)</w:t>
            </w:r>
          </w:p>
        </w:tc>
      </w:tr>
      <w:tr>
        <w:trPr>
          <w:cantSplit/>
        </w:trPr>
        <w:tc>
          <w:tcPr>
            <w:tcW w:w="2269" w:type="dxa"/>
          </w:tcPr>
          <w:p>
            <w:pPr>
              <w:pStyle w:val="nTable"/>
              <w:spacing w:after="40"/>
              <w:ind w:right="170"/>
            </w:pPr>
            <w:r>
              <w:rPr>
                <w:i/>
              </w:rPr>
              <w:t>Unclaimed Money (Superannuation and RSA Providers) Act 2003</w:t>
            </w:r>
            <w:r>
              <w:t xml:space="preserve"> s. 26</w:t>
            </w:r>
          </w:p>
        </w:tc>
        <w:tc>
          <w:tcPr>
            <w:tcW w:w="1134" w:type="dxa"/>
          </w:tcPr>
          <w:p>
            <w:pPr>
              <w:pStyle w:val="nTable"/>
              <w:spacing w:after="40"/>
              <w:rPr>
                <w:spacing w:val="-2"/>
              </w:rPr>
            </w:pPr>
            <w:r>
              <w:rPr>
                <w:spacing w:val="-2"/>
              </w:rPr>
              <w:t>19 of 2003</w:t>
            </w:r>
          </w:p>
        </w:tc>
        <w:tc>
          <w:tcPr>
            <w:tcW w:w="1134" w:type="dxa"/>
          </w:tcPr>
          <w:p>
            <w:pPr>
              <w:pStyle w:val="nTable"/>
              <w:spacing w:after="40"/>
            </w:pPr>
            <w:r>
              <w:t>17 Apr 2003</w:t>
            </w:r>
          </w:p>
        </w:tc>
        <w:tc>
          <w:tcPr>
            <w:tcW w:w="2552" w:type="dxa"/>
          </w:tcPr>
          <w:p>
            <w:pPr>
              <w:pStyle w:val="nTable"/>
              <w:spacing w:after="40"/>
            </w:pPr>
            <w:r>
              <w:t>1 Jul 2003 (see s. 2)</w:t>
            </w:r>
          </w:p>
        </w:tc>
      </w:tr>
      <w:tr>
        <w:trPr>
          <w:cantSplit/>
        </w:trPr>
        <w:tc>
          <w:tcPr>
            <w:tcW w:w="2269" w:type="dxa"/>
          </w:tcPr>
          <w:p>
            <w:pPr>
              <w:pStyle w:val="nTable"/>
              <w:spacing w:after="40"/>
              <w:ind w:right="170"/>
              <w:rPr>
                <w:i/>
              </w:rPr>
            </w:pPr>
            <w:r>
              <w:rPr>
                <w:i/>
              </w:rPr>
              <w:t xml:space="preserve">Corporations (Consequential Amendments) Act (No. 2) 2003 </w:t>
            </w:r>
            <w:r>
              <w:t>Pt. 25</w:t>
            </w:r>
          </w:p>
        </w:tc>
        <w:tc>
          <w:tcPr>
            <w:tcW w:w="1134" w:type="dxa"/>
          </w:tcPr>
          <w:p>
            <w:pPr>
              <w:pStyle w:val="nTable"/>
              <w:spacing w:after="40"/>
              <w:rPr>
                <w:spacing w:val="-2"/>
              </w:rPr>
            </w:pPr>
            <w:r>
              <w:rPr>
                <w:spacing w:val="-2"/>
              </w:rP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9" w:type="dxa"/>
          </w:tcPr>
          <w:p>
            <w:pPr>
              <w:pStyle w:val="nTable"/>
              <w:spacing w:after="40"/>
              <w:ind w:right="170"/>
              <w:rPr>
                <w:i/>
              </w:rPr>
            </w:pPr>
            <w:r>
              <w:rPr>
                <w:i/>
              </w:rPr>
              <w:t xml:space="preserve">Sentencing Legislation Amendment and Repeal Act 2003 </w:t>
            </w:r>
            <w:r>
              <w:t>s. 101</w:t>
            </w:r>
          </w:p>
        </w:tc>
        <w:tc>
          <w:tcPr>
            <w:tcW w:w="1134" w:type="dxa"/>
          </w:tcPr>
          <w:p>
            <w:pPr>
              <w:pStyle w:val="nTable"/>
              <w:spacing w:after="40"/>
              <w:rPr>
                <w:spacing w:val="-2"/>
              </w:rPr>
            </w:pPr>
            <w:r>
              <w:rPr>
                <w:spacing w:val="-2"/>
              </w:rP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cantSplit/>
        </w:trPr>
        <w:tc>
          <w:tcPr>
            <w:tcW w:w="2269" w:type="dxa"/>
          </w:tcPr>
          <w:p>
            <w:pPr>
              <w:pStyle w:val="nTable"/>
              <w:spacing w:after="40"/>
              <w:ind w:right="170"/>
              <w:rPr>
                <w:iCs/>
              </w:rPr>
            </w:pPr>
            <w:r>
              <w:rPr>
                <w:i/>
              </w:rPr>
              <w:t>Road Traffic Amendment (Impounding and Confiscation of Vehicles) Act 2004</w:t>
            </w:r>
            <w:r>
              <w:rPr>
                <w:iCs/>
              </w:rPr>
              <w:t xml:space="preserve"> s. 15</w:t>
            </w:r>
          </w:p>
        </w:tc>
        <w:tc>
          <w:tcPr>
            <w:tcW w:w="1134" w:type="dxa"/>
          </w:tcPr>
          <w:p>
            <w:pPr>
              <w:pStyle w:val="nTable"/>
              <w:spacing w:after="40"/>
              <w:rPr>
                <w:spacing w:val="-2"/>
              </w:rPr>
            </w:pPr>
            <w:r>
              <w:rPr>
                <w:spacing w:val="-2"/>
              </w:rPr>
              <w:t>10 of 2004</w:t>
            </w:r>
          </w:p>
        </w:tc>
        <w:tc>
          <w:tcPr>
            <w:tcW w:w="1134" w:type="dxa"/>
          </w:tcPr>
          <w:p>
            <w:pPr>
              <w:pStyle w:val="nTable"/>
              <w:spacing w:after="40"/>
            </w:pPr>
            <w:r>
              <w:t>23 Jun 2004</w:t>
            </w:r>
          </w:p>
        </w:tc>
        <w:tc>
          <w:tcPr>
            <w:tcW w:w="2552" w:type="dxa"/>
          </w:tcPr>
          <w:p>
            <w:pPr>
              <w:pStyle w:val="nTable"/>
              <w:spacing w:after="40"/>
            </w:pPr>
            <w:r>
              <w:t xml:space="preserve">4 Sep 2004 (see s. 2 and </w:t>
            </w:r>
            <w:r>
              <w:rPr>
                <w:i/>
                <w:iCs/>
              </w:rPr>
              <w:t>Gazette</w:t>
            </w:r>
            <w:r>
              <w:t xml:space="preserve"> 3 Sep 2004 p. 3849)</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70"/>
              <w:rPr>
                <w:i/>
              </w:rPr>
            </w:pPr>
            <w:r>
              <w:rPr>
                <w:i/>
              </w:rPr>
              <w:t>Financial Legislation Amendment and Repeal Act 2006</w:t>
            </w:r>
            <w:r>
              <w:t xml:space="preserve"> s. 4 and 17</w:t>
            </w:r>
          </w:p>
        </w:tc>
        <w:tc>
          <w:tcPr>
            <w:tcW w:w="1134" w:type="dxa"/>
          </w:tcPr>
          <w:p>
            <w:pPr>
              <w:pStyle w:val="nTable"/>
              <w:spacing w:after="40"/>
              <w:rPr>
                <w:spacing w:val="-2"/>
              </w:rPr>
            </w:pPr>
            <w:r>
              <w:rPr>
                <w:spacing w:val="-2"/>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7089" w:type="dxa"/>
            <w:gridSpan w:val="4"/>
          </w:tcPr>
          <w:p>
            <w:pPr>
              <w:pStyle w:val="nTable"/>
              <w:spacing w:after="40"/>
            </w:pPr>
            <w:r>
              <w:rPr>
                <w:b/>
                <w:bCs/>
              </w:rPr>
              <w:t xml:space="preserve">Reprint 2: The </w:t>
            </w:r>
            <w:r>
              <w:rPr>
                <w:b/>
                <w:bCs/>
                <w:i/>
              </w:rPr>
              <w:t>Unclaimed Money Act 1990</w:t>
            </w:r>
            <w:r>
              <w:rPr>
                <w:b/>
                <w:bCs/>
              </w:rPr>
              <w:t xml:space="preserve"> as at 9 Mar 2007</w:t>
            </w:r>
            <w:r>
              <w:t xml:space="preserve"> (includes amendments listed above except the amendments in the </w:t>
            </w:r>
            <w:r>
              <w:rPr>
                <w:i/>
                <w:snapToGrid w:val="0"/>
              </w:rPr>
              <w:t>Criminal Investigation (Consequential Provisions) Act 2006</w:t>
            </w:r>
            <w:r>
              <w:rPr>
                <w:iCs/>
                <w:snapToGrid w:val="0"/>
              </w:rPr>
              <w:t xml:space="preserve"> s. 73</w:t>
            </w:r>
            <w:r>
              <w:t>)</w:t>
            </w:r>
          </w:p>
        </w:tc>
      </w:tr>
      <w:tr>
        <w:trPr>
          <w:cantSplit/>
        </w:trPr>
        <w:tc>
          <w:tcPr>
            <w:tcW w:w="2269" w:type="dxa"/>
          </w:tcPr>
          <w:p>
            <w:pPr>
              <w:pStyle w:val="nTable"/>
              <w:spacing w:after="40"/>
              <w:ind w:right="170"/>
              <w:rPr>
                <w:i/>
              </w:rPr>
            </w:pPr>
            <w:r>
              <w:rPr>
                <w:i/>
                <w:snapToGrid w:val="0"/>
              </w:rPr>
              <w:t>Public Trustee and Trustee Companies Legislation Amendment Act 2008</w:t>
            </w:r>
            <w:r>
              <w:rPr>
                <w:iCs/>
                <w:snapToGrid w:val="0"/>
              </w:rPr>
              <w:t xml:space="preserve"> Pt. 4</w:t>
            </w:r>
          </w:p>
        </w:tc>
        <w:tc>
          <w:tcPr>
            <w:tcW w:w="1134" w:type="dxa"/>
          </w:tcPr>
          <w:p>
            <w:pPr>
              <w:pStyle w:val="nTable"/>
              <w:spacing w:after="40"/>
              <w:rPr>
                <w:spacing w:val="-2"/>
              </w:rPr>
            </w:pPr>
            <w:r>
              <w:rPr>
                <w:snapToGrid w:val="0"/>
              </w:rPr>
              <w:t>9 of 2008</w:t>
            </w:r>
          </w:p>
        </w:tc>
        <w:tc>
          <w:tcPr>
            <w:tcW w:w="1134" w:type="dxa"/>
          </w:tcPr>
          <w:p>
            <w:pPr>
              <w:pStyle w:val="nTable"/>
              <w:spacing w:after="40"/>
            </w:pPr>
            <w:r>
              <w:t>31 Mar 2008</w:t>
            </w:r>
          </w:p>
        </w:tc>
        <w:tc>
          <w:tcPr>
            <w:tcW w:w="2552" w:type="dxa"/>
          </w:tcPr>
          <w:p>
            <w:pPr>
              <w:pStyle w:val="nTable"/>
              <w:spacing w:after="40"/>
            </w:pPr>
            <w:r>
              <w:t xml:space="preserve">1 Jul 2008 (see s. 2 and </w:t>
            </w:r>
            <w:r>
              <w:rPr>
                <w:i/>
                <w:iCs/>
              </w:rPr>
              <w:t>Gazette</w:t>
            </w:r>
            <w:r>
              <w:t xml:space="preserve"> 24 Jun 2008 p. 2885)</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Borders>
              <w:bottom w:val="single" w:sz="8" w:space="0" w:color="auto"/>
            </w:tcBorders>
          </w:tcPr>
          <w:p>
            <w:pPr>
              <w:pStyle w:val="nTable"/>
              <w:spacing w:after="40"/>
              <w:ind w:right="113"/>
              <w:rPr>
                <w:i/>
              </w:rPr>
            </w:pPr>
            <w:r>
              <w:rPr>
                <w:i/>
                <w:snapToGrid w:val="0"/>
              </w:rPr>
              <w:t>Aboriginal Affairs Planning Authority Amendment Act 2012</w:t>
            </w:r>
            <w:r>
              <w:rPr>
                <w:snapToGrid w:val="0"/>
              </w:rPr>
              <w:t xml:space="preserve"> Pt. 3</w:t>
            </w:r>
            <w:r>
              <w:rPr>
                <w:snapToGrid w:val="0"/>
                <w:vertAlign w:val="superscript"/>
              </w:rPr>
              <w:t> </w:t>
            </w:r>
          </w:p>
        </w:tc>
        <w:tc>
          <w:tcPr>
            <w:tcW w:w="1134" w:type="dxa"/>
            <w:tcBorders>
              <w:bottom w:val="single" w:sz="8" w:space="0" w:color="auto"/>
            </w:tcBorders>
          </w:tcPr>
          <w:p>
            <w:pPr>
              <w:pStyle w:val="nTable"/>
              <w:spacing w:after="40"/>
            </w:pPr>
            <w:r>
              <w:rPr>
                <w:snapToGrid w:val="0"/>
              </w:rPr>
              <w:t>38 of 2012</w:t>
            </w:r>
          </w:p>
        </w:tc>
        <w:tc>
          <w:tcPr>
            <w:tcW w:w="1134" w:type="dxa"/>
            <w:tcBorders>
              <w:bottom w:val="single" w:sz="8" w:space="0" w:color="auto"/>
            </w:tcBorders>
          </w:tcPr>
          <w:p>
            <w:pPr>
              <w:pStyle w:val="nTable"/>
              <w:spacing w:after="40"/>
            </w:pPr>
            <w:r>
              <w:t>22 Nov 2012</w:t>
            </w:r>
          </w:p>
        </w:tc>
        <w:tc>
          <w:tcPr>
            <w:tcW w:w="2552" w:type="dxa"/>
            <w:tcBorders>
              <w:bottom w:val="single" w:sz="8" w:space="0" w:color="auto"/>
            </w:tcBorders>
          </w:tcPr>
          <w:p>
            <w:pPr>
              <w:pStyle w:val="nTable"/>
              <w:spacing w:after="40"/>
            </w:pPr>
            <w:r>
              <w:rPr>
                <w:snapToGrid w:val="0"/>
              </w:rPr>
              <w:t xml:space="preserve">7 Aug 2013 (see s. 2(b) and </w:t>
            </w:r>
            <w:r>
              <w:rPr>
                <w:i/>
                <w:snapToGrid w:val="0"/>
              </w:rPr>
              <w:t>Gazette</w:t>
            </w:r>
            <w:r>
              <w:rPr>
                <w:snapToGrid w:val="0"/>
              </w:rPr>
              <w:t xml:space="preserve"> 6 Aug 2013 p. 3647)</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Repealed by the Life Insurance (Consequential Amendments and Repeals) Act 1995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t>
      </w:r>
      <w:smartTag w:uri="urn:schemas-microsoft-com:office:smarttags" w:element="State">
        <w:r>
          <w:rPr>
            <w:i/>
            <w:snapToGrid w:val="0"/>
          </w:rPr>
          <w:t>Western Australia</w:t>
        </w:r>
      </w:smartTag>
      <w:r>
        <w:rPr>
          <w:i/>
          <w:snapToGrid w:val="0"/>
        </w:rPr>
        <w:t>) Code</w:t>
      </w:r>
      <w:r>
        <w:rPr>
          <w:snapToGrid w:val="0"/>
        </w:rPr>
        <w:t xml:space="preserve"> </w:t>
      </w:r>
      <w:r>
        <w:t xml:space="preserve">and the </w:t>
      </w:r>
      <w:r>
        <w:rPr>
          <w:i/>
          <w:iCs/>
        </w:rPr>
        <w:t>Companies (Acquisition of Shares) (</w:t>
      </w:r>
      <w:smartTag w:uri="urn:schemas-microsoft-com:office:smarttags" w:element="place">
        <w:smartTag w:uri="urn:schemas-microsoft-com:office:smarttags" w:element="State">
          <w:r>
            <w:rPr>
              <w:i/>
              <w:iCs/>
            </w:rPr>
            <w:t>Western Australia</w:t>
          </w:r>
        </w:smartTag>
      </w:smartTag>
      <w:r>
        <w:rPr>
          <w:i/>
          <w:iCs/>
        </w:rPr>
        <w:t xml:space="preserve">) Code </w:t>
      </w:r>
      <w: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rPr>
        <w:t>Corporations (</w:t>
      </w:r>
      <w:smartTag w:uri="urn:schemas-microsoft-com:office:smarttags" w:element="State">
        <w:smartTag w:uri="urn:schemas-microsoft-com:office:smarttags" w:element="place">
          <w:r>
            <w:rPr>
              <w:i/>
            </w:rPr>
            <w:t>Western Australia</w:t>
          </w:r>
        </w:smartTag>
      </w:smartTag>
      <w:r>
        <w:rPr>
          <w:i/>
        </w:rPr>
        <w:t>) Act 1990</w:t>
      </w:r>
      <w:r>
        <w:rPr>
          <w:snapToGrid w:val="0"/>
        </w:rPr>
        <w:t xml:space="preserve"> and Part 2 of the </w:t>
      </w:r>
      <w:r>
        <w:rPr>
          <w:i/>
          <w:snapToGrid w:val="0"/>
        </w:rPr>
        <w:t>Corporations (Ancillary Provisions) Act 2001</w:t>
      </w:r>
      <w:r>
        <w:rPr>
          <w:snapToGrid w:val="0"/>
        </w:rPr>
        <w:t xml:space="preserve"> respectively.</w:t>
      </w:r>
    </w:p>
    <w:p>
      <w:pPr>
        <w:pStyle w:val="nSubsection"/>
        <w:ind w:left="426" w:hanging="426"/>
      </w:pPr>
      <w:r>
        <w:rPr>
          <w:snapToGrid w:val="0"/>
          <w:vertAlign w:val="superscript"/>
        </w:rPr>
        <w:t>4</w:t>
      </w:r>
      <w:r>
        <w:rPr>
          <w:snapToGrid w:val="0"/>
        </w:rPr>
        <w:tab/>
        <w:t xml:space="preserve">Footnote no longer applicable. </w:t>
      </w:r>
    </w:p>
    <w:p>
      <w:pPr>
        <w:pStyle w:val="nSubsection"/>
        <w:ind w:left="426" w:hanging="426"/>
        <w:rPr>
          <w:snapToGrid w:val="0"/>
        </w:rPr>
      </w:pPr>
      <w:r>
        <w:rPr>
          <w:snapToGrid w:val="0"/>
          <w:vertAlign w:val="superscript"/>
        </w:rPr>
        <w:t>5</w:t>
      </w:r>
      <w:r>
        <w:rPr>
          <w:snapToGrid w:val="0"/>
        </w:rPr>
        <w:tab/>
      </w:r>
      <w:r>
        <w:t>The former Consolidated Fund became the Consolidated Account.</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88" w:name="_Toc434931196"/>
      <w:bookmarkStart w:id="89" w:name="_Toc434931231"/>
      <w:r>
        <w:rPr>
          <w:sz w:val="28"/>
        </w:rPr>
        <w:t>Defined terms</w:t>
      </w:r>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claim</w:t>
      </w:r>
      <w:r>
        <w:tab/>
        <w:t>3(1)</w:t>
      </w:r>
    </w:p>
    <w:p>
      <w:pPr>
        <w:pStyle w:val="DefinedTerms"/>
      </w:pPr>
      <w:r>
        <w:t>disbursable</w:t>
      </w:r>
      <w:r>
        <w:tab/>
        <w:t>3(1)</w:t>
      </w:r>
    </w:p>
    <w:p>
      <w:pPr>
        <w:pStyle w:val="DefinedTerms"/>
      </w:pPr>
      <w:r>
        <w:t>holder</w:t>
      </w:r>
      <w:r>
        <w:tab/>
        <w:t>3(1)</w:t>
      </w:r>
    </w:p>
    <w:p>
      <w:pPr>
        <w:pStyle w:val="DefinedTerms"/>
      </w:pPr>
      <w:r>
        <w:t>owner</w:t>
      </w:r>
      <w:r>
        <w:tab/>
        <w:t>3(1)</w:t>
      </w:r>
    </w:p>
    <w:p>
      <w:pPr>
        <w:pStyle w:val="DefinedTerms"/>
      </w:pPr>
      <w:r>
        <w:t>prescribed retained money</w:t>
      </w:r>
      <w:r>
        <w:tab/>
        <w:t>3(1)</w:t>
      </w:r>
    </w:p>
    <w:p>
      <w:pPr>
        <w:pStyle w:val="DefinedTerms"/>
      </w:pPr>
      <w:r>
        <w:t>the repealed Act</w:t>
      </w:r>
      <w:r>
        <w:tab/>
        <w:t>3(1)</w:t>
      </w:r>
    </w:p>
    <w:p>
      <w:pPr>
        <w:pStyle w:val="DefinedTerms"/>
      </w:pPr>
      <w:r>
        <w:t>unclaimed money</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Unclaimed Money Act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Unclaimed Money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22"/>
    <w:docVar w:name="WAFER_20140204142729" w:val="RemoveTocBookmarks,RemoveUnusedBookmarks,RemoveLanguageTags,UsedStyles,ResetPageSize,UpdateArrangement"/>
    <w:docVar w:name="WAFER_20140204142729_GUID" w:val="f7f610dc-f61f-4e33-8422-de7df6be9cae"/>
    <w:docVar w:name="WAFER_20140204145706" w:val="RemoveTocBookmarks,RunningHeaders"/>
    <w:docVar w:name="WAFER_20140204145706_GUID" w:val="f752a7c6-4bb2-4098-97c6-db9829590f35"/>
    <w:docVar w:name="WAFER_20150713115505" w:val="ResetPageSize,UpdateArrangement,UpdateNTable"/>
    <w:docVar w:name="WAFER_20150713115505_GUID" w:val="b4fc224f-703f-4df9-bd4b-9e737d1c684b"/>
    <w:docVar w:name="WAFER_20151110130105" w:val="UpdateStyles,UsedStyles"/>
    <w:docVar w:name="WAFER_20151110130105_GUID" w:val="311d850e-260f-4582-b9b4-c6c48786e7f5"/>
    <w:docVar w:name="WAFER_20151201140222" w:val="RemoveTrackChanges"/>
    <w:docVar w:name="WAFER_20151201140222_GUID" w:val="921ec737-c35a-4b8a-abab-217ff6e339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08E17-57E6-4265-8714-48C930DA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6978</Words>
  <Characters>31612</Characters>
  <Application>Microsoft Office Word</Application>
  <DocSecurity>0</DocSecurity>
  <Lines>929</Lines>
  <Paragraphs>521</Paragraphs>
  <ScaleCrop>false</ScaleCrop>
  <HeadingPairs>
    <vt:vector size="2" baseType="variant">
      <vt:variant>
        <vt:lpstr>Title</vt:lpstr>
      </vt:variant>
      <vt:variant>
        <vt:i4>1</vt:i4>
      </vt:variant>
    </vt:vector>
  </HeadingPairs>
  <TitlesOfParts>
    <vt:vector size="1" baseType="lpstr">
      <vt:lpstr>Unclaimed Money Act 1990</vt:lpstr>
    </vt:vector>
  </TitlesOfParts>
  <Manager/>
  <Company/>
  <LinksUpToDate>false</LinksUpToDate>
  <CharactersWithSpaces>38069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1990 - 02-g0-05</dc:title>
  <dc:subject/>
  <dc:creator/>
  <cp:keywords/>
  <dc:description/>
  <cp:lastModifiedBy>svcMRProcess</cp:lastModifiedBy>
  <cp:revision>4</cp:revision>
  <cp:lastPrinted>2007-04-04T07:46:00Z</cp:lastPrinted>
  <dcterms:created xsi:type="dcterms:W3CDTF">2019-01-24T05:21:00Z</dcterms:created>
  <dcterms:modified xsi:type="dcterms:W3CDTF">2019-01-24T05:21:00Z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AsAtDate">
    <vt:lpwstr>07 Aug 2013</vt:lpwstr>
  </property>
  <property fmtid="{D5CDD505-2E9C-101B-9397-08002B2CF9AE}" pid="8" name="Suffix">
    <vt:lpwstr>02-g0-05</vt:lpwstr>
  </property>
</Properties>
</file>