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_Toc412618662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_Toc412618663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Constitution, canon and rules to be binding</w:t>
      </w:r>
      <w:r>
        <w:tab/>
      </w:r>
      <w:r>
        <w:fldChar w:fldCharType="begin"/>
      </w:r>
      <w:r>
        <w:instrText xml:space="preserve"> PAGEREF _Toc412618664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Canons and rules not to conflict with laws in WA</w:t>
      </w:r>
      <w:r>
        <w:tab/>
      </w:r>
      <w:r>
        <w:fldChar w:fldCharType="begin"/>
      </w:r>
      <w:r>
        <w:instrText xml:space="preserve"> PAGEREF _Toc412618665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Certain references changed</w:t>
      </w:r>
      <w:r>
        <w:tab/>
      </w:r>
      <w:r>
        <w:fldChar w:fldCharType="begin"/>
      </w:r>
      <w:r>
        <w:instrText xml:space="preserve"> PAGEREF _Toc412618666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Constitutions of dioceses to continue</w:t>
      </w:r>
      <w:r>
        <w:tab/>
      </w:r>
      <w:r>
        <w:fldChar w:fldCharType="begin"/>
      </w:r>
      <w:r>
        <w:instrText xml:space="preserve"> PAGEREF _Toc412618667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Certain references changed</w:t>
      </w:r>
      <w:r>
        <w:tab/>
      </w:r>
      <w:r>
        <w:fldChar w:fldCharType="begin"/>
      </w:r>
      <w:r>
        <w:instrText xml:space="preserve"> PAGEREF _Toc412618668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Anglican Church of Australia Trust Corporation, functions of</w:t>
      </w:r>
      <w:r>
        <w:tab/>
      </w:r>
      <w:r>
        <w:fldChar w:fldCharType="begin"/>
      </w:r>
      <w:r>
        <w:instrText xml:space="preserve"> PAGEREF _Toc412618669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Administration of customary oaths</w:t>
      </w:r>
      <w:r>
        <w:tab/>
      </w:r>
      <w:r>
        <w:fldChar w:fldCharType="begin"/>
      </w:r>
      <w:r>
        <w:instrText xml:space="preserve"> PAGEREF _Toc412618670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tribunal under Chapter IX of the Constitution</w:t>
      </w:r>
      <w:r>
        <w:tab/>
      </w:r>
      <w:r>
        <w:fldChar w:fldCharType="begin"/>
      </w:r>
      <w:r>
        <w:instrText xml:space="preserve"> PAGEREF _Toc412618671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Constitution</w:t>
      </w:r>
    </w:p>
    <w:p>
      <w:pPr>
        <w:pStyle w:val="TOC2"/>
        <w:tabs>
          <w:tab w:val="right" w:leader="dot" w:pos="7077"/>
        </w:tabs>
        <w:rPr>
          <w:rFonts w:asciiTheme="minorHAnsi" w:eastAsiaTheme="minorEastAsia" w:hAnsiTheme="minorHAnsi" w:cstheme="minorBidi"/>
          <w:b w:val="0"/>
          <w:sz w:val="22"/>
          <w:szCs w:val="22"/>
        </w:rPr>
      </w:pPr>
      <w:r>
        <w:t>Second Schedule — Acts to be read as amended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_Toc412618675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rPr>
          <w:snapToGrid w:val="0"/>
        </w:rPr>
      </w:pPr>
      <w:r>
        <w:rPr>
          <w:snapToGrid w:val="0"/>
        </w:rPr>
        <w:t xml:space="preserve">An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979389"/>
      <w:bookmarkStart w:id="4" w:name="_Toc41261866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5" w:name="_Toc377979390"/>
      <w:bookmarkStart w:id="6" w:name="_Toc41261866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7" w:name="_Toc377979391"/>
      <w:bookmarkStart w:id="8" w:name="_Toc412618664"/>
      <w:r>
        <w:rPr>
          <w:rStyle w:val="CharSectno"/>
        </w:rPr>
        <w:t>3</w:t>
      </w:r>
      <w:r>
        <w:rPr>
          <w:snapToGrid w:val="0"/>
        </w:rPr>
        <w:t>.</w:t>
      </w:r>
      <w:r>
        <w:rPr>
          <w:snapToGrid w:val="0"/>
        </w:rPr>
        <w:tab/>
        <w:t>Constitution, canon and rules to be binding</w:t>
      </w:r>
      <w:bookmarkEnd w:id="7"/>
      <w:bookmarkEnd w:id="8"/>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9" w:name="_Toc377979392"/>
      <w:bookmarkStart w:id="10" w:name="_Toc412618665"/>
      <w:r>
        <w:rPr>
          <w:rStyle w:val="CharSectno"/>
        </w:rPr>
        <w:t>4</w:t>
      </w:r>
      <w:r>
        <w:rPr>
          <w:snapToGrid w:val="0"/>
        </w:rPr>
        <w:t>.</w:t>
      </w:r>
      <w:r>
        <w:rPr>
          <w:snapToGrid w:val="0"/>
        </w:rPr>
        <w:tab/>
        <w:t>Canons and rules not to conflict with laws in WA</w:t>
      </w:r>
      <w:bookmarkEnd w:id="9"/>
      <w:bookmarkEnd w:id="10"/>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11" w:name="_Toc377979393"/>
      <w:bookmarkStart w:id="12" w:name="_Toc412618666"/>
      <w:r>
        <w:rPr>
          <w:rStyle w:val="CharSectno"/>
        </w:rPr>
        <w:t>5</w:t>
      </w:r>
      <w:r>
        <w:rPr>
          <w:snapToGrid w:val="0"/>
        </w:rPr>
        <w:t>.</w:t>
      </w:r>
      <w:r>
        <w:rPr>
          <w:snapToGrid w:val="0"/>
        </w:rPr>
        <w:tab/>
        <w:t>Saving; Certain references changed</w:t>
      </w:r>
      <w:bookmarkEnd w:id="11"/>
      <w:bookmarkEnd w:id="12"/>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13" w:name="_Toc377979394"/>
      <w:bookmarkStart w:id="14" w:name="_Toc412618667"/>
      <w:r>
        <w:rPr>
          <w:rStyle w:val="CharSectno"/>
        </w:rPr>
        <w:t>6</w:t>
      </w:r>
      <w:r>
        <w:rPr>
          <w:snapToGrid w:val="0"/>
        </w:rPr>
        <w:t>.</w:t>
      </w:r>
      <w:r>
        <w:rPr>
          <w:snapToGrid w:val="0"/>
        </w:rPr>
        <w:tab/>
        <w:t>Constitutions of dioceses to continue</w:t>
      </w:r>
      <w:bookmarkEnd w:id="13"/>
      <w:bookmarkEnd w:id="14"/>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15" w:name="_Toc377979395"/>
      <w:bookmarkStart w:id="16" w:name="_Toc412618668"/>
      <w:r>
        <w:rPr>
          <w:rStyle w:val="CharSectno"/>
        </w:rPr>
        <w:t>7</w:t>
      </w:r>
      <w:r>
        <w:rPr>
          <w:snapToGrid w:val="0"/>
        </w:rPr>
        <w:t>.</w:t>
      </w:r>
      <w:r>
        <w:rPr>
          <w:snapToGrid w:val="0"/>
        </w:rPr>
        <w:tab/>
        <w:t>Saving; Certain references changed</w:t>
      </w:r>
      <w:bookmarkEnd w:id="15"/>
      <w:bookmarkEnd w:id="16"/>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17" w:name="_Toc377979396"/>
      <w:bookmarkStart w:id="18" w:name="_Toc412618669"/>
      <w:r>
        <w:rPr>
          <w:rStyle w:val="CharSectno"/>
        </w:rPr>
        <w:t>8</w:t>
      </w:r>
      <w:r>
        <w:rPr>
          <w:snapToGrid w:val="0"/>
        </w:rPr>
        <w:t>.</w:t>
      </w:r>
      <w:r>
        <w:rPr>
          <w:snapToGrid w:val="0"/>
        </w:rPr>
        <w:tab/>
        <w:t>Anglican Church of Australia Trust Corporation, functions of</w:t>
      </w:r>
      <w:bookmarkEnd w:id="17"/>
      <w:bookmarkEnd w:id="18"/>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No. 19 of 2010 s. 51.] </w:t>
      </w:r>
    </w:p>
    <w:p>
      <w:pPr>
        <w:pStyle w:val="Heading5"/>
        <w:rPr>
          <w:snapToGrid w:val="0"/>
        </w:rPr>
      </w:pPr>
      <w:bookmarkStart w:id="19" w:name="_Toc377979397"/>
      <w:bookmarkStart w:id="20" w:name="_Toc412618670"/>
      <w:r>
        <w:rPr>
          <w:rStyle w:val="CharSectno"/>
        </w:rPr>
        <w:t>9</w:t>
      </w:r>
      <w:r>
        <w:rPr>
          <w:snapToGrid w:val="0"/>
        </w:rPr>
        <w:t>.</w:t>
      </w:r>
      <w:r>
        <w:rPr>
          <w:snapToGrid w:val="0"/>
        </w:rPr>
        <w:tab/>
        <w:t>Administration of customary oaths</w:t>
      </w:r>
      <w:bookmarkEnd w:id="19"/>
      <w:bookmarkEnd w:id="20"/>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21" w:name="_Toc377979398"/>
      <w:bookmarkStart w:id="22" w:name="_Toc412618671"/>
      <w:r>
        <w:rPr>
          <w:rStyle w:val="CharSectno"/>
        </w:rPr>
        <w:t>10</w:t>
      </w:r>
      <w:r>
        <w:rPr>
          <w:snapToGrid w:val="0"/>
        </w:rPr>
        <w:t>.</w:t>
      </w:r>
      <w:r>
        <w:rPr>
          <w:snapToGrid w:val="0"/>
        </w:rPr>
        <w:tab/>
        <w:t>Powers of tribunal under Chapter IX of the Constitution</w:t>
      </w:r>
      <w:bookmarkEnd w:id="21"/>
      <w:bookmarkEnd w:id="22"/>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rPr>
        <w:t>Commercial Arbitration Act 2012</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No. 23 of 2012 s. 45.]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377979399"/>
      <w:bookmarkStart w:id="24" w:name="_Toc412618651"/>
      <w:bookmarkStart w:id="25" w:name="_Toc412618672"/>
      <w:r>
        <w:rPr>
          <w:rStyle w:val="CharSchNo"/>
        </w:rPr>
        <w:t>First Schedule</w:t>
      </w:r>
      <w:r>
        <w:t xml:space="preserve"> — </w:t>
      </w:r>
      <w:r>
        <w:rPr>
          <w:rStyle w:val="CharSchText"/>
        </w:rPr>
        <w:t>Constitution</w:t>
      </w:r>
      <w:bookmarkEnd w:id="23"/>
      <w:bookmarkEnd w:id="24"/>
      <w:bookmarkEnd w:id="25"/>
    </w:p>
    <w:p>
      <w:pPr>
        <w:pStyle w:val="yShoulderClause"/>
        <w:rPr>
          <w:snapToGrid w:val="0"/>
        </w:rPr>
      </w:pPr>
      <w:r>
        <w:rPr>
          <w:snapToGrid w:val="0"/>
        </w:rPr>
        <w:t>[Preamble]</w:t>
      </w:r>
    </w:p>
    <w:p>
      <w:pPr>
        <w:pStyle w:val="yFootnotesection"/>
      </w:pPr>
      <w:r>
        <w:tab/>
        <w:t>[Heading amended by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26" w:name="_Toc377979400"/>
      <w:bookmarkStart w:id="27" w:name="_Toc412618652"/>
      <w:bookmarkStart w:id="28" w:name="_Toc412618673"/>
      <w:r>
        <w:rPr>
          <w:rStyle w:val="CharSchNo"/>
        </w:rPr>
        <w:t>Second Schedule</w:t>
      </w:r>
      <w:r>
        <w:t xml:space="preserve"> — </w:t>
      </w:r>
      <w:r>
        <w:rPr>
          <w:rStyle w:val="CharSchText"/>
        </w:rPr>
        <w:t>Acts to be read as amended</w:t>
      </w:r>
      <w:bookmarkEnd w:id="26"/>
      <w:bookmarkEnd w:id="27"/>
      <w:bookmarkEnd w:id="28"/>
      <w:r>
        <w:t xml:space="preserve"> </w:t>
      </w:r>
    </w:p>
    <w:p>
      <w:pPr>
        <w:pStyle w:val="yShoulderClause"/>
        <w:rPr>
          <w:snapToGrid w:val="0"/>
        </w:rPr>
      </w:pPr>
      <w:r>
        <w:rPr>
          <w:snapToGrid w:val="0"/>
        </w:rPr>
        <w:t>[s. 5]</w:t>
      </w:r>
    </w:p>
    <w:p>
      <w:pPr>
        <w:pStyle w:val="yFootnotesection"/>
      </w:pPr>
      <w:r>
        <w:tab/>
        <w:t>[Heading amended by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0" w:name="_Toc377979401"/>
      <w:bookmarkStart w:id="31" w:name="_Toc412618653"/>
      <w:bookmarkStart w:id="32" w:name="_Toc412618674"/>
      <w:r>
        <w:t>Notes</w:t>
      </w:r>
      <w:bookmarkEnd w:id="30"/>
      <w:bookmarkEnd w:id="31"/>
      <w:bookmarkEnd w:id="32"/>
    </w:p>
    <w:p>
      <w:pPr>
        <w:pStyle w:val="nSubsection"/>
      </w:pPr>
      <w:r>
        <w:rPr>
          <w:iCs/>
          <w:vertAlign w:val="superscript"/>
        </w:rPr>
        <w:t>1</w:t>
      </w:r>
      <w:r>
        <w:rPr>
          <w:iCs/>
          <w:vertAlign w:val="superscript"/>
        </w:rPr>
        <w:tab/>
      </w:r>
      <w:r>
        <w:rPr>
          <w:iCs/>
        </w:rPr>
        <w:t xml:space="preserve">This is a compilation of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xml:space="preserve"> and includes the amendments made by the other written laws referred to in the following table. </w:t>
      </w:r>
      <w:r>
        <w:t xml:space="preserve"> </w:t>
      </w:r>
      <w:r>
        <w:rPr>
          <w:snapToGrid w:val="0"/>
        </w:rPr>
        <w:t>The table also contains information about any reprint.</w:t>
      </w:r>
    </w:p>
    <w:p>
      <w:pPr>
        <w:pStyle w:val="nHeading3"/>
        <w:rPr>
          <w:snapToGrid w:val="0"/>
        </w:rPr>
      </w:pPr>
      <w:bookmarkStart w:id="33" w:name="_Toc377979402"/>
      <w:bookmarkStart w:id="34" w:name="_Toc412618675"/>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rPr>
        <w:tc>
          <w:tcPr>
            <w:tcW w:w="2268" w:type="dxa"/>
            <w:tcBorders>
              <w:top w:val="single" w:sz="4" w:space="0" w:color="auto"/>
              <w:bottom w:val="single" w:sz="4" w:space="0" w:color="auto"/>
            </w:tcBorders>
          </w:tcPr>
          <w:p>
            <w:pPr>
              <w:pStyle w:val="nTable"/>
              <w:spacing w:before="60" w:after="60"/>
              <w:ind w:right="113"/>
              <w:rPr>
                <w:b/>
              </w:rPr>
            </w:pPr>
            <w:r>
              <w:rPr>
                <w:b/>
              </w:rPr>
              <w:t>Short title</w:t>
            </w:r>
          </w:p>
        </w:tc>
        <w:tc>
          <w:tcPr>
            <w:tcW w:w="1134" w:type="dxa"/>
            <w:gridSpan w:val="2"/>
            <w:tcBorders>
              <w:top w:val="single" w:sz="4" w:space="0" w:color="auto"/>
              <w:bottom w:val="single" w:sz="4" w:space="0" w:color="auto"/>
            </w:tcBorders>
          </w:tcPr>
          <w:p>
            <w:pPr>
              <w:pStyle w:val="nTable"/>
              <w:spacing w:before="60" w:after="60"/>
              <w:rPr>
                <w:b/>
              </w:rPr>
            </w:pPr>
            <w:r>
              <w:rPr>
                <w:b/>
              </w:rPr>
              <w:t>Number and year</w:t>
            </w:r>
          </w:p>
        </w:tc>
        <w:tc>
          <w:tcPr>
            <w:tcW w:w="1134" w:type="dxa"/>
            <w:gridSpan w:val="2"/>
            <w:tcBorders>
              <w:top w:val="single" w:sz="4" w:space="0" w:color="auto"/>
              <w:bottom w:val="single" w:sz="4" w:space="0" w:color="auto"/>
            </w:tcBorders>
          </w:tcPr>
          <w:p>
            <w:pPr>
              <w:pStyle w:val="nTable"/>
              <w:spacing w:before="60" w:after="60"/>
              <w:rPr>
                <w:b/>
              </w:rPr>
            </w:pPr>
            <w:r>
              <w:rPr>
                <w:b/>
              </w:rPr>
              <w:t>Assent</w:t>
            </w:r>
          </w:p>
        </w:tc>
        <w:tc>
          <w:tcPr>
            <w:tcW w:w="2552" w:type="dxa"/>
            <w:gridSpan w:val="2"/>
            <w:tcBorders>
              <w:top w:val="single" w:sz="4" w:space="0" w:color="auto"/>
              <w:bottom w:val="single" w:sz="4"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i/>
                <w:vertAlign w:val="superscript"/>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w:t>
            </w:r>
            <w:r>
              <w:rPr>
                <w:i/>
                <w:vertAlign w:val="superscript"/>
              </w:rPr>
              <w:t> </w:t>
            </w:r>
            <w:r>
              <w:rPr>
                <w:vertAlign w:val="superscript"/>
              </w:rPr>
              <w:t>4</w:t>
            </w:r>
          </w:p>
        </w:tc>
        <w:tc>
          <w:tcPr>
            <w:tcW w:w="1134" w:type="dxa"/>
            <w:gridSpan w:val="2"/>
          </w:tcPr>
          <w:p>
            <w:pPr>
              <w:pStyle w:val="nTable"/>
              <w:spacing w:before="120"/>
            </w:pPr>
            <w:r>
              <w:t>4 of 1960</w:t>
            </w:r>
          </w:p>
        </w:tc>
        <w:tc>
          <w:tcPr>
            <w:tcW w:w="1134" w:type="dxa"/>
            <w:gridSpan w:val="2"/>
          </w:tcPr>
          <w:p>
            <w:pPr>
              <w:pStyle w:val="nTable"/>
              <w:spacing w:before="120"/>
            </w:pPr>
            <w:r>
              <w:t>6 Oct 1960</w:t>
            </w:r>
          </w:p>
        </w:tc>
        <w:tc>
          <w:tcPr>
            <w:tcW w:w="2552" w:type="dxa"/>
            <w:gridSpan w:val="2"/>
          </w:tcPr>
          <w:p>
            <w:pPr>
              <w:pStyle w:val="nTable"/>
              <w:spacing w:before="120"/>
            </w:pPr>
            <w:r>
              <w:t xml:space="preserve">1 Jan 1962 (see s. 2(1) and </w:t>
            </w:r>
            <w:r>
              <w:rPr>
                <w:i/>
              </w:rPr>
              <w:t>Gazette</w:t>
            </w:r>
            <w:r>
              <w:t xml:space="preserve"> 24 Nov 1961)</w:t>
            </w:r>
          </w:p>
        </w:tc>
      </w:tr>
      <w:tr>
        <w:trPr>
          <w:cantSplit/>
        </w:trPr>
        <w:tc>
          <w:tcPr>
            <w:tcW w:w="2268" w:type="dxa"/>
          </w:tcPr>
          <w:p>
            <w:pPr>
              <w:pStyle w:val="nTable"/>
              <w:spacing w:before="12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gridSpan w:val="2"/>
          </w:tcPr>
          <w:p>
            <w:pPr>
              <w:pStyle w:val="nTable"/>
              <w:spacing w:before="120"/>
            </w:pPr>
            <w:r>
              <w:t>121 of 1976</w:t>
            </w:r>
          </w:p>
        </w:tc>
        <w:tc>
          <w:tcPr>
            <w:tcW w:w="1134" w:type="dxa"/>
            <w:gridSpan w:val="2"/>
          </w:tcPr>
          <w:p>
            <w:pPr>
              <w:pStyle w:val="nTable"/>
              <w:spacing w:before="120"/>
            </w:pPr>
            <w:r>
              <w:t>1 Dec 1976</w:t>
            </w:r>
          </w:p>
        </w:tc>
        <w:tc>
          <w:tcPr>
            <w:tcW w:w="2552" w:type="dxa"/>
            <w:gridSpan w:val="2"/>
          </w:tcPr>
          <w:p>
            <w:pPr>
              <w:pStyle w:val="nTable"/>
              <w:spacing w:before="120"/>
            </w:pPr>
            <w:r>
              <w:t xml:space="preserve">24 Aug 1981 (see s. 2(2) and </w:t>
            </w:r>
            <w:r>
              <w:rPr>
                <w:i/>
              </w:rPr>
              <w:t>Gazette</w:t>
            </w:r>
            <w:r>
              <w:t xml:space="preserve"> 30 Jan 1981 p. 441)</w:t>
            </w:r>
          </w:p>
        </w:tc>
      </w:tr>
      <w:tr>
        <w:trPr>
          <w:cantSplit/>
        </w:trPr>
        <w:tc>
          <w:tcPr>
            <w:tcW w:w="2268" w:type="dxa"/>
          </w:tcPr>
          <w:p>
            <w:pPr>
              <w:pStyle w:val="nTable"/>
              <w:spacing w:before="120"/>
              <w:ind w:right="113"/>
            </w:pPr>
            <w:r>
              <w:rPr>
                <w:i/>
              </w:rPr>
              <w:t xml:space="preserve">Commercial Arbitration Act 1985 </w:t>
            </w:r>
            <w:r>
              <w:t>s. 3(1)</w:t>
            </w:r>
          </w:p>
        </w:tc>
        <w:tc>
          <w:tcPr>
            <w:tcW w:w="1134" w:type="dxa"/>
            <w:gridSpan w:val="2"/>
          </w:tcPr>
          <w:p>
            <w:pPr>
              <w:pStyle w:val="nTable"/>
              <w:spacing w:before="120"/>
            </w:pPr>
            <w:r>
              <w:t>109 of 1985</w:t>
            </w:r>
          </w:p>
        </w:tc>
        <w:tc>
          <w:tcPr>
            <w:tcW w:w="1134" w:type="dxa"/>
            <w:gridSpan w:val="2"/>
          </w:tcPr>
          <w:p>
            <w:pPr>
              <w:pStyle w:val="nTable"/>
              <w:spacing w:before="120"/>
            </w:pPr>
            <w:r>
              <w:t>7 Jan 1986</w:t>
            </w:r>
          </w:p>
        </w:tc>
        <w:tc>
          <w:tcPr>
            <w:tcW w:w="2552" w:type="dxa"/>
            <w:gridSpan w:val="2"/>
          </w:tcPr>
          <w:p>
            <w:pPr>
              <w:pStyle w:val="nTable"/>
              <w:spacing w:before="120"/>
            </w:pPr>
            <w:r>
              <w:t xml:space="preserve">1 Apr 1986 (see s. 2 and </w:t>
            </w:r>
            <w:r>
              <w:rPr>
                <w:i/>
              </w:rPr>
              <w:t>Gazette</w:t>
            </w:r>
            <w:r>
              <w:t xml:space="preserve"> 28 Feb 1986 p. 605)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gridSpan w:val="2"/>
          </w:tcPr>
          <w:p>
            <w:pPr>
              <w:pStyle w:val="nTable"/>
              <w:spacing w:before="120"/>
            </w:pPr>
            <w:r>
              <w:t>14 of 1996</w:t>
            </w:r>
          </w:p>
        </w:tc>
        <w:tc>
          <w:tcPr>
            <w:tcW w:w="1134" w:type="dxa"/>
            <w:gridSpan w:val="2"/>
          </w:tcPr>
          <w:p>
            <w:pPr>
              <w:pStyle w:val="nTable"/>
              <w:spacing w:before="120"/>
            </w:pPr>
            <w:r>
              <w:t>28 Jun 1996</w:t>
            </w:r>
          </w:p>
        </w:tc>
        <w:tc>
          <w:tcPr>
            <w:tcW w:w="2552" w:type="dxa"/>
            <w:gridSpan w:val="2"/>
          </w:tcPr>
          <w:p>
            <w:pPr>
              <w:pStyle w:val="nTable"/>
              <w:spacing w:before="120"/>
            </w:pPr>
            <w:r>
              <w:t>1 Jul 1996 (see s. 2)</w:t>
            </w:r>
          </w:p>
        </w:tc>
      </w:tr>
      <w:tr>
        <w:trPr>
          <w:cantSplit/>
        </w:trPr>
        <w:tc>
          <w:tcPr>
            <w:tcW w:w="7088" w:type="dxa"/>
            <w:gridSpan w:val="7"/>
          </w:tcPr>
          <w:p>
            <w:pPr>
              <w:pStyle w:val="nTable"/>
              <w:spacing w:before="12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Constitution Act 1960</w:t>
            </w:r>
            <w:r>
              <w:rPr>
                <w:b/>
              </w:rPr>
              <w:t xml:space="preserve"> as at 3 May 2002</w:t>
            </w:r>
            <w:r>
              <w:t xml:space="preserve"> (includes amendments listed above)</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rPr>
            </w:pPr>
            <w:r>
              <w:rPr>
                <w:i/>
                <w:snapToGrid w:val="0"/>
              </w:rPr>
              <w:t>Commercial Arbitration Act 2012</w:t>
            </w:r>
            <w:r>
              <w:rPr>
                <w:snapToGrid w:val="0"/>
              </w:rPr>
              <w:t xml:space="preserve"> s. 45 it. 2</w:t>
            </w:r>
          </w:p>
        </w:tc>
        <w:tc>
          <w:tcPr>
            <w:tcW w:w="1139" w:type="dxa"/>
            <w:gridSpan w:val="2"/>
            <w:tcBorders>
              <w:bottom w:val="single" w:sz="4" w:space="0" w:color="auto"/>
            </w:tcBorders>
          </w:tcPr>
          <w:p>
            <w:pPr>
              <w:pStyle w:val="nTable"/>
              <w:spacing w:after="40"/>
              <w:rPr>
                <w:snapToGrid w:val="0"/>
              </w:rPr>
            </w:pPr>
            <w:r>
              <w:rPr>
                <w:snapToGrid w:val="0"/>
              </w:rPr>
              <w:t>23 of 2012</w:t>
            </w:r>
          </w:p>
        </w:tc>
        <w:tc>
          <w:tcPr>
            <w:tcW w:w="1136" w:type="dxa"/>
            <w:gridSpan w:val="2"/>
            <w:tcBorders>
              <w:bottom w:val="single" w:sz="4" w:space="0" w:color="auto"/>
            </w:tcBorders>
          </w:tcPr>
          <w:p>
            <w:pPr>
              <w:pStyle w:val="nTable"/>
              <w:spacing w:after="40"/>
              <w:rPr>
                <w:snapToGrid w:val="0"/>
              </w:rPr>
            </w:pPr>
            <w:r>
              <w:rPr>
                <w:snapToGrid w:val="0"/>
              </w:rPr>
              <w:t>29 Aug 2012</w:t>
            </w:r>
          </w:p>
        </w:tc>
        <w:tc>
          <w:tcPr>
            <w:tcW w:w="2530" w:type="dxa"/>
            <w:tcBorders>
              <w:bottom w:val="single" w:sz="4" w:space="0" w:color="auto"/>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rPr>
          <w:iCs/>
        </w:rPr>
      </w:pPr>
      <w:r>
        <w:rPr>
          <w:iCs/>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Short title amended by No. 121 of 1976 s. 7.</w:t>
      </w:r>
    </w:p>
    <w:p>
      <w:pPr>
        <w:pStyle w:val="nSubsection"/>
        <w:rPr>
          <w:iCs/>
        </w:rPr>
      </w:pPr>
      <w:r>
        <w:rPr>
          <w:iCs/>
          <w:vertAlign w:val="superscript"/>
        </w:rPr>
        <w:t>5</w:t>
      </w:r>
      <w:r>
        <w:rPr>
          <w:iCs/>
        </w:rPr>
        <w:tab/>
        <w:t xml:space="preserve">Now cited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r>
        <w:rPr>
          <w:iCs/>
          <w:vertAlign w:val="superscript"/>
        </w:rPr>
        <w:t>6</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 1888</w:t>
      </w:r>
      <w:r>
        <w:rPr>
          <w:iCs/>
        </w:rPr>
        <w:t>.</w:t>
      </w:r>
    </w:p>
    <w:p>
      <w:pPr>
        <w:pStyle w:val="nSubsection"/>
        <w:rPr>
          <w:iCs/>
        </w:rPr>
      </w:pPr>
      <w:r>
        <w:rPr>
          <w:iCs/>
          <w:vertAlign w:val="superscript"/>
        </w:rPr>
        <w:t>7</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r>
        <w:rPr>
          <w:iCs/>
          <w:vertAlign w:val="superscript"/>
        </w:rPr>
        <w:t>8</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r>
        <w:rPr>
          <w:iCs/>
          <w:vertAlign w:val="superscript"/>
        </w:rPr>
        <w:t>9</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rPr>
          <w:snapToGrid w:val="0"/>
        </w:rPr>
      </w:pPr>
    </w:p>
    <w:p>
      <w:pPr>
        <w:rPr>
          <w:snapToGrid w:val="0"/>
        </w:r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090806"/>
    <w:docVar w:name="WAFER_20140120105759" w:val="RemoveTocBookmarks,RemoveUnusedBookmarks,RemoveLanguageTags,UsedStyles,ResetPageSize,UpdateArrangement"/>
    <w:docVar w:name="WAFER_20140120105759_GUID" w:val="c5942089-67c1-48bd-b168-96725d99d69b"/>
    <w:docVar w:name="WAFER_20140120110228" w:val="RemoveTocBookmarks,RunningHeaders"/>
    <w:docVar w:name="WAFER_20140120110228_GUID" w:val="dbd1a862-ba55-4fcd-83e2-43876566c8fa"/>
    <w:docVar w:name="WAFER_20150225090806" w:val="ResetPageSize,UpdateArrangement,UpdateNTable"/>
    <w:docVar w:name="WAFER_20150225090806_GUID" w:val="06ca9fe2-a015-4ed4-9959-7a9504a7ae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14017</Words>
  <Characters>67848</Characters>
  <Application>Microsoft Office Word</Application>
  <DocSecurity>0</DocSecurity>
  <Lines>1356</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1960 - 01-e0-03</dc:title>
  <dc:subject/>
  <dc:creator/>
  <cp:keywords/>
  <dc:description/>
  <cp:lastModifiedBy>svcMRProcess</cp:lastModifiedBy>
  <cp:revision>4</cp:revision>
  <cp:lastPrinted>2002-05-14T06:52:00Z</cp:lastPrinted>
  <dcterms:created xsi:type="dcterms:W3CDTF">2015-12-13T05:04:00Z</dcterms:created>
  <dcterms:modified xsi:type="dcterms:W3CDTF">2015-12-13T05:04:00Z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20130807</vt:lpwstr>
  </property>
  <property fmtid="{D5CDD505-2E9C-101B-9397-08002B2CF9AE}" pid="4" name="OWLSUId">
    <vt:i4>38</vt:i4>
  </property>
  <property fmtid="{D5CDD505-2E9C-101B-9397-08002B2CF9AE}" pid="5" name="DocumentType">
    <vt:lpwstr>Act</vt:lpwstr>
  </property>
  <property fmtid="{D5CDD505-2E9C-101B-9397-08002B2CF9AE}" pid="6" name="AsAtDate">
    <vt:lpwstr>07 Aug 2013</vt:lpwstr>
  </property>
  <property fmtid="{D5CDD505-2E9C-101B-9397-08002B2CF9AE}" pid="7" name="Suffix">
    <vt:lpwstr>01-e0-03</vt:lpwstr>
  </property>
</Properties>
</file>