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Higher Education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Higher Education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Higher Education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_Toc419464547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_Toc419464548 \h </w:instrText>
      </w:r>
      <w:r>
        <w:fldChar w:fldCharType="separate"/>
      </w:r>
      <w:r>
        <w:t>1</w:t>
      </w:r>
      <w:r>
        <w:fldChar w:fldCharType="end"/>
      </w:r>
    </w:p>
    <w:p>
      <w:pPr>
        <w:pStyle w:val="TOC8"/>
        <w:rPr>
          <w:rFonts w:asciiTheme="minorHAnsi" w:eastAsiaTheme="minorEastAsia" w:hAnsiTheme="minorHAnsi" w:cstheme="minorBidi"/>
          <w:szCs w:val="22"/>
        </w:rPr>
      </w:pPr>
      <w:r>
        <w:t>3.</w:t>
      </w:r>
      <w:r>
        <w:tab/>
        <w:t>Information prescribed (Act s. 7(2)(b))</w:t>
      </w:r>
      <w:r>
        <w:tab/>
      </w:r>
      <w:r>
        <w:fldChar w:fldCharType="begin"/>
      </w:r>
      <w:r>
        <w:instrText xml:space="preserve"> PAGEREF _Toc419464549 \h </w:instrText>
      </w:r>
      <w:r>
        <w:fldChar w:fldCharType="separate"/>
      </w:r>
      <w:r>
        <w:t>2</w:t>
      </w:r>
      <w:r>
        <w:fldChar w:fldCharType="end"/>
      </w:r>
    </w:p>
    <w:p>
      <w:pPr>
        <w:pStyle w:val="TOC8"/>
        <w:rPr>
          <w:rFonts w:asciiTheme="minorHAnsi" w:eastAsiaTheme="minorEastAsia" w:hAnsiTheme="minorHAnsi" w:cstheme="minorBidi"/>
          <w:szCs w:val="22"/>
        </w:rPr>
      </w:pPr>
      <w:r>
        <w:t>4.</w:t>
      </w:r>
      <w:r>
        <w:tab/>
        <w:t>Information prescribed (Act s. 9(2)(b))</w:t>
      </w:r>
      <w:r>
        <w:tab/>
      </w:r>
      <w:r>
        <w:fldChar w:fldCharType="begin"/>
      </w:r>
      <w:r>
        <w:instrText xml:space="preserve"> PAGEREF _Toc419464550 \h </w:instrText>
      </w:r>
      <w:r>
        <w:fldChar w:fldCharType="separate"/>
      </w:r>
      <w:r>
        <w:t>3</w:t>
      </w:r>
      <w:r>
        <w:fldChar w:fldCharType="end"/>
      </w:r>
    </w:p>
    <w:p>
      <w:pPr>
        <w:pStyle w:val="TOC8"/>
        <w:rPr>
          <w:rFonts w:asciiTheme="minorHAnsi" w:eastAsiaTheme="minorEastAsia" w:hAnsiTheme="minorHAnsi" w:cstheme="minorBidi"/>
          <w:szCs w:val="22"/>
        </w:rPr>
      </w:pPr>
      <w:r>
        <w:t>5A.</w:t>
      </w:r>
      <w:r>
        <w:tab/>
        <w:t>Information prescribed (Act s. 13A(2)(b))</w:t>
      </w:r>
      <w:r>
        <w:tab/>
      </w:r>
      <w:r>
        <w:fldChar w:fldCharType="begin"/>
      </w:r>
      <w:r>
        <w:instrText xml:space="preserve"> PAGEREF _Toc419464551 \h </w:instrText>
      </w:r>
      <w:r>
        <w:fldChar w:fldCharType="separate"/>
      </w:r>
      <w:r>
        <w:t>3</w:t>
      </w:r>
      <w:r>
        <w:fldChar w:fldCharType="end"/>
      </w:r>
    </w:p>
    <w:p>
      <w:pPr>
        <w:pStyle w:val="TOC8"/>
        <w:rPr>
          <w:rFonts w:asciiTheme="minorHAnsi" w:eastAsiaTheme="minorEastAsia" w:hAnsiTheme="minorHAnsi" w:cstheme="minorBidi"/>
          <w:szCs w:val="22"/>
        </w:rPr>
      </w:pPr>
      <w:r>
        <w:t>5B.</w:t>
      </w:r>
      <w:r>
        <w:tab/>
        <w:t>Agreement under Act s. 28(1), content of</w:t>
      </w:r>
      <w:r>
        <w:tab/>
      </w:r>
      <w:r>
        <w:fldChar w:fldCharType="begin"/>
      </w:r>
      <w:r>
        <w:instrText xml:space="preserve"> PAGEREF _Toc419464552 \h </w:instrText>
      </w:r>
      <w:r>
        <w:fldChar w:fldCharType="separate"/>
      </w:r>
      <w:r>
        <w:t>3</w:t>
      </w:r>
      <w:r>
        <w:fldChar w:fldCharType="end"/>
      </w:r>
    </w:p>
    <w:p>
      <w:pPr>
        <w:pStyle w:val="TOC8"/>
        <w:rPr>
          <w:rFonts w:asciiTheme="minorHAnsi" w:eastAsiaTheme="minorEastAsia" w:hAnsiTheme="minorHAnsi" w:cstheme="minorBidi"/>
          <w:szCs w:val="22"/>
        </w:rPr>
      </w:pPr>
      <w:r>
        <w:t>5.</w:t>
      </w:r>
      <w:r>
        <w:tab/>
        <w:t>Fees prescribed etc. (Act s. 13(2)(a))</w:t>
      </w:r>
      <w:r>
        <w:tab/>
      </w:r>
      <w:r>
        <w:fldChar w:fldCharType="begin"/>
      </w:r>
      <w:r>
        <w:instrText xml:space="preserve"> PAGEREF _Toc419464553 \h </w:instrText>
      </w:r>
      <w:r>
        <w:fldChar w:fldCharType="separate"/>
      </w:r>
      <w:r>
        <w:t>4</w:t>
      </w:r>
      <w:r>
        <w:fldChar w:fldCharType="end"/>
      </w:r>
    </w:p>
    <w:p>
      <w:pPr>
        <w:pStyle w:val="TOC8"/>
        <w:rPr>
          <w:rFonts w:asciiTheme="minorHAnsi" w:eastAsiaTheme="minorEastAsia" w:hAnsiTheme="minorHAnsi" w:cstheme="minorBidi"/>
          <w:szCs w:val="22"/>
        </w:rPr>
      </w:pPr>
      <w:r>
        <w:t>6.</w:t>
      </w:r>
      <w:r>
        <w:tab/>
        <w:t>Information prescribed (Act s. 13(2)(b))</w:t>
      </w:r>
      <w:r>
        <w:tab/>
      </w:r>
      <w:r>
        <w:fldChar w:fldCharType="begin"/>
      </w:r>
      <w:r>
        <w:instrText xml:space="preserve"> PAGEREF _Toc419464554 \h </w:instrText>
      </w:r>
      <w:r>
        <w:fldChar w:fldCharType="separate"/>
      </w:r>
      <w:r>
        <w:t>6</w:t>
      </w:r>
      <w:r>
        <w:fldChar w:fldCharType="end"/>
      </w:r>
    </w:p>
    <w:p>
      <w:pPr>
        <w:pStyle w:val="TOC8"/>
        <w:rPr>
          <w:rFonts w:asciiTheme="minorHAnsi" w:eastAsiaTheme="minorEastAsia" w:hAnsiTheme="minorHAnsi" w:cstheme="minorBidi"/>
          <w:szCs w:val="22"/>
        </w:rPr>
      </w:pPr>
      <w:r>
        <w:t>7.</w:t>
      </w:r>
      <w:r>
        <w:tab/>
        <w:t>Fees prescribed etc. (Act s. 17(2)(a))</w:t>
      </w:r>
      <w:r>
        <w:tab/>
      </w:r>
      <w:r>
        <w:fldChar w:fldCharType="begin"/>
      </w:r>
      <w:r>
        <w:instrText xml:space="preserve"> PAGEREF _Toc419464555 \h </w:instrText>
      </w:r>
      <w:r>
        <w:fldChar w:fldCharType="separate"/>
      </w:r>
      <w:r>
        <w:t>6</w:t>
      </w:r>
      <w:r>
        <w:fldChar w:fldCharType="end"/>
      </w:r>
    </w:p>
    <w:p>
      <w:pPr>
        <w:pStyle w:val="TOC8"/>
        <w:rPr>
          <w:rFonts w:asciiTheme="minorHAnsi" w:eastAsiaTheme="minorEastAsia" w:hAnsiTheme="minorHAnsi" w:cstheme="minorBidi"/>
          <w:szCs w:val="22"/>
        </w:rPr>
      </w:pPr>
      <w:r>
        <w:t>8.</w:t>
      </w:r>
      <w:r>
        <w:tab/>
        <w:t>Information prescribed (Act s. 17(2)(b))</w:t>
      </w:r>
      <w:r>
        <w:tab/>
      </w:r>
      <w:r>
        <w:fldChar w:fldCharType="begin"/>
      </w:r>
      <w:r>
        <w:instrText xml:space="preserve"> PAGEREF _Toc419464556 \h </w:instrText>
      </w:r>
      <w:r>
        <w:fldChar w:fldCharType="separate"/>
      </w:r>
      <w:r>
        <w:t>8</w:t>
      </w:r>
      <w:r>
        <w:fldChar w:fldCharType="end"/>
      </w:r>
    </w:p>
    <w:p>
      <w:pPr>
        <w:pStyle w:val="TOC8"/>
        <w:rPr>
          <w:rFonts w:asciiTheme="minorHAnsi" w:eastAsiaTheme="minorEastAsia" w:hAnsiTheme="minorHAnsi" w:cstheme="minorBidi"/>
          <w:szCs w:val="22"/>
        </w:rPr>
      </w:pPr>
      <w:r>
        <w:t>9A.</w:t>
      </w:r>
      <w:r>
        <w:tab/>
        <w:t>Fee, how calculated (Act s. 21A(3)(c))</w:t>
      </w:r>
      <w:r>
        <w:tab/>
      </w:r>
      <w:r>
        <w:fldChar w:fldCharType="begin"/>
      </w:r>
      <w:r>
        <w:instrText xml:space="preserve"> PAGEREF _Toc419464557 \h </w:instrText>
      </w:r>
      <w:r>
        <w:fldChar w:fldCharType="separate"/>
      </w:r>
      <w:r>
        <w:t>8</w:t>
      </w:r>
      <w:r>
        <w:fldChar w:fldCharType="end"/>
      </w:r>
    </w:p>
    <w:p>
      <w:pPr>
        <w:pStyle w:val="TOC8"/>
        <w:rPr>
          <w:rFonts w:asciiTheme="minorHAnsi" w:eastAsiaTheme="minorEastAsia" w:hAnsiTheme="minorHAnsi" w:cstheme="minorBidi"/>
          <w:szCs w:val="22"/>
        </w:rPr>
      </w:pPr>
      <w:r>
        <w:t>9.</w:t>
      </w:r>
      <w:r>
        <w:tab/>
        <w:t>Information to be provided by recognised course providers</w:t>
      </w:r>
      <w:r>
        <w:tab/>
      </w:r>
      <w:r>
        <w:fldChar w:fldCharType="begin"/>
      </w:r>
      <w:r>
        <w:instrText xml:space="preserve"> PAGEREF _Toc419464558 \h </w:instrText>
      </w:r>
      <w:r>
        <w:fldChar w:fldCharType="separate"/>
      </w:r>
      <w:r>
        <w:t>8</w:t>
      </w:r>
      <w:r>
        <w:fldChar w:fldCharType="end"/>
      </w:r>
    </w:p>
    <w:p>
      <w:pPr>
        <w:pStyle w:val="TOC8"/>
        <w:rPr>
          <w:rFonts w:asciiTheme="minorHAnsi" w:eastAsiaTheme="minorEastAsia" w:hAnsiTheme="minorHAnsi" w:cstheme="minorBidi"/>
          <w:szCs w:val="22"/>
        </w:rPr>
      </w:pPr>
      <w:r>
        <w:t>10.</w:t>
      </w:r>
      <w:r>
        <w:tab/>
        <w:t>Waiver of fees</w:t>
      </w:r>
      <w:r>
        <w:tab/>
      </w:r>
      <w:r>
        <w:fldChar w:fldCharType="begin"/>
      </w:r>
      <w:r>
        <w:instrText xml:space="preserve"> PAGEREF _Toc419464559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Information prescribed under section 7, 9, 13A or 13</w:t>
      </w:r>
    </w:p>
    <w:p>
      <w:pPr>
        <w:pStyle w:val="TOC2"/>
        <w:tabs>
          <w:tab w:val="right" w:leader="dot" w:pos="7077"/>
        </w:tabs>
        <w:rPr>
          <w:rFonts w:asciiTheme="minorHAnsi" w:eastAsiaTheme="minorEastAsia" w:hAnsiTheme="minorHAnsi" w:cstheme="minorBidi"/>
          <w:b w:val="0"/>
          <w:sz w:val="22"/>
          <w:szCs w:val="22"/>
        </w:rPr>
      </w:pPr>
      <w:r>
        <w:t>Schedule 2 — Information to be included in applications for course accreditation</w:t>
      </w:r>
    </w:p>
    <w:p>
      <w:pPr>
        <w:pStyle w:val="TOC4"/>
        <w:tabs>
          <w:tab w:val="right" w:leader="dot" w:pos="7077"/>
        </w:tabs>
        <w:rPr>
          <w:rFonts w:asciiTheme="minorHAnsi" w:eastAsiaTheme="minorEastAsia" w:hAnsiTheme="minorHAnsi" w:cstheme="minorBidi"/>
          <w:b w:val="0"/>
          <w:szCs w:val="22"/>
        </w:rPr>
      </w:pPr>
      <w:r>
        <w:t>Division 1 — Information to be included in all applications for course accreditation</w:t>
      </w:r>
    </w:p>
    <w:p>
      <w:pPr>
        <w:pStyle w:val="TOC4"/>
        <w:tabs>
          <w:tab w:val="right" w:leader="dot" w:pos="7077"/>
        </w:tabs>
        <w:rPr>
          <w:rFonts w:asciiTheme="minorHAnsi" w:eastAsiaTheme="minorEastAsia" w:hAnsiTheme="minorHAnsi" w:cstheme="minorBidi"/>
          <w:b w:val="0"/>
          <w:szCs w:val="22"/>
        </w:rPr>
      </w:pPr>
      <w:r>
        <w:t>Division 2 — Additional information to be included in subsequent applications for course accreditation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_Toc419464565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Higher Education Act 2004</w:t>
      </w:r>
    </w:p>
    <w:p>
      <w:pPr>
        <w:pStyle w:val="NameofActReg"/>
        <w:spacing w:after="720"/>
      </w:pPr>
      <w:r>
        <w:t>Higher Education Regulations 2005</w:t>
      </w:r>
    </w:p>
    <w:p>
      <w:pPr>
        <w:pStyle w:val="Heading5"/>
      </w:pPr>
      <w:bookmarkStart w:id="3" w:name="_Toc378771321"/>
      <w:bookmarkStart w:id="4" w:name="_Toc419464547"/>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rPr>
          <w:vertAlign w:val="superscript"/>
        </w:rPr>
        <w:t> 1</w:t>
      </w:r>
      <w:r>
        <w:t>.</w:t>
      </w:r>
    </w:p>
    <w:p>
      <w:pPr>
        <w:pStyle w:val="Heading5"/>
      </w:pPr>
      <w:bookmarkStart w:id="5" w:name="_Toc378771322"/>
      <w:bookmarkStart w:id="6" w:name="_Toc419464548"/>
      <w:r>
        <w:rPr>
          <w:rStyle w:val="CharSectno"/>
        </w:rPr>
        <w:t>2</w:t>
      </w:r>
      <w:r>
        <w:t>.</w:t>
      </w:r>
      <w:r>
        <w:tab/>
        <w:t>Terms used</w:t>
      </w:r>
      <w:bookmarkEnd w:id="5"/>
      <w:bookmarkEnd w:id="6"/>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tab/>
      </w:r>
      <w:r>
        <w:rPr>
          <w:rStyle w:val="CharDefText"/>
        </w:rPr>
        <w:t>registered business name</w:t>
      </w:r>
      <w:r>
        <w:t xml:space="preserve"> means a business name that is registered under the </w:t>
      </w:r>
      <w:r>
        <w:rPr>
          <w:i/>
        </w:rPr>
        <w:t>Business Names Registration Act 2011</w:t>
      </w:r>
      <w:r>
        <w:t xml:space="preserve"> (Commonwealth);</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Footnotesection"/>
      </w:pPr>
      <w:r>
        <w:tab/>
        <w:t>[Regulation 2 amended: Gazette 8 Jun 2010 p. 2608; 27 Nov 2012 p. 5736.]</w:t>
      </w:r>
    </w:p>
    <w:p>
      <w:pPr>
        <w:pStyle w:val="Heading5"/>
      </w:pPr>
      <w:bookmarkStart w:id="7" w:name="_Toc378771323"/>
      <w:bookmarkStart w:id="8" w:name="_Toc419464549"/>
      <w:r>
        <w:rPr>
          <w:rStyle w:val="CharSectno"/>
        </w:rPr>
        <w:t>3</w:t>
      </w:r>
      <w:r>
        <w:t>.</w:t>
      </w:r>
      <w:r>
        <w:tab/>
        <w:t>Information prescribed (Act s. 7(2)(b))</w:t>
      </w:r>
      <w:bookmarkEnd w:id="7"/>
      <w:bookmarkEnd w:id="8"/>
    </w:p>
    <w:p>
      <w:pPr>
        <w:pStyle w:val="Subsection"/>
        <w:spacing w:before="180"/>
      </w:pPr>
      <w:r>
        <w:tab/>
      </w:r>
      <w:r>
        <w:tab/>
        <w:t>For the purposes of section 7(2)(b) of the Act, the prescribed information is the information specified in Schedule 1.</w:t>
      </w:r>
    </w:p>
    <w:p>
      <w:pPr>
        <w:pStyle w:val="Footnotesection"/>
        <w:ind w:left="890" w:hanging="890"/>
      </w:pPr>
      <w:r>
        <w:tab/>
        <w:t>[Regulation 3 inserted: Gazette 8 Jun 2010 p. 2608.]</w:t>
      </w:r>
    </w:p>
    <w:p>
      <w:pPr>
        <w:pStyle w:val="Heading5"/>
        <w:spacing w:before="240"/>
      </w:pPr>
      <w:bookmarkStart w:id="9" w:name="_Toc378771324"/>
      <w:bookmarkStart w:id="10" w:name="_Toc419464550"/>
      <w:r>
        <w:rPr>
          <w:rStyle w:val="CharSectno"/>
        </w:rPr>
        <w:t>4</w:t>
      </w:r>
      <w:r>
        <w:t>.</w:t>
      </w:r>
      <w:r>
        <w:tab/>
        <w:t>Information prescribed (Act s. 9(2)(b))</w:t>
      </w:r>
      <w:bookmarkEnd w:id="9"/>
      <w:bookmarkEnd w:id="10"/>
    </w:p>
    <w:p>
      <w:pPr>
        <w:pStyle w:val="Subsection"/>
        <w:spacing w:before="180"/>
      </w:pPr>
      <w:r>
        <w:tab/>
      </w:r>
      <w:r>
        <w:tab/>
        <w:t>For the purposes of section 9(2)(b) of the Act, an application for a section 10 determination must include the information specified in Schedule 1.</w:t>
      </w:r>
    </w:p>
    <w:p>
      <w:pPr>
        <w:pStyle w:val="Heading5"/>
        <w:spacing w:before="240"/>
      </w:pPr>
      <w:bookmarkStart w:id="11" w:name="_Toc378771325"/>
      <w:bookmarkStart w:id="12" w:name="_Toc419464551"/>
      <w:r>
        <w:rPr>
          <w:rStyle w:val="CharSectno"/>
        </w:rPr>
        <w:t>5A</w:t>
      </w:r>
      <w:r>
        <w:t>.</w:t>
      </w:r>
      <w:r>
        <w:tab/>
        <w:t>Information prescribed (Act s. 13A(2)(b))</w:t>
      </w:r>
      <w:bookmarkEnd w:id="11"/>
      <w:bookmarkEnd w:id="12"/>
    </w:p>
    <w:p>
      <w:pPr>
        <w:pStyle w:val="Subsection"/>
        <w:spacing w:before="180"/>
      </w:pPr>
      <w:r>
        <w:tab/>
      </w:r>
      <w:r>
        <w:tab/>
        <w:t>For the purposes of section 13A(2)(b) of the Act, the prescribed information is the information specified in Schedule 1.</w:t>
      </w:r>
    </w:p>
    <w:p>
      <w:pPr>
        <w:pStyle w:val="Footnotesection"/>
      </w:pPr>
      <w:r>
        <w:tab/>
        <w:t>[Regulation 5A inserted: Gazette 8 Jun 2010 p. 2609.]</w:t>
      </w:r>
    </w:p>
    <w:p>
      <w:pPr>
        <w:pStyle w:val="Heading5"/>
        <w:spacing w:before="240"/>
      </w:pPr>
      <w:bookmarkStart w:id="13" w:name="_Toc378771326"/>
      <w:bookmarkStart w:id="14" w:name="_Toc419464552"/>
      <w:r>
        <w:rPr>
          <w:rStyle w:val="CharSectno"/>
        </w:rPr>
        <w:t>5B</w:t>
      </w:r>
      <w:r>
        <w:t>.</w:t>
      </w:r>
      <w:r>
        <w:tab/>
        <w:t>Agreement under Act s. 28(1), content of</w:t>
      </w:r>
      <w:bookmarkEnd w:id="13"/>
      <w:bookmarkEnd w:id="14"/>
    </w:p>
    <w:p>
      <w:pPr>
        <w:pStyle w:val="Subsection"/>
        <w:spacing w:before="180"/>
      </w:pPr>
      <w:r>
        <w:tab/>
        <w:t>(1)</w:t>
      </w:r>
      <w:r>
        <w:tab/>
        <w:t xml:space="preserve">An arrangement entered into under section 28(1) of the Act by the Minister with a person (the </w:t>
      </w:r>
      <w:r>
        <w:rPr>
          <w:rStyle w:val="CharDefText"/>
        </w:rPr>
        <w:t>applicant</w:t>
      </w:r>
      <w:r>
        <w:t xml:space="preserve">) must provide for — </w:t>
      </w:r>
    </w:p>
    <w:p>
      <w:pPr>
        <w:pStyle w:val="Indenta"/>
      </w:pPr>
      <w:r>
        <w:tab/>
        <w:t>(a)</w:t>
      </w:r>
      <w:r>
        <w:tab/>
        <w:t xml:space="preserve">the costs and expenses of the preparation of a report by a person approved by the Minister on — </w:t>
      </w:r>
    </w:p>
    <w:p>
      <w:pPr>
        <w:pStyle w:val="Indenti"/>
      </w:pPr>
      <w:r>
        <w:tab/>
        <w:t>(i)</w:t>
      </w:r>
      <w:r>
        <w:tab/>
        <w:t>the financial and other resources available to the applicant; and</w:t>
      </w:r>
    </w:p>
    <w:p>
      <w:pPr>
        <w:pStyle w:val="Indenti"/>
      </w:pPr>
      <w:r>
        <w:tab/>
        <w:t>(ii)</w:t>
      </w:r>
      <w:r>
        <w:tab/>
        <w:t>whether or not those resources are adequate to enable the applicant to comply with the requirements of the Act and meet the criteria set out in any National Protocol applicable to the applicant;</w:t>
      </w:r>
    </w:p>
    <w:p>
      <w:pPr>
        <w:pStyle w:val="Indenta"/>
      </w:pPr>
      <w:r>
        <w:tab/>
      </w:r>
      <w:r>
        <w:tab/>
        <w:t>and</w:t>
      </w:r>
    </w:p>
    <w:p>
      <w:pPr>
        <w:pStyle w:val="Indenta"/>
      </w:pPr>
      <w:r>
        <w:tab/>
        <w:t>(b)</w:t>
      </w:r>
      <w:r>
        <w:tab/>
        <w:t>the costs and expenses relating to preparing and executing the agreement; and</w:t>
      </w:r>
    </w:p>
    <w:p>
      <w:pPr>
        <w:pStyle w:val="Indenta"/>
      </w:pPr>
      <w:r>
        <w:tab/>
        <w:t>(c)</w:t>
      </w:r>
      <w:r>
        <w:tab/>
        <w:t xml:space="preserve">in the case of an appointment of a higher education advisory committee, the costs and expenses incurred by the Minister in relation to — </w:t>
      </w:r>
    </w:p>
    <w:p>
      <w:pPr>
        <w:pStyle w:val="Indenti"/>
      </w:pPr>
      <w:r>
        <w:tab/>
        <w:t>(i)</w:t>
      </w:r>
      <w:r>
        <w:tab/>
        <w:t>the remuneration, allowances and expenses of members of the committee; and</w:t>
      </w:r>
    </w:p>
    <w:p>
      <w:pPr>
        <w:pStyle w:val="Indenti"/>
      </w:pPr>
      <w:r>
        <w:tab/>
        <w:t>(ii)</w:t>
      </w:r>
      <w:r>
        <w:tab/>
        <w:t>selecting and appointing members of the committee; and</w:t>
      </w:r>
    </w:p>
    <w:p>
      <w:pPr>
        <w:pStyle w:val="Indenti"/>
      </w:pPr>
      <w:r>
        <w:tab/>
        <w:t>(iii)</w:t>
      </w:r>
      <w:r>
        <w:tab/>
        <w:t>providing services to the committee; and</w:t>
      </w:r>
    </w:p>
    <w:p>
      <w:pPr>
        <w:pStyle w:val="Indenti"/>
      </w:pPr>
      <w:r>
        <w:tab/>
        <w:t>(iv)</w:t>
      </w:r>
      <w:r>
        <w:tab/>
        <w:t>the preparation of interim or other reports of the committee;</w:t>
      </w:r>
    </w:p>
    <w:p>
      <w:pPr>
        <w:pStyle w:val="Indenta"/>
      </w:pPr>
      <w:r>
        <w:tab/>
      </w:r>
      <w:r>
        <w:tab/>
        <w:t>and</w:t>
      </w:r>
    </w:p>
    <w:p>
      <w:pPr>
        <w:pStyle w:val="Indenta"/>
      </w:pPr>
      <w:r>
        <w:tab/>
        <w:t>(d)</w:t>
      </w:r>
      <w:r>
        <w:tab/>
        <w:t>the times or stages in which, and the manner in which, payments of costs, expenses remuneration and allowances are to be made by the applicant to the Minister.</w:t>
      </w:r>
    </w:p>
    <w:p>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2012</w:t>
      </w:r>
      <w:r>
        <w:t>.</w:t>
      </w:r>
    </w:p>
    <w:p>
      <w:pPr>
        <w:pStyle w:val="Footnotesection"/>
      </w:pPr>
      <w:r>
        <w:tab/>
        <w:t>[Regulation 5B inserted: Gazette 8 Jun 2010 p. 2609-10; amended: Gazette 19 Jul 2013 p. 3265.]</w:t>
      </w:r>
    </w:p>
    <w:p>
      <w:pPr>
        <w:pStyle w:val="Heading5"/>
      </w:pPr>
      <w:bookmarkStart w:id="15" w:name="_Toc378771327"/>
      <w:bookmarkStart w:id="16" w:name="_Toc419464553"/>
      <w:r>
        <w:rPr>
          <w:rStyle w:val="CharSectno"/>
        </w:rPr>
        <w:t>5</w:t>
      </w:r>
      <w:r>
        <w:t>.</w:t>
      </w:r>
      <w:r>
        <w:tab/>
        <w:t>Fees prescribed etc. (Act s. 13(2)(a))</w:t>
      </w:r>
      <w:bookmarkEnd w:id="15"/>
      <w:bookmarkEnd w:id="16"/>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trPr>
          <w:tblHeader/>
        </w:trPr>
        <w:tc>
          <w:tcPr>
            <w:tcW w:w="992" w:type="dxa"/>
          </w:tcPr>
          <w:p>
            <w:pPr>
              <w:pStyle w:val="TableNAm"/>
              <w:jc w:val="center"/>
              <w:rPr>
                <w:b/>
              </w:rPr>
            </w:pPr>
            <w:r>
              <w:rPr>
                <w:b/>
              </w:rPr>
              <w:t>Item</w:t>
            </w:r>
          </w:p>
        </w:tc>
        <w:tc>
          <w:tcPr>
            <w:tcW w:w="3118" w:type="dxa"/>
          </w:tcPr>
          <w:p>
            <w:pPr>
              <w:pStyle w:val="TableNAm"/>
              <w:jc w:val="center"/>
              <w:rPr>
                <w:b/>
              </w:rPr>
            </w:pPr>
            <w:r>
              <w:rPr>
                <w:b/>
              </w:rPr>
              <w:t>Award</w:t>
            </w:r>
          </w:p>
        </w:tc>
        <w:tc>
          <w:tcPr>
            <w:tcW w:w="1418" w:type="dxa"/>
          </w:tcPr>
          <w:p>
            <w:pPr>
              <w:pStyle w:val="TableNAm"/>
              <w:jc w:val="center"/>
              <w:rPr>
                <w:b/>
              </w:rPr>
            </w:pPr>
            <w:r>
              <w:rPr>
                <w:b/>
              </w:rPr>
              <w:t>Fee</w:t>
            </w:r>
          </w:p>
        </w:tc>
      </w:tr>
      <w:tr>
        <w:tc>
          <w:tcPr>
            <w:tcW w:w="992" w:type="dxa"/>
          </w:tcPr>
          <w:p>
            <w:pPr>
              <w:pStyle w:val="TableNAm"/>
              <w:jc w:val="center"/>
            </w:pPr>
            <w:r>
              <w:t>1.</w:t>
            </w:r>
          </w:p>
        </w:tc>
        <w:tc>
          <w:tcPr>
            <w:tcW w:w="3118" w:type="dxa"/>
          </w:tcPr>
          <w:p>
            <w:pPr>
              <w:pStyle w:val="TableNAm"/>
            </w:pPr>
            <w:r>
              <w:t>Diploma</w:t>
            </w:r>
          </w:p>
        </w:tc>
        <w:tc>
          <w:tcPr>
            <w:tcW w:w="1418" w:type="dxa"/>
          </w:tcPr>
          <w:p>
            <w:pPr>
              <w:pStyle w:val="TableNAm"/>
              <w:jc w:val="center"/>
            </w:pPr>
            <w:r>
              <w:t>$3 860</w:t>
            </w:r>
          </w:p>
        </w:tc>
      </w:tr>
      <w:tr>
        <w:tc>
          <w:tcPr>
            <w:tcW w:w="992" w:type="dxa"/>
          </w:tcPr>
          <w:p>
            <w:pPr>
              <w:pStyle w:val="TableNAm"/>
              <w:jc w:val="center"/>
            </w:pPr>
            <w:r>
              <w:t>2.</w:t>
            </w:r>
          </w:p>
        </w:tc>
        <w:tc>
          <w:tcPr>
            <w:tcW w:w="3118" w:type="dxa"/>
          </w:tcPr>
          <w:p>
            <w:pPr>
              <w:pStyle w:val="TableNAm"/>
            </w:pPr>
            <w:r>
              <w:t>Advanced diploma</w:t>
            </w:r>
          </w:p>
        </w:tc>
        <w:tc>
          <w:tcPr>
            <w:tcW w:w="1418" w:type="dxa"/>
          </w:tcPr>
          <w:p>
            <w:pPr>
              <w:pStyle w:val="TableNAm"/>
              <w:jc w:val="center"/>
            </w:pPr>
            <w:r>
              <w:t>$3 860</w:t>
            </w:r>
          </w:p>
        </w:tc>
      </w:tr>
      <w:tr>
        <w:tc>
          <w:tcPr>
            <w:tcW w:w="992" w:type="dxa"/>
          </w:tcPr>
          <w:p>
            <w:pPr>
              <w:pStyle w:val="TableNAm"/>
              <w:jc w:val="center"/>
            </w:pPr>
            <w:r>
              <w:t>3.</w:t>
            </w:r>
          </w:p>
        </w:tc>
        <w:tc>
          <w:tcPr>
            <w:tcW w:w="3118" w:type="dxa"/>
          </w:tcPr>
          <w:p>
            <w:pPr>
              <w:pStyle w:val="TableNAm"/>
            </w:pPr>
            <w:r>
              <w:t>Associate degree</w:t>
            </w:r>
          </w:p>
        </w:tc>
        <w:tc>
          <w:tcPr>
            <w:tcW w:w="1418" w:type="dxa"/>
          </w:tcPr>
          <w:p>
            <w:pPr>
              <w:pStyle w:val="TableNAm"/>
              <w:jc w:val="center"/>
            </w:pPr>
            <w:r>
              <w:t>$4 630</w:t>
            </w:r>
          </w:p>
        </w:tc>
      </w:tr>
      <w:tr>
        <w:tc>
          <w:tcPr>
            <w:tcW w:w="992" w:type="dxa"/>
          </w:tcPr>
          <w:p>
            <w:pPr>
              <w:pStyle w:val="TableNAm"/>
              <w:jc w:val="center"/>
            </w:pPr>
            <w:r>
              <w:t>4.</w:t>
            </w:r>
          </w:p>
        </w:tc>
        <w:tc>
          <w:tcPr>
            <w:tcW w:w="3118" w:type="dxa"/>
          </w:tcPr>
          <w:p>
            <w:pPr>
              <w:pStyle w:val="TableNAm"/>
            </w:pPr>
            <w:r>
              <w:t>Bachelor degree</w:t>
            </w:r>
          </w:p>
        </w:tc>
        <w:tc>
          <w:tcPr>
            <w:tcW w:w="1418" w:type="dxa"/>
          </w:tcPr>
          <w:p>
            <w:pPr>
              <w:pStyle w:val="TableNAm"/>
              <w:jc w:val="center"/>
            </w:pPr>
            <w:r>
              <w:t>$8 190</w:t>
            </w:r>
          </w:p>
        </w:tc>
      </w:tr>
      <w:tr>
        <w:tc>
          <w:tcPr>
            <w:tcW w:w="992" w:type="dxa"/>
          </w:tcPr>
          <w:p>
            <w:pPr>
              <w:pStyle w:val="TableNAm"/>
              <w:jc w:val="center"/>
            </w:pPr>
            <w:r>
              <w:t>5.</w:t>
            </w:r>
          </w:p>
        </w:tc>
        <w:tc>
          <w:tcPr>
            <w:tcW w:w="3118" w:type="dxa"/>
          </w:tcPr>
          <w:p>
            <w:pPr>
              <w:pStyle w:val="TableNAm"/>
            </w:pPr>
            <w:r>
              <w:t>Graduate certificate</w:t>
            </w:r>
          </w:p>
        </w:tc>
        <w:tc>
          <w:tcPr>
            <w:tcW w:w="1418" w:type="dxa"/>
          </w:tcPr>
          <w:p>
            <w:pPr>
              <w:pStyle w:val="TableNAm"/>
              <w:jc w:val="center"/>
            </w:pPr>
            <w:r>
              <w:t>$4 630</w:t>
            </w:r>
          </w:p>
        </w:tc>
      </w:tr>
      <w:tr>
        <w:tc>
          <w:tcPr>
            <w:tcW w:w="992" w:type="dxa"/>
          </w:tcPr>
          <w:p>
            <w:pPr>
              <w:pStyle w:val="TableNAm"/>
              <w:jc w:val="center"/>
            </w:pPr>
            <w:r>
              <w:t>6.</w:t>
            </w:r>
          </w:p>
        </w:tc>
        <w:tc>
          <w:tcPr>
            <w:tcW w:w="3118" w:type="dxa"/>
          </w:tcPr>
          <w:p>
            <w:pPr>
              <w:pStyle w:val="TableNAm"/>
            </w:pPr>
            <w:r>
              <w:t>Graduate diploma</w:t>
            </w:r>
          </w:p>
        </w:tc>
        <w:tc>
          <w:tcPr>
            <w:tcW w:w="1418" w:type="dxa"/>
          </w:tcPr>
          <w:p>
            <w:pPr>
              <w:pStyle w:val="TableNAm"/>
              <w:jc w:val="center"/>
            </w:pPr>
            <w:r>
              <w:t>$4 630</w:t>
            </w:r>
          </w:p>
        </w:tc>
      </w:tr>
      <w:tr>
        <w:tc>
          <w:tcPr>
            <w:tcW w:w="992" w:type="dxa"/>
          </w:tcPr>
          <w:p>
            <w:pPr>
              <w:pStyle w:val="TableNAm"/>
              <w:jc w:val="center"/>
            </w:pPr>
            <w:r>
              <w:t>7.</w:t>
            </w:r>
          </w:p>
        </w:tc>
        <w:tc>
          <w:tcPr>
            <w:tcW w:w="3118" w:type="dxa"/>
          </w:tcPr>
          <w:p>
            <w:pPr>
              <w:pStyle w:val="TableNAm"/>
            </w:pPr>
            <w:r>
              <w:t>Masters degree</w:t>
            </w:r>
          </w:p>
        </w:tc>
        <w:tc>
          <w:tcPr>
            <w:tcW w:w="1418" w:type="dxa"/>
          </w:tcPr>
          <w:p>
            <w:pPr>
              <w:pStyle w:val="TableNAm"/>
              <w:jc w:val="center"/>
            </w:pPr>
            <w:r>
              <w:t>$8 190</w:t>
            </w:r>
          </w:p>
        </w:tc>
      </w:tr>
      <w:tr>
        <w:tc>
          <w:tcPr>
            <w:tcW w:w="992" w:type="dxa"/>
          </w:tcPr>
          <w:p>
            <w:pPr>
              <w:pStyle w:val="TableNAm"/>
              <w:jc w:val="center"/>
            </w:pPr>
            <w:r>
              <w:t>8.</w:t>
            </w:r>
          </w:p>
        </w:tc>
        <w:tc>
          <w:tcPr>
            <w:tcW w:w="3118" w:type="dxa"/>
          </w:tcPr>
          <w:p>
            <w:pPr>
              <w:pStyle w:val="TableNAm"/>
            </w:pPr>
            <w:r>
              <w:t>Doctoral degree</w:t>
            </w:r>
          </w:p>
        </w:tc>
        <w:tc>
          <w:tcPr>
            <w:tcW w:w="1418" w:type="dxa"/>
          </w:tcPr>
          <w:p>
            <w:pPr>
              <w:pStyle w:val="TableNAm"/>
              <w:jc w:val="center"/>
            </w:pPr>
            <w:r>
              <w:t>$8 190</w:t>
            </w:r>
          </w:p>
        </w:tc>
      </w:tr>
    </w:tbl>
    <w:p>
      <w:pPr>
        <w:pStyle w:val="Footnotesection"/>
      </w:pPr>
      <w:r>
        <w:tab/>
        <w:t>[Regulation 5 amended: Gazette 14 Aug 2009 p. 3183; 25 Nov 2011 p. 4868.]</w:t>
      </w:r>
    </w:p>
    <w:p>
      <w:pPr>
        <w:pStyle w:val="Heading5"/>
        <w:spacing w:before="240"/>
      </w:pPr>
      <w:bookmarkStart w:id="17" w:name="_Toc378771328"/>
      <w:bookmarkStart w:id="18" w:name="_Toc419464554"/>
      <w:r>
        <w:rPr>
          <w:rStyle w:val="CharSectno"/>
        </w:rPr>
        <w:t>6</w:t>
      </w:r>
      <w:r>
        <w:t>.</w:t>
      </w:r>
      <w:r>
        <w:tab/>
        <w:t>Information prescribed (Act s. 13(2)(b))</w:t>
      </w:r>
      <w:bookmarkEnd w:id="17"/>
      <w:bookmarkEnd w:id="18"/>
    </w:p>
    <w:p>
      <w:pPr>
        <w:pStyle w:val="Subsection"/>
      </w:pPr>
      <w:r>
        <w:tab/>
      </w:r>
      <w:r>
        <w:tab/>
        <w:t>For the purposes of section 13(2)(b) of the Act, an application for a provider’s authorisation must include the information specified in Schedule 1.</w:t>
      </w:r>
    </w:p>
    <w:p>
      <w:pPr>
        <w:pStyle w:val="Heading5"/>
      </w:pPr>
      <w:bookmarkStart w:id="19" w:name="_Toc378771329"/>
      <w:bookmarkStart w:id="20" w:name="_Toc419464555"/>
      <w:r>
        <w:rPr>
          <w:rStyle w:val="CharSectno"/>
        </w:rPr>
        <w:t>7</w:t>
      </w:r>
      <w:r>
        <w:t>.</w:t>
      </w:r>
      <w:r>
        <w:tab/>
        <w:t>Fees prescribed etc. (Act s. 17(2)(a))</w:t>
      </w:r>
      <w:bookmarkEnd w:id="19"/>
      <w:bookmarkEnd w:id="20"/>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trPr>
          <w:tblHeader/>
        </w:trPr>
        <w:tc>
          <w:tcPr>
            <w:tcW w:w="992" w:type="dxa"/>
          </w:tcPr>
          <w:p>
            <w:pPr>
              <w:pStyle w:val="TableNAm"/>
              <w:jc w:val="center"/>
              <w:rPr>
                <w:b/>
              </w:rPr>
            </w:pPr>
            <w:r>
              <w:rPr>
                <w:b/>
              </w:rPr>
              <w:t>Item</w:t>
            </w:r>
          </w:p>
        </w:tc>
        <w:tc>
          <w:tcPr>
            <w:tcW w:w="2126" w:type="dxa"/>
          </w:tcPr>
          <w:p>
            <w:pPr>
              <w:pStyle w:val="TableNAm"/>
              <w:jc w:val="center"/>
              <w:rPr>
                <w:b/>
              </w:rPr>
            </w:pPr>
            <w:r>
              <w:rPr>
                <w:b/>
              </w:rPr>
              <w:t>Award</w:t>
            </w:r>
          </w:p>
        </w:tc>
        <w:tc>
          <w:tcPr>
            <w:tcW w:w="1134" w:type="dxa"/>
          </w:tcPr>
          <w:p>
            <w:pPr>
              <w:pStyle w:val="TableNAm"/>
              <w:jc w:val="center"/>
              <w:rPr>
                <w:b/>
              </w:rPr>
            </w:pPr>
            <w:r>
              <w:rPr>
                <w:b/>
              </w:rPr>
              <w:t>Fee for course for highest award</w:t>
            </w:r>
          </w:p>
        </w:tc>
        <w:tc>
          <w:tcPr>
            <w:tcW w:w="1276" w:type="dxa"/>
          </w:tcPr>
          <w:p>
            <w:pPr>
              <w:pStyle w:val="TableNAm"/>
              <w:jc w:val="center"/>
              <w:rPr>
                <w:b/>
              </w:rPr>
            </w:pPr>
            <w:r>
              <w:rPr>
                <w:b/>
              </w:rPr>
              <w:t>Fee for additional course</w:t>
            </w:r>
          </w:p>
        </w:tc>
      </w:tr>
      <w:tr>
        <w:tc>
          <w:tcPr>
            <w:tcW w:w="992" w:type="dxa"/>
          </w:tcPr>
          <w:p>
            <w:pPr>
              <w:pStyle w:val="TableNAm"/>
              <w:jc w:val="center"/>
            </w:pPr>
            <w:r>
              <w:t>1.</w:t>
            </w:r>
          </w:p>
        </w:tc>
        <w:tc>
          <w:tcPr>
            <w:tcW w:w="2126" w:type="dxa"/>
          </w:tcPr>
          <w:p>
            <w:pPr>
              <w:pStyle w:val="TableNAm"/>
            </w:pPr>
            <w:r>
              <w:t>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2.</w:t>
            </w:r>
          </w:p>
        </w:tc>
        <w:tc>
          <w:tcPr>
            <w:tcW w:w="2126" w:type="dxa"/>
          </w:tcPr>
          <w:p>
            <w:pPr>
              <w:pStyle w:val="TableNAm"/>
            </w:pPr>
            <w:r>
              <w:t>Advanced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3.</w:t>
            </w:r>
          </w:p>
        </w:tc>
        <w:tc>
          <w:tcPr>
            <w:tcW w:w="2126" w:type="dxa"/>
          </w:tcPr>
          <w:p>
            <w:pPr>
              <w:pStyle w:val="TableNAm"/>
            </w:pPr>
            <w:r>
              <w:t>Associate degree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4.</w:t>
            </w:r>
          </w:p>
        </w:tc>
        <w:tc>
          <w:tcPr>
            <w:tcW w:w="2126" w:type="dxa"/>
          </w:tcPr>
          <w:p>
            <w:pPr>
              <w:pStyle w:val="TableNAm"/>
            </w:pPr>
            <w:r>
              <w:t>Bachelor degree</w:t>
            </w:r>
          </w:p>
        </w:tc>
        <w:tc>
          <w:tcPr>
            <w:tcW w:w="1134" w:type="dxa"/>
          </w:tcPr>
          <w:p>
            <w:pPr>
              <w:pStyle w:val="TableNAm"/>
              <w:jc w:val="center"/>
            </w:pPr>
            <w:r>
              <w:t>$5 940</w:t>
            </w:r>
          </w:p>
        </w:tc>
        <w:tc>
          <w:tcPr>
            <w:tcW w:w="1276" w:type="dxa"/>
          </w:tcPr>
          <w:p>
            <w:pPr>
              <w:pStyle w:val="TableNAm"/>
              <w:jc w:val="center"/>
            </w:pPr>
            <w:r>
              <w:t>$1 470</w:t>
            </w:r>
          </w:p>
        </w:tc>
      </w:tr>
      <w:tr>
        <w:tc>
          <w:tcPr>
            <w:tcW w:w="992" w:type="dxa"/>
          </w:tcPr>
          <w:p>
            <w:pPr>
              <w:pStyle w:val="TableNAm"/>
              <w:jc w:val="center"/>
            </w:pPr>
            <w:r>
              <w:t>5.</w:t>
            </w:r>
          </w:p>
        </w:tc>
        <w:tc>
          <w:tcPr>
            <w:tcW w:w="2126" w:type="dxa"/>
          </w:tcPr>
          <w:p>
            <w:pPr>
              <w:pStyle w:val="TableNAm"/>
            </w:pPr>
            <w:r>
              <w:t>Graduate certificate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6.</w:t>
            </w:r>
          </w:p>
        </w:tc>
        <w:tc>
          <w:tcPr>
            <w:tcW w:w="2126" w:type="dxa"/>
          </w:tcPr>
          <w:p>
            <w:pPr>
              <w:pStyle w:val="TableNAm"/>
            </w:pPr>
            <w:r>
              <w:t>Graduate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7.</w:t>
            </w:r>
          </w:p>
        </w:tc>
        <w:tc>
          <w:tcPr>
            <w:tcW w:w="2126" w:type="dxa"/>
          </w:tcPr>
          <w:p>
            <w:pPr>
              <w:pStyle w:val="TableNAm"/>
            </w:pPr>
            <w:r>
              <w:t>Masters degree</w:t>
            </w:r>
          </w:p>
        </w:tc>
        <w:tc>
          <w:tcPr>
            <w:tcW w:w="1134" w:type="dxa"/>
          </w:tcPr>
          <w:p>
            <w:pPr>
              <w:pStyle w:val="TableNAm"/>
              <w:jc w:val="center"/>
            </w:pPr>
            <w:r>
              <w:t>$7 420</w:t>
            </w:r>
          </w:p>
        </w:tc>
        <w:tc>
          <w:tcPr>
            <w:tcW w:w="1276" w:type="dxa"/>
          </w:tcPr>
          <w:p>
            <w:pPr>
              <w:pStyle w:val="TableNAm"/>
              <w:jc w:val="center"/>
            </w:pPr>
            <w:r>
              <w:t>$1 850</w:t>
            </w:r>
          </w:p>
        </w:tc>
      </w:tr>
      <w:tr>
        <w:tc>
          <w:tcPr>
            <w:tcW w:w="992" w:type="dxa"/>
          </w:tcPr>
          <w:p>
            <w:pPr>
              <w:pStyle w:val="TableNAm"/>
              <w:jc w:val="center"/>
            </w:pPr>
            <w:r>
              <w:t>8.</w:t>
            </w:r>
          </w:p>
        </w:tc>
        <w:tc>
          <w:tcPr>
            <w:tcW w:w="2126" w:type="dxa"/>
          </w:tcPr>
          <w:p>
            <w:pPr>
              <w:pStyle w:val="TableNAm"/>
            </w:pPr>
            <w:r>
              <w:t>Doctoral degree</w:t>
            </w:r>
          </w:p>
        </w:tc>
        <w:tc>
          <w:tcPr>
            <w:tcW w:w="1134" w:type="dxa"/>
          </w:tcPr>
          <w:p>
            <w:pPr>
              <w:pStyle w:val="TableNAm"/>
              <w:jc w:val="center"/>
            </w:pPr>
            <w:r>
              <w:t>$7 420</w:t>
            </w:r>
          </w:p>
        </w:tc>
        <w:tc>
          <w:tcPr>
            <w:tcW w:w="1276" w:type="dxa"/>
          </w:tcPr>
          <w:p>
            <w:pPr>
              <w:pStyle w:val="TableNAm"/>
              <w:jc w:val="center"/>
            </w:pPr>
            <w:r>
              <w:t>$1 850</w:t>
            </w:r>
          </w:p>
        </w:tc>
      </w:tr>
    </w:tbl>
    <w:p>
      <w:pPr>
        <w:pStyle w:val="Footnotesection"/>
      </w:pPr>
      <w:r>
        <w:tab/>
        <w:t>[Regulation 7 amended: Gazette 14 Aug 2009 p. 3184; 25 Nov 2011 p. 4868</w:t>
      </w:r>
      <w:r>
        <w:noBreakHyphen/>
        <w:t>9.]</w:t>
      </w:r>
    </w:p>
    <w:p>
      <w:pPr>
        <w:pStyle w:val="Heading5"/>
        <w:spacing w:before="180"/>
      </w:pPr>
      <w:bookmarkStart w:id="21" w:name="_Toc378771330"/>
      <w:bookmarkStart w:id="22" w:name="_Toc419464556"/>
      <w:r>
        <w:rPr>
          <w:rStyle w:val="CharSectno"/>
        </w:rPr>
        <w:t>8</w:t>
      </w:r>
      <w:r>
        <w:t>.</w:t>
      </w:r>
      <w:r>
        <w:tab/>
        <w:t>Information prescribed (Act s. 17(2)(b))</w:t>
      </w:r>
      <w:bookmarkEnd w:id="21"/>
      <w:bookmarkEnd w:id="22"/>
    </w:p>
    <w:p>
      <w:pPr>
        <w:pStyle w:val="Subsection"/>
        <w:spacing w:before="120"/>
      </w:pPr>
      <w:r>
        <w:tab/>
        <w:t>(1)</w:t>
      </w:r>
      <w:r>
        <w:tab/>
        <w:t>For the purposes of section 17(2)(b) of the Act, an application for ministerial accreditation of a course must include the information specified in Schedule 2 Division 1.</w:t>
      </w:r>
    </w:p>
    <w:p>
      <w:pPr>
        <w:pStyle w:val="Subsection"/>
        <w:spacing w:before="120"/>
      </w:pPr>
      <w:r>
        <w:tab/>
        <w:t>(2)</w:t>
      </w:r>
      <w:r>
        <w:tab/>
        <w:t>An application for accreditation of a course that is or has been registered under section 23(3) of the Act must also include the information specified in Schedule 2 Division 2.</w:t>
      </w:r>
    </w:p>
    <w:p>
      <w:pPr>
        <w:pStyle w:val="Heading5"/>
        <w:spacing w:before="180"/>
      </w:pPr>
      <w:bookmarkStart w:id="23" w:name="_Toc378771331"/>
      <w:bookmarkStart w:id="24" w:name="_Toc419464557"/>
      <w:r>
        <w:rPr>
          <w:rStyle w:val="CharSectno"/>
        </w:rPr>
        <w:t>9A</w:t>
      </w:r>
      <w:r>
        <w:t>.</w:t>
      </w:r>
      <w:r>
        <w:tab/>
        <w:t>Fee, how calculated (Act s. 21A(3)(c))</w:t>
      </w:r>
      <w:bookmarkEnd w:id="23"/>
      <w:bookmarkEnd w:id="24"/>
    </w:p>
    <w:p>
      <w:pPr>
        <w:pStyle w:val="Subsection"/>
        <w:spacing w:before="120"/>
      </w:pPr>
      <w:r>
        <w:tab/>
      </w:r>
      <w:r>
        <w:tab/>
        <w:t xml:space="preserve">For the purposes of section 21A(3)(c) of the Act, the fee to accompany a request to undertake a review of a report of a higher education advisory committee is to be calculated by multiplying — </w:t>
      </w:r>
    </w:p>
    <w:p>
      <w:pPr>
        <w:pStyle w:val="Indenta"/>
        <w:spacing w:before="60"/>
      </w:pPr>
      <w:r>
        <w:tab/>
        <w:t>(a)</w:t>
      </w:r>
      <w:r>
        <w:tab/>
        <w:t>the rate per hour agreed to by the applicant and the Minister; and</w:t>
      </w:r>
    </w:p>
    <w:p>
      <w:pPr>
        <w:pStyle w:val="Indenta"/>
      </w:pPr>
      <w:r>
        <w:tab/>
        <w:t>(b)</w:t>
      </w:r>
      <w:r>
        <w:tab/>
        <w:t>an estimate of the number of hours that will be required to undertake the review agreed to by the applicant and the Minister.</w:t>
      </w:r>
    </w:p>
    <w:p>
      <w:pPr>
        <w:pStyle w:val="Footnotesection"/>
      </w:pPr>
      <w:r>
        <w:tab/>
        <w:t>[Regulation 9A inserted: Gazette 8 Jun 2010 p. 2610.]</w:t>
      </w:r>
    </w:p>
    <w:p>
      <w:pPr>
        <w:pStyle w:val="Heading5"/>
      </w:pPr>
      <w:bookmarkStart w:id="25" w:name="_Toc378771332"/>
      <w:bookmarkStart w:id="26" w:name="_Toc419464558"/>
      <w:r>
        <w:rPr>
          <w:rStyle w:val="CharSectno"/>
        </w:rPr>
        <w:t>9</w:t>
      </w:r>
      <w:r>
        <w:t>.</w:t>
      </w:r>
      <w:r>
        <w:tab/>
        <w:t>Information to be provided by recognised course providers</w:t>
      </w:r>
      <w:bookmarkEnd w:id="25"/>
      <w:bookmarkEnd w:id="26"/>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13A, 13 or 17 of the 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pPr>
      <w:r>
        <w:tab/>
        <w:t>[Regulation 9 amended: Gazette 8 Jun 2010 p. 2610.]</w:t>
      </w:r>
    </w:p>
    <w:p>
      <w:pPr>
        <w:pStyle w:val="Heading5"/>
      </w:pPr>
      <w:bookmarkStart w:id="27" w:name="_Toc378771333"/>
      <w:bookmarkStart w:id="28" w:name="_Toc419464559"/>
      <w:r>
        <w:rPr>
          <w:rStyle w:val="CharSectno"/>
        </w:rPr>
        <w:t>10</w:t>
      </w:r>
      <w:r>
        <w:t>.</w:t>
      </w:r>
      <w:r>
        <w:tab/>
        <w:t>Waiver of fees</w:t>
      </w:r>
      <w:bookmarkEnd w:id="27"/>
      <w:bookmarkEnd w:id="28"/>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9" w:name="_Toc378771339"/>
      <w:bookmarkStart w:id="30" w:name="_Toc419464565"/>
      <w: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Higher Education Regulations 2005</w:t>
            </w:r>
          </w:p>
        </w:tc>
        <w:tc>
          <w:tcPr>
            <w:tcW w:w="1276" w:type="dxa"/>
            <w:tcBorders>
              <w:top w:val="single" w:sz="8" w:space="0" w:color="auto"/>
            </w:tcBorders>
          </w:tcPr>
          <w:p>
            <w:pPr>
              <w:pStyle w:val="nTable"/>
              <w:spacing w:after="40"/>
            </w:pPr>
            <w:r>
              <w:t>26 Jul 2005 p. 3411-27</w:t>
            </w:r>
          </w:p>
        </w:tc>
        <w:tc>
          <w:tcPr>
            <w:tcW w:w="2693" w:type="dxa"/>
            <w:tcBorders>
              <w:top w:val="single" w:sz="8" w:space="0" w:color="auto"/>
            </w:tcBorders>
          </w:tcPr>
          <w:p>
            <w:pPr>
              <w:pStyle w:val="nTable"/>
              <w:spacing w:after="40"/>
            </w:pPr>
            <w:r>
              <w:t>26 Jul 2005</w:t>
            </w:r>
          </w:p>
        </w:tc>
      </w:tr>
      <w:tr>
        <w:tc>
          <w:tcPr>
            <w:tcW w:w="3118" w:type="dxa"/>
          </w:tcPr>
          <w:p>
            <w:pPr>
              <w:pStyle w:val="nTable"/>
              <w:spacing w:after="40"/>
              <w:rPr>
                <w:i/>
              </w:rPr>
            </w:pPr>
            <w:r>
              <w:rPr>
                <w:i/>
              </w:rPr>
              <w:t>Higher Education Amendment Regulations 2009</w:t>
            </w:r>
          </w:p>
        </w:tc>
        <w:tc>
          <w:tcPr>
            <w:tcW w:w="1276" w:type="dxa"/>
          </w:tcPr>
          <w:p>
            <w:pPr>
              <w:pStyle w:val="nTable"/>
              <w:spacing w:after="40"/>
            </w:pPr>
            <w:r>
              <w:t>14 Aug 2009 p. 3183-4</w:t>
            </w:r>
          </w:p>
        </w:tc>
        <w:tc>
          <w:tcPr>
            <w:tcW w:w="2693" w:type="dxa"/>
          </w:tcPr>
          <w:p>
            <w:pPr>
              <w:pStyle w:val="nTable"/>
              <w:spacing w:after="40"/>
            </w:pPr>
            <w:r>
              <w:t>r. 1 and 2: 14 Aug 2009 (see r. 2(a));</w:t>
            </w:r>
            <w:r>
              <w:br/>
              <w:t>Regulations other than r. 1 and 2: 15 Aug 2009 (see r. 2(b))</w:t>
            </w:r>
          </w:p>
        </w:tc>
      </w:tr>
      <w:tr>
        <w:tc>
          <w:tcPr>
            <w:tcW w:w="3118" w:type="dxa"/>
          </w:tcPr>
          <w:p>
            <w:pPr>
              <w:pStyle w:val="nTable"/>
              <w:spacing w:after="40"/>
              <w:rPr>
                <w:i/>
              </w:rPr>
            </w:pPr>
            <w:r>
              <w:rPr>
                <w:i/>
              </w:rPr>
              <w:t>Higher Education Amendment Regulations 2010</w:t>
            </w:r>
          </w:p>
        </w:tc>
        <w:tc>
          <w:tcPr>
            <w:tcW w:w="1276" w:type="dxa"/>
          </w:tcPr>
          <w:p>
            <w:pPr>
              <w:pStyle w:val="nTable"/>
              <w:spacing w:after="40"/>
            </w:pPr>
            <w:r>
              <w:t>8 Jun 2010 p. 2608-11</w:t>
            </w:r>
          </w:p>
        </w:tc>
        <w:tc>
          <w:tcPr>
            <w:tcW w:w="2693" w:type="dxa"/>
          </w:tcPr>
          <w:p>
            <w:pPr>
              <w:pStyle w:val="nTable"/>
              <w:spacing w:after="40"/>
            </w:pPr>
            <w:r>
              <w:t>r. 1 and 2: 8 Jun 2010 (see r. 2(a));</w:t>
            </w:r>
            <w:r>
              <w:br/>
              <w:t>Regulations other than r. 1 and 2: 9 Jun 2010 (see r. 2(b))</w:t>
            </w:r>
          </w:p>
        </w:tc>
      </w:tr>
      <w:tr>
        <w:tc>
          <w:tcPr>
            <w:tcW w:w="3118" w:type="dxa"/>
            <w:shd w:val="clear" w:color="auto" w:fill="auto"/>
          </w:tcPr>
          <w:p>
            <w:pPr>
              <w:pStyle w:val="nTable"/>
              <w:spacing w:after="40"/>
              <w:rPr>
                <w:i/>
              </w:rPr>
            </w:pPr>
            <w:r>
              <w:rPr>
                <w:i/>
              </w:rPr>
              <w:t>Higher Education Amendment Regulations 2011</w:t>
            </w:r>
          </w:p>
        </w:tc>
        <w:tc>
          <w:tcPr>
            <w:tcW w:w="1276" w:type="dxa"/>
            <w:shd w:val="clear" w:color="auto" w:fill="auto"/>
          </w:tcPr>
          <w:p>
            <w:pPr>
              <w:pStyle w:val="nTable"/>
              <w:spacing w:after="40"/>
            </w:pPr>
            <w:r>
              <w:t>25 Nov 2011 p. 4867</w:t>
            </w:r>
            <w:r>
              <w:noBreakHyphen/>
              <w:t>9</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Higher Education Regulations 2005</w:t>
            </w:r>
            <w:r>
              <w:rPr>
                <w:b/>
                <w:snapToGrid w:val="0"/>
              </w:rPr>
              <w:t xml:space="preserve"> as at 19 Oct 2012 </w:t>
            </w:r>
            <w:r>
              <w:rPr>
                <w:snapToGrid w:val="0"/>
              </w:rPr>
              <w:t>(includes amendments listed above)</w:t>
            </w:r>
          </w:p>
        </w:tc>
      </w:tr>
      <w:tr>
        <w:tc>
          <w:tcPr>
            <w:tcW w:w="3118" w:type="dxa"/>
            <w:shd w:val="clear" w:color="auto" w:fill="auto"/>
          </w:tcPr>
          <w:p>
            <w:pPr>
              <w:pStyle w:val="nTable"/>
              <w:spacing w:after="40"/>
              <w:rPr>
                <w:i/>
              </w:rPr>
            </w:pPr>
            <w:r>
              <w:rPr>
                <w:i/>
              </w:rPr>
              <w:t>Higher Education Amendment Regulations 2012</w:t>
            </w:r>
          </w:p>
        </w:tc>
        <w:tc>
          <w:tcPr>
            <w:tcW w:w="1276" w:type="dxa"/>
            <w:shd w:val="clear" w:color="auto" w:fill="auto"/>
          </w:tcPr>
          <w:p>
            <w:pPr>
              <w:pStyle w:val="nTable"/>
              <w:spacing w:after="40"/>
            </w:pPr>
            <w:r>
              <w:t>27 Nov 2012 p. 5736</w:t>
            </w:r>
          </w:p>
        </w:tc>
        <w:tc>
          <w:tcPr>
            <w:tcW w:w="2693" w:type="dxa"/>
            <w:shd w:val="clear" w:color="auto" w:fill="auto"/>
          </w:tcPr>
          <w:p>
            <w:pPr>
              <w:pStyle w:val="nTable"/>
              <w:spacing w:after="40"/>
            </w:pPr>
            <w:r>
              <w:rPr>
                <w:snapToGrid w:val="0"/>
              </w:rPr>
              <w:t>27 Nov 2012</w:t>
            </w:r>
          </w:p>
        </w:tc>
      </w:tr>
      <w:tr>
        <w:tc>
          <w:tcPr>
            <w:tcW w:w="3118" w:type="dxa"/>
            <w:tcBorders>
              <w:bottom w:val="single" w:sz="4" w:space="0" w:color="auto"/>
            </w:tcBorders>
            <w:shd w:val="clear" w:color="auto" w:fill="auto"/>
          </w:tcPr>
          <w:p>
            <w:pPr>
              <w:pStyle w:val="nTable"/>
              <w:spacing w:after="40"/>
              <w:rPr>
                <w:i/>
              </w:rPr>
            </w:pPr>
            <w:r>
              <w:rPr>
                <w:i/>
              </w:rPr>
              <w:t>Higher Education Amendment Regulations 2013</w:t>
            </w:r>
          </w:p>
        </w:tc>
        <w:tc>
          <w:tcPr>
            <w:tcW w:w="1276" w:type="dxa"/>
            <w:tcBorders>
              <w:bottom w:val="single" w:sz="4" w:space="0" w:color="auto"/>
            </w:tcBorders>
            <w:shd w:val="clear" w:color="auto" w:fill="auto"/>
          </w:tcPr>
          <w:p>
            <w:pPr>
              <w:pStyle w:val="nTable"/>
              <w:spacing w:after="40"/>
            </w:pPr>
            <w:r>
              <w:t>19 Jul 2013 p. 3265</w:t>
            </w:r>
          </w:p>
        </w:tc>
        <w:tc>
          <w:tcPr>
            <w:tcW w:w="2693" w:type="dxa"/>
            <w:tcBorders>
              <w:bottom w:val="single" w:sz="4" w:space="0" w:color="auto"/>
            </w:tcBorders>
            <w:shd w:val="clear" w:color="auto" w:fill="auto"/>
          </w:tcPr>
          <w:p>
            <w:pPr>
              <w:pStyle w:val="nTable"/>
              <w:spacing w:after="40"/>
              <w:rPr>
                <w:snapToGrid w:val="0"/>
              </w:rPr>
            </w:pPr>
            <w:r>
              <w:t>r. 1 and 2: 19 Jul 2013 (see r. 2(a));</w:t>
            </w:r>
            <w:r>
              <w:br/>
              <w:t xml:space="preserve">Regulations other than r. 1 and 2: 7 Aug 2013 (see r. 2(b) and </w:t>
            </w:r>
            <w:r>
              <w:rPr>
                <w:i/>
              </w:rPr>
              <w:t xml:space="preserve">Gazette </w:t>
            </w:r>
            <w:r>
              <w:t>6 Aug 2013 p. 3677)</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w:t>
      </w:r>
      <w:r>
        <w:tab/>
        <w:t>2(1)</w:t>
      </w:r>
    </w:p>
    <w:p>
      <w:pPr>
        <w:pStyle w:val="DefinedTerms"/>
      </w:pPr>
      <w:r>
        <w:t>applicant</w:t>
      </w:r>
      <w:r>
        <w:tab/>
        <w:t>5B(1)</w:t>
      </w:r>
    </w:p>
    <w:p>
      <w:pPr>
        <w:pStyle w:val="DefinedTerms"/>
      </w:pPr>
      <w:r>
        <w:t>Australian student</w:t>
      </w:r>
      <w:r>
        <w:tab/>
        <w:t>2(1)</w:t>
      </w:r>
    </w:p>
    <w:p>
      <w:pPr>
        <w:pStyle w:val="DefinedTerms"/>
      </w:pPr>
      <w:r>
        <w:t>award</w:t>
      </w:r>
      <w:r>
        <w:tab/>
        <w:t>2(1)</w:t>
      </w:r>
    </w:p>
    <w:p>
      <w:pPr>
        <w:pStyle w:val="DefinedTerms"/>
      </w:pPr>
      <w:r>
        <w:t>Corporations Act</w:t>
      </w:r>
      <w:r>
        <w:tab/>
        <w:t>2(1)</w:t>
      </w:r>
    </w:p>
    <w:p>
      <w:pPr>
        <w:pStyle w:val="DefinedTerms"/>
      </w:pPr>
      <w:r>
        <w:t>corresponding law</w:t>
      </w:r>
      <w:r>
        <w:tab/>
        <w:t>2(1)</w:t>
      </w:r>
    </w:p>
    <w:p>
      <w:pPr>
        <w:pStyle w:val="DefinedTerms"/>
      </w:pPr>
      <w:r>
        <w:t>course</w:t>
      </w:r>
      <w:r>
        <w:tab/>
        <w:t>2(1)</w:t>
      </w:r>
    </w:p>
    <w:p>
      <w:pPr>
        <w:pStyle w:val="DefinedTerms"/>
      </w:pPr>
      <w:r>
        <w:t>higher education advisory committee</w:t>
      </w:r>
      <w:r>
        <w:tab/>
        <w:t>2(1)</w:t>
      </w:r>
    </w:p>
    <w:p>
      <w:pPr>
        <w:pStyle w:val="DefinedTerms"/>
      </w:pPr>
      <w:r>
        <w:t>overseas student</w:t>
      </w:r>
      <w:r>
        <w:tab/>
        <w:t>2(1)</w:t>
      </w:r>
    </w:p>
    <w:p>
      <w:pPr>
        <w:pStyle w:val="DefinedTerms"/>
      </w:pPr>
      <w:r>
        <w:t>recognised course provider</w:t>
      </w:r>
      <w:r>
        <w:tab/>
        <w:t>2(1)</w:t>
      </w:r>
    </w:p>
    <w:p>
      <w:pPr>
        <w:pStyle w:val="DefinedTerms"/>
      </w:pPr>
      <w:r>
        <w:t>registered business name</w:t>
      </w:r>
      <w:r>
        <w:tab/>
        <w:t>2(1)</w:t>
      </w:r>
    </w:p>
    <w:p>
      <w:pPr>
        <w:pStyle w:val="DefinedTerms"/>
      </w:pPr>
      <w:r>
        <w:t>registered office</w:t>
      </w:r>
      <w:r>
        <w:tab/>
        <w:t>2(1)</w:t>
      </w:r>
    </w:p>
    <w:p>
      <w:pPr>
        <w:pStyle w:val="DefinedTerms"/>
      </w:pPr>
      <w:r>
        <w:t>related</w:t>
      </w:r>
      <w:r>
        <w:tab/>
        <w:t>2(1), 2(2)</w:t>
      </w:r>
    </w:p>
    <w:p>
      <w:pPr>
        <w:pStyle w:val="DefinedTerms"/>
      </w:pPr>
      <w:r>
        <w:t>unrelated</w:t>
      </w:r>
      <w:r>
        <w:tab/>
        <w:t>2(1), 2(2)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Higher Education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Higher Education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Higher Education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lvlText w:val="%1."/>
      <w:lvlJc w:val="left"/>
      <w:pPr>
        <w:tabs>
          <w:tab w:val="num" w:pos="1492"/>
        </w:tabs>
        <w:ind w:left="1492" w:hanging="360"/>
      </w:pPr>
    </w:lvl>
  </w:abstractNum>
  <w:abstractNum w:abstractNumId="1">
    <w:nsid w:val="FFFFFF7D"/>
    <w:multiLevelType w:val="singleLevel"/>
    <w:tmpl w:val="0B6472A2"/>
    <w:lvl w:ilvl="0">
      <w:start w:val="1"/>
      <w:numFmt w:val="decimal"/>
      <w:lvlText w:val="%1."/>
      <w:lvlJc w:val="left"/>
      <w:pPr>
        <w:tabs>
          <w:tab w:val="num" w:pos="1209"/>
        </w:tabs>
        <w:ind w:left="1209" w:hanging="360"/>
      </w:pPr>
    </w:lvl>
  </w:abstractNum>
  <w:abstractNum w:abstractNumId="2">
    <w:nsid w:val="FFFFFF7E"/>
    <w:multiLevelType w:val="singleLevel"/>
    <w:tmpl w:val="CB561892"/>
    <w:lvl w:ilvl="0">
      <w:start w:val="1"/>
      <w:numFmt w:val="decimal"/>
      <w:lvlText w:val="%1."/>
      <w:lvlJc w:val="left"/>
      <w:pPr>
        <w:tabs>
          <w:tab w:val="num" w:pos="926"/>
        </w:tabs>
        <w:ind w:left="926" w:hanging="360"/>
      </w:pPr>
    </w:lvl>
  </w:abstractNum>
  <w:abstractNum w:abstractNumId="3">
    <w:nsid w:val="FFFFFF7F"/>
    <w:multiLevelType w:val="singleLevel"/>
    <w:tmpl w:val="1988BCAC"/>
    <w:lvl w:ilvl="0">
      <w:start w:val="1"/>
      <w:numFmt w:val="decimal"/>
      <w:lvlText w:val="%1."/>
      <w:lvlJc w:val="left"/>
      <w:pPr>
        <w:tabs>
          <w:tab w:val="num" w:pos="643"/>
        </w:tabs>
        <w:ind w:left="643" w:hanging="360"/>
      </w:pPr>
    </w:lvl>
  </w:abstractNum>
  <w:abstractNum w:abstractNumId="4">
    <w:nsid w:val="FFFFFF80"/>
    <w:multiLevelType w:val="singleLevel"/>
    <w:tmpl w:val="8DA2F8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lvlText w:val="%1."/>
      <w:lvlJc w:val="left"/>
      <w:pPr>
        <w:tabs>
          <w:tab w:val="num" w:pos="360"/>
        </w:tabs>
        <w:ind w:left="360" w:hanging="360"/>
      </w:pPr>
    </w:lvl>
  </w:abstractNum>
  <w:abstractNum w:abstractNumId="9">
    <w:nsid w:val="FFFFFF89"/>
    <w:multiLevelType w:val="singleLevel"/>
    <w:tmpl w:val="8FDA0CD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1B670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323"/>
    <w:docVar w:name="WAFER_20140129145349" w:val="RemoveTocBookmarks,RemoveUnusedBookmarks,RemoveLanguageTags,UsedStyles,ResetPageSize,UpdateArrangement"/>
    <w:docVar w:name="WAFER_20140129145349_GUID" w:val="bd3486c9-c6a0-47a0-b61a-c4ddb6c39831"/>
    <w:docVar w:name="WAFER_20140129145356" w:val="RemoveTocBookmarks,RunningHeaders"/>
    <w:docVar w:name="WAFER_20140129145356_GUID" w:val="3797e9d9-7a13-42c7-b94d-6c4e48cc8b0f"/>
    <w:docVar w:name="WAFER_20150515142759" w:val="ResetPageSize,UpdateArrangement,UpdateNTable"/>
    <w:docVar w:name="WAFER_20150515142759_GUID" w:val="964bbbd4-8623-4db7-8ac5-44dc59395b85"/>
    <w:docVar w:name="WAFER_20151105150323" w:val="UpdateStyles,UsedStyles"/>
    <w:docVar w:name="WAFER_20151105150323_GUID" w:val="8aec15a5-4640-4c5a-a3c9-c4cc48c61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2539</Words>
  <Characters>12189</Characters>
  <Application>Microsoft Office Word</Application>
  <DocSecurity>0</DocSecurity>
  <Lines>435</Lines>
  <Paragraphs>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2005 - 01-d0-05</dc:title>
  <dc:subject/>
  <dc:creator/>
  <cp:keywords/>
  <dc:description/>
  <cp:lastModifiedBy>svcMRProcess</cp:lastModifiedBy>
  <cp:revision>4</cp:revision>
  <cp:lastPrinted>2012-10-23T03:58:00Z</cp:lastPrinted>
  <dcterms:created xsi:type="dcterms:W3CDTF">2019-01-16T07:50:00Z</dcterms:created>
  <dcterms:modified xsi:type="dcterms:W3CDTF">2019-01-16T07:50:00Z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20130807</vt:lpwstr>
  </property>
  <property fmtid="{D5CDD505-2E9C-101B-9397-08002B2CF9AE}" pid="4" name="OwlsUID">
    <vt:i4>37312</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AsAtDate">
    <vt:lpwstr>07 Aug 2013</vt:lpwstr>
  </property>
  <property fmtid="{D5CDD505-2E9C-101B-9397-08002B2CF9AE}" pid="9" name="Suffix">
    <vt:lpwstr>01-d0-05</vt:lpwstr>
  </property>
</Properties>
</file>