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Railways (Access)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Railways (Access)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_Toc424742133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_Toc424742134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_Toc424742135 \h </w:instrText>
      </w:r>
      <w:r>
        <w:fldChar w:fldCharType="separate"/>
      </w:r>
      <w:r>
        <w:t>1</w:t>
      </w:r>
      <w:r>
        <w:fldChar w:fldCharType="end"/>
      </w:r>
    </w:p>
    <w:p>
      <w:pPr>
        <w:pStyle w:val="TOC8"/>
        <w:rPr>
          <w:rFonts w:asciiTheme="minorHAnsi" w:eastAsiaTheme="minorEastAsia" w:hAnsiTheme="minorHAnsi" w:cstheme="minorBidi"/>
          <w:szCs w:val="22"/>
        </w:rPr>
      </w:pPr>
      <w:r>
        <w:t>4A.</w:t>
      </w:r>
      <w:r>
        <w:tab/>
        <w:t>Parties have option to negotiate agreements outside this Code</w:t>
      </w:r>
      <w:r>
        <w:tab/>
      </w:r>
      <w:r>
        <w:fldChar w:fldCharType="begin"/>
      </w:r>
      <w:r>
        <w:instrText xml:space="preserve"> PAGEREF _Toc424742136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laws not affected</w:t>
      </w:r>
      <w:r>
        <w:tab/>
      </w:r>
      <w:r>
        <w:fldChar w:fldCharType="begin"/>
      </w:r>
      <w:r>
        <w:instrText xml:space="preserve"> PAGEREF _Toc424742137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Routes to which this Code applies</w:t>
      </w:r>
      <w:r>
        <w:tab/>
      </w:r>
      <w:r>
        <w:fldChar w:fldCharType="begin"/>
      </w:r>
      <w:r>
        <w:instrText xml:space="preserve"> PAGEREF _Toc424742138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Publication of information</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_Toc424742140 \h </w:instrText>
      </w:r>
      <w:r>
        <w:fldChar w:fldCharType="separate"/>
      </w:r>
      <w:r>
        <w:t>7</w:t>
      </w:r>
      <w:r>
        <w:fldChar w:fldCharType="end"/>
      </w:r>
    </w:p>
    <w:p>
      <w:pPr>
        <w:pStyle w:val="TOC8"/>
        <w:rPr>
          <w:rFonts w:asciiTheme="minorHAnsi" w:eastAsiaTheme="minorEastAsia" w:hAnsiTheme="minorHAnsi" w:cstheme="minorBidi"/>
          <w:szCs w:val="22"/>
        </w:rPr>
      </w:pPr>
      <w:r>
        <w:t>7A.</w:t>
      </w:r>
      <w:r>
        <w:tab/>
        <w:t>Information to be published in hard copy format</w:t>
      </w:r>
      <w:r>
        <w:tab/>
      </w:r>
      <w:r>
        <w:fldChar w:fldCharType="begin"/>
      </w:r>
      <w:r>
        <w:instrText xml:space="preserve"> PAGEREF _Toc424742141 \h </w:instrText>
      </w:r>
      <w:r>
        <w:fldChar w:fldCharType="separate"/>
      </w:r>
      <w:r>
        <w:t>7</w:t>
      </w:r>
      <w:r>
        <w:fldChar w:fldCharType="end"/>
      </w:r>
    </w:p>
    <w:p>
      <w:pPr>
        <w:pStyle w:val="TOC8"/>
        <w:rPr>
          <w:rFonts w:asciiTheme="minorHAnsi" w:eastAsiaTheme="minorEastAsia" w:hAnsiTheme="minorHAnsi" w:cstheme="minorBidi"/>
          <w:szCs w:val="22"/>
        </w:rPr>
      </w:pPr>
      <w:r>
        <w:t>7B.</w:t>
      </w:r>
      <w:r>
        <w:tab/>
        <w:t>Regulator may grant exemption for information about freight carried</w:t>
      </w:r>
      <w:r>
        <w:tab/>
      </w:r>
      <w:r>
        <w:fldChar w:fldCharType="begin"/>
      </w:r>
      <w:r>
        <w:instrText xml:space="preserve"> PAGEREF _Toc424742142 \h </w:instrText>
      </w:r>
      <w:r>
        <w:fldChar w:fldCharType="separate"/>
      </w:r>
      <w:r>
        <w:t>8</w:t>
      </w:r>
      <w:r>
        <w:fldChar w:fldCharType="end"/>
      </w:r>
    </w:p>
    <w:p>
      <w:pPr>
        <w:pStyle w:val="TOC8"/>
        <w:rPr>
          <w:rFonts w:asciiTheme="minorHAnsi" w:eastAsiaTheme="minorEastAsia" w:hAnsiTheme="minorHAnsi" w:cstheme="minorBidi"/>
          <w:szCs w:val="22"/>
        </w:rPr>
      </w:pPr>
      <w:r>
        <w:t>7C.</w:t>
      </w:r>
      <w:r>
        <w:tab/>
        <w:t>Information to be kept up</w:t>
      </w:r>
      <w:r>
        <w:noBreakHyphen/>
        <w:t>to</w:t>
      </w:r>
      <w:r>
        <w:noBreakHyphen/>
        <w:t>date</w:t>
      </w:r>
      <w:r>
        <w:tab/>
      </w:r>
      <w:r>
        <w:fldChar w:fldCharType="begin"/>
      </w:r>
      <w:r>
        <w:instrText xml:space="preserve"> PAGEREF _Toc424742143 \h </w:instrText>
      </w:r>
      <w:r>
        <w:fldChar w:fldCharType="separate"/>
      </w:r>
      <w:r>
        <w:t>8</w:t>
      </w:r>
      <w:r>
        <w:fldChar w:fldCharType="end"/>
      </w:r>
    </w:p>
    <w:p>
      <w:pPr>
        <w:pStyle w:val="TOC8"/>
        <w:rPr>
          <w:rFonts w:asciiTheme="minorHAnsi" w:eastAsiaTheme="minorEastAsia" w:hAnsiTheme="minorHAnsi" w:cstheme="minorBidi"/>
          <w:szCs w:val="22"/>
        </w:rPr>
      </w:pPr>
      <w:r>
        <w:t>7D.</w:t>
      </w:r>
      <w:r>
        <w:tab/>
        <w:t>Particular provision for information as to gross tonnages and tonnages of freight</w:t>
      </w:r>
      <w:r>
        <w:tab/>
      </w:r>
      <w:r>
        <w:fldChar w:fldCharType="begin"/>
      </w:r>
      <w:r>
        <w:instrText xml:space="preserve"> PAGEREF _Toc424742144 \h </w:instrText>
      </w:r>
      <w:r>
        <w:fldChar w:fldCharType="separate"/>
      </w:r>
      <w:r>
        <w:t>8</w:t>
      </w:r>
      <w:r>
        <w:fldChar w:fldCharType="end"/>
      </w:r>
    </w:p>
    <w:p>
      <w:pPr>
        <w:pStyle w:val="TOC8"/>
        <w:rPr>
          <w:rFonts w:asciiTheme="minorHAnsi" w:eastAsiaTheme="minorEastAsia" w:hAnsiTheme="minorHAnsi" w:cstheme="minorBidi"/>
          <w:szCs w:val="22"/>
        </w:rPr>
      </w:pPr>
      <w:r>
        <w:t>7E.</w:t>
      </w:r>
      <w:r>
        <w:tab/>
        <w:t>Particular provision for information as to proposed improvements and capital works</w:t>
      </w:r>
      <w:r>
        <w:tab/>
      </w:r>
      <w:r>
        <w:fldChar w:fldCharType="begin"/>
      </w:r>
      <w:r>
        <w:instrText xml:space="preserve"> PAGEREF _Toc424742145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Proposals for access</w:t>
      </w:r>
    </w:p>
    <w:p>
      <w:pPr>
        <w:pStyle w:val="TOC8"/>
        <w:rPr>
          <w:rFonts w:asciiTheme="minorHAnsi" w:eastAsiaTheme="minorEastAsia" w:hAnsiTheme="minorHAnsi" w:cstheme="minorBidi"/>
          <w:szCs w:val="22"/>
        </w:rPr>
      </w:pPr>
      <w:r>
        <w:t>7</w:t>
      </w:r>
      <w:r>
        <w:rPr>
          <w:snapToGrid w:val="0"/>
        </w:rPr>
        <w:t>.</w:t>
      </w:r>
      <w:r>
        <w:rPr>
          <w:snapToGrid w:val="0"/>
        </w:rPr>
        <w:tab/>
        <w:t>Preliminary information</w:t>
      </w:r>
      <w:r>
        <w:tab/>
      </w:r>
      <w:r>
        <w:fldChar w:fldCharType="begin"/>
      </w:r>
      <w:r>
        <w:instrText xml:space="preserve"> PAGEREF _Toc424742147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Proposals for access</w:t>
      </w:r>
      <w:r>
        <w:tab/>
      </w:r>
      <w:r>
        <w:fldChar w:fldCharType="begin"/>
      </w:r>
      <w:r>
        <w:instrText xml:space="preserve"> PAGEREF _Toc424742148 \h </w:instrText>
      </w:r>
      <w:r>
        <w:fldChar w:fldCharType="separate"/>
      </w:r>
      <w:r>
        <w:t>10</w:t>
      </w:r>
      <w:r>
        <w:fldChar w:fldCharType="end"/>
      </w:r>
    </w:p>
    <w:p>
      <w:pPr>
        <w:pStyle w:val="TOC8"/>
        <w:rPr>
          <w:rFonts w:asciiTheme="minorHAnsi" w:eastAsiaTheme="minorEastAsia" w:hAnsiTheme="minorHAnsi" w:cstheme="minorBidi"/>
          <w:szCs w:val="22"/>
        </w:rPr>
      </w:pPr>
      <w:r>
        <w:t>9A.</w:t>
      </w:r>
      <w:r>
        <w:tab/>
        <w:t>Withdrawal of proposal</w:t>
      </w:r>
      <w:r>
        <w:tab/>
      </w:r>
      <w:r>
        <w:fldChar w:fldCharType="begin"/>
      </w:r>
      <w:r>
        <w:instrText xml:space="preserve"> PAGEREF _Toc424742149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Railway owner’s obligations on receipt of proposal</w:t>
      </w:r>
      <w:r>
        <w:tab/>
      </w:r>
      <w:r>
        <w:fldChar w:fldCharType="begin"/>
      </w:r>
      <w:r>
        <w:instrText xml:space="preserve"> PAGEREF _Toc424742150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Regulator’s approval required in certain cases</w:t>
      </w:r>
      <w:r>
        <w:tab/>
      </w:r>
      <w:r>
        <w:fldChar w:fldCharType="begin"/>
      </w:r>
      <w:r>
        <w:instrText xml:space="preserve"> PAGEREF _Toc424742151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limits applicable to section 10</w:t>
      </w:r>
      <w:r>
        <w:tab/>
      </w:r>
      <w:r>
        <w:fldChar w:fldCharType="begin"/>
      </w:r>
      <w:r>
        <w:instrText xml:space="preserve"> PAGEREF _Toc424742152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Record of proposals to be kept</w:t>
      </w:r>
      <w:r>
        <w:tab/>
      </w:r>
      <w:r>
        <w:fldChar w:fldCharType="begin"/>
      </w:r>
      <w:r>
        <w:instrText xml:space="preserve"> PAGEREF _Toc424742153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Negotiations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When duty to negotiate arises</w:t>
      </w:r>
    </w:p>
    <w:p>
      <w:pPr>
        <w:pStyle w:val="TOC8"/>
        <w:rPr>
          <w:rFonts w:asciiTheme="minorHAnsi" w:eastAsiaTheme="minorEastAsia" w:hAnsiTheme="minorHAnsi" w:cstheme="minorBidi"/>
          <w:szCs w:val="22"/>
        </w:rPr>
      </w:pPr>
      <w:r>
        <w:t>13</w:t>
      </w:r>
      <w:r>
        <w:rPr>
          <w:snapToGrid w:val="0"/>
        </w:rPr>
        <w:t>.</w:t>
      </w:r>
      <w:r>
        <w:rPr>
          <w:snapToGrid w:val="0"/>
        </w:rPr>
        <w:tab/>
        <w:t>Duty of railway owner to negotiate</w:t>
      </w:r>
      <w:r>
        <w:tab/>
      </w:r>
      <w:r>
        <w:fldChar w:fldCharType="begin"/>
      </w:r>
      <w:r>
        <w:instrText xml:space="preserve"> PAGEREF _Toc424742156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Proponent must show it has managerial and financial ability</w:t>
      </w:r>
      <w:r>
        <w:tab/>
      </w:r>
      <w:r>
        <w:fldChar w:fldCharType="begin"/>
      </w:r>
      <w:r>
        <w:instrText xml:space="preserve"> PAGEREF _Toc424742157 \h </w:instrText>
      </w:r>
      <w:r>
        <w:fldChar w:fldCharType="separate"/>
      </w:r>
      <w:r>
        <w:t>17</w:t>
      </w:r>
      <w:r>
        <w:fldChar w:fldCharType="end"/>
      </w:r>
    </w:p>
    <w:p>
      <w:pPr>
        <w:pStyle w:val="TOC8"/>
        <w:rPr>
          <w:rFonts w:asciiTheme="minorHAnsi" w:eastAsiaTheme="minorEastAsia" w:hAnsiTheme="minorHAnsi" w:cstheme="minorBidi"/>
          <w:szCs w:val="22"/>
        </w:rPr>
      </w:pPr>
      <w:r>
        <w:t>15.</w:t>
      </w:r>
      <w:r>
        <w:tab/>
        <w:t>Proponent must show that its operations are within the capacity of the route or expanded route</w:t>
      </w:r>
      <w:r>
        <w:tab/>
      </w:r>
      <w:r>
        <w:fldChar w:fldCharType="begin"/>
      </w:r>
      <w:r>
        <w:instrText xml:space="preserve"> PAGEREF _Toc424742158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Negotiations</w:t>
      </w:r>
    </w:p>
    <w:p>
      <w:pPr>
        <w:pStyle w:val="TOC8"/>
        <w:rPr>
          <w:rFonts w:asciiTheme="minorHAnsi" w:eastAsiaTheme="minorEastAsia" w:hAnsiTheme="minorHAnsi" w:cstheme="minorBidi"/>
          <w:szCs w:val="22"/>
        </w:rPr>
      </w:pPr>
      <w:r>
        <w:t>16</w:t>
      </w:r>
      <w:r>
        <w:rPr>
          <w:snapToGrid w:val="0"/>
        </w:rPr>
        <w:t>.</w:t>
      </w:r>
      <w:r>
        <w:rPr>
          <w:snapToGrid w:val="0"/>
        </w:rPr>
        <w:tab/>
        <w:t>General duties of railway owner in negotiations</w:t>
      </w:r>
      <w:r>
        <w:tab/>
      </w:r>
      <w:r>
        <w:fldChar w:fldCharType="begin"/>
      </w:r>
      <w:r>
        <w:instrText xml:space="preserve"> PAGEREF _Toc424742160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Matters that must be covered</w:t>
      </w:r>
      <w:r>
        <w:tab/>
      </w:r>
      <w:r>
        <w:fldChar w:fldCharType="begin"/>
      </w:r>
      <w:r>
        <w:instrText xml:space="preserve"> PAGEREF _Toc424742161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Sufficiency of information under sections 14 and 15</w:t>
      </w:r>
      <w:r>
        <w:tab/>
      </w:r>
      <w:r>
        <w:fldChar w:fldCharType="begin"/>
      </w:r>
      <w:r>
        <w:instrText xml:space="preserve"> PAGEREF _Toc424742162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of readiness to commence negotiations</w:t>
      </w:r>
      <w:r>
        <w:tab/>
      </w:r>
      <w:r>
        <w:fldChar w:fldCharType="begin"/>
      </w:r>
      <w:r>
        <w:instrText xml:space="preserve"> PAGEREF _Toc424742163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Negotiation period</w:t>
      </w:r>
      <w:r>
        <w:tab/>
      </w:r>
      <w:r>
        <w:fldChar w:fldCharType="begin"/>
      </w:r>
      <w:r>
        <w:instrText xml:space="preserve"> PAGEREF _Toc424742164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Regulator may give opinion on price sought for access</w:t>
      </w:r>
      <w:r>
        <w:tab/>
      </w:r>
      <w:r>
        <w:fldChar w:fldCharType="begin"/>
      </w:r>
      <w:r>
        <w:instrText xml:space="preserve"> PAGEREF _Toc424742165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Arbitration of disputes</w:t>
      </w:r>
    </w:p>
    <w:p>
      <w:pPr>
        <w:pStyle w:val="TOC8"/>
        <w:rPr>
          <w:rFonts w:asciiTheme="minorHAnsi" w:eastAsiaTheme="minorEastAsia" w:hAnsiTheme="minorHAnsi" w:cstheme="minorBidi"/>
          <w:szCs w:val="22"/>
        </w:rPr>
      </w:pPr>
      <w:r>
        <w:t>22</w:t>
      </w:r>
      <w:r>
        <w:rPr>
          <w:snapToGrid w:val="0"/>
        </w:rPr>
        <w:t>.</w:t>
      </w:r>
      <w:r>
        <w:rPr>
          <w:snapToGrid w:val="0"/>
        </w:rPr>
        <w:tab/>
        <w:t>Terms used</w:t>
      </w:r>
      <w:r>
        <w:tab/>
      </w:r>
      <w:r>
        <w:fldChar w:fldCharType="begin"/>
      </w:r>
      <w:r>
        <w:instrText xml:space="preserve"> PAGEREF _Toc424742167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Panels of persons who may be appointed as arbitrators</w:t>
      </w:r>
      <w:r>
        <w:tab/>
      </w:r>
      <w:r>
        <w:fldChar w:fldCharType="begin"/>
      </w:r>
      <w:r>
        <w:instrText xml:space="preserve"> PAGEREF _Toc424742168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When entity taken to be in dispute with railway owner</w:t>
      </w:r>
      <w:r>
        <w:tab/>
      </w:r>
      <w:r>
        <w:fldChar w:fldCharType="begin"/>
      </w:r>
      <w:r>
        <w:instrText xml:space="preserve"> PAGEREF _Toc424742169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Arbitration of disputes under </w:t>
      </w:r>
      <w:r>
        <w:rPr>
          <w:i/>
          <w:snapToGrid w:val="0"/>
        </w:rPr>
        <w:t>Commercial Arbitration Act 2012</w:t>
      </w:r>
      <w:r>
        <w:tab/>
      </w:r>
      <w:r>
        <w:fldChar w:fldCharType="begin"/>
      </w:r>
      <w:r>
        <w:instrText xml:space="preserve"> PAGEREF _Toc424742170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Appointment where issues are also relevant to arbitration under another access regime</w:t>
      </w:r>
      <w:r>
        <w:tab/>
      </w:r>
      <w:r>
        <w:fldChar w:fldCharType="begin"/>
      </w:r>
      <w:r>
        <w:instrText xml:space="preserve"> PAGEREF _Toc424742171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Preliminary conference to be held</w:t>
      </w:r>
      <w:r>
        <w:tab/>
      </w:r>
      <w:r>
        <w:fldChar w:fldCharType="begin"/>
      </w:r>
      <w:r>
        <w:instrText xml:space="preserve"> PAGEREF _Toc424742172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Matters to be taken into account by arbitrator</w:t>
      </w:r>
      <w:r>
        <w:tab/>
      </w:r>
      <w:r>
        <w:fldChar w:fldCharType="begin"/>
      </w:r>
      <w:r>
        <w:instrText xml:space="preserve"> PAGEREF _Toc424742173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Question may be referred to Regulator</w:t>
      </w:r>
      <w:r>
        <w:tab/>
      </w:r>
      <w:r>
        <w:fldChar w:fldCharType="begin"/>
      </w:r>
      <w:r>
        <w:instrText xml:space="preserve"> PAGEREF _Toc424742174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Determination of dispute</w:t>
      </w:r>
      <w:r>
        <w:tab/>
      </w:r>
      <w:r>
        <w:fldChar w:fldCharType="begin"/>
      </w:r>
      <w:r>
        <w:instrText xml:space="preserve"> PAGEREF _Toc424742175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Determinations where section 25(2)(b) applies</w:t>
      </w:r>
      <w:r>
        <w:tab/>
      </w:r>
      <w:r>
        <w:fldChar w:fldCharType="begin"/>
      </w:r>
      <w:r>
        <w:instrText xml:space="preserve"> PAGEREF _Toc424742176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Determinations in other cases</w:t>
      </w:r>
      <w:r>
        <w:tab/>
      </w:r>
      <w:r>
        <w:fldChar w:fldCharType="begin"/>
      </w:r>
      <w:r>
        <w:instrText xml:space="preserve"> PAGEREF _Toc424742177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Determination, effect in relation to railway owner and other party</w:t>
      </w:r>
      <w:r>
        <w:tab/>
      </w:r>
      <w:r>
        <w:fldChar w:fldCharType="begin"/>
      </w:r>
      <w:r>
        <w:instrText xml:space="preserve"> PAGEREF _Toc424742178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Termination of arbitration</w:t>
      </w:r>
      <w:r>
        <w:tab/>
      </w:r>
      <w:r>
        <w:fldChar w:fldCharType="begin"/>
      </w:r>
      <w:r>
        <w:instrText xml:space="preserve"> PAGEREF _Toc424742179 \h </w:instrText>
      </w:r>
      <w:r>
        <w:fldChar w:fldCharType="separate"/>
      </w:r>
      <w:r>
        <w:t>30</w:t>
      </w:r>
      <w:r>
        <w:fldChar w:fldCharType="end"/>
      </w:r>
    </w:p>
    <w:p>
      <w:pPr>
        <w:pStyle w:val="TOC8"/>
        <w:rPr>
          <w:rFonts w:asciiTheme="minorHAnsi" w:eastAsiaTheme="minorEastAsia" w:hAnsiTheme="minorHAnsi" w:cstheme="minorBidi"/>
          <w:szCs w:val="22"/>
        </w:rPr>
      </w:pPr>
      <w:r>
        <w:t>36A.</w:t>
      </w:r>
      <w:r>
        <w:tab/>
        <w:t xml:space="preserve">Transitional provision relating to the </w:t>
      </w:r>
      <w:r>
        <w:rPr>
          <w:i/>
        </w:rPr>
        <w:t>Railways (Access) Amendment Code 2012</w:t>
      </w:r>
      <w:r>
        <w:tab/>
      </w:r>
      <w:r>
        <w:fldChar w:fldCharType="begin"/>
      </w:r>
      <w:r>
        <w:instrText xml:space="preserve"> PAGEREF _Toc424742180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Access agreements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36</w:t>
      </w:r>
      <w:r>
        <w:rPr>
          <w:snapToGrid w:val="0"/>
        </w:rPr>
        <w:t>.</w:t>
      </w:r>
      <w:r>
        <w:rPr>
          <w:snapToGrid w:val="0"/>
        </w:rPr>
        <w:tab/>
        <w:t>General matters relating to access agreements</w:t>
      </w:r>
      <w:r>
        <w:tab/>
      </w:r>
      <w:r>
        <w:fldChar w:fldCharType="begin"/>
      </w:r>
      <w:r>
        <w:instrText xml:space="preserve"> PAGEREF _Toc424742183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Access agreements may differ</w:t>
      </w:r>
      <w:r>
        <w:tab/>
      </w:r>
      <w:r>
        <w:fldChar w:fldCharType="begin"/>
      </w:r>
      <w:r>
        <w:instrText xml:space="preserve"> PAGEREF _Toc424742184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Agreement not affected by later amendments to Code</w:t>
      </w:r>
      <w:r>
        <w:tab/>
      </w:r>
      <w:r>
        <w:fldChar w:fldCharType="begin"/>
      </w:r>
      <w:r>
        <w:instrText xml:space="preserve"> PAGEREF _Toc424742185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Notice and registration of access agreements and determinations</w:t>
      </w:r>
    </w:p>
    <w:p>
      <w:pPr>
        <w:pStyle w:val="TOC8"/>
        <w:rPr>
          <w:rFonts w:asciiTheme="minorHAnsi" w:eastAsiaTheme="minorEastAsia" w:hAnsiTheme="minorHAnsi" w:cstheme="minorBidi"/>
          <w:szCs w:val="22"/>
        </w:rPr>
      </w:pPr>
      <w:r>
        <w:t>39</w:t>
      </w:r>
      <w:r>
        <w:rPr>
          <w:snapToGrid w:val="0"/>
        </w:rPr>
        <w:t>.</w:t>
      </w:r>
      <w:r>
        <w:rPr>
          <w:snapToGrid w:val="0"/>
        </w:rPr>
        <w:tab/>
        <w:t>Registration of agreements and determinations</w:t>
      </w:r>
      <w:r>
        <w:tab/>
      </w:r>
      <w:r>
        <w:fldChar w:fldCharType="begin"/>
      </w:r>
      <w:r>
        <w:instrText xml:space="preserve"> PAGEREF _Toc424742187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Certain approval functions of Regulator</w:t>
      </w:r>
    </w:p>
    <w:p>
      <w:pPr>
        <w:pStyle w:val="TOC8"/>
        <w:rPr>
          <w:rFonts w:asciiTheme="minorHAnsi" w:eastAsiaTheme="minorEastAsia" w:hAnsiTheme="minorHAnsi" w:cstheme="minorBidi"/>
          <w:szCs w:val="22"/>
        </w:rPr>
      </w:pPr>
      <w:r>
        <w:t>40</w:t>
      </w:r>
      <w:r>
        <w:rPr>
          <w:snapToGrid w:val="0"/>
        </w:rPr>
        <w:t>.</w:t>
      </w:r>
      <w:r>
        <w:rPr>
          <w:snapToGrid w:val="0"/>
        </w:rPr>
        <w:tab/>
        <w:t>Interpretation</w:t>
      </w:r>
      <w:r>
        <w:tab/>
      </w:r>
      <w:r>
        <w:fldChar w:fldCharType="begin"/>
      </w:r>
      <w:r>
        <w:instrText xml:space="preserve"> PAGEREF _Toc424742189 \h </w:instrText>
      </w:r>
      <w:r>
        <w:fldChar w:fldCharType="separate"/>
      </w:r>
      <w:r>
        <w:t>35</w:t>
      </w:r>
      <w:r>
        <w:fldChar w:fldCharType="end"/>
      </w:r>
    </w:p>
    <w:p>
      <w:pPr>
        <w:pStyle w:val="TOC8"/>
        <w:rPr>
          <w:rFonts w:asciiTheme="minorHAnsi" w:eastAsiaTheme="minorEastAsia" w:hAnsiTheme="minorHAnsi" w:cstheme="minorBidi"/>
          <w:szCs w:val="22"/>
        </w:rPr>
      </w:pPr>
      <w:r>
        <w:t>41.</w:t>
      </w:r>
      <w:r>
        <w:tab/>
        <w:t>Matters to be considered by Regulator</w:t>
      </w:r>
      <w:r>
        <w:tab/>
      </w:r>
      <w:r>
        <w:fldChar w:fldCharType="begin"/>
      </w:r>
      <w:r>
        <w:instrText xml:space="preserve"> PAGEREF _Toc424742190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Public comment before approval given to segregation arrangements</w:t>
      </w:r>
      <w:r>
        <w:tab/>
      </w:r>
      <w:r>
        <w:fldChar w:fldCharType="begin"/>
      </w:r>
      <w:r>
        <w:instrText xml:space="preserve"> PAGEREF _Toc424742191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Railway owner to comply with approved train management guidelines</w:t>
      </w:r>
      <w:r>
        <w:tab/>
      </w:r>
      <w:r>
        <w:fldChar w:fldCharType="begin"/>
      </w:r>
      <w:r>
        <w:instrText xml:space="preserve"> PAGEREF _Toc424742192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Certain approved statements of policy to be observed</w:t>
      </w:r>
      <w:r>
        <w:tab/>
      </w:r>
      <w:r>
        <w:fldChar w:fldCharType="begin"/>
      </w:r>
      <w:r>
        <w:instrText xml:space="preserve"> PAGEREF _Toc424742193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Public comment on draft statements under sections 43 and 44</w:t>
      </w:r>
      <w:r>
        <w:tab/>
      </w:r>
      <w:r>
        <w:fldChar w:fldCharType="begin"/>
      </w:r>
      <w:r>
        <w:instrText xml:space="preserve"> PAGEREF _Toc424742194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Costing principles</w:t>
      </w:r>
      <w:r>
        <w:tab/>
      </w:r>
      <w:r>
        <w:fldChar w:fldCharType="begin"/>
      </w:r>
      <w:r>
        <w:instrText xml:space="preserve"> PAGEREF _Toc424742195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Over</w:t>
      </w:r>
      <w:r>
        <w:rPr>
          <w:snapToGrid w:val="0"/>
        </w:rPr>
        <w:noBreakHyphen/>
        <w:t>payment rules</w:t>
      </w:r>
      <w:r>
        <w:tab/>
      </w:r>
      <w:r>
        <w:fldChar w:fldCharType="begin"/>
      </w:r>
      <w:r>
        <w:instrText xml:space="preserve"> PAGEREF _Toc424742196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48</w:t>
      </w:r>
      <w:r>
        <w:rPr>
          <w:snapToGrid w:val="0"/>
        </w:rPr>
        <w:t>.</w:t>
      </w:r>
      <w:r>
        <w:rPr>
          <w:snapToGrid w:val="0"/>
        </w:rPr>
        <w:tab/>
        <w:t>Railway owner must supply certain information if requested</w:t>
      </w:r>
      <w:r>
        <w:tab/>
      </w:r>
      <w:r>
        <w:fldChar w:fldCharType="begin"/>
      </w:r>
      <w:r>
        <w:instrText xml:space="preserve"> PAGEREF _Toc424742198 \h </w:instrText>
      </w:r>
      <w:r>
        <w:fldChar w:fldCharType="separate"/>
      </w:r>
      <w:r>
        <w:t>42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Inquiries and reports by Regulator</w:t>
      </w:r>
      <w:r>
        <w:tab/>
      </w:r>
      <w:r>
        <w:fldChar w:fldCharType="begin"/>
      </w:r>
      <w:r>
        <w:instrText xml:space="preserve"> PAGEREF _Toc424742199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Dissemination of information by Regulator</w:t>
      </w:r>
      <w:r>
        <w:tab/>
      </w:r>
      <w:r>
        <w:fldChar w:fldCharType="begin"/>
      </w:r>
      <w:r>
        <w:instrText xml:space="preserve"> PAGEREF _Toc424742200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Enforcement</w:t>
      </w:r>
      <w:r>
        <w:tab/>
      </w:r>
      <w:r>
        <w:fldChar w:fldCharType="begin"/>
      </w:r>
      <w:r>
        <w:instrText xml:space="preserve"> PAGEREF _Toc424742201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Transitional provisions</w:t>
      </w:r>
      <w:r>
        <w:tab/>
      </w:r>
      <w:r>
        <w:fldChar w:fldCharType="begin"/>
      </w:r>
      <w:r>
        <w:instrText xml:space="preserve"> PAGEREF _Toc424742202 \h </w:instrText>
      </w:r>
      <w:r>
        <w:fldChar w:fldCharType="separate"/>
      </w:r>
      <w:r>
        <w:t>43</w:t>
      </w:r>
      <w:r>
        <w:fldChar w:fldCharType="end"/>
      </w:r>
    </w:p>
    <w:p>
      <w:pPr>
        <w:pStyle w:val="TOC8"/>
        <w:rPr>
          <w:rFonts w:asciiTheme="minorHAnsi" w:eastAsiaTheme="minorEastAsia" w:hAnsiTheme="minorHAnsi" w:cstheme="minorBidi"/>
          <w:szCs w:val="22"/>
        </w:rPr>
      </w:pPr>
      <w:r>
        <w:t>53.</w:t>
      </w:r>
      <w:r>
        <w:tab/>
        <w:t>Further transitional provision</w:t>
      </w:r>
      <w:r>
        <w:tab/>
      </w:r>
      <w:r>
        <w:fldChar w:fldCharType="begin"/>
      </w:r>
      <w:r>
        <w:instrText xml:space="preserve"> PAGEREF _Toc424742203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Routes to which this Code applies</w:t>
      </w:r>
    </w:p>
    <w:p>
      <w:pPr>
        <w:pStyle w:val="TOC2"/>
        <w:tabs>
          <w:tab w:val="right" w:leader="dot" w:pos="7077"/>
        </w:tabs>
        <w:rPr>
          <w:rFonts w:asciiTheme="minorHAnsi" w:eastAsiaTheme="minorEastAsia" w:hAnsiTheme="minorHAnsi" w:cstheme="minorBidi"/>
          <w:b w:val="0"/>
          <w:sz w:val="22"/>
          <w:szCs w:val="22"/>
        </w:rPr>
      </w:pPr>
      <w:r>
        <w:t>Schedule 2 — Information to be made available</w:t>
      </w:r>
    </w:p>
    <w:p>
      <w:pPr>
        <w:pStyle w:val="TOC8"/>
        <w:rPr>
          <w:rFonts w:asciiTheme="minorHAnsi" w:eastAsiaTheme="minorEastAsia" w:hAnsiTheme="minorHAnsi" w:cstheme="minorBidi"/>
          <w:szCs w:val="22"/>
        </w:rPr>
      </w:pPr>
      <w:r>
        <w:tab/>
        <w:t>Terms used</w:t>
      </w:r>
      <w:r>
        <w:tab/>
      </w:r>
      <w:r>
        <w:fldChar w:fldCharType="begin"/>
      </w:r>
      <w:r>
        <w:instrText xml:space="preserve"> PAGEREF _Toc424742206 \h </w:instrText>
      </w:r>
      <w:r>
        <w:fldChar w:fldCharType="separate"/>
      </w:r>
      <w:r>
        <w:t>49</w:t>
      </w:r>
      <w:r>
        <w:fldChar w:fldCharType="end"/>
      </w:r>
    </w:p>
    <w:p>
      <w:pPr>
        <w:pStyle w:val="TOC8"/>
        <w:rPr>
          <w:rFonts w:asciiTheme="minorHAnsi" w:eastAsiaTheme="minorEastAsia" w:hAnsiTheme="minorHAnsi" w:cstheme="minorBidi"/>
          <w:szCs w:val="22"/>
        </w:rPr>
      </w:pPr>
      <w:r>
        <w:tab/>
        <w:t>Information</w:t>
      </w:r>
      <w:r>
        <w:tab/>
      </w:r>
      <w:r>
        <w:fldChar w:fldCharType="begin"/>
      </w:r>
      <w:r>
        <w:instrText xml:space="preserve"> PAGEREF _Toc424742207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3 — Matters for which provision to be made in access agreement</w:t>
      </w:r>
    </w:p>
    <w:p>
      <w:pPr>
        <w:pStyle w:val="TOC2"/>
        <w:tabs>
          <w:tab w:val="right" w:leader="dot" w:pos="7077"/>
        </w:tabs>
        <w:rPr>
          <w:rFonts w:asciiTheme="minorHAnsi" w:eastAsiaTheme="minorEastAsia" w:hAnsiTheme="minorHAnsi" w:cstheme="minorBidi"/>
          <w:b w:val="0"/>
          <w:sz w:val="22"/>
          <w:szCs w:val="22"/>
        </w:rPr>
      </w:pPr>
      <w:r>
        <w:t>Schedule 4 — Provisions relating to prices to be paid for access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_Toc424742211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Railway infrastructure</w:t>
      </w:r>
      <w:r>
        <w:tab/>
      </w:r>
      <w:r>
        <w:fldChar w:fldCharType="begin"/>
      </w:r>
      <w:r>
        <w:instrText xml:space="preserve"> PAGEREF _Toc424742212 \h </w:instrText>
      </w:r>
      <w:r>
        <w:fldChar w:fldCharType="separate"/>
      </w:r>
      <w:r>
        <w:t>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Regulator to determine weighted average cost of capital</w:t>
      </w:r>
      <w:r>
        <w:tab/>
      </w:r>
      <w:r>
        <w:fldChar w:fldCharType="begin"/>
      </w:r>
      <w:r>
        <w:instrText xml:space="preserve"> PAGEREF _Toc424742213 \h </w:instrText>
      </w:r>
      <w:r>
        <w:fldChar w:fldCharType="separate"/>
      </w:r>
      <w:r>
        <w:t>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Nature of costs</w:t>
      </w:r>
      <w:r>
        <w:tab/>
      </w:r>
      <w:r>
        <w:fldChar w:fldCharType="begin"/>
      </w:r>
      <w:r>
        <w:instrText xml:space="preserve"> PAGEREF _Toc424742214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Provisions relating to access price negotiation</w:t>
      </w:r>
    </w:p>
    <w:p>
      <w:pPr>
        <w:pStyle w:val="TOC8"/>
        <w:rPr>
          <w:rFonts w:asciiTheme="minorHAnsi" w:eastAsiaTheme="minorEastAsia" w:hAnsiTheme="minorHAnsi" w:cstheme="minorBidi"/>
          <w:szCs w:val="22"/>
        </w:rPr>
      </w:pPr>
      <w:r>
        <w:t>5</w:t>
      </w:r>
      <w:r>
        <w:rPr>
          <w:snapToGrid w:val="0"/>
        </w:rPr>
        <w:t>.</w:t>
      </w:r>
      <w:r>
        <w:rPr>
          <w:snapToGrid w:val="0"/>
        </w:rPr>
        <w:tab/>
        <w:t>Term used: other entities</w:t>
      </w:r>
      <w:r>
        <w:tab/>
      </w:r>
      <w:r>
        <w:fldChar w:fldCharType="begin"/>
      </w:r>
      <w:r>
        <w:instrText xml:space="preserve"> PAGEREF _Toc424742216 \h </w:instrText>
      </w:r>
      <w:r>
        <w:fldChar w:fldCharType="separate"/>
      </w:r>
      <w:r>
        <w:t>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Prices to be negotiated</w:t>
      </w:r>
      <w:r>
        <w:tab/>
      </w:r>
      <w:r>
        <w:fldChar w:fldCharType="begin"/>
      </w:r>
      <w:r>
        <w:instrText xml:space="preserve"> PAGEREF _Toc424742217 \h </w:instrText>
      </w:r>
      <w:r>
        <w:fldChar w:fldCharType="separate"/>
      </w:r>
      <w:r>
        <w:t>57</w:t>
      </w:r>
      <w:r>
        <w:fldChar w:fldCharType="end"/>
      </w:r>
    </w:p>
    <w:p>
      <w:pPr>
        <w:pStyle w:val="TOC8"/>
        <w:rPr>
          <w:rFonts w:asciiTheme="minorHAnsi" w:eastAsiaTheme="minorEastAsia" w:hAnsiTheme="minorHAnsi" w:cstheme="minorBidi"/>
          <w:szCs w:val="22"/>
        </w:rPr>
      </w:pPr>
      <w:r>
        <w:t>7A.</w:t>
      </w:r>
      <w:r>
        <w:tab/>
        <w:t>Apportionment of costs of extension or expansion</w:t>
      </w:r>
      <w:r>
        <w:tab/>
      </w:r>
      <w:r>
        <w:fldChar w:fldCharType="begin"/>
      </w:r>
      <w:r>
        <w:instrText xml:space="preserve"> PAGEREF _Toc424742218 \h </w:instrText>
      </w:r>
      <w:r>
        <w:fldChar w:fldCharType="separate"/>
      </w:r>
      <w:r>
        <w:t>57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Floor price test</w:t>
      </w:r>
      <w:r>
        <w:tab/>
      </w:r>
      <w:r>
        <w:fldChar w:fldCharType="begin"/>
      </w:r>
      <w:r>
        <w:instrText xml:space="preserve"> PAGEREF _Toc424742219 \h </w:instrText>
      </w:r>
      <w:r>
        <w:fldChar w:fldCharType="separate"/>
      </w:r>
      <w:r>
        <w:t>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Ceiling price test</w:t>
      </w:r>
      <w:r>
        <w:tab/>
      </w:r>
      <w:r>
        <w:fldChar w:fldCharType="begin"/>
      </w:r>
      <w:r>
        <w:instrText xml:space="preserve"> PAGEREF _Toc424742220 \h </w:instrText>
      </w:r>
      <w:r>
        <w:fldChar w:fldCharType="separate"/>
      </w:r>
      <w:r>
        <w:t>59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costs by Regulator</w:t>
      </w:r>
      <w:r>
        <w:tab/>
      </w:r>
      <w:r>
        <w:fldChar w:fldCharType="begin"/>
      </w:r>
      <w:r>
        <w:instrText xml:space="preserve"> PAGEREF _Toc424742221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Determination of costs where clause 9 does not apply</w:t>
      </w:r>
      <w:r>
        <w:tab/>
      </w:r>
      <w:r>
        <w:fldChar w:fldCharType="begin"/>
      </w:r>
      <w:r>
        <w:instrText xml:space="preserve"> PAGEREF _Toc424742222 \h </w:instrText>
      </w:r>
      <w:r>
        <w:fldChar w:fldCharType="separate"/>
      </w:r>
      <w:r>
        <w:t>61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Public submissions may be sought</w:t>
      </w:r>
      <w:r>
        <w:tab/>
      </w:r>
      <w:r>
        <w:fldChar w:fldCharType="begin"/>
      </w:r>
      <w:r>
        <w:instrText xml:space="preserve"> PAGEREF _Toc424742223 \h </w:instrText>
      </w:r>
      <w:r>
        <w:fldChar w:fldCharType="separate"/>
      </w:r>
      <w:r>
        <w:t>62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Review and redetermination of costs</w:t>
      </w:r>
      <w:r>
        <w:tab/>
      </w:r>
      <w:r>
        <w:fldChar w:fldCharType="begin"/>
      </w:r>
      <w:r>
        <w:instrText xml:space="preserve"> PAGEREF _Toc424742224 \h </w:instrText>
      </w:r>
      <w:r>
        <w:fldChar w:fldCharType="separate"/>
      </w:r>
      <w:r>
        <w:t>62</w:t>
      </w:r>
      <w:r>
        <w:fldChar w:fldCharType="end"/>
      </w:r>
    </w:p>
    <w:p>
      <w:pPr>
        <w:pStyle w:val="TOC8"/>
        <w:rPr>
          <w:rFonts w:asciiTheme="minorHAnsi" w:eastAsiaTheme="minorEastAsia" w:hAnsiTheme="minorHAnsi" w:cstheme="minorBidi"/>
          <w:szCs w:val="22"/>
        </w:rPr>
      </w:pPr>
      <w:r>
        <w:t>13.</w:t>
      </w:r>
      <w:r>
        <w:tab/>
        <w:t>Guidelines to be applied</w:t>
      </w:r>
      <w:r>
        <w:tab/>
      </w:r>
      <w:r>
        <w:fldChar w:fldCharType="begin"/>
      </w:r>
      <w:r>
        <w:instrText xml:space="preserve"> PAGEREF _Toc424742225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5 — Relevant provisions of Competition Principles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_Toc424742228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Railways (Access) Act 1998</w:t>
      </w:r>
    </w:p>
    <w:p>
      <w:pPr>
        <w:pStyle w:val="NameofActReg"/>
      </w:pPr>
      <w:r>
        <w:t>Railways (Access) Code 2000</w:t>
      </w:r>
    </w:p>
    <w:p>
      <w:pPr>
        <w:pStyle w:val="Heading2"/>
        <w:pageBreakBefore w:val="0"/>
        <w:spacing w:before="240"/>
      </w:pPr>
      <w:bookmarkStart w:id="3" w:name="_Toc378668071"/>
      <w:bookmarkStart w:id="4" w:name="_Toc424741998"/>
      <w:bookmarkStart w:id="5" w:name="_Toc42474213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378668072"/>
      <w:bookmarkStart w:id="7" w:name="_Toc424742133"/>
      <w:r>
        <w:rPr>
          <w:rStyle w:val="CharSectno"/>
        </w:rPr>
        <w:t>1</w:t>
      </w:r>
      <w:r>
        <w:t>.</w:t>
      </w:r>
      <w:r>
        <w:tab/>
        <w:t>Citation</w:t>
      </w:r>
      <w:bookmarkEnd w:id="6"/>
      <w:bookmarkEnd w:id="7"/>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rPr>
          <w:snapToGrid w:val="0"/>
        </w:rPr>
      </w:pPr>
      <w:bookmarkStart w:id="8" w:name="_Toc378668073"/>
      <w:bookmarkStart w:id="9" w:name="_Toc42474213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10" w:name="_Toc378668074"/>
      <w:bookmarkStart w:id="11" w:name="_Toc424742135"/>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rPr>
          <w:snapToGrid w:val="0"/>
        </w:rPr>
      </w:pPr>
      <w:r>
        <w:tab/>
        <w:t>(i)</w:t>
      </w:r>
      <w:r>
        <w:tab/>
      </w:r>
      <w:r>
        <w:rPr>
          <w:snapToGrid w:val="0"/>
        </w:rPr>
        <w:t>control the composition of the governing body of the unit trust, joint venture or partnership;</w:t>
      </w:r>
    </w:p>
    <w:p>
      <w:pPr>
        <w:pStyle w:val="Defsubpara"/>
        <w:rPr>
          <w:snapToGrid w:val="0"/>
        </w:rPr>
      </w:pPr>
      <w:r>
        <w:tab/>
        <w:t>(ii)</w:t>
      </w:r>
      <w:r>
        <w:tab/>
      </w:r>
      <w:r>
        <w:rPr>
          <w:snapToGrid w:val="0"/>
        </w:rPr>
        <w:t>cast, or control the casting of, more than one 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rPr>
          <w:snapToGrid w:val="0"/>
        </w:rPr>
      </w:pPr>
      <w:r>
        <w:rPr>
          <w:snapToGrid w:val="0"/>
        </w:rPr>
        <w:tab/>
        <w:t>(i)</w:t>
      </w:r>
      <w:r>
        <w:rPr>
          <w:snapToGrid w:val="0"/>
        </w:rPr>
        <w:tab/>
        <w:t xml:space="preserve">the railway owner’s safety standards under section 9 of the </w:t>
      </w:r>
      <w:r>
        <w:rPr>
          <w:i/>
          <w:snapToGrid w:val="0"/>
        </w:rPr>
        <w:t>Rail Safety Act 1998</w:t>
      </w:r>
      <w:r>
        <w:rPr>
          <w:snapToGrid w:val="0"/>
        </w:rPr>
        <w:t>; or</w:t>
      </w:r>
    </w:p>
    <w:p>
      <w:pPr>
        <w:pStyle w:val="Defsubpara"/>
        <w:rPr>
          <w:snapToGrid w:val="0"/>
        </w:rPr>
      </w:pPr>
      <w:r>
        <w:rPr>
          <w:snapToGrid w:val="0"/>
        </w:rPr>
        <w:tab/>
        <w:t>(ii)</w:t>
      </w:r>
      <w:r>
        <w:rPr>
          <w:snapToGrid w:val="0"/>
        </w:rP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means a determination by an arbitrator under Division 3 of Part 3;</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 in Gazette 23 Jul 2004 p. 2989; 23 Jun 2009 p. 2409; amended by Act No. 77 of 2004 s. 11.]</w:t>
      </w:r>
    </w:p>
    <w:p>
      <w:pPr>
        <w:pStyle w:val="Heading5"/>
      </w:pPr>
      <w:bookmarkStart w:id="12" w:name="_Toc378668075"/>
      <w:bookmarkStart w:id="13" w:name="_Toc424742136"/>
      <w:r>
        <w:rPr>
          <w:rStyle w:val="CharSectno"/>
        </w:rPr>
        <w:t>4A</w:t>
      </w:r>
      <w:r>
        <w:t>.</w:t>
      </w:r>
      <w:r>
        <w:tab/>
        <w:t>Parties have option to negotiate agreements outside this Code</w:t>
      </w:r>
      <w:bookmarkEnd w:id="12"/>
      <w:bookmarkEnd w:id="13"/>
    </w:p>
    <w:p>
      <w:pPr>
        <w:pStyle w:val="Subsection"/>
        <w:keepNext/>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in Gazette 23 Jun 2009 p. 2410.]</w:t>
      </w:r>
    </w:p>
    <w:p>
      <w:pPr>
        <w:pStyle w:val="Heading5"/>
        <w:rPr>
          <w:snapToGrid w:val="0"/>
        </w:rPr>
      </w:pPr>
      <w:bookmarkStart w:id="14" w:name="_Toc378668076"/>
      <w:bookmarkStart w:id="15" w:name="_Toc424742137"/>
      <w:r>
        <w:rPr>
          <w:rStyle w:val="CharSectno"/>
        </w:rPr>
        <w:t>4</w:t>
      </w:r>
      <w:r>
        <w:rPr>
          <w:snapToGrid w:val="0"/>
        </w:rPr>
        <w:t>.</w:t>
      </w:r>
      <w:r>
        <w:rPr>
          <w:snapToGrid w:val="0"/>
        </w:rPr>
        <w:tab/>
        <w:t>Other laws not affected</w:t>
      </w:r>
      <w:bookmarkEnd w:id="14"/>
      <w:bookmarkEnd w:id="15"/>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16" w:name="_Toc378668077"/>
      <w:bookmarkStart w:id="17" w:name="_Toc424742138"/>
      <w:r>
        <w:rPr>
          <w:rStyle w:val="CharSectno"/>
        </w:rPr>
        <w:t>5</w:t>
      </w:r>
      <w:r>
        <w:rPr>
          <w:snapToGrid w:val="0"/>
        </w:rPr>
        <w:t>.</w:t>
      </w:r>
      <w:r>
        <w:rPr>
          <w:snapToGrid w:val="0"/>
        </w:rPr>
        <w:tab/>
        <w:t>Routes to which this Code applies</w:t>
      </w:r>
      <w:bookmarkEnd w:id="16"/>
      <w:bookmarkEnd w:id="17"/>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r>
        <w:tab/>
        <w:t>[Section 5 amended in Gazette 23 Jul 2004 p. 2989.]</w:t>
      </w:r>
    </w:p>
    <w:p>
      <w:pPr>
        <w:pStyle w:val="Heading2"/>
      </w:pPr>
      <w:bookmarkStart w:id="18" w:name="_Toc378668078"/>
      <w:bookmarkStart w:id="19" w:name="_Toc424742005"/>
      <w:bookmarkStart w:id="20" w:name="_Toc424742139"/>
      <w:r>
        <w:rPr>
          <w:rStyle w:val="CharPartNo"/>
        </w:rPr>
        <w:t>Part 2A</w:t>
      </w:r>
      <w:r>
        <w:rPr>
          <w:b w:val="0"/>
        </w:rPr>
        <w:t> </w:t>
      </w:r>
      <w:r>
        <w:t>—</w:t>
      </w:r>
      <w:r>
        <w:rPr>
          <w:b w:val="0"/>
        </w:rPr>
        <w:t> </w:t>
      </w:r>
      <w:r>
        <w:rPr>
          <w:rStyle w:val="CharPartText"/>
        </w:rPr>
        <w:t>Publication of information</w:t>
      </w:r>
      <w:bookmarkEnd w:id="18"/>
      <w:bookmarkEnd w:id="19"/>
      <w:bookmarkEnd w:id="20"/>
    </w:p>
    <w:p>
      <w:pPr>
        <w:pStyle w:val="Footnoteheading"/>
      </w:pPr>
      <w:r>
        <w:tab/>
        <w:t>[Heading inserted in Gazette 23 Jun 2009 p. 2411.]</w:t>
      </w:r>
    </w:p>
    <w:p>
      <w:pPr>
        <w:pStyle w:val="Heading5"/>
      </w:pPr>
      <w:bookmarkStart w:id="21" w:name="_Toc378668079"/>
      <w:bookmarkStart w:id="22" w:name="_Toc424742140"/>
      <w:r>
        <w:rPr>
          <w:rStyle w:val="CharSectno"/>
        </w:rPr>
        <w:t>6</w:t>
      </w:r>
      <w:r>
        <w:t>.</w:t>
      </w:r>
      <w:r>
        <w:tab/>
        <w:t>Terms used</w:t>
      </w:r>
      <w:bookmarkEnd w:id="21"/>
      <w:bookmarkEnd w:id="22"/>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 6 inserted in Gazette 23 Jun 2009 p. 2411.]</w:t>
      </w:r>
    </w:p>
    <w:p>
      <w:pPr>
        <w:pStyle w:val="Heading5"/>
      </w:pPr>
      <w:bookmarkStart w:id="23" w:name="_Toc378668080"/>
      <w:bookmarkStart w:id="24" w:name="_Toc424742141"/>
      <w:r>
        <w:rPr>
          <w:rStyle w:val="CharSectno"/>
        </w:rPr>
        <w:t>7A</w:t>
      </w:r>
      <w:r>
        <w:t>.</w:t>
      </w:r>
      <w:r>
        <w:tab/>
        <w:t>Information to be published in hard copy format</w:t>
      </w:r>
      <w:bookmarkEnd w:id="23"/>
      <w:bookmarkEnd w:id="24"/>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w:t>
      </w:r>
      <w:r>
        <w:rPr>
          <w:vertAlign w:val="superscript"/>
        </w:rPr>
        <w:t> 1</w:t>
      </w:r>
      <w:r>
        <w:t xml:space="preserve"> is not required to comply with this section, until the expiration of 6 months after that commencement.</w:t>
      </w:r>
    </w:p>
    <w:p>
      <w:pPr>
        <w:pStyle w:val="Footnotesection"/>
      </w:pPr>
      <w:r>
        <w:tab/>
        <w:t>[Section 7A inserted in Gazette 23 Jun 2009 p. 2411.]</w:t>
      </w:r>
    </w:p>
    <w:p>
      <w:pPr>
        <w:pStyle w:val="Heading5"/>
      </w:pPr>
      <w:bookmarkStart w:id="25" w:name="_Toc378668081"/>
      <w:bookmarkStart w:id="26" w:name="_Toc424742142"/>
      <w:r>
        <w:rPr>
          <w:rStyle w:val="CharSectno"/>
        </w:rPr>
        <w:t>7B</w:t>
      </w:r>
      <w:r>
        <w:t>.</w:t>
      </w:r>
      <w:r>
        <w:tab/>
        <w:t>Regulator may grant exemption for information about freight carried</w:t>
      </w:r>
      <w:bookmarkEnd w:id="25"/>
      <w:bookmarkEnd w:id="26"/>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 7B inserted in Gazette 23 Jun 2009 p. 2412.]</w:t>
      </w:r>
    </w:p>
    <w:p>
      <w:pPr>
        <w:pStyle w:val="Heading5"/>
      </w:pPr>
      <w:bookmarkStart w:id="27" w:name="_Toc378668082"/>
      <w:bookmarkStart w:id="28" w:name="_Toc424742143"/>
      <w:r>
        <w:rPr>
          <w:rStyle w:val="CharSectno"/>
        </w:rPr>
        <w:t>7C</w:t>
      </w:r>
      <w:r>
        <w:t>.</w:t>
      </w:r>
      <w:r>
        <w:tab/>
        <w:t>Information to be kept up</w:t>
      </w:r>
      <w:r>
        <w:noBreakHyphen/>
        <w:t>to</w:t>
      </w:r>
      <w:r>
        <w:noBreakHyphen/>
        <w:t>date</w:t>
      </w:r>
      <w:bookmarkEnd w:id="27"/>
      <w:bookmarkEnd w:id="28"/>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 and 7E.</w:t>
      </w:r>
    </w:p>
    <w:p>
      <w:pPr>
        <w:pStyle w:val="Footnotesection"/>
      </w:pPr>
      <w:r>
        <w:tab/>
        <w:t>[Section 7C inserted in Gazette 23 Jun 2009 p. 2412.]</w:t>
      </w:r>
    </w:p>
    <w:p>
      <w:pPr>
        <w:pStyle w:val="Heading5"/>
      </w:pPr>
      <w:bookmarkStart w:id="29" w:name="_Toc378668083"/>
      <w:bookmarkStart w:id="30" w:name="_Toc424742144"/>
      <w:r>
        <w:rPr>
          <w:rStyle w:val="CharSectno"/>
        </w:rPr>
        <w:t>7D</w:t>
      </w:r>
      <w:r>
        <w:t>.</w:t>
      </w:r>
      <w:r>
        <w:tab/>
        <w:t>Particular provision for information as to gross tonnages and tonnages of freight</w:t>
      </w:r>
      <w:bookmarkEnd w:id="29"/>
      <w:bookmarkEnd w:id="30"/>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4(l) and (m) as soon as is practicable after the last day of December in each year so as to show the information mentioned in those paragraphs for the 3 calendar years ending on that day.</w:t>
      </w:r>
    </w:p>
    <w:p>
      <w:pPr>
        <w:pStyle w:val="Footnotesection"/>
      </w:pPr>
      <w:r>
        <w:tab/>
        <w:t>[Section 7D inserted in Gazette 23 Jun 2009 p. 2412</w:t>
      </w:r>
      <w:r>
        <w:noBreakHyphen/>
        <w:t>13.]</w:t>
      </w:r>
    </w:p>
    <w:p>
      <w:pPr>
        <w:pStyle w:val="Heading5"/>
      </w:pPr>
      <w:bookmarkStart w:id="31" w:name="_Toc378668084"/>
      <w:bookmarkStart w:id="32" w:name="_Toc424742145"/>
      <w:r>
        <w:rPr>
          <w:rStyle w:val="CharSectno"/>
        </w:rPr>
        <w:t>7E</w:t>
      </w:r>
      <w:r>
        <w:t>.</w:t>
      </w:r>
      <w:r>
        <w:tab/>
        <w:t>Particular provision for information as to proposed improvements and capital works</w:t>
      </w:r>
      <w:bookmarkEnd w:id="31"/>
      <w:bookmarkEnd w:id="32"/>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 in Gazette 23 Jun 2009 p. 2413.]</w:t>
      </w:r>
    </w:p>
    <w:p>
      <w:pPr>
        <w:pStyle w:val="Heading2"/>
      </w:pPr>
      <w:bookmarkStart w:id="33" w:name="_Toc378668085"/>
      <w:bookmarkStart w:id="34" w:name="_Toc424742012"/>
      <w:bookmarkStart w:id="35" w:name="_Toc424742146"/>
      <w:r>
        <w:rPr>
          <w:rStyle w:val="CharPartNo"/>
        </w:rPr>
        <w:t>Part 2</w:t>
      </w:r>
      <w:r>
        <w:rPr>
          <w:rStyle w:val="CharDivNo"/>
        </w:rPr>
        <w:t xml:space="preserve"> </w:t>
      </w:r>
      <w:r>
        <w:t>—</w:t>
      </w:r>
      <w:r>
        <w:rPr>
          <w:rStyle w:val="CharDivText"/>
        </w:rPr>
        <w:t xml:space="preserve"> </w:t>
      </w:r>
      <w:r>
        <w:rPr>
          <w:rStyle w:val="CharPartText"/>
        </w:rPr>
        <w:t>Proposals for access</w:t>
      </w:r>
      <w:bookmarkEnd w:id="33"/>
      <w:bookmarkEnd w:id="34"/>
      <w:bookmarkEnd w:id="35"/>
      <w:r>
        <w:rPr>
          <w:rStyle w:val="CharPartText"/>
        </w:rPr>
        <w:t xml:space="preserve"> </w:t>
      </w:r>
    </w:p>
    <w:p>
      <w:pPr>
        <w:pStyle w:val="Heading5"/>
        <w:rPr>
          <w:snapToGrid w:val="0"/>
        </w:rPr>
      </w:pPr>
      <w:bookmarkStart w:id="36" w:name="_Toc378668086"/>
      <w:bookmarkStart w:id="37" w:name="_Toc424742147"/>
      <w:r>
        <w:rPr>
          <w:rStyle w:val="CharSectno"/>
        </w:rPr>
        <w:t>7</w:t>
      </w:r>
      <w:r>
        <w:rPr>
          <w:snapToGrid w:val="0"/>
        </w:rPr>
        <w:t>.</w:t>
      </w:r>
      <w:r>
        <w:rPr>
          <w:snapToGrid w:val="0"/>
        </w:rPr>
        <w:tab/>
        <w:t>Preliminary information</w:t>
      </w:r>
      <w:bookmarkEnd w:id="36"/>
      <w:bookmarkEnd w:id="37"/>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current 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Footnotesection"/>
      </w:pPr>
      <w:r>
        <w:tab/>
        <w:t>[Section 7 amended in Gazette 23 Jun 2009 p. 2413</w:t>
      </w:r>
      <w:r>
        <w:noBreakHyphen/>
        <w:t>14.]</w:t>
      </w:r>
    </w:p>
    <w:p>
      <w:pPr>
        <w:pStyle w:val="Heading5"/>
        <w:rPr>
          <w:snapToGrid w:val="0"/>
        </w:rPr>
      </w:pPr>
      <w:bookmarkStart w:id="38" w:name="_Toc378668087"/>
      <w:bookmarkStart w:id="39" w:name="_Toc424742148"/>
      <w:r>
        <w:rPr>
          <w:rStyle w:val="CharSectno"/>
        </w:rPr>
        <w:t>8</w:t>
      </w:r>
      <w:r>
        <w:rPr>
          <w:snapToGrid w:val="0"/>
        </w:rPr>
        <w:t>.</w:t>
      </w:r>
      <w:r>
        <w:rPr>
          <w:snapToGrid w:val="0"/>
        </w:rPr>
        <w:tab/>
        <w:t>Proposals for access</w:t>
      </w:r>
      <w:bookmarkEnd w:id="38"/>
      <w:bookmarkEnd w:id="39"/>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rPr>
          <w:snapToGrid w:val="0"/>
        </w:rPr>
      </w:pPr>
      <w:r>
        <w:rPr>
          <w:snapToGrid w:val="0"/>
        </w:rPr>
        <w:tab/>
        <w:t>(a)</w:t>
      </w:r>
      <w:r>
        <w:rPr>
          <w:snapToGrid w:val="0"/>
        </w:rPr>
        <w:tab/>
        <w:t>specify the route, including the railway infrastructure, to which access is sought; and</w:t>
      </w:r>
    </w:p>
    <w:p>
      <w:pPr>
        <w:pStyle w:val="Indenta"/>
        <w:rPr>
          <w:snapToGrid w:val="0"/>
        </w:rPr>
      </w:pPr>
      <w:r>
        <w:rPr>
          <w:snapToGrid w:val="0"/>
        </w:rPr>
        <w:tab/>
        <w:t>(b)</w:t>
      </w:r>
      <w:r>
        <w:rPr>
          <w:snapToGrid w:val="0"/>
        </w:rPr>
        <w:tab/>
        <w:t xml:space="preserve">indicate the times when the access is required; and </w:t>
      </w:r>
    </w:p>
    <w:p>
      <w:pPr>
        <w:pStyle w:val="Indenta"/>
      </w:pPr>
      <w:r>
        <w:rPr>
          <w:snapToGrid w:val="0"/>
        </w:rPr>
        <w:tab/>
        <w:t>(c)</w:t>
      </w:r>
      <w:r>
        <w:rPr>
          <w:snapToGrid w:val="0"/>
        </w:rPr>
        <w:tab/>
        <w:t xml:space="preserve">set out the nature of the proposed rail </w:t>
      </w:r>
      <w:r>
        <w:t>operations; and</w:t>
      </w:r>
    </w:p>
    <w:p>
      <w:pPr>
        <w:pStyle w:val="Indenta"/>
        <w:rPr>
          <w:snapToGrid w:val="0"/>
        </w:rPr>
      </w:pPr>
      <w:r>
        <w:tab/>
        <w:t>(d)</w:t>
      </w:r>
      <w:r>
        <w:tab/>
        <w:t>be accompanied by a notice in writing of the proponent’s intention to enter into negotiations for an access agreement under this Code.</w:t>
      </w:r>
    </w:p>
    <w:p>
      <w:pPr>
        <w:pStyle w:val="Subsection"/>
      </w:pPr>
      <w:r>
        <w:tab/>
        <w:t>(4A)</w:t>
      </w:r>
      <w:r>
        <w:tab/>
        <w:t>The proponent must, as soon as is practicable after a proposal is made, give to the Regulator a copy of the notice referred to in subsection (3)(d).</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 23 Jun 2009 p. 2414.]</w:t>
      </w:r>
    </w:p>
    <w:p>
      <w:pPr>
        <w:pStyle w:val="Heading5"/>
      </w:pPr>
      <w:bookmarkStart w:id="40" w:name="_Toc378668088"/>
      <w:bookmarkStart w:id="41" w:name="_Toc424742149"/>
      <w:r>
        <w:rPr>
          <w:rStyle w:val="CharSectno"/>
        </w:rPr>
        <w:t>9A</w:t>
      </w:r>
      <w:r>
        <w:t>.</w:t>
      </w:r>
      <w:r>
        <w:tab/>
        <w:t>Withdrawal of proposal</w:t>
      </w:r>
      <w:bookmarkEnd w:id="40"/>
      <w:bookmarkEnd w:id="41"/>
    </w:p>
    <w:p>
      <w:pPr>
        <w:pStyle w:val="Subsection"/>
      </w:pPr>
      <w:r>
        <w:tab/>
        <w:t>(1)</w:t>
      </w:r>
      <w:r>
        <w:tab/>
        <w:t>A proponent may at any time before an access agreement is made withdraw a proposal for access made to a railway owner, but only if there has not been a referral to arbitration under section 26.</w:t>
      </w:r>
    </w:p>
    <w:p>
      <w:pPr>
        <w:pStyle w:val="Subsection"/>
      </w:pPr>
      <w:r>
        <w:tab/>
        <w:t>(2)</w:t>
      </w:r>
      <w:r>
        <w:tab/>
        <w:t xml:space="preserve">Subsection (1) does not affect — </w:t>
      </w:r>
    </w:p>
    <w:p>
      <w:pPr>
        <w:pStyle w:val="Indenta"/>
      </w:pPr>
      <w:r>
        <w:tab/>
        <w:t>(a)</w:t>
      </w:r>
      <w:r>
        <w:tab/>
        <w:t>any right that a proponent has in law not to continue with a referral to arbitration; or</w:t>
      </w:r>
    </w:p>
    <w:p>
      <w:pPr>
        <w:pStyle w:val="Indenta"/>
      </w:pPr>
      <w:r>
        <w:tab/>
        <w:t>(b)</w:t>
      </w:r>
      <w:r>
        <w:tab/>
        <w:t>the operation of section 34(2).</w:t>
      </w:r>
    </w:p>
    <w:p>
      <w:pPr>
        <w:pStyle w:val="Subsection"/>
      </w:pPr>
      <w:r>
        <w:tab/>
        <w:t>(3)</w:t>
      </w:r>
      <w:r>
        <w:tab/>
        <w:t xml:space="preserve">A proposal is withdrawn by the proponent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Nothing in this section prevents a proponent that has withdrawn a proposal from — </w:t>
      </w:r>
    </w:p>
    <w:p>
      <w:pPr>
        <w:pStyle w:val="Indenta"/>
      </w:pPr>
      <w:r>
        <w:tab/>
        <w:t>(a)</w:t>
      </w:r>
      <w:r>
        <w:tab/>
        <w:t>re</w:t>
      </w:r>
      <w:r>
        <w:noBreakHyphen/>
        <w:t>making the same proposal; or</w:t>
      </w:r>
    </w:p>
    <w:p>
      <w:pPr>
        <w:pStyle w:val="Indenta"/>
      </w:pPr>
      <w:r>
        <w:tab/>
        <w:t>(b)</w:t>
      </w:r>
      <w:r>
        <w:tab/>
        <w:t>making a further proposal,</w:t>
      </w:r>
    </w:p>
    <w:p>
      <w:pPr>
        <w:pStyle w:val="Subsection"/>
      </w:pPr>
      <w:r>
        <w:tab/>
      </w:r>
      <w:r>
        <w:tab/>
        <w:t>under section 8, and if paragraph (a) applies the proponent and the railway owner</w:t>
      </w:r>
      <w:r>
        <w:rPr>
          <w:i/>
          <w:iCs/>
        </w:rPr>
        <w:t xml:space="preserve"> </w:t>
      </w:r>
      <w:r>
        <w:t>must again take all steps and observe all requirements under this Code in respect of the re</w:t>
      </w:r>
      <w:r>
        <w:noBreakHyphen/>
        <w:t>made proposal.</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 in Gazette 23 Jun 2009 p. 2415</w:t>
      </w:r>
      <w:r>
        <w:noBreakHyphen/>
        <w:t>16.]</w:t>
      </w:r>
    </w:p>
    <w:p>
      <w:pPr>
        <w:pStyle w:val="Heading5"/>
        <w:pageBreakBefore/>
        <w:rPr>
          <w:snapToGrid w:val="0"/>
        </w:rPr>
      </w:pPr>
      <w:bookmarkStart w:id="42" w:name="_Toc378668089"/>
      <w:bookmarkStart w:id="43" w:name="_Toc424742150"/>
      <w:r>
        <w:rPr>
          <w:rStyle w:val="CharSectno"/>
        </w:rPr>
        <w:t>9</w:t>
      </w:r>
      <w:r>
        <w:rPr>
          <w:snapToGrid w:val="0"/>
        </w:rPr>
        <w:t>.</w:t>
      </w:r>
      <w:r>
        <w:rPr>
          <w:snapToGrid w:val="0"/>
        </w:rPr>
        <w:tab/>
        <w:t>Railway owner’s obligations on receipt of proposal</w:t>
      </w:r>
      <w:bookmarkEnd w:id="42"/>
      <w:bookmarkEnd w:id="43"/>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 having regard to the requirements of Schedule 4 clause 7A.</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r>
        <w:tab/>
        <w:t>[Section 9 amended in Gazette 23 Jul 2004 p. 2990</w:t>
      </w:r>
      <w:r>
        <w:noBreakHyphen/>
        <w:t>1; 23 Jun 2009 p. 2416.]</w:t>
      </w:r>
    </w:p>
    <w:p>
      <w:pPr>
        <w:pStyle w:val="Heading5"/>
        <w:rPr>
          <w:snapToGrid w:val="0"/>
        </w:rPr>
      </w:pPr>
      <w:bookmarkStart w:id="44" w:name="_Toc378668090"/>
      <w:bookmarkStart w:id="45" w:name="_Toc424742151"/>
      <w:r>
        <w:rPr>
          <w:rStyle w:val="CharSectno"/>
        </w:rPr>
        <w:t>10</w:t>
      </w:r>
      <w:r>
        <w:rPr>
          <w:snapToGrid w:val="0"/>
        </w:rPr>
        <w:t>.</w:t>
      </w:r>
      <w:r>
        <w:rPr>
          <w:snapToGrid w:val="0"/>
        </w:rPr>
        <w:tab/>
        <w:t>Regulator’s approval required in certain cases</w:t>
      </w:r>
      <w:bookmarkEnd w:id="44"/>
      <w:bookmarkEnd w:id="4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keepNext/>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spacing w:before="180"/>
        <w:rPr>
          <w:snapToGrid w:val="0"/>
        </w:rPr>
      </w:pPr>
      <w:bookmarkStart w:id="46" w:name="_Toc378668091"/>
      <w:bookmarkStart w:id="47" w:name="_Toc424742152"/>
      <w:r>
        <w:rPr>
          <w:rStyle w:val="CharSectno"/>
        </w:rPr>
        <w:t>11</w:t>
      </w:r>
      <w:r>
        <w:rPr>
          <w:snapToGrid w:val="0"/>
        </w:rPr>
        <w:t>.</w:t>
      </w:r>
      <w:r>
        <w:rPr>
          <w:snapToGrid w:val="0"/>
        </w:rPr>
        <w:tab/>
        <w:t>Time limits applicable to section 10</w:t>
      </w:r>
      <w:bookmarkEnd w:id="46"/>
      <w:bookmarkEnd w:id="47"/>
    </w:p>
    <w:p>
      <w:pPr>
        <w:pStyle w:val="Subsection"/>
        <w:spacing w:before="120"/>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spacing w:before="120"/>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spacing w:before="180"/>
        <w:rPr>
          <w:snapToGrid w:val="0"/>
        </w:rPr>
      </w:pPr>
      <w:bookmarkStart w:id="48" w:name="_Toc378668092"/>
      <w:bookmarkStart w:id="49" w:name="_Toc424742153"/>
      <w:r>
        <w:rPr>
          <w:rStyle w:val="CharSectno"/>
        </w:rPr>
        <w:t>12</w:t>
      </w:r>
      <w:r>
        <w:rPr>
          <w:snapToGrid w:val="0"/>
        </w:rPr>
        <w:t>.</w:t>
      </w:r>
      <w:r>
        <w:rPr>
          <w:snapToGrid w:val="0"/>
        </w:rPr>
        <w:tab/>
        <w:t>Record of proposals to be kept</w:t>
      </w:r>
      <w:bookmarkEnd w:id="48"/>
      <w:bookmarkEnd w:id="49"/>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Heading2"/>
      </w:pPr>
      <w:bookmarkStart w:id="50" w:name="_Toc378668093"/>
      <w:bookmarkStart w:id="51" w:name="_Toc424742020"/>
      <w:bookmarkStart w:id="52" w:name="_Toc424742154"/>
      <w:r>
        <w:rPr>
          <w:rStyle w:val="CharPartNo"/>
        </w:rPr>
        <w:t>Part 3</w:t>
      </w:r>
      <w:r>
        <w:t xml:space="preserve"> — </w:t>
      </w:r>
      <w:r>
        <w:rPr>
          <w:rStyle w:val="CharPartText"/>
        </w:rPr>
        <w:t>Negotiations</w:t>
      </w:r>
      <w:bookmarkEnd w:id="50"/>
      <w:bookmarkEnd w:id="51"/>
      <w:bookmarkEnd w:id="52"/>
      <w:r>
        <w:rPr>
          <w:rStyle w:val="CharPartText"/>
        </w:rPr>
        <w:t xml:space="preserve"> </w:t>
      </w:r>
    </w:p>
    <w:p>
      <w:pPr>
        <w:pStyle w:val="Heading3"/>
      </w:pPr>
      <w:bookmarkStart w:id="53" w:name="_Toc378668094"/>
      <w:bookmarkStart w:id="54" w:name="_Toc424742021"/>
      <w:bookmarkStart w:id="55" w:name="_Toc424742155"/>
      <w:r>
        <w:rPr>
          <w:rStyle w:val="CharDivNo"/>
        </w:rPr>
        <w:t>Division 1</w:t>
      </w:r>
      <w:r>
        <w:rPr>
          <w:snapToGrid w:val="0"/>
        </w:rPr>
        <w:t xml:space="preserve"> — </w:t>
      </w:r>
      <w:r>
        <w:rPr>
          <w:rStyle w:val="CharDivText"/>
        </w:rPr>
        <w:t>When duty to negotiate arises</w:t>
      </w:r>
      <w:bookmarkEnd w:id="53"/>
      <w:bookmarkEnd w:id="54"/>
      <w:bookmarkEnd w:id="55"/>
      <w:r>
        <w:rPr>
          <w:rStyle w:val="CharDivText"/>
        </w:rPr>
        <w:t xml:space="preserve"> </w:t>
      </w:r>
    </w:p>
    <w:p>
      <w:pPr>
        <w:pStyle w:val="Heading5"/>
        <w:rPr>
          <w:snapToGrid w:val="0"/>
        </w:rPr>
      </w:pPr>
      <w:bookmarkStart w:id="56" w:name="_Toc378668095"/>
      <w:bookmarkStart w:id="57" w:name="_Toc424742156"/>
      <w:r>
        <w:rPr>
          <w:rStyle w:val="CharSectno"/>
        </w:rPr>
        <w:t>13</w:t>
      </w:r>
      <w:r>
        <w:rPr>
          <w:snapToGrid w:val="0"/>
        </w:rPr>
        <w:t>.</w:t>
      </w:r>
      <w:r>
        <w:rPr>
          <w:snapToGrid w:val="0"/>
        </w:rPr>
        <w:tab/>
        <w:t>Duty of railway owner to negotiate</w:t>
      </w:r>
      <w:bookmarkEnd w:id="56"/>
      <w:bookmarkEnd w:id="57"/>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58" w:name="_Toc378668096"/>
      <w:bookmarkStart w:id="59" w:name="_Toc424742157"/>
      <w:r>
        <w:rPr>
          <w:rStyle w:val="CharSectno"/>
        </w:rPr>
        <w:t>14</w:t>
      </w:r>
      <w:r>
        <w:rPr>
          <w:snapToGrid w:val="0"/>
        </w:rPr>
        <w:t>.</w:t>
      </w:r>
      <w:r>
        <w:rPr>
          <w:snapToGrid w:val="0"/>
        </w:rPr>
        <w:tab/>
        <w:t>Proponent must show it has managerial and financial ability</w:t>
      </w:r>
      <w:bookmarkEnd w:id="58"/>
      <w:bookmarkEnd w:id="59"/>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keepNext/>
        <w:keepLines/>
        <w:rPr>
          <w:snapToGrid w:val="0"/>
        </w:rPr>
      </w:pPr>
      <w:r>
        <w:rPr>
          <w:snapToGrid w:val="0"/>
        </w:rPr>
        <w:tab/>
        <w:t>(2)</w:t>
      </w:r>
      <w:r>
        <w:rPr>
          <w:snapToGrid w:val="0"/>
        </w:rPr>
        <w:tab/>
        <w:t>In subsection (1)(b) — </w:t>
      </w:r>
    </w:p>
    <w:p>
      <w:pPr>
        <w:pStyle w:val="Defstart"/>
        <w:keepNext/>
        <w:keepLines/>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r>
        <w:tab/>
        <w:t>[Section 14 amended in Gazette 23 Jul 2004 p. 2991.]</w:t>
      </w:r>
    </w:p>
    <w:p>
      <w:pPr>
        <w:pStyle w:val="Heading5"/>
      </w:pPr>
      <w:bookmarkStart w:id="60" w:name="_Toc378668097"/>
      <w:bookmarkStart w:id="61" w:name="_Toc424742158"/>
      <w:r>
        <w:rPr>
          <w:rStyle w:val="CharSectno"/>
        </w:rPr>
        <w:t>15</w:t>
      </w:r>
      <w:r>
        <w:t>.</w:t>
      </w:r>
      <w:r>
        <w:tab/>
        <w:t>Proponent must show that its operations are within the capacity of the route or expanded route</w:t>
      </w:r>
      <w:bookmarkEnd w:id="60"/>
      <w:bookmarkEnd w:id="61"/>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keepNext/>
      </w:pPr>
      <w:r>
        <w:tab/>
        <w:t>(b)</w:t>
      </w:r>
      <w:r>
        <w:tab/>
        <w:t>will be consistent with the carrying on of safe and reliable rail operations on the route.</w:t>
      </w:r>
    </w:p>
    <w:p>
      <w:pPr>
        <w:pStyle w:val="Footnotesection"/>
      </w:pPr>
      <w:r>
        <w:tab/>
        <w:t>[Section 15 inserted in Gazette 23 Jul 2004 p. 2991</w:t>
      </w:r>
      <w:r>
        <w:noBreakHyphen/>
        <w:t>2.]</w:t>
      </w:r>
    </w:p>
    <w:p>
      <w:pPr>
        <w:pStyle w:val="Heading3"/>
      </w:pPr>
      <w:bookmarkStart w:id="62" w:name="_Toc378668098"/>
      <w:bookmarkStart w:id="63" w:name="_Toc424742025"/>
      <w:bookmarkStart w:id="64" w:name="_Toc424742159"/>
      <w:r>
        <w:rPr>
          <w:rStyle w:val="CharDivNo"/>
        </w:rPr>
        <w:t>Division 2</w:t>
      </w:r>
      <w:r>
        <w:rPr>
          <w:snapToGrid w:val="0"/>
        </w:rPr>
        <w:t xml:space="preserve"> — </w:t>
      </w:r>
      <w:r>
        <w:rPr>
          <w:rStyle w:val="CharDivText"/>
        </w:rPr>
        <w:t>Negotiations</w:t>
      </w:r>
      <w:bookmarkEnd w:id="62"/>
      <w:bookmarkEnd w:id="63"/>
      <w:bookmarkEnd w:id="64"/>
      <w:r>
        <w:rPr>
          <w:rStyle w:val="CharDivText"/>
        </w:rPr>
        <w:t xml:space="preserve"> </w:t>
      </w:r>
    </w:p>
    <w:p>
      <w:pPr>
        <w:pStyle w:val="Heading5"/>
        <w:rPr>
          <w:snapToGrid w:val="0"/>
        </w:rPr>
      </w:pPr>
      <w:bookmarkStart w:id="65" w:name="_Toc378668099"/>
      <w:bookmarkStart w:id="66" w:name="_Toc424742160"/>
      <w:r>
        <w:rPr>
          <w:rStyle w:val="CharSectno"/>
        </w:rPr>
        <w:t>16</w:t>
      </w:r>
      <w:r>
        <w:rPr>
          <w:snapToGrid w:val="0"/>
        </w:rPr>
        <w:t>.</w:t>
      </w:r>
      <w:r>
        <w:rPr>
          <w:snapToGrid w:val="0"/>
        </w:rPr>
        <w:tab/>
        <w:t>General duties of railway owner in negotiations</w:t>
      </w:r>
      <w:bookmarkEnd w:id="65"/>
      <w:bookmarkEnd w:id="66"/>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keepNext w:val="0"/>
        <w:keepLines w:val="0"/>
        <w:rPr>
          <w:snapToGrid w:val="0"/>
        </w:rPr>
      </w:pPr>
      <w:bookmarkStart w:id="67" w:name="_Toc378668100"/>
      <w:bookmarkStart w:id="68" w:name="_Toc424742161"/>
      <w:r>
        <w:rPr>
          <w:rStyle w:val="CharSectno"/>
        </w:rPr>
        <w:t>17</w:t>
      </w:r>
      <w:r>
        <w:rPr>
          <w:snapToGrid w:val="0"/>
        </w:rPr>
        <w:t>.</w:t>
      </w:r>
      <w:r>
        <w:rPr>
          <w:snapToGrid w:val="0"/>
        </w:rPr>
        <w:tab/>
        <w:t>Matters that must be covered</w:t>
      </w:r>
      <w:bookmarkEnd w:id="67"/>
      <w:bookmarkEnd w:id="68"/>
      <w:r>
        <w:rPr>
          <w:snapToGrid w:val="0"/>
        </w:rPr>
        <w:t xml:space="preserve"> </w:t>
      </w:r>
    </w:p>
    <w:p>
      <w:pPr>
        <w:pStyle w:val="Subsection"/>
        <w:rPr>
          <w:snapToGrid w:val="0"/>
        </w:rPr>
      </w:pPr>
      <w:r>
        <w:rPr>
          <w:snapToGrid w:val="0"/>
        </w:rPr>
        <w:tab/>
        <w:t>(1)</w:t>
      </w:r>
      <w:r>
        <w:rPr>
          <w:snapToGrid w:val="0"/>
        </w:rPr>
        <w:tab/>
        <w:t>In negotiating an access agreement the railway owner and the proponent must — </w:t>
      </w:r>
    </w:p>
    <w:p>
      <w:pPr>
        <w:pStyle w:val="Indenta"/>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69" w:name="_Toc378668101"/>
      <w:bookmarkStart w:id="70" w:name="_Toc424742162"/>
      <w:r>
        <w:rPr>
          <w:rStyle w:val="CharSectno"/>
        </w:rPr>
        <w:t>18</w:t>
      </w:r>
      <w:r>
        <w:rPr>
          <w:snapToGrid w:val="0"/>
        </w:rPr>
        <w:t>.</w:t>
      </w:r>
      <w:r>
        <w:rPr>
          <w:snapToGrid w:val="0"/>
        </w:rPr>
        <w:tab/>
        <w:t>Sufficiency of information under sections 14 and 15</w:t>
      </w:r>
      <w:bookmarkEnd w:id="69"/>
      <w:bookmarkEnd w:id="70"/>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71" w:name="_Toc378668102"/>
      <w:bookmarkStart w:id="72" w:name="_Toc424742163"/>
      <w:r>
        <w:rPr>
          <w:rStyle w:val="CharSectno"/>
        </w:rPr>
        <w:t>19</w:t>
      </w:r>
      <w:r>
        <w:rPr>
          <w:snapToGrid w:val="0"/>
        </w:rPr>
        <w:t>.</w:t>
      </w:r>
      <w:r>
        <w:rPr>
          <w:snapToGrid w:val="0"/>
        </w:rPr>
        <w:tab/>
        <w:t>Notice of readiness to commence negotiations</w:t>
      </w:r>
      <w:bookmarkEnd w:id="71"/>
      <w:bookmarkEnd w:id="72"/>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73" w:name="_Toc378668103"/>
      <w:bookmarkStart w:id="74" w:name="_Toc424742164"/>
      <w:r>
        <w:rPr>
          <w:rStyle w:val="CharSectno"/>
        </w:rPr>
        <w:t>20</w:t>
      </w:r>
      <w:r>
        <w:rPr>
          <w:snapToGrid w:val="0"/>
        </w:rPr>
        <w:t>.</w:t>
      </w:r>
      <w:r>
        <w:rPr>
          <w:snapToGrid w:val="0"/>
        </w:rPr>
        <w:tab/>
        <w:t>Negotiation period</w:t>
      </w:r>
      <w:bookmarkEnd w:id="73"/>
      <w:bookmarkEnd w:id="74"/>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75" w:name="_Toc378668104"/>
      <w:bookmarkStart w:id="76" w:name="_Toc424742165"/>
      <w:r>
        <w:rPr>
          <w:rStyle w:val="CharSectno"/>
        </w:rPr>
        <w:t>21</w:t>
      </w:r>
      <w:r>
        <w:rPr>
          <w:snapToGrid w:val="0"/>
        </w:rPr>
        <w:t>.</w:t>
      </w:r>
      <w:r>
        <w:rPr>
          <w:snapToGrid w:val="0"/>
        </w:rPr>
        <w:tab/>
        <w:t>Regulator may give opinion on price sought for access</w:t>
      </w:r>
      <w:bookmarkEnd w:id="75"/>
      <w:bookmarkEnd w:id="76"/>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77" w:name="_Toc378668105"/>
      <w:bookmarkStart w:id="78" w:name="_Toc424742032"/>
      <w:bookmarkStart w:id="79" w:name="_Toc424742166"/>
      <w:r>
        <w:rPr>
          <w:rStyle w:val="CharDivNo"/>
        </w:rPr>
        <w:t>Division 3</w:t>
      </w:r>
      <w:r>
        <w:rPr>
          <w:snapToGrid w:val="0"/>
        </w:rPr>
        <w:t xml:space="preserve"> — </w:t>
      </w:r>
      <w:r>
        <w:rPr>
          <w:rStyle w:val="CharDivText"/>
        </w:rPr>
        <w:t>Arbitration of disputes</w:t>
      </w:r>
      <w:bookmarkEnd w:id="77"/>
      <w:bookmarkEnd w:id="78"/>
      <w:bookmarkEnd w:id="79"/>
    </w:p>
    <w:p>
      <w:pPr>
        <w:pStyle w:val="Heading5"/>
        <w:rPr>
          <w:snapToGrid w:val="0"/>
        </w:rPr>
      </w:pPr>
      <w:bookmarkStart w:id="80" w:name="_Toc378668106"/>
      <w:bookmarkStart w:id="81" w:name="_Toc424742167"/>
      <w:r>
        <w:rPr>
          <w:rStyle w:val="CharSectno"/>
        </w:rPr>
        <w:t>22</w:t>
      </w:r>
      <w:r>
        <w:rPr>
          <w:snapToGrid w:val="0"/>
        </w:rPr>
        <w:t>.</w:t>
      </w:r>
      <w:r>
        <w:rPr>
          <w:snapToGrid w:val="0"/>
        </w:rPr>
        <w:tab/>
        <w:t>Terms used</w:t>
      </w:r>
      <w:bookmarkEnd w:id="80"/>
      <w:bookmarkEnd w:id="8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Ednotesection"/>
      </w:pPr>
      <w:r>
        <w:t>[</w:t>
      </w:r>
      <w:r>
        <w:rPr>
          <w:b/>
        </w:rPr>
        <w:t>23.</w:t>
      </w:r>
      <w:r>
        <w:tab/>
        <w:t xml:space="preserve">Deleted in Gazette 19 Jul 2013 p. 3270.] </w:t>
      </w:r>
    </w:p>
    <w:p>
      <w:pPr>
        <w:pStyle w:val="Heading5"/>
        <w:rPr>
          <w:snapToGrid w:val="0"/>
        </w:rPr>
      </w:pPr>
      <w:bookmarkStart w:id="82" w:name="_Toc378668107"/>
      <w:bookmarkStart w:id="83" w:name="_Toc424742168"/>
      <w:r>
        <w:rPr>
          <w:rStyle w:val="CharSectno"/>
        </w:rPr>
        <w:t>24</w:t>
      </w:r>
      <w:r>
        <w:rPr>
          <w:snapToGrid w:val="0"/>
        </w:rPr>
        <w:t>.</w:t>
      </w:r>
      <w:r>
        <w:rPr>
          <w:snapToGrid w:val="0"/>
        </w:rPr>
        <w:tab/>
        <w:t>Panels of persons who may be appointed as arbitrators</w:t>
      </w:r>
      <w:bookmarkEnd w:id="82"/>
      <w:bookmarkEnd w:id="83"/>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Arbitrators</w:t>
          </w:r>
        </w:smartTag>
      </w:smartTag>
      <w:r>
        <w:rPr>
          <w:snapToGrid w:val="0"/>
        </w:rPr>
        <w:t xml:space="preserve">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84" w:name="_Toc378668108"/>
      <w:bookmarkStart w:id="85" w:name="_Toc424742169"/>
      <w:r>
        <w:rPr>
          <w:rStyle w:val="CharSectno"/>
        </w:rPr>
        <w:t>25</w:t>
      </w:r>
      <w:r>
        <w:rPr>
          <w:snapToGrid w:val="0"/>
        </w:rPr>
        <w:t>.</w:t>
      </w:r>
      <w:r>
        <w:rPr>
          <w:snapToGrid w:val="0"/>
        </w:rPr>
        <w:tab/>
        <w:t>When entity taken to be in dispute with railway owner</w:t>
      </w:r>
      <w:bookmarkEnd w:id="84"/>
      <w:bookmarkEnd w:id="85"/>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keepNext/>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86" w:name="_Toc378668109"/>
      <w:bookmarkStart w:id="87" w:name="_Toc424742170"/>
      <w:r>
        <w:rPr>
          <w:rStyle w:val="CharSectno"/>
        </w:rPr>
        <w:t>26</w:t>
      </w:r>
      <w:r>
        <w:rPr>
          <w:snapToGrid w:val="0"/>
        </w:rPr>
        <w:t>.</w:t>
      </w:r>
      <w:r>
        <w:rPr>
          <w:snapToGrid w:val="0"/>
        </w:rPr>
        <w:tab/>
        <w:t xml:space="preserve">Arbitration of disputes under </w:t>
      </w:r>
      <w:r>
        <w:rPr>
          <w:i/>
          <w:snapToGrid w:val="0"/>
        </w:rPr>
        <w:t>Commercial Arbitration Act 2012</w:t>
      </w:r>
      <w:bookmarkEnd w:id="86"/>
      <w:bookmarkEnd w:id="87"/>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rPr>
        <w:t>Commercial Arbitration Act 2012</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rPr>
        <w:t>Commercial Arbitration Act 2012</w:t>
      </w:r>
      <w:r>
        <w:rPr>
          <w:snapToGrid w:val="0"/>
        </w:rPr>
        <w:t xml:space="preserve"> except in accordance with this Division.</w:t>
      </w:r>
    </w:p>
    <w:p>
      <w:pPr>
        <w:pStyle w:val="Footnotesection"/>
      </w:pPr>
      <w:r>
        <w:tab/>
        <w:t>[Section 26 amended in Gazette 19 Jul 2013 p. 3270.]</w:t>
      </w:r>
    </w:p>
    <w:p>
      <w:pPr>
        <w:pStyle w:val="Heading5"/>
      </w:pPr>
      <w:bookmarkStart w:id="88" w:name="_Toc378668110"/>
      <w:bookmarkStart w:id="89" w:name="_Toc424742171"/>
      <w:r>
        <w:rPr>
          <w:rStyle w:val="CharSectno"/>
        </w:rPr>
        <w:t>27</w:t>
      </w:r>
      <w:r>
        <w:rPr>
          <w:snapToGrid w:val="0"/>
        </w:rPr>
        <w:t>.</w:t>
      </w:r>
      <w:r>
        <w:rPr>
          <w:snapToGrid w:val="0"/>
        </w:rPr>
        <w:tab/>
        <w:t>Appointment where issues are also relevant to arbitration under another access regime</w:t>
      </w:r>
      <w:bookmarkEnd w:id="88"/>
      <w:bookmarkEnd w:id="89"/>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90" w:name="_Toc378668111"/>
      <w:bookmarkStart w:id="91" w:name="_Toc424742172"/>
      <w:r>
        <w:rPr>
          <w:rStyle w:val="CharSectno"/>
        </w:rPr>
        <w:t>28</w:t>
      </w:r>
      <w:r>
        <w:rPr>
          <w:snapToGrid w:val="0"/>
        </w:rPr>
        <w:t>.</w:t>
      </w:r>
      <w:r>
        <w:rPr>
          <w:snapToGrid w:val="0"/>
        </w:rPr>
        <w:tab/>
        <w:t>Preliminary conference to be held</w:t>
      </w:r>
      <w:bookmarkEnd w:id="90"/>
      <w:bookmarkEnd w:id="91"/>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pPr>
      <w:r>
        <w:tab/>
        <w:t>(5)</w:t>
      </w:r>
      <w:r>
        <w:tab/>
        <w:t xml:space="preserve">Nothing in this section limits section 24B or 25 of the </w:t>
      </w:r>
      <w:r>
        <w:rPr>
          <w:i/>
        </w:rPr>
        <w:t>Commercial Arbitration Act 2012</w:t>
      </w:r>
      <w:r>
        <w:t>.</w:t>
      </w:r>
    </w:p>
    <w:p>
      <w:pPr>
        <w:pStyle w:val="Footnotesection"/>
      </w:pPr>
      <w:r>
        <w:tab/>
        <w:t>[Section 28 amended in Gazette 19 Jul 2013 p. 3270.]</w:t>
      </w:r>
    </w:p>
    <w:p>
      <w:pPr>
        <w:pStyle w:val="Heading5"/>
        <w:rPr>
          <w:snapToGrid w:val="0"/>
        </w:rPr>
      </w:pPr>
      <w:bookmarkStart w:id="92" w:name="_Toc378668112"/>
      <w:bookmarkStart w:id="93" w:name="_Toc424742173"/>
      <w:r>
        <w:rPr>
          <w:rStyle w:val="CharSectno"/>
        </w:rPr>
        <w:t>29</w:t>
      </w:r>
      <w:r>
        <w:rPr>
          <w:snapToGrid w:val="0"/>
        </w:rPr>
        <w:t>.</w:t>
      </w:r>
      <w:r>
        <w:rPr>
          <w:snapToGrid w:val="0"/>
        </w:rPr>
        <w:tab/>
        <w:t>Matters to be taken into account by arbitrator</w:t>
      </w:r>
      <w:bookmarkEnd w:id="92"/>
      <w:bookmarkEnd w:id="93"/>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5.</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94" w:name="_Toc378668113"/>
      <w:bookmarkStart w:id="95" w:name="_Toc424742174"/>
      <w:r>
        <w:rPr>
          <w:rStyle w:val="CharSectno"/>
        </w:rPr>
        <w:t>30</w:t>
      </w:r>
      <w:r>
        <w:rPr>
          <w:snapToGrid w:val="0"/>
        </w:rPr>
        <w:t>.</w:t>
      </w:r>
      <w:r>
        <w:rPr>
          <w:snapToGrid w:val="0"/>
        </w:rPr>
        <w:tab/>
        <w:t>Question may be referred to Regulator</w:t>
      </w:r>
      <w:bookmarkEnd w:id="94"/>
      <w:bookmarkEnd w:id="95"/>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rPr>
        <w:t>Commercial Arbitration Act 2012</w:t>
      </w:r>
      <w:r>
        <w:t xml:space="preserve">, </w:t>
      </w:r>
      <w:r>
        <w:rPr>
          <w:snapToGrid w:val="0"/>
        </w:rPr>
        <w:t>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Footnotesection"/>
      </w:pPr>
      <w:r>
        <w:tab/>
        <w:t>[Section 30 amended in Gazette 19 Jul 2013 p. 3270.]</w:t>
      </w:r>
    </w:p>
    <w:p>
      <w:pPr>
        <w:pStyle w:val="Heading5"/>
        <w:rPr>
          <w:snapToGrid w:val="0"/>
        </w:rPr>
      </w:pPr>
      <w:bookmarkStart w:id="96" w:name="_Toc378668114"/>
      <w:bookmarkStart w:id="97" w:name="_Toc424742175"/>
      <w:r>
        <w:rPr>
          <w:rStyle w:val="CharSectno"/>
        </w:rPr>
        <w:t>31</w:t>
      </w:r>
      <w:r>
        <w:rPr>
          <w:snapToGrid w:val="0"/>
        </w:rPr>
        <w:t>.</w:t>
      </w:r>
      <w:r>
        <w:rPr>
          <w:snapToGrid w:val="0"/>
        </w:rPr>
        <w:tab/>
        <w:t>Determination of dispute</w:t>
      </w:r>
      <w:bookmarkEnd w:id="96"/>
      <w:bookmarkEnd w:id="97"/>
      <w:r>
        <w:rPr>
          <w:snapToGrid w:val="0"/>
        </w:rPr>
        <w:t xml:space="preserve"> </w:t>
      </w:r>
    </w:p>
    <w:p>
      <w:pPr>
        <w:pStyle w:val="Subsection"/>
        <w:rPr>
          <w:snapToGrid w:val="0"/>
        </w:rPr>
      </w:pPr>
      <w:r>
        <w:rPr>
          <w:snapToGrid w:val="0"/>
        </w:rPr>
        <w:tab/>
        <w:t>(1)</w:t>
      </w:r>
      <w:r>
        <w:rPr>
          <w:snapToGrid w:val="0"/>
        </w:rPr>
        <w:tab/>
        <w:t>The arbitrator is to determine the dispute by making a written determination, which is to be taken to be an award within the meaning of the</w:t>
      </w:r>
      <w:r>
        <w:rPr>
          <w:i/>
        </w:rPr>
        <w:t xml:space="preserve"> Commercial Arbitration Act 2012</w:t>
      </w:r>
      <w: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Footnotesection"/>
      </w:pPr>
      <w:r>
        <w:tab/>
        <w:t>[Section 31 amended in Gazette 19 Jul 2013 p. 3270.]</w:t>
      </w:r>
    </w:p>
    <w:p>
      <w:pPr>
        <w:pStyle w:val="Heading5"/>
        <w:rPr>
          <w:snapToGrid w:val="0"/>
        </w:rPr>
      </w:pPr>
      <w:bookmarkStart w:id="98" w:name="_Toc378668115"/>
      <w:bookmarkStart w:id="99" w:name="_Toc424742176"/>
      <w:r>
        <w:rPr>
          <w:rStyle w:val="CharSectno"/>
        </w:rPr>
        <w:t>32</w:t>
      </w:r>
      <w:r>
        <w:rPr>
          <w:snapToGrid w:val="0"/>
        </w:rPr>
        <w:t>.</w:t>
      </w:r>
      <w:r>
        <w:rPr>
          <w:snapToGrid w:val="0"/>
        </w:rPr>
        <w:tab/>
        <w:t>Determinations where section 25(2)(b) applies</w:t>
      </w:r>
      <w:bookmarkEnd w:id="98"/>
      <w:bookmarkEnd w:id="99"/>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100" w:name="_Toc378668116"/>
      <w:bookmarkStart w:id="101" w:name="_Toc424742177"/>
      <w:r>
        <w:rPr>
          <w:rStyle w:val="CharSectno"/>
        </w:rPr>
        <w:t>33</w:t>
      </w:r>
      <w:r>
        <w:rPr>
          <w:snapToGrid w:val="0"/>
        </w:rPr>
        <w:t>.</w:t>
      </w:r>
      <w:r>
        <w:rPr>
          <w:snapToGrid w:val="0"/>
        </w:rPr>
        <w:tab/>
        <w:t>Determinations in other cases</w:t>
      </w:r>
      <w:bookmarkEnd w:id="100"/>
      <w:bookmarkEnd w:id="101"/>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102" w:name="_Toc378668117"/>
      <w:bookmarkStart w:id="103" w:name="_Toc424742178"/>
      <w:r>
        <w:rPr>
          <w:rStyle w:val="CharSectno"/>
        </w:rPr>
        <w:t>34</w:t>
      </w:r>
      <w:r>
        <w:rPr>
          <w:snapToGrid w:val="0"/>
        </w:rPr>
        <w:t>.</w:t>
      </w:r>
      <w:r>
        <w:rPr>
          <w:snapToGrid w:val="0"/>
        </w:rPr>
        <w:tab/>
        <w:t>Determination, effect in relation to railway owner and other party</w:t>
      </w:r>
      <w:bookmarkEnd w:id="102"/>
      <w:bookmarkEnd w:id="103"/>
    </w:p>
    <w:p>
      <w:pPr>
        <w:pStyle w:val="Subsection"/>
        <w:rPr>
          <w:snapToGrid w:val="0"/>
        </w:rPr>
      </w:pPr>
      <w:r>
        <w:rPr>
          <w:snapToGrid w:val="0"/>
        </w:rPr>
        <w:tab/>
        <w:t>(1)</w:t>
      </w:r>
      <w:r>
        <w:rPr>
          <w:snapToGrid w:val="0"/>
        </w:rPr>
        <w:tab/>
        <w:t xml:space="preserve">The railway owner must, subject to </w:t>
      </w:r>
      <w:r>
        <w:t xml:space="preserve">the </w:t>
      </w:r>
      <w:r>
        <w:rPr>
          <w:i/>
        </w:rPr>
        <w:t xml:space="preserve">Commercial Arbitration Act 2012 </w:t>
      </w:r>
      <w:r>
        <w:t xml:space="preserve">Part 7, </w:t>
      </w:r>
      <w:r>
        <w:rPr>
          <w:snapToGrid w:val="0"/>
        </w:rPr>
        <w:t xml:space="preserve">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w:t>
      </w:r>
      <w:r>
        <w:t xml:space="preserve">the </w:t>
      </w:r>
      <w:r>
        <w:rPr>
          <w:i/>
        </w:rPr>
        <w:t xml:space="preserve">Commercial Arbitration Act 2012 </w:t>
      </w:r>
      <w:r>
        <w:t xml:space="preserve">Part 7, </w:t>
      </w:r>
      <w:r>
        <w:rPr>
          <w:snapToGrid w:val="0"/>
        </w:rPr>
        <w:t>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r>
        <w:tab/>
        <w:t>(5)</w:t>
      </w:r>
      <w:r>
        <w:tab/>
        <w:t xml:space="preserve">Subsection (2) does not apply to any provision of a determination that consists of a direction as to, or an award of, costs under section 33B(1) or (7) of the </w:t>
      </w:r>
      <w:r>
        <w:rPr>
          <w:i/>
        </w:rPr>
        <w:t>Commercial Arbitration Act 2012</w:t>
      </w:r>
      <w:r>
        <w:t>, and any such provision binds the other party in the same way as it binds the railway owner.</w:t>
      </w:r>
    </w:p>
    <w:p>
      <w:pPr>
        <w:pStyle w:val="Footnotesection"/>
      </w:pPr>
      <w:r>
        <w:tab/>
        <w:t>[Section 34 amended in Gazette 23 Jul 2004 p. 2992</w:t>
      </w:r>
      <w:r>
        <w:noBreakHyphen/>
        <w:t>3; 19 Jul 2013 p. 3270-1.]</w:t>
      </w:r>
    </w:p>
    <w:p>
      <w:pPr>
        <w:pStyle w:val="Heading5"/>
        <w:rPr>
          <w:snapToGrid w:val="0"/>
        </w:rPr>
      </w:pPr>
      <w:bookmarkStart w:id="104" w:name="_Toc378668118"/>
      <w:bookmarkStart w:id="105" w:name="_Toc424742179"/>
      <w:r>
        <w:rPr>
          <w:rStyle w:val="CharSectno"/>
        </w:rPr>
        <w:t>35</w:t>
      </w:r>
      <w:r>
        <w:rPr>
          <w:snapToGrid w:val="0"/>
        </w:rPr>
        <w:t>.</w:t>
      </w:r>
      <w:r>
        <w:rPr>
          <w:snapToGrid w:val="0"/>
        </w:rPr>
        <w:tab/>
        <w:t>Termination of arbitration</w:t>
      </w:r>
      <w:bookmarkEnd w:id="104"/>
      <w:bookmarkEnd w:id="105"/>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5"/>
      </w:pPr>
      <w:bookmarkStart w:id="106" w:name="_Toc378668119"/>
      <w:bookmarkStart w:id="107" w:name="_Toc424742180"/>
      <w:r>
        <w:rPr>
          <w:rStyle w:val="CharSectno"/>
        </w:rPr>
        <w:t>36A</w:t>
      </w:r>
      <w:r>
        <w:t>.</w:t>
      </w:r>
      <w:r>
        <w:tab/>
        <w:t xml:space="preserve">Transitional provision relating to the </w:t>
      </w:r>
      <w:r>
        <w:rPr>
          <w:i/>
        </w:rPr>
        <w:t>Railways (Access) Amendment Code 2012</w:t>
      </w:r>
      <w:bookmarkEnd w:id="106"/>
      <w:bookmarkEnd w:id="107"/>
    </w:p>
    <w:p>
      <w:pPr>
        <w:pStyle w:val="Subsection"/>
      </w:pPr>
      <w:r>
        <w:tab/>
        <w:t>(1)</w:t>
      </w:r>
      <w:r>
        <w:tab/>
        <w:t xml:space="preserve">In this section — </w:t>
      </w:r>
    </w:p>
    <w:p>
      <w:pPr>
        <w:pStyle w:val="Indenta"/>
      </w:pPr>
      <w:r>
        <w:tab/>
      </w:r>
      <w:r>
        <w:tab/>
      </w:r>
      <w:r>
        <w:rPr>
          <w:rStyle w:val="CharDefText"/>
        </w:rPr>
        <w:t xml:space="preserve">commencement day </w:t>
      </w:r>
      <w:r>
        <w:t>means the day on which the Commercial Arbitration Act 2012 section 44 comes into operation.</w:t>
      </w:r>
    </w:p>
    <w:p>
      <w:pPr>
        <w:pStyle w:val="Subsection"/>
      </w:pPr>
      <w:r>
        <w:tab/>
        <w:t>(2)</w:t>
      </w:r>
      <w:r>
        <w:tab/>
        <w:t xml:space="preserve">This section applies to a dispute to which this Division applies if, before the commencement day — </w:t>
      </w:r>
    </w:p>
    <w:p>
      <w:pPr>
        <w:pStyle w:val="Indenta"/>
      </w:pPr>
      <w:r>
        <w:tab/>
        <w:t>(a)</w:t>
      </w:r>
      <w:r>
        <w:tab/>
        <w:t>the dispute has been referred to arbitration; and</w:t>
      </w:r>
    </w:p>
    <w:p>
      <w:pPr>
        <w:pStyle w:val="Indenta"/>
      </w:pPr>
      <w:r>
        <w:tab/>
        <w:t>(b)</w:t>
      </w:r>
      <w:r>
        <w:tab/>
        <w:t>the Regulator has appointed under section 26 one or more persons to act as arbitrators to hear and determine the dispute.</w:t>
      </w:r>
    </w:p>
    <w:p>
      <w:pPr>
        <w:pStyle w:val="Subsection"/>
      </w:pPr>
      <w:r>
        <w:tab/>
        <w:t>(3)</w:t>
      </w:r>
      <w:r>
        <w:tab/>
        <w:t xml:space="preserve">If this section applies to a dispute — </w:t>
      </w:r>
    </w:p>
    <w:p>
      <w:pPr>
        <w:pStyle w:val="Indenta"/>
      </w:pPr>
      <w:r>
        <w:tab/>
        <w:t>(a)</w:t>
      </w:r>
      <w:r>
        <w:tab/>
        <w:t xml:space="preserve">the dispute cannot be referred to arbitration, or otherwise dealt with, under the </w:t>
      </w:r>
      <w:r>
        <w:rPr>
          <w:i/>
        </w:rPr>
        <w:t>Commercial Arbitration Act 2012</w:t>
      </w:r>
      <w:r>
        <w:t>; and</w:t>
      </w:r>
    </w:p>
    <w:p>
      <w:pPr>
        <w:pStyle w:val="Indenta"/>
      </w:pPr>
      <w:r>
        <w:tab/>
        <w:t>(b)</w:t>
      </w:r>
      <w:r>
        <w:tab/>
        <w:t xml:space="preserve">this Division continues to apply to and in relation to that dispute as if the amendments made by the </w:t>
      </w:r>
      <w:r>
        <w:rPr>
          <w:i/>
        </w:rPr>
        <w:t>Railways (Access) Amendment Code 2012</w:t>
      </w:r>
      <w:r>
        <w:t xml:space="preserve"> sections 4 to 9 had not been made. </w:t>
      </w:r>
    </w:p>
    <w:p>
      <w:pPr>
        <w:pStyle w:val="Footnotesection"/>
      </w:pPr>
      <w:r>
        <w:tab/>
        <w:t>[Section 36A inserted in Gazette 19 Jul 2013 p. 3271.]</w:t>
      </w:r>
    </w:p>
    <w:p>
      <w:pPr>
        <w:pStyle w:val="Heading2"/>
      </w:pPr>
      <w:bookmarkStart w:id="108" w:name="_Toc378668120"/>
      <w:bookmarkStart w:id="109" w:name="_Toc424742047"/>
      <w:bookmarkStart w:id="110" w:name="_Toc424742181"/>
      <w:r>
        <w:rPr>
          <w:rStyle w:val="CharPartNo"/>
        </w:rPr>
        <w:t>Part 4</w:t>
      </w:r>
      <w:r>
        <w:t xml:space="preserve"> — </w:t>
      </w:r>
      <w:r>
        <w:rPr>
          <w:rStyle w:val="CharPartText"/>
        </w:rPr>
        <w:t>Access agreements</w:t>
      </w:r>
      <w:bookmarkEnd w:id="108"/>
      <w:bookmarkEnd w:id="109"/>
      <w:bookmarkEnd w:id="110"/>
      <w:r>
        <w:rPr>
          <w:rStyle w:val="CharPartText"/>
        </w:rPr>
        <w:t xml:space="preserve"> </w:t>
      </w:r>
    </w:p>
    <w:p>
      <w:pPr>
        <w:pStyle w:val="Heading3"/>
      </w:pPr>
      <w:bookmarkStart w:id="111" w:name="_Toc378668121"/>
      <w:bookmarkStart w:id="112" w:name="_Toc424742048"/>
      <w:bookmarkStart w:id="113" w:name="_Toc424742182"/>
      <w:r>
        <w:rPr>
          <w:rStyle w:val="CharDivNo"/>
        </w:rPr>
        <w:t>Division 1</w:t>
      </w:r>
      <w:r>
        <w:rPr>
          <w:snapToGrid w:val="0"/>
        </w:rPr>
        <w:t xml:space="preserve"> — </w:t>
      </w:r>
      <w:r>
        <w:rPr>
          <w:rStyle w:val="CharDivText"/>
        </w:rPr>
        <w:t>General</w:t>
      </w:r>
      <w:bookmarkEnd w:id="111"/>
      <w:bookmarkEnd w:id="112"/>
      <w:bookmarkEnd w:id="113"/>
      <w:r>
        <w:rPr>
          <w:rStyle w:val="CharDivText"/>
        </w:rPr>
        <w:t xml:space="preserve"> </w:t>
      </w:r>
    </w:p>
    <w:p>
      <w:pPr>
        <w:pStyle w:val="Heading5"/>
        <w:rPr>
          <w:snapToGrid w:val="0"/>
        </w:rPr>
      </w:pPr>
      <w:bookmarkStart w:id="114" w:name="_Toc378668122"/>
      <w:bookmarkStart w:id="115" w:name="_Toc424742183"/>
      <w:r>
        <w:rPr>
          <w:rStyle w:val="CharSectno"/>
        </w:rPr>
        <w:t>36</w:t>
      </w:r>
      <w:r>
        <w:rPr>
          <w:snapToGrid w:val="0"/>
        </w:rPr>
        <w:t>.</w:t>
      </w:r>
      <w:r>
        <w:rPr>
          <w:snapToGrid w:val="0"/>
        </w:rPr>
        <w:tab/>
        <w:t>General matters relating to access agreements</w:t>
      </w:r>
      <w:bookmarkEnd w:id="114"/>
      <w:bookmarkEnd w:id="115"/>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116" w:name="_Toc378668123"/>
      <w:bookmarkStart w:id="117" w:name="_Toc424742184"/>
      <w:r>
        <w:rPr>
          <w:rStyle w:val="CharSectno"/>
        </w:rPr>
        <w:t>37</w:t>
      </w:r>
      <w:r>
        <w:rPr>
          <w:snapToGrid w:val="0"/>
        </w:rPr>
        <w:t>.</w:t>
      </w:r>
      <w:r>
        <w:rPr>
          <w:snapToGrid w:val="0"/>
        </w:rPr>
        <w:tab/>
        <w:t>Access agreements may differ</w:t>
      </w:r>
      <w:bookmarkEnd w:id="116"/>
      <w:bookmarkEnd w:id="117"/>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118" w:name="_Toc378668124"/>
      <w:bookmarkStart w:id="119" w:name="_Toc424742185"/>
      <w:r>
        <w:rPr>
          <w:rStyle w:val="CharSectno"/>
        </w:rPr>
        <w:t>38</w:t>
      </w:r>
      <w:r>
        <w:rPr>
          <w:snapToGrid w:val="0"/>
        </w:rPr>
        <w:t>.</w:t>
      </w:r>
      <w:r>
        <w:rPr>
          <w:snapToGrid w:val="0"/>
        </w:rPr>
        <w:tab/>
        <w:t>Agreement not affected by later amendments to Code</w:t>
      </w:r>
      <w:bookmarkEnd w:id="118"/>
      <w:bookmarkEnd w:id="119"/>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120" w:name="_Toc378668125"/>
      <w:bookmarkStart w:id="121" w:name="_Toc424742052"/>
      <w:bookmarkStart w:id="122" w:name="_Toc424742186"/>
      <w:r>
        <w:rPr>
          <w:rStyle w:val="CharDivNo"/>
        </w:rPr>
        <w:t>Division 2</w:t>
      </w:r>
      <w:r>
        <w:t xml:space="preserve"> — </w:t>
      </w:r>
      <w:r>
        <w:rPr>
          <w:rStyle w:val="CharDivText"/>
        </w:rPr>
        <w:t>Notice and registration of access agreements and determinations</w:t>
      </w:r>
      <w:bookmarkEnd w:id="120"/>
      <w:bookmarkEnd w:id="121"/>
      <w:bookmarkEnd w:id="122"/>
    </w:p>
    <w:p>
      <w:pPr>
        <w:pStyle w:val="Heading5"/>
        <w:rPr>
          <w:snapToGrid w:val="0"/>
        </w:rPr>
      </w:pPr>
      <w:bookmarkStart w:id="123" w:name="_Toc378668126"/>
      <w:bookmarkStart w:id="124" w:name="_Toc424742187"/>
      <w:r>
        <w:rPr>
          <w:rStyle w:val="CharSectno"/>
        </w:rPr>
        <w:t>39</w:t>
      </w:r>
      <w:r>
        <w:rPr>
          <w:snapToGrid w:val="0"/>
        </w:rPr>
        <w:t>.</w:t>
      </w:r>
      <w:r>
        <w:rPr>
          <w:snapToGrid w:val="0"/>
        </w:rPr>
        <w:tab/>
        <w:t>Registration of agreements and determinations</w:t>
      </w:r>
      <w:bookmarkEnd w:id="123"/>
      <w:bookmarkEnd w:id="124"/>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125" w:name="_Toc378668127"/>
      <w:bookmarkStart w:id="126" w:name="_Toc424742054"/>
      <w:bookmarkStart w:id="127" w:name="_Toc424742188"/>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125"/>
      <w:bookmarkEnd w:id="126"/>
      <w:bookmarkEnd w:id="127"/>
      <w:r>
        <w:rPr>
          <w:rStyle w:val="CharPartText"/>
        </w:rPr>
        <w:t xml:space="preserve"> </w:t>
      </w:r>
    </w:p>
    <w:p>
      <w:pPr>
        <w:pStyle w:val="Heading5"/>
        <w:rPr>
          <w:snapToGrid w:val="0"/>
        </w:rPr>
      </w:pPr>
      <w:bookmarkStart w:id="128" w:name="_Toc378668128"/>
      <w:bookmarkStart w:id="129" w:name="_Toc424742189"/>
      <w:r>
        <w:rPr>
          <w:rStyle w:val="CharSectno"/>
        </w:rPr>
        <w:t>40</w:t>
      </w:r>
      <w:r>
        <w:rPr>
          <w:snapToGrid w:val="0"/>
        </w:rPr>
        <w:t>.</w:t>
      </w:r>
      <w:r>
        <w:rPr>
          <w:snapToGrid w:val="0"/>
        </w:rPr>
        <w:tab/>
        <w:t>Interpretation</w:t>
      </w:r>
      <w:bookmarkEnd w:id="128"/>
      <w:bookmarkEnd w:id="129"/>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130" w:name="_Toc378668129"/>
      <w:bookmarkStart w:id="131" w:name="_Toc424742190"/>
      <w:r>
        <w:rPr>
          <w:rStyle w:val="CharSectno"/>
        </w:rPr>
        <w:t>41</w:t>
      </w:r>
      <w:r>
        <w:t>.</w:t>
      </w:r>
      <w:r>
        <w:tab/>
        <w:t>Matters to be considered by Regulator</w:t>
      </w:r>
      <w:bookmarkEnd w:id="130"/>
      <w:bookmarkEnd w:id="131"/>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132" w:name="_Toc378668130"/>
      <w:bookmarkStart w:id="133" w:name="_Toc424742191"/>
      <w:r>
        <w:rPr>
          <w:rStyle w:val="CharSectno"/>
        </w:rPr>
        <w:t>42</w:t>
      </w:r>
      <w:r>
        <w:rPr>
          <w:snapToGrid w:val="0"/>
        </w:rPr>
        <w:t>.</w:t>
      </w:r>
      <w:r>
        <w:rPr>
          <w:snapToGrid w:val="0"/>
        </w:rPr>
        <w:tab/>
        <w:t>Public comment before approval given to segregation arrangements</w:t>
      </w:r>
      <w:bookmarkEnd w:id="132"/>
      <w:bookmarkEnd w:id="133"/>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134" w:name="_Toc378668131"/>
      <w:bookmarkStart w:id="135" w:name="_Toc424742192"/>
      <w:r>
        <w:rPr>
          <w:rStyle w:val="CharSectno"/>
        </w:rPr>
        <w:t>43</w:t>
      </w:r>
      <w:r>
        <w:rPr>
          <w:snapToGrid w:val="0"/>
        </w:rPr>
        <w:t>.</w:t>
      </w:r>
      <w:r>
        <w:rPr>
          <w:snapToGrid w:val="0"/>
        </w:rPr>
        <w:tab/>
        <w:t>Railway owner to comply with approved train management guidelines</w:t>
      </w:r>
      <w:bookmarkEnd w:id="134"/>
      <w:bookmarkEnd w:id="135"/>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136" w:name="_Toc378668132"/>
      <w:bookmarkStart w:id="137" w:name="_Toc424742193"/>
      <w:r>
        <w:rPr>
          <w:rStyle w:val="CharSectno"/>
        </w:rPr>
        <w:t>44</w:t>
      </w:r>
      <w:r>
        <w:rPr>
          <w:snapToGrid w:val="0"/>
        </w:rPr>
        <w:t>.</w:t>
      </w:r>
      <w:r>
        <w:rPr>
          <w:snapToGrid w:val="0"/>
        </w:rPr>
        <w:tab/>
        <w:t>Certain approved statements of policy to be observed</w:t>
      </w:r>
      <w:bookmarkEnd w:id="136"/>
      <w:bookmarkEnd w:id="137"/>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138" w:name="_Toc378668133"/>
      <w:bookmarkStart w:id="139" w:name="_Toc424742194"/>
      <w:r>
        <w:rPr>
          <w:rStyle w:val="CharSectno"/>
        </w:rPr>
        <w:t>45</w:t>
      </w:r>
      <w:r>
        <w:rPr>
          <w:snapToGrid w:val="0"/>
        </w:rPr>
        <w:t>.</w:t>
      </w:r>
      <w:r>
        <w:rPr>
          <w:snapToGrid w:val="0"/>
        </w:rPr>
        <w:tab/>
        <w:t>Public comment on draft statements under sections 43 and 44</w:t>
      </w:r>
      <w:bookmarkEnd w:id="138"/>
      <w:bookmarkEnd w:id="139"/>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140" w:name="_Toc378668134"/>
      <w:bookmarkStart w:id="141" w:name="_Toc424742195"/>
      <w:r>
        <w:rPr>
          <w:rStyle w:val="CharSectno"/>
        </w:rPr>
        <w:t>46</w:t>
      </w:r>
      <w:r>
        <w:rPr>
          <w:snapToGrid w:val="0"/>
        </w:rPr>
        <w:t>.</w:t>
      </w:r>
      <w:r>
        <w:rPr>
          <w:snapToGrid w:val="0"/>
        </w:rPr>
        <w:tab/>
        <w:t>Costing principles</w:t>
      </w:r>
      <w:bookmarkEnd w:id="140"/>
      <w:bookmarkEnd w:id="141"/>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keepNext/>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142" w:name="_Toc378668135"/>
      <w:bookmarkStart w:id="143" w:name="_Toc424742196"/>
      <w:r>
        <w:rPr>
          <w:rStyle w:val="CharSectno"/>
        </w:rPr>
        <w:t>47</w:t>
      </w:r>
      <w:r>
        <w:rPr>
          <w:snapToGrid w:val="0"/>
        </w:rPr>
        <w:t>.</w:t>
      </w:r>
      <w:r>
        <w:rPr>
          <w:snapToGrid w:val="0"/>
        </w:rPr>
        <w:tab/>
        <w:t>Over</w:t>
      </w:r>
      <w:r>
        <w:rPr>
          <w:snapToGrid w:val="0"/>
        </w:rPr>
        <w:noBreakHyphen/>
        <w:t>payment rules</w:t>
      </w:r>
      <w:bookmarkEnd w:id="142"/>
      <w:bookmarkEnd w:id="143"/>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keepNext/>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144" w:name="_Toc378668136"/>
      <w:bookmarkStart w:id="145" w:name="_Toc424742063"/>
      <w:bookmarkStart w:id="146" w:name="_Toc424742197"/>
      <w:r>
        <w:rPr>
          <w:rStyle w:val="CharPartNo"/>
        </w:rPr>
        <w:t>Part 6</w:t>
      </w:r>
      <w:r>
        <w:rPr>
          <w:rStyle w:val="CharDivNo"/>
        </w:rPr>
        <w:t xml:space="preserve"> </w:t>
      </w:r>
      <w:r>
        <w:t>—</w:t>
      </w:r>
      <w:r>
        <w:rPr>
          <w:rStyle w:val="CharDivText"/>
        </w:rPr>
        <w:t xml:space="preserve"> </w:t>
      </w:r>
      <w:r>
        <w:rPr>
          <w:rStyle w:val="CharPartText"/>
        </w:rPr>
        <w:t>General</w:t>
      </w:r>
      <w:bookmarkEnd w:id="144"/>
      <w:bookmarkEnd w:id="145"/>
      <w:bookmarkEnd w:id="146"/>
      <w:r>
        <w:rPr>
          <w:rStyle w:val="CharPartText"/>
        </w:rPr>
        <w:t xml:space="preserve"> </w:t>
      </w:r>
    </w:p>
    <w:p>
      <w:pPr>
        <w:pStyle w:val="Heading5"/>
        <w:rPr>
          <w:snapToGrid w:val="0"/>
        </w:rPr>
      </w:pPr>
      <w:bookmarkStart w:id="147" w:name="_Toc378668137"/>
      <w:bookmarkStart w:id="148" w:name="_Toc424742198"/>
      <w:r>
        <w:rPr>
          <w:rStyle w:val="CharSectno"/>
        </w:rPr>
        <w:t>48</w:t>
      </w:r>
      <w:r>
        <w:rPr>
          <w:snapToGrid w:val="0"/>
        </w:rPr>
        <w:t>.</w:t>
      </w:r>
      <w:r>
        <w:rPr>
          <w:snapToGrid w:val="0"/>
        </w:rPr>
        <w:tab/>
        <w:t>Railway owner must supply certain information if requested</w:t>
      </w:r>
      <w:bookmarkEnd w:id="147"/>
      <w:bookmarkEnd w:id="14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149" w:name="_Toc378668138"/>
      <w:bookmarkStart w:id="150" w:name="_Toc424742199"/>
      <w:r>
        <w:rPr>
          <w:rStyle w:val="CharSectno"/>
        </w:rPr>
        <w:t>49</w:t>
      </w:r>
      <w:r>
        <w:rPr>
          <w:snapToGrid w:val="0"/>
        </w:rPr>
        <w:t>.</w:t>
      </w:r>
      <w:r>
        <w:rPr>
          <w:snapToGrid w:val="0"/>
        </w:rPr>
        <w:tab/>
        <w:t>Inquiries and reports by Regulator</w:t>
      </w:r>
      <w:bookmarkEnd w:id="149"/>
      <w:bookmarkEnd w:id="150"/>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151" w:name="_Toc378668139"/>
      <w:bookmarkStart w:id="152" w:name="_Toc424742200"/>
      <w:r>
        <w:rPr>
          <w:rStyle w:val="CharSectno"/>
        </w:rPr>
        <w:t>50</w:t>
      </w:r>
      <w:r>
        <w:rPr>
          <w:snapToGrid w:val="0"/>
        </w:rPr>
        <w:t>.</w:t>
      </w:r>
      <w:r>
        <w:rPr>
          <w:snapToGrid w:val="0"/>
        </w:rPr>
        <w:tab/>
        <w:t>Dissemination of information by Regulator</w:t>
      </w:r>
      <w:bookmarkEnd w:id="151"/>
      <w:bookmarkEnd w:id="152"/>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153" w:name="_Toc378668140"/>
      <w:bookmarkStart w:id="154" w:name="_Toc424742201"/>
      <w:r>
        <w:rPr>
          <w:rStyle w:val="CharSectno"/>
        </w:rPr>
        <w:t>51</w:t>
      </w:r>
      <w:r>
        <w:rPr>
          <w:snapToGrid w:val="0"/>
        </w:rPr>
        <w:t>.</w:t>
      </w:r>
      <w:r>
        <w:rPr>
          <w:snapToGrid w:val="0"/>
        </w:rPr>
        <w:tab/>
        <w:t>Enforcement</w:t>
      </w:r>
      <w:bookmarkEnd w:id="153"/>
      <w:bookmarkEnd w:id="154"/>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155" w:name="_Toc378668141"/>
      <w:bookmarkStart w:id="156" w:name="_Toc424742202"/>
      <w:r>
        <w:rPr>
          <w:rStyle w:val="CharSectno"/>
        </w:rPr>
        <w:t>52</w:t>
      </w:r>
      <w:r>
        <w:rPr>
          <w:snapToGrid w:val="0"/>
        </w:rPr>
        <w:t>.</w:t>
      </w:r>
      <w:r>
        <w:rPr>
          <w:snapToGrid w:val="0"/>
        </w:rPr>
        <w:tab/>
        <w:t>Transitional provisions</w:t>
      </w:r>
      <w:bookmarkEnd w:id="155"/>
      <w:bookmarkEnd w:id="156"/>
    </w:p>
    <w:p>
      <w:pPr>
        <w:pStyle w:val="Subsection"/>
        <w:rPr>
          <w:snapToGrid w:val="0"/>
        </w:rPr>
      </w:pPr>
      <w:r>
        <w:rPr>
          <w:snapToGrid w:val="0"/>
        </w:rPr>
        <w:tab/>
        <w:t>(1)</w:t>
      </w:r>
      <w:r>
        <w:rPr>
          <w:snapToGrid w:val="0"/>
        </w:rPr>
        <w:tab/>
        <w:t xml:space="preserve">The first determinations under clause 3(1)(a) of Schedule 4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 </w:t>
      </w:r>
      <w:r>
        <w:rPr>
          <w:snapToGrid w:val="0"/>
          <w:vertAlign w:val="superscript"/>
        </w:rPr>
        <w:t>2</w:t>
      </w:r>
      <w:r>
        <w:rPr>
          <w:snapToGrid w:val="0"/>
        </w:rPr>
        <w:t>.</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 </w:t>
      </w:r>
      <w:r>
        <w:rPr>
          <w:snapToGrid w:val="0"/>
          <w:vertAlign w:val="superscript"/>
        </w:rPr>
        <w:t>2</w:t>
      </w:r>
      <w:r>
        <w:rPr>
          <w:snapToGrid w:val="0"/>
        </w:rPr>
        <w:t>.</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pStyle w:val="Heading5"/>
      </w:pPr>
      <w:bookmarkStart w:id="157" w:name="_Toc378668142"/>
      <w:bookmarkStart w:id="158" w:name="_Toc424742203"/>
      <w:r>
        <w:rPr>
          <w:rStyle w:val="CharSectno"/>
        </w:rPr>
        <w:t>53</w:t>
      </w:r>
      <w:r>
        <w:t>.</w:t>
      </w:r>
      <w:r>
        <w:tab/>
        <w:t>Further transitional provision</w:t>
      </w:r>
      <w:bookmarkEnd w:id="157"/>
      <w:bookmarkEnd w:id="158"/>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r>
        <w:rPr>
          <w:snapToGrid w:val="0"/>
        </w:rPr>
        <w:t> </w:t>
      </w:r>
      <w:r>
        <w:rPr>
          <w:snapToGrid w:val="0"/>
          <w:vertAlign w:val="superscript"/>
        </w:rPr>
        <w:t>2</w:t>
      </w:r>
      <w:r>
        <w:t>.</w:t>
      </w:r>
    </w:p>
    <w:p>
      <w:pPr>
        <w:pStyle w:val="Footnotesection"/>
      </w:pPr>
      <w:r>
        <w:tab/>
        <w:t>[Section 53 inserted by Act No. 77 of 2004 s. 12.]</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59" w:name="_Toc378668143"/>
      <w:bookmarkStart w:id="160" w:name="_Toc424742070"/>
      <w:bookmarkStart w:id="161" w:name="_Toc424742204"/>
      <w:r>
        <w:rPr>
          <w:rStyle w:val="CharSchNo"/>
        </w:rPr>
        <w:t>Schedule 1</w:t>
      </w:r>
      <w:r>
        <w:rPr>
          <w:rStyle w:val="CharSDivNo"/>
        </w:rPr>
        <w:t xml:space="preserve"> </w:t>
      </w:r>
      <w:r>
        <w:t>—</w:t>
      </w:r>
      <w:r>
        <w:rPr>
          <w:rStyle w:val="CharSDivText"/>
        </w:rPr>
        <w:t xml:space="preserve"> </w:t>
      </w:r>
      <w:r>
        <w:rPr>
          <w:rStyle w:val="CharSchText"/>
        </w:rPr>
        <w:t>Routes to which this Code applies</w:t>
      </w:r>
      <w:bookmarkEnd w:id="159"/>
      <w:bookmarkEnd w:id="160"/>
      <w:bookmarkEnd w:id="161"/>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 xml:space="preserve">The track between Avon and </w:t>
      </w:r>
      <w:smartTag w:uri="urn:schemas-microsoft-com:office:smarttags" w:element="City">
        <w:r>
          <w:t>Kalgoorlie</w:t>
        </w:r>
      </w:smartTag>
      <w:r>
        <w:t xml:space="preserve">, including the loop and the arrival road adjacent to that track at </w:t>
      </w:r>
      <w:smartTag w:uri="urn:schemas-microsoft-com:office:smarttags" w:element="place">
        <w:r>
          <w:t>West Kalgoorlie</w:t>
        </w:r>
      </w:smartTag>
      <w:r>
        <w:t>.</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 xml:space="preserve">The track between </w:t>
      </w:r>
      <w:smartTag w:uri="urn:schemas-microsoft-com:office:smarttags" w:element="place">
        <w:smartTag w:uri="urn:schemas-microsoft-com:office:smarttags" w:element="City">
          <w:r>
            <w:rPr>
              <w:color w:val="000000"/>
            </w:rPr>
            <w:t>Kalgoorlie</w:t>
          </w:r>
        </w:smartTag>
      </w:smartTag>
      <w:r>
        <w:rPr>
          <w:color w:val="000000"/>
        </w:rPr>
        <w:t xml:space="preserv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 xml:space="preserve">The track between </w:t>
      </w:r>
      <w:smartTag w:uri="urn:schemas-microsoft-com:office:smarttags" w:element="place">
        <w:r>
          <w:t>West Kalgoorlie</w:t>
        </w:r>
      </w:smartTag>
      <w:r>
        <w:t xml:space="preserv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 xml:space="preserve">The track between Avon and </w:t>
      </w:r>
      <w:smartTag w:uri="urn:schemas-microsoft-com:office:smarttags" w:element="place">
        <w:smartTag w:uri="urn:schemas-microsoft-com:office:smarttags" w:element="City">
          <w:r>
            <w:rPr>
              <w:snapToGrid w:val="0"/>
            </w:rPr>
            <w:t>Albany</w:t>
          </w:r>
        </w:smartTag>
      </w:smartTag>
      <w:r>
        <w:rPr>
          <w:snapToGrid w:val="0"/>
        </w:rPr>
        <w:t>.</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 xml:space="preserve">The track between Narrogin and </w:t>
      </w:r>
      <w:smartTag w:uri="urn:schemas-microsoft-com:office:smarttags" w:element="place">
        <w:r>
          <w:rPr>
            <w:snapToGrid w:val="0"/>
          </w:rPr>
          <w:t>West Merredin</w:t>
        </w:r>
      </w:smartTag>
      <w:r>
        <w:rPr>
          <w:snapToGrid w:val="0"/>
        </w:rPr>
        <w:t>.</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 xml:space="preserve">The track between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Grace</w:t>
          </w:r>
        </w:smartTag>
      </w:smartTag>
      <w:r>
        <w:rPr>
          <w:snapToGrid w:val="0"/>
        </w:rPr>
        <w:t xml:space="preserv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 xml:space="preserve">The track between </w:t>
      </w:r>
      <w:smartTag w:uri="urn:schemas-microsoft-com:office:smarttags" w:element="place">
        <w:r>
          <w:rPr>
            <w:snapToGrid w:val="0"/>
          </w:rPr>
          <w:t>West Merredin</w:t>
        </w:r>
      </w:smartTag>
      <w:r>
        <w:rPr>
          <w:snapToGrid w:val="0"/>
        </w:rPr>
        <w:t xml:space="preserve"> and Kondinin.</w:t>
      </w:r>
    </w:p>
    <w:p>
      <w:pPr>
        <w:pStyle w:val="yMiscellaneousBody"/>
        <w:tabs>
          <w:tab w:val="left" w:pos="567"/>
        </w:tabs>
        <w:ind w:left="567" w:hanging="567"/>
        <w:rPr>
          <w:snapToGrid w:val="0"/>
        </w:rPr>
      </w:pPr>
      <w:r>
        <w:rPr>
          <w:snapToGrid w:val="0"/>
        </w:rPr>
        <w:t>33.</w:t>
      </w:r>
      <w:r>
        <w:rPr>
          <w:snapToGrid w:val="0"/>
        </w:rPr>
        <w:tab/>
        <w:t xml:space="preserve">The track between </w:t>
      </w:r>
      <w:smartTag w:uri="urn:schemas-microsoft-com:office:smarttags" w:element="place">
        <w:r>
          <w:rPr>
            <w:snapToGrid w:val="0"/>
          </w:rPr>
          <w:t>West Merredin</w:t>
        </w:r>
      </w:smartTag>
      <w:r>
        <w:rPr>
          <w:snapToGrid w:val="0"/>
        </w:rPr>
        <w:t xml:space="preserve">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 xml:space="preserve">The track between </w:t>
      </w:r>
      <w:smartTag w:uri="urn:schemas-microsoft-com:office:smarttags" w:element="City">
        <w:r>
          <w:rPr>
            <w:snapToGrid w:val="0"/>
          </w:rPr>
          <w:t>Midland</w:t>
        </w:r>
      </w:smartTag>
      <w:r>
        <w:rPr>
          <w:snapToGrid w:val="0"/>
        </w:rPr>
        <w:t xml:space="preserve"> and </w:t>
      </w:r>
      <w:smartTag w:uri="urn:schemas-microsoft-com:office:smarttags" w:element="place">
        <w:r>
          <w:rPr>
            <w:snapToGrid w:val="0"/>
          </w:rPr>
          <w:t>Avon</w:t>
        </w:r>
      </w:smartTag>
      <w:r>
        <w:rPr>
          <w:snapToGrid w:val="0"/>
        </w:rPr>
        <w:t>.</w:t>
      </w:r>
    </w:p>
    <w:p>
      <w:pPr>
        <w:pStyle w:val="yMiscellaneousBody"/>
        <w:tabs>
          <w:tab w:val="left" w:pos="567"/>
        </w:tabs>
        <w:ind w:left="567" w:hanging="567"/>
        <w:rPr>
          <w:snapToGrid w:val="0"/>
        </w:rPr>
      </w:pPr>
      <w:r>
        <w:rPr>
          <w:snapToGrid w:val="0"/>
        </w:rPr>
        <w:t>45.</w:t>
      </w:r>
      <w:r>
        <w:rPr>
          <w:snapToGrid w:val="0"/>
        </w:rPr>
        <w:tab/>
        <w:t xml:space="preserve">The track between </w:t>
      </w:r>
      <w:smartTag w:uri="urn:schemas-microsoft-com:office:smarttags" w:element="place">
        <w:smartTag w:uri="urn:schemas-microsoft-com:office:smarttags" w:element="City">
          <w:r>
            <w:rPr>
              <w:snapToGrid w:val="0"/>
            </w:rPr>
            <w:t>Midland</w:t>
          </w:r>
        </w:smartTag>
      </w:smartTag>
      <w:r>
        <w:rPr>
          <w:snapToGrid w:val="0"/>
        </w:rPr>
        <w:t xml:space="preserve">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 xml:space="preserve">The narrow gauge double tracks between </w:t>
      </w:r>
      <w:smartTag w:uri="urn:schemas-microsoft-com:office:smarttags" w:element="place">
        <w:smartTag w:uri="urn:schemas-microsoft-com:office:smarttags" w:element="City">
          <w:r>
            <w:t>Perth</w:t>
          </w:r>
        </w:smartTag>
      </w:smartTag>
      <w:r>
        <w:t xml:space="preserve">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r>
      <w:smartTag w:uri="urn:schemas-microsoft-com:office:smarttags" w:element="place">
        <w:smartTag w:uri="urn:schemas-microsoft-com:office:smarttags" w:element="City">
          <w:r>
            <w:t>Midland</w:t>
          </w:r>
        </w:smartTag>
      </w:smartTag>
      <w:r>
        <w:t>;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 xml:space="preserve">The dual gauge track between Robb Jetty and Leighton and the spur line between Leighton and </w:t>
      </w:r>
      <w:smartTag w:uri="urn:schemas-microsoft-com:office:smarttags" w:element="place">
        <w:r>
          <w:t>North Fremantle</w:t>
        </w:r>
      </w:smartTag>
      <w:r>
        <w:t>.</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 xml:space="preserve">TPI Railway and </w:t>
      </w:r>
      <w:smartTag w:uri="urn:schemas-microsoft-com:office:smarttags" w:element="Street">
        <w:smartTag w:uri="urn:schemas-microsoft-com:office:smarttags" w:element="address">
          <w:r>
            <w:rPr>
              <w:b/>
            </w:rPr>
            <w:t>Port Agreement Route</w:t>
          </w:r>
        </w:smartTag>
      </w:smartTag>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in Gazette 23 Jul 2004 p. 2993</w:t>
      </w:r>
      <w:r>
        <w:noBreakHyphen/>
        <w:t>5; amended in Gazette 23 Jun 2009 p. 2416; amended by No. 77 of 2004 s. 13.]</w:t>
      </w:r>
    </w:p>
    <w:p>
      <w:pPr>
        <w:pStyle w:val="yScheduleHeading"/>
      </w:pPr>
      <w:bookmarkStart w:id="162" w:name="_Toc378668144"/>
      <w:bookmarkStart w:id="163" w:name="_Toc424742071"/>
      <w:bookmarkStart w:id="164" w:name="_Toc424742205"/>
      <w:r>
        <w:rPr>
          <w:rStyle w:val="CharSchNo"/>
        </w:rPr>
        <w:t>Schedule 2</w:t>
      </w:r>
      <w:r>
        <w:t> — </w:t>
      </w:r>
      <w:r>
        <w:rPr>
          <w:rStyle w:val="CharSchText"/>
        </w:rPr>
        <w:t>Information to be made available</w:t>
      </w:r>
      <w:bookmarkEnd w:id="162"/>
      <w:bookmarkEnd w:id="163"/>
      <w:bookmarkEnd w:id="164"/>
    </w:p>
    <w:p>
      <w:pPr>
        <w:pStyle w:val="yShoulderClause"/>
      </w:pPr>
      <w:r>
        <w:t>[s. 6]</w:t>
      </w:r>
    </w:p>
    <w:p>
      <w:pPr>
        <w:pStyle w:val="yFootnoteheading"/>
      </w:pPr>
      <w:r>
        <w:tab/>
        <w:t>[Heading inserted in Gazette 23 Jun 2009 p. 2417.]</w:t>
      </w:r>
    </w:p>
    <w:p>
      <w:pPr>
        <w:pStyle w:val="yHeading5"/>
      </w:pPr>
      <w:bookmarkStart w:id="165" w:name="_Toc378668145"/>
      <w:bookmarkStart w:id="166" w:name="_Toc424742206"/>
      <w:r>
        <w:t>Terms used</w:t>
      </w:r>
      <w:bookmarkEnd w:id="165"/>
      <w:bookmarkEnd w:id="166"/>
    </w:p>
    <w:p>
      <w:pPr>
        <w:pStyle w:val="ySubsection"/>
      </w:pPr>
      <w:r>
        <w:tab/>
        <w:t>1.</w:t>
      </w:r>
      <w:r>
        <w:tab/>
        <w:t xml:space="preserve">In item 4 of this Schedule — </w:t>
      </w:r>
    </w:p>
    <w:p>
      <w:pPr>
        <w:pStyle w:val="yDefstart"/>
      </w:pPr>
      <w:r>
        <w:tab/>
      </w:r>
      <w:r>
        <w:rPr>
          <w:rStyle w:val="CharDefText"/>
        </w:rPr>
        <w:t>gross tonnage</w:t>
      </w:r>
      <w:r>
        <w:t xml:space="preserve"> of a train means the total of the weights of the rolling stock of the train and of the freight carried;</w:t>
      </w:r>
    </w:p>
    <w:p>
      <w:pPr>
        <w:pStyle w:val="yDefstart"/>
      </w:pPr>
      <w:r>
        <w:tab/>
      </w:r>
      <w:r>
        <w:rPr>
          <w:rStyle w:val="CharDefText"/>
        </w:rPr>
        <w:t>tonnage of freight carried</w:t>
      </w:r>
      <w:r>
        <w:t xml:space="preserve"> means the gross tonnage of the train less the weight of the rolling stock.</w:t>
      </w:r>
    </w:p>
    <w:p>
      <w:pPr>
        <w:pStyle w:val="yHeading5"/>
      </w:pPr>
      <w:bookmarkStart w:id="167" w:name="_Toc378668146"/>
      <w:bookmarkStart w:id="168" w:name="_Toc424742207"/>
      <w:r>
        <w:t>Information</w:t>
      </w:r>
      <w:bookmarkEnd w:id="167"/>
      <w:bookmarkEnd w:id="168"/>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 2 inserted in Gazette 23 Jun 2009 p. 2417</w:t>
      </w:r>
      <w:r>
        <w:noBreakHyphen/>
        <w:t>18.]</w:t>
      </w:r>
    </w:p>
    <w:p>
      <w:pPr>
        <w:pStyle w:val="yScheduleHeading"/>
      </w:pPr>
      <w:bookmarkStart w:id="169" w:name="_Toc378668147"/>
      <w:bookmarkStart w:id="170" w:name="_Toc424742074"/>
      <w:bookmarkStart w:id="171" w:name="_Toc424742208"/>
      <w:r>
        <w:rPr>
          <w:rStyle w:val="CharSchNo"/>
        </w:rPr>
        <w:t xml:space="preserve">Schedule 3 </w:t>
      </w:r>
      <w:r>
        <w:t>—</w:t>
      </w:r>
      <w:r>
        <w:rPr>
          <w:rStyle w:val="CharSchText"/>
        </w:rPr>
        <w:t xml:space="preserve"> Matters for which provision to be made in access agreement</w:t>
      </w:r>
      <w:bookmarkEnd w:id="169"/>
      <w:bookmarkEnd w:id="170"/>
      <w:bookmarkEnd w:id="171"/>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ind w:left="1320" w:hanging="2280"/>
        <w:rPr>
          <w:snapToGrid w:val="0"/>
        </w:rPr>
      </w:pPr>
      <w:r>
        <w:tab/>
        <w:t>(a)</w:t>
      </w:r>
      <w:r>
        <w:tab/>
      </w:r>
      <w:r>
        <w:rPr>
          <w:snapToGrid w:val="0"/>
        </w:rPr>
        <w:t xml:space="preserve">as being competent to carry out functions in rail operations; and </w:t>
      </w:r>
    </w:p>
    <w:p>
      <w:pPr>
        <w:pStyle w:val="yNumberedItem"/>
        <w:ind w:left="1321" w:hanging="2279"/>
        <w:rPr>
          <w:snapToGrid w:val="0"/>
        </w:rPr>
      </w:pPr>
      <w:r>
        <w:tab/>
        <w:t xml:space="preserve">(b) </w:t>
      </w:r>
      <w:r>
        <w:tab/>
      </w:r>
      <w:r>
        <w:rPr>
          <w:snapToGrid w:val="0"/>
        </w:rPr>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ind w:left="1320" w:hanging="2280"/>
        <w:rPr>
          <w:snapToGrid w:val="0"/>
        </w:rPr>
      </w:pPr>
      <w:r>
        <w:tab/>
        <w:t>(</w:t>
      </w:r>
      <w:r>
        <w:rPr>
          <w:snapToGrid w:val="0"/>
        </w:rPr>
        <w:t>a)</w:t>
      </w:r>
      <w:r>
        <w:rPr>
          <w:snapToGrid w:val="0"/>
        </w:rPr>
        <w:tab/>
        <w:t>the inspection of;</w:t>
      </w:r>
    </w:p>
    <w:p>
      <w:pPr>
        <w:pStyle w:val="yNumberedItem"/>
        <w:ind w:left="1320" w:hanging="2280"/>
        <w:rPr>
          <w:snapToGrid w:val="0"/>
        </w:rPr>
      </w:pPr>
      <w:r>
        <w:rPr>
          <w:snapToGrid w:val="0"/>
        </w:rPr>
        <w:tab/>
        <w:t>(b)</w:t>
      </w:r>
      <w:r>
        <w:rPr>
          <w:snapToGrid w:val="0"/>
        </w:rPr>
        <w:tab/>
        <w:t>the obtaining of information about; and</w:t>
      </w:r>
    </w:p>
    <w:p>
      <w:pPr>
        <w:pStyle w:val="yNumberedItem"/>
        <w:ind w:left="1320" w:hanging="2280"/>
        <w:rPr>
          <w:snapToGrid w:val="0"/>
        </w:rPr>
      </w:pPr>
      <w:r>
        <w:rPr>
          <w:snapToGrid w:val="0"/>
        </w:rPr>
        <w:tab/>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sectPr>
          <w:headerReference w:type="even" r:id="rId26"/>
          <w:headerReference w:type="default" r:id="rId27"/>
          <w:pgSz w:w="11907" w:h="16840" w:code="9"/>
          <w:pgMar w:top="2376" w:right="2405" w:bottom="3542" w:left="2405" w:header="706" w:footer="3380" w:gutter="0"/>
          <w:cols w:space="720"/>
          <w:noEndnote/>
          <w:docGrid w:linePitch="326"/>
        </w:sectPr>
      </w:pPr>
      <w:r>
        <w:rPr>
          <w:snapToGrid w:val="0"/>
        </w:rPr>
        <w:t>23.</w:t>
      </w:r>
      <w:r>
        <w:rPr>
          <w:snapToGrid w:val="0"/>
        </w:rPr>
        <w:tab/>
        <w:t>Security for the payment of amounts becoming payable under the agreement.</w:t>
      </w:r>
    </w:p>
    <w:p>
      <w:pPr>
        <w:pStyle w:val="yScheduleHeading"/>
      </w:pPr>
      <w:bookmarkStart w:id="173" w:name="_Toc378668148"/>
      <w:bookmarkStart w:id="174" w:name="_Toc424742075"/>
      <w:bookmarkStart w:id="175" w:name="_Toc424742209"/>
      <w:r>
        <w:rPr>
          <w:rStyle w:val="CharSchNo"/>
        </w:rPr>
        <w:t xml:space="preserve">Schedule 4 </w:t>
      </w:r>
      <w:r>
        <w:t>—</w:t>
      </w:r>
      <w:r>
        <w:rPr>
          <w:rStyle w:val="CharSchText"/>
        </w:rPr>
        <w:t xml:space="preserve"> Provisions relating to prices to be paid for access</w:t>
      </w:r>
      <w:bookmarkEnd w:id="173"/>
      <w:bookmarkEnd w:id="174"/>
      <w:bookmarkEnd w:id="175"/>
    </w:p>
    <w:p>
      <w:pPr>
        <w:pStyle w:val="yShoulderClause"/>
        <w:rPr>
          <w:snapToGrid w:val="0"/>
        </w:rPr>
      </w:pPr>
      <w:r>
        <w:rPr>
          <w:snapToGrid w:val="0"/>
        </w:rPr>
        <w:t>[s. 17(1)(b)]</w:t>
      </w:r>
    </w:p>
    <w:p>
      <w:pPr>
        <w:pStyle w:val="yHeading3"/>
      </w:pPr>
      <w:bookmarkStart w:id="176" w:name="_Toc378668149"/>
      <w:bookmarkStart w:id="177" w:name="_Toc424742076"/>
      <w:bookmarkStart w:id="178" w:name="_Toc424742210"/>
      <w:r>
        <w:rPr>
          <w:rStyle w:val="CharSDivNo"/>
        </w:rPr>
        <w:t>Division 1</w:t>
      </w:r>
      <w:r>
        <w:t xml:space="preserve"> — </w:t>
      </w:r>
      <w:r>
        <w:rPr>
          <w:rStyle w:val="CharSDivText"/>
        </w:rPr>
        <w:t>Preliminary</w:t>
      </w:r>
      <w:bookmarkEnd w:id="176"/>
      <w:bookmarkEnd w:id="177"/>
      <w:bookmarkEnd w:id="178"/>
    </w:p>
    <w:p>
      <w:pPr>
        <w:pStyle w:val="yHeading5"/>
        <w:rPr>
          <w:snapToGrid w:val="0"/>
        </w:rPr>
      </w:pPr>
      <w:bookmarkStart w:id="179" w:name="_Toc378668150"/>
      <w:bookmarkStart w:id="180" w:name="_Toc424742211"/>
      <w:r>
        <w:rPr>
          <w:rStyle w:val="CharSClsNo"/>
        </w:rPr>
        <w:t>1</w:t>
      </w:r>
      <w:r>
        <w:rPr>
          <w:snapToGrid w:val="0"/>
        </w:rPr>
        <w:t>.</w:t>
      </w:r>
      <w:r>
        <w:rPr>
          <w:snapToGrid w:val="0"/>
        </w:rPr>
        <w:tab/>
        <w:t>Terms used</w:t>
      </w:r>
      <w:bookmarkEnd w:id="179"/>
      <w:bookmarkEnd w:id="180"/>
    </w:p>
    <w:p>
      <w:pPr>
        <w:pStyle w:val="ySubsection"/>
        <w:rPr>
          <w:snapToGrid w:val="0"/>
        </w:rPr>
      </w:pPr>
      <w:r>
        <w:rPr>
          <w:snapToGrid w:val="0"/>
        </w:rPr>
        <w:tab/>
      </w:r>
      <w:r>
        <w:rPr>
          <w:snapToGrid w:val="0"/>
        </w:rPr>
        <w:tab/>
        <w:t>In this Schedule — </w:t>
      </w:r>
    </w:p>
    <w:p>
      <w:pPr>
        <w:pStyle w:val="y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rPr>
          <w:snapToGrid w:val="0"/>
        </w:rPr>
      </w:pPr>
      <w:r>
        <w:rPr>
          <w:snapToGrid w:val="0"/>
        </w:rPr>
        <w:tab/>
        <w:t>(i)</w:t>
      </w:r>
      <w:r>
        <w:rPr>
          <w:snapToGrid w:val="0"/>
        </w:rPr>
        <w:tab/>
        <w:t>the capital costs; and</w:t>
      </w:r>
    </w:p>
    <w:p>
      <w:pPr>
        <w:pStyle w:val="yDefsubpara"/>
        <w:rPr>
          <w:snapToGrid w:val="0"/>
        </w:rPr>
      </w:pPr>
      <w:r>
        <w:rPr>
          <w:snapToGrid w:val="0"/>
        </w:rPr>
        <w:tab/>
        <w:t>(ii)</w:t>
      </w:r>
      <w:r>
        <w:rPr>
          <w:snapToGrid w:val="0"/>
        </w:rPr>
        <w:tab/>
        <w:t>the overheads attributable to the performance of the railway owner’s access</w:t>
      </w:r>
      <w:r>
        <w:rPr>
          <w:snapToGrid w:val="0"/>
        </w:rP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and </w:t>
      </w:r>
    </w:p>
    <w:p>
      <w:pPr>
        <w:pStyle w:val="yIndenta"/>
      </w:pPr>
      <w:r>
        <w:tab/>
        <w:t>(c)</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clause 2(5),</w:t>
      </w:r>
    </w:p>
    <w:p>
      <w:pPr>
        <w:pStyle w:val="yDefstart"/>
      </w:pP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w:t>
      </w:r>
      <w:r>
        <w:noBreakHyphen/>
        <w:t>6; 20 Sep 2011 p. 3801.]</w:t>
      </w:r>
    </w:p>
    <w:p>
      <w:pPr>
        <w:pStyle w:val="yHeading5"/>
        <w:rPr>
          <w:snapToGrid w:val="0"/>
        </w:rPr>
      </w:pPr>
      <w:bookmarkStart w:id="181" w:name="_Toc378668151"/>
      <w:bookmarkStart w:id="182" w:name="_Toc424742212"/>
      <w:r>
        <w:rPr>
          <w:rStyle w:val="CharSClsNo"/>
        </w:rPr>
        <w:t>2</w:t>
      </w:r>
      <w:r>
        <w:rPr>
          <w:snapToGrid w:val="0"/>
        </w:rPr>
        <w:t>.</w:t>
      </w:r>
      <w:r>
        <w:rPr>
          <w:snapToGrid w:val="0"/>
        </w:rPr>
        <w:tab/>
        <w:t>Railway infrastructure</w:t>
      </w:r>
      <w:bookmarkEnd w:id="181"/>
      <w:bookmarkEnd w:id="182"/>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pPr>
      <w:r>
        <w:tab/>
        <w:t>(2)</w:t>
      </w:r>
      <w:r>
        <w:tab/>
        <w:t>For the purposes of this clause, railway infrastructure includes a cutting or embankment made for any reason after the commencement of this Code.</w:t>
      </w:r>
    </w:p>
    <w:p>
      <w:pPr>
        <w:pStyle w:val="ySubsection"/>
        <w:rPr>
          <w:snapToGrid w:val="0"/>
        </w:rPr>
      </w:pPr>
      <w:r>
        <w:rPr>
          <w:snapToGrid w:val="0"/>
        </w:rPr>
        <w:tab/>
        <w:t>(3)</w:t>
      </w:r>
      <w:r>
        <w:rPr>
          <w:snapToGrid w:val="0"/>
        </w:rPr>
        <w:tab/>
      </w:r>
      <w:r>
        <w:t>Capital costs (other than capital costs under subclause (5))</w:t>
      </w:r>
      <w:r>
        <w:rPr>
          <w:snapToGrid w:val="0"/>
        </w:rPr>
        <w:t xml:space="preserve">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keepNext/>
        <w:keepLines/>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keepNext/>
        <w:keepLines/>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Subsection"/>
      </w:pPr>
      <w:r>
        <w:tab/>
        <w:t>(5)</w:t>
      </w:r>
      <w:r>
        <w:tab/>
        <w:t xml:space="preserve">Capital costs include amounts for the amortisation of — </w:t>
      </w:r>
    </w:p>
    <w:p>
      <w:pPr>
        <w:pStyle w:val="yIndenta"/>
      </w:pPr>
      <w:r>
        <w:tab/>
        <w:t>(a)</w:t>
      </w:r>
      <w:r>
        <w:tab/>
        <w:t>the costs incurred by the railway owner or an associate of the railway owner to acquire any interest in land; and</w:t>
      </w:r>
    </w:p>
    <w:p>
      <w:pPr>
        <w:pStyle w:val="yIndenta"/>
      </w:pPr>
      <w:r>
        <w:tab/>
        <w:t>(b)</w:t>
      </w:r>
      <w:r>
        <w:tab/>
        <w:t>any other costs incurred by the railway owner or an associate of the railway owner in relation to the acquisition of any interest in land (for example, costs in connection with Aboriginal heritage or native title issues or other transaction costs),</w:t>
      </w:r>
    </w:p>
    <w:p>
      <w:pPr>
        <w:pStyle w:val="ySubsection"/>
      </w:pPr>
      <w:r>
        <w:tab/>
      </w:r>
      <w:r>
        <w:tab/>
        <w:t>but only to the extent that the Regulator determines that those amounts relate to the acquisition after the commencement of this Code of an interest in land used for constructing, maintaining or operating the relevant railway.</w:t>
      </w:r>
    </w:p>
    <w:p>
      <w:pPr>
        <w:pStyle w:val="yFootnotesection"/>
      </w:pPr>
      <w:r>
        <w:tab/>
        <w:t>[Clause 2 amended in Gazette 23 Jul 2004 p. 2996; 20 Sep 2011 p. 3802.]</w:t>
      </w:r>
    </w:p>
    <w:p>
      <w:pPr>
        <w:pStyle w:val="yHeading5"/>
        <w:rPr>
          <w:snapToGrid w:val="0"/>
        </w:rPr>
      </w:pPr>
      <w:bookmarkStart w:id="183" w:name="_Toc378668152"/>
      <w:bookmarkStart w:id="184" w:name="_Toc424742213"/>
      <w:r>
        <w:rPr>
          <w:rStyle w:val="CharSClsNo"/>
        </w:rPr>
        <w:t>3</w:t>
      </w:r>
      <w:r>
        <w:rPr>
          <w:snapToGrid w:val="0"/>
        </w:rPr>
        <w:t>.</w:t>
      </w:r>
      <w:r>
        <w:rPr>
          <w:snapToGrid w:val="0"/>
        </w:rPr>
        <w:tab/>
        <w:t>Regulator to determine weighted average cost of capital</w:t>
      </w:r>
      <w:bookmarkEnd w:id="183"/>
      <w:bookmarkEnd w:id="184"/>
      <w:r>
        <w:rPr>
          <w:snapToGrid w:val="0"/>
        </w:rPr>
        <w:t xml:space="preserve"> </w:t>
      </w:r>
    </w:p>
    <w:p>
      <w:pPr>
        <w:pStyle w:val="ySubsection"/>
        <w:spacing w:before="120"/>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 </w:t>
      </w:r>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w:t>
      </w:r>
      <w:r>
        <w:rPr>
          <w:i w:val="0"/>
          <w:iCs/>
          <w:vertAlign w:val="superscript"/>
        </w:rPr>
        <w:t>2</w:t>
      </w:r>
      <w:r>
        <w:t xml:space="preserve"> amended in Gazette 23 Jul 2004 p. 2996; amended by Act No. 77 of 2004 s. 14.]</w:t>
      </w:r>
    </w:p>
    <w:p>
      <w:pPr>
        <w:pStyle w:val="yHeading5"/>
        <w:spacing w:before="180"/>
        <w:rPr>
          <w:snapToGrid w:val="0"/>
        </w:rPr>
      </w:pPr>
      <w:bookmarkStart w:id="185" w:name="_Toc378668153"/>
      <w:bookmarkStart w:id="186" w:name="_Toc424742214"/>
      <w:r>
        <w:rPr>
          <w:rStyle w:val="CharSClsNo"/>
        </w:rPr>
        <w:t>4</w:t>
      </w:r>
      <w:r>
        <w:rPr>
          <w:snapToGrid w:val="0"/>
        </w:rPr>
        <w:t>.</w:t>
      </w:r>
      <w:r>
        <w:rPr>
          <w:snapToGrid w:val="0"/>
        </w:rPr>
        <w:tab/>
        <w:t>Nature of costs</w:t>
      </w:r>
      <w:bookmarkEnd w:id="185"/>
      <w:bookmarkEnd w:id="186"/>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187" w:name="_Toc378668154"/>
      <w:bookmarkStart w:id="188" w:name="_Toc424742081"/>
      <w:bookmarkStart w:id="189" w:name="_Toc424742215"/>
      <w:r>
        <w:rPr>
          <w:rStyle w:val="CharSDivNo"/>
        </w:rPr>
        <w:t>Division 2</w:t>
      </w:r>
      <w:r>
        <w:rPr>
          <w:snapToGrid w:val="0"/>
        </w:rPr>
        <w:t xml:space="preserve"> — </w:t>
      </w:r>
      <w:r>
        <w:rPr>
          <w:rStyle w:val="CharSDivText"/>
        </w:rPr>
        <w:t>Provisions relating to access price negotiation</w:t>
      </w:r>
      <w:bookmarkEnd w:id="187"/>
      <w:bookmarkEnd w:id="188"/>
      <w:bookmarkEnd w:id="189"/>
    </w:p>
    <w:p>
      <w:pPr>
        <w:pStyle w:val="yHeading5"/>
        <w:spacing w:before="180"/>
        <w:rPr>
          <w:snapToGrid w:val="0"/>
        </w:rPr>
      </w:pPr>
      <w:bookmarkStart w:id="190" w:name="_Toc378668155"/>
      <w:bookmarkStart w:id="191" w:name="_Toc424742216"/>
      <w:r>
        <w:rPr>
          <w:rStyle w:val="CharSClsNo"/>
        </w:rPr>
        <w:t>5</w:t>
      </w:r>
      <w:r>
        <w:rPr>
          <w:snapToGrid w:val="0"/>
        </w:rPr>
        <w:t>.</w:t>
      </w:r>
      <w:r>
        <w:rPr>
          <w:snapToGrid w:val="0"/>
        </w:rPr>
        <w:tab/>
        <w:t>Term used: other entities</w:t>
      </w:r>
      <w:bookmarkEnd w:id="190"/>
      <w:bookmarkEnd w:id="191"/>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192" w:name="_Toc378668156"/>
      <w:bookmarkStart w:id="193" w:name="_Toc424742217"/>
      <w:r>
        <w:rPr>
          <w:rStyle w:val="CharSClsNo"/>
        </w:rPr>
        <w:t>6</w:t>
      </w:r>
      <w:r>
        <w:rPr>
          <w:snapToGrid w:val="0"/>
        </w:rPr>
        <w:t>.</w:t>
      </w:r>
      <w:r>
        <w:rPr>
          <w:snapToGrid w:val="0"/>
        </w:rPr>
        <w:tab/>
        <w:t>Prices to be negotiated</w:t>
      </w:r>
      <w:bookmarkEnd w:id="192"/>
      <w:bookmarkEnd w:id="193"/>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pPr>
      <w:bookmarkStart w:id="194" w:name="_Toc378668157"/>
      <w:bookmarkStart w:id="195" w:name="_Toc424742218"/>
      <w:r>
        <w:rPr>
          <w:rStyle w:val="CharSClsNo"/>
        </w:rPr>
        <w:t>7A</w:t>
      </w:r>
      <w:r>
        <w:t>.</w:t>
      </w:r>
      <w:r>
        <w:tab/>
        <w:t>Apportionment of costs of extension or expansion</w:t>
      </w:r>
      <w:bookmarkEnd w:id="194"/>
      <w:bookmarkEnd w:id="195"/>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 in Gazette 23 Jun 2009 p. 2418</w:t>
      </w:r>
      <w:r>
        <w:noBreakHyphen/>
        <w:t>19.]</w:t>
      </w:r>
    </w:p>
    <w:p>
      <w:pPr>
        <w:pStyle w:val="yHeading5"/>
        <w:rPr>
          <w:snapToGrid w:val="0"/>
        </w:rPr>
      </w:pPr>
      <w:bookmarkStart w:id="196" w:name="_Toc378668158"/>
      <w:bookmarkStart w:id="197" w:name="_Toc424742219"/>
      <w:r>
        <w:rPr>
          <w:rStyle w:val="CharSClsNo"/>
        </w:rPr>
        <w:t>7</w:t>
      </w:r>
      <w:r>
        <w:rPr>
          <w:snapToGrid w:val="0"/>
        </w:rPr>
        <w:t>.</w:t>
      </w:r>
      <w:r>
        <w:rPr>
          <w:snapToGrid w:val="0"/>
        </w:rPr>
        <w:tab/>
        <w:t>Floor price test</w:t>
      </w:r>
      <w:bookmarkEnd w:id="196"/>
      <w:bookmarkEnd w:id="197"/>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198" w:name="_Toc378668159"/>
      <w:bookmarkStart w:id="199" w:name="_Toc424742220"/>
      <w:r>
        <w:rPr>
          <w:rStyle w:val="CharSClsNo"/>
        </w:rPr>
        <w:t>8</w:t>
      </w:r>
      <w:r>
        <w:rPr>
          <w:snapToGrid w:val="0"/>
        </w:rPr>
        <w:t>.</w:t>
      </w:r>
      <w:r>
        <w:rPr>
          <w:snapToGrid w:val="0"/>
        </w:rPr>
        <w:tab/>
        <w:t>Ceiling price test</w:t>
      </w:r>
      <w:bookmarkEnd w:id="198"/>
      <w:bookmarkEnd w:id="199"/>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keepNext/>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w:t>
      </w:r>
      <w:r>
        <w:noBreakHyphen/>
        <w:t>7.]</w:t>
      </w:r>
    </w:p>
    <w:p>
      <w:pPr>
        <w:pStyle w:val="yHeading5"/>
        <w:rPr>
          <w:snapToGrid w:val="0"/>
        </w:rPr>
      </w:pPr>
      <w:bookmarkStart w:id="200" w:name="_Toc378668160"/>
      <w:bookmarkStart w:id="201" w:name="_Toc424742221"/>
      <w:r>
        <w:rPr>
          <w:rStyle w:val="CharSClsNo"/>
        </w:rPr>
        <w:t>9</w:t>
      </w:r>
      <w:r>
        <w:rPr>
          <w:snapToGrid w:val="0"/>
        </w:rPr>
        <w:t>.</w:t>
      </w:r>
      <w:r>
        <w:rPr>
          <w:snapToGrid w:val="0"/>
        </w:rPr>
        <w:tab/>
        <w:t>Determination of costs by Regulator</w:t>
      </w:r>
      <w:bookmarkEnd w:id="200"/>
      <w:bookmarkEnd w:id="201"/>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keepLines/>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202" w:name="_Toc378668161"/>
      <w:bookmarkStart w:id="203" w:name="_Toc424742222"/>
      <w:r>
        <w:rPr>
          <w:rStyle w:val="CharSClsNo"/>
        </w:rPr>
        <w:t>10</w:t>
      </w:r>
      <w:r>
        <w:rPr>
          <w:snapToGrid w:val="0"/>
        </w:rPr>
        <w:t>.</w:t>
      </w:r>
      <w:r>
        <w:rPr>
          <w:snapToGrid w:val="0"/>
        </w:rPr>
        <w:tab/>
        <w:t>Determination of costs where clause 9 does not apply</w:t>
      </w:r>
      <w:bookmarkEnd w:id="202"/>
      <w:bookmarkEnd w:id="203"/>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keepNext/>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 7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204" w:name="_Toc378668162"/>
      <w:bookmarkStart w:id="205" w:name="_Toc424742223"/>
      <w:r>
        <w:rPr>
          <w:rStyle w:val="CharSClsNo"/>
        </w:rPr>
        <w:t>11</w:t>
      </w:r>
      <w:r>
        <w:rPr>
          <w:snapToGrid w:val="0"/>
        </w:rPr>
        <w:t>.</w:t>
      </w:r>
      <w:r>
        <w:rPr>
          <w:snapToGrid w:val="0"/>
        </w:rPr>
        <w:tab/>
        <w:t>Public submissions may be sought</w:t>
      </w:r>
      <w:bookmarkEnd w:id="204"/>
      <w:bookmarkEnd w:id="205"/>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206" w:name="_Toc378668163"/>
      <w:bookmarkStart w:id="207" w:name="_Toc424742224"/>
      <w:r>
        <w:rPr>
          <w:rStyle w:val="CharSClsNo"/>
        </w:rPr>
        <w:t>12</w:t>
      </w:r>
      <w:r>
        <w:rPr>
          <w:snapToGrid w:val="0"/>
        </w:rPr>
        <w:t>.</w:t>
      </w:r>
      <w:r>
        <w:rPr>
          <w:snapToGrid w:val="0"/>
        </w:rPr>
        <w:tab/>
        <w:t>Review and redetermination of costs</w:t>
      </w:r>
      <w:bookmarkEnd w:id="206"/>
      <w:bookmarkEnd w:id="207"/>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pPr>
      <w:bookmarkStart w:id="208" w:name="_Toc378668164"/>
      <w:bookmarkStart w:id="209" w:name="_Toc424742225"/>
      <w:r>
        <w:rPr>
          <w:rStyle w:val="CharSClsNo"/>
        </w:rPr>
        <w:t>13</w:t>
      </w:r>
      <w:r>
        <w:t>.</w:t>
      </w:r>
      <w:r>
        <w:tab/>
        <w:t>Guidelines to be applied</w:t>
      </w:r>
      <w:bookmarkEnd w:id="208"/>
      <w:bookmarkEnd w:id="209"/>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sectPr>
          <w:headerReference w:type="even" r:id="rId28"/>
          <w:headerReference w:type="default" r:id="rId29"/>
          <w:pgSz w:w="11907" w:h="16840" w:code="9"/>
          <w:pgMar w:top="2376" w:right="2405" w:bottom="3542" w:left="2405" w:header="706" w:footer="3380" w:gutter="0"/>
          <w:cols w:space="720"/>
          <w:noEndnote/>
          <w:docGrid w:linePitch="326"/>
        </w:sectPr>
      </w:pPr>
      <w:r>
        <w:tab/>
      </w:r>
    </w:p>
    <w:p>
      <w:pPr>
        <w:pStyle w:val="yScheduleHeading"/>
      </w:pPr>
      <w:bookmarkStart w:id="210" w:name="_Toc378668165"/>
      <w:bookmarkStart w:id="211" w:name="_Toc424742092"/>
      <w:bookmarkStart w:id="212" w:name="_Toc424742226"/>
      <w:r>
        <w:rPr>
          <w:rStyle w:val="CharSchNo"/>
        </w:rPr>
        <w:t xml:space="preserve">Schedule 5 </w:t>
      </w:r>
      <w:r>
        <w:t>—</w:t>
      </w:r>
      <w:r>
        <w:rPr>
          <w:rStyle w:val="CharSchText"/>
        </w:rPr>
        <w:t xml:space="preserve"> Relevant provisions of Competition Principles Agreement</w:t>
      </w:r>
      <w:bookmarkEnd w:id="210"/>
      <w:bookmarkEnd w:id="211"/>
      <w:bookmarkEnd w:id="212"/>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213" w:name="_Toc378668166"/>
      <w:bookmarkStart w:id="214" w:name="_Toc424742093"/>
      <w:bookmarkStart w:id="215" w:name="_Toc424742227"/>
      <w:r>
        <w:t>Notes</w:t>
      </w:r>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Railways (Access) Code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16" w:name="_Toc378668167"/>
      <w:bookmarkStart w:id="217" w:name="_Toc424742228"/>
      <w:r>
        <w:t>Compilation table</w:t>
      </w:r>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rPr>
              <w:t>Railways (Access) Code 2000</w:t>
            </w:r>
          </w:p>
        </w:tc>
        <w:tc>
          <w:tcPr>
            <w:tcW w:w="1276" w:type="dxa"/>
          </w:tcPr>
          <w:p>
            <w:pPr>
              <w:pStyle w:val="nTable"/>
              <w:spacing w:after="40"/>
            </w:pPr>
            <w:r>
              <w:t>8 Sep 2000 p. 5123</w:t>
            </w:r>
            <w:r>
              <w:noBreakHyphen/>
              <w:t>81</w:t>
            </w:r>
          </w:p>
        </w:tc>
        <w:tc>
          <w:tcPr>
            <w:tcW w:w="2693" w:type="dxa"/>
          </w:tcPr>
          <w:p>
            <w:pPr>
              <w:pStyle w:val="nTable"/>
              <w:spacing w:after="40"/>
            </w:pPr>
            <w:r>
              <w:t>1 Sep 2001 (see s. 2 and </w:t>
            </w:r>
            <w:r>
              <w:rPr>
                <w:i/>
              </w:rPr>
              <w:t>Gazette</w:t>
            </w:r>
            <w:r>
              <w:t xml:space="preserve"> 28 Aug 2001 p. 4795)</w:t>
            </w:r>
          </w:p>
        </w:tc>
      </w:tr>
      <w:tr>
        <w:tc>
          <w:tcPr>
            <w:tcW w:w="3119" w:type="dxa"/>
          </w:tcPr>
          <w:p>
            <w:pPr>
              <w:pStyle w:val="nTable"/>
              <w:spacing w:after="40"/>
            </w:pPr>
            <w:r>
              <w:rPr>
                <w:i/>
              </w:rPr>
              <w:t>Railways (Access) Amendment Code 2004</w:t>
            </w:r>
            <w:r>
              <w:t xml:space="preserve"> </w:t>
            </w:r>
            <w:r>
              <w:rPr>
                <w:vertAlign w:val="superscript"/>
              </w:rPr>
              <w:t>3</w:t>
            </w:r>
          </w:p>
        </w:tc>
        <w:tc>
          <w:tcPr>
            <w:tcW w:w="1276" w:type="dxa"/>
          </w:tcPr>
          <w:p>
            <w:pPr>
              <w:pStyle w:val="nTable"/>
              <w:spacing w:after="40"/>
            </w:pPr>
            <w:r>
              <w:t>23 Jul 2004 p. 2988</w:t>
            </w:r>
            <w:r>
              <w:noBreakHyphen/>
              <w:t>97</w:t>
            </w:r>
          </w:p>
        </w:tc>
        <w:tc>
          <w:tcPr>
            <w:tcW w:w="2693" w:type="dxa"/>
          </w:tcPr>
          <w:p>
            <w:pPr>
              <w:pStyle w:val="nTable"/>
              <w:spacing w:after="40"/>
            </w:pPr>
            <w:r>
              <w:t>23 Jul 2004 (see s. 2)</w:t>
            </w:r>
          </w:p>
        </w:tc>
      </w:tr>
      <w:tr>
        <w:trPr>
          <w:cantSplit/>
        </w:trPr>
        <w:tc>
          <w:tcPr>
            <w:tcW w:w="4395" w:type="dxa"/>
            <w:gridSpan w:val="2"/>
          </w:tcPr>
          <w:p>
            <w:pPr>
              <w:pStyle w:val="nTable"/>
              <w:spacing w:after="40"/>
            </w:pPr>
            <w:r>
              <w:rPr>
                <w:i/>
                <w:iCs/>
              </w:rPr>
              <w:t>Railway and Port (The Pilbara Infrastructure Pty Ltd) Agreement Act 2004</w:t>
            </w:r>
            <w:r>
              <w:t xml:space="preserve"> Pt. 3 Div. 2 assented to 8 Dec 2004</w:t>
            </w:r>
          </w:p>
        </w:tc>
        <w:tc>
          <w:tcPr>
            <w:tcW w:w="2693" w:type="dxa"/>
          </w:tcPr>
          <w:p>
            <w:pPr>
              <w:pStyle w:val="nTable"/>
              <w:spacing w:after="40"/>
            </w:pPr>
            <w:r>
              <w:t xml:space="preserve">1 Jul 2008 (see s. 2(2) and </w:t>
            </w:r>
            <w:r>
              <w:rPr>
                <w:i/>
                <w:iCs/>
              </w:rPr>
              <w:t>Gazette</w:t>
            </w:r>
            <w:r>
              <w:t xml:space="preserve"> 17 Jun 2008 p. 2543)</w:t>
            </w:r>
          </w:p>
        </w:tc>
      </w:tr>
      <w:tr>
        <w:tc>
          <w:tcPr>
            <w:tcW w:w="3119" w:type="dxa"/>
          </w:tcPr>
          <w:p>
            <w:pPr>
              <w:pStyle w:val="nTable"/>
              <w:spacing w:after="40"/>
            </w:pPr>
            <w:r>
              <w:rPr>
                <w:i/>
              </w:rPr>
              <w:t>Railways (Access) Amendment Code 2009</w:t>
            </w:r>
          </w:p>
        </w:tc>
        <w:tc>
          <w:tcPr>
            <w:tcW w:w="1276" w:type="dxa"/>
          </w:tcPr>
          <w:p>
            <w:pPr>
              <w:pStyle w:val="nTable"/>
              <w:spacing w:after="40"/>
            </w:pPr>
            <w:r>
              <w:t>23 Jun 2009 p. 2407</w:t>
            </w:r>
            <w:r>
              <w:noBreakHyphen/>
              <w:t>19</w:t>
            </w:r>
          </w:p>
        </w:tc>
        <w:tc>
          <w:tcPr>
            <w:tcW w:w="2693" w:type="dxa"/>
          </w:tcPr>
          <w:p>
            <w:pPr>
              <w:pStyle w:val="nTable"/>
              <w:spacing w:after="40"/>
            </w:pPr>
            <w:r>
              <w:rPr>
                <w:snapToGrid w:val="0"/>
                <w:spacing w:val="-2"/>
              </w:rPr>
              <w:t>s. 1 and 2: 23 Jun 2009 (see s. 2(a));</w:t>
            </w:r>
            <w:r>
              <w:rPr>
                <w:snapToGrid w:val="0"/>
                <w:spacing w:val="-2"/>
              </w:rPr>
              <w:br/>
              <w:t>Code other than s. 1 and 2: 24 Jun 2009 (see s.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rPr>
              <w:t xml:space="preserve">Railways (Access) Code 2000 </w:t>
            </w:r>
            <w:r>
              <w:rPr>
                <w:b/>
                <w:bCs/>
                <w:snapToGrid w:val="0"/>
                <w:spacing w:val="-2"/>
              </w:rPr>
              <w:t>as at 5 Feb 2010</w:t>
            </w:r>
            <w:r>
              <w:rPr>
                <w:snapToGrid w:val="0"/>
                <w:spacing w:val="-2"/>
              </w:rPr>
              <w:t xml:space="preserve"> (includes amendments listed above)</w:t>
            </w:r>
          </w:p>
        </w:tc>
      </w:tr>
      <w:tr>
        <w:tc>
          <w:tcPr>
            <w:tcW w:w="3119" w:type="dxa"/>
          </w:tcPr>
          <w:p>
            <w:pPr>
              <w:pStyle w:val="nTable"/>
              <w:spacing w:after="40"/>
            </w:pPr>
            <w:r>
              <w:rPr>
                <w:i/>
              </w:rPr>
              <w:t>Railways (Access) Amendment Code 2011</w:t>
            </w:r>
          </w:p>
        </w:tc>
        <w:tc>
          <w:tcPr>
            <w:tcW w:w="1276" w:type="dxa"/>
          </w:tcPr>
          <w:p>
            <w:pPr>
              <w:pStyle w:val="nTable"/>
              <w:spacing w:after="40"/>
            </w:pPr>
            <w:r>
              <w:t>20 Sep 2011 p. 3801</w:t>
            </w:r>
            <w:r>
              <w:noBreakHyphen/>
              <w:t>2</w:t>
            </w:r>
          </w:p>
        </w:tc>
        <w:tc>
          <w:tcPr>
            <w:tcW w:w="2693" w:type="dxa"/>
          </w:tcPr>
          <w:p>
            <w:pPr>
              <w:pStyle w:val="nTable"/>
              <w:spacing w:after="40"/>
            </w:pPr>
            <w:r>
              <w:rPr>
                <w:snapToGrid w:val="0"/>
                <w:spacing w:val="-2"/>
              </w:rPr>
              <w:t>s. 1 and 2: 20 Sep 2011 (see s. 2(a));</w:t>
            </w:r>
            <w:r>
              <w:rPr>
                <w:snapToGrid w:val="0"/>
                <w:spacing w:val="-2"/>
              </w:rPr>
              <w:br/>
              <w:t>Code other than s. 1 and 2: 21 Sep 2011 (see s. 2(b))</w:t>
            </w:r>
          </w:p>
        </w:tc>
      </w:tr>
      <w:tr>
        <w:tc>
          <w:tcPr>
            <w:tcW w:w="3119" w:type="dxa"/>
            <w:tcBorders>
              <w:bottom w:val="single" w:sz="4" w:space="0" w:color="auto"/>
            </w:tcBorders>
          </w:tcPr>
          <w:p>
            <w:pPr>
              <w:pStyle w:val="nTable"/>
              <w:spacing w:after="40"/>
              <w:rPr>
                <w:i/>
              </w:rPr>
            </w:pPr>
            <w:r>
              <w:rPr>
                <w:i/>
              </w:rPr>
              <w:t>Railways (Access) Amendment Code 2013</w:t>
            </w:r>
          </w:p>
        </w:tc>
        <w:tc>
          <w:tcPr>
            <w:tcW w:w="1276" w:type="dxa"/>
            <w:tcBorders>
              <w:bottom w:val="single" w:sz="4" w:space="0" w:color="auto"/>
            </w:tcBorders>
          </w:tcPr>
          <w:p>
            <w:pPr>
              <w:pStyle w:val="nTable"/>
              <w:spacing w:after="40"/>
            </w:pPr>
            <w:r>
              <w:t>19 Jul 2013 p. 3269-71</w:t>
            </w:r>
          </w:p>
        </w:tc>
        <w:tc>
          <w:tcPr>
            <w:tcW w:w="2693" w:type="dxa"/>
            <w:tcBorders>
              <w:bottom w:val="single" w:sz="4" w:space="0" w:color="auto"/>
            </w:tcBorders>
          </w:tcPr>
          <w:p>
            <w:pPr>
              <w:pStyle w:val="nTable"/>
              <w:spacing w:after="40"/>
              <w:rPr>
                <w:snapToGrid w:val="0"/>
                <w:spacing w:val="-2"/>
              </w:rPr>
            </w:pPr>
            <w:r>
              <w:t>s. 1 and 2: 19 Jul 2013 see s. 2(a));</w:t>
            </w:r>
            <w:r>
              <w:br/>
              <w:t xml:space="preserve">Code other than s. 1 and 2: 7 Aug 2013 (see s. 2(b) and </w:t>
            </w:r>
            <w:r>
              <w:rPr>
                <w:i/>
              </w:rPr>
              <w:t>Gazette</w:t>
            </w:r>
            <w:r>
              <w:t xml:space="preserve"> 6 Aug 2013 p. 3677)</w:t>
            </w:r>
          </w:p>
        </w:tc>
      </w:tr>
    </w:tbl>
    <w:p>
      <w:pPr>
        <w:pStyle w:val="nSubsection"/>
        <w:spacing w:before="160"/>
      </w:pPr>
      <w:r>
        <w:rPr>
          <w:vertAlign w:val="superscript"/>
        </w:rPr>
        <w:t>2</w:t>
      </w:r>
      <w:r>
        <w:tab/>
        <w:t xml:space="preserve">For notices published under Schedule 4 clause 3(1) see — </w:t>
      </w:r>
    </w:p>
    <w:p>
      <w:pPr>
        <w:pStyle w:val="nSubsection"/>
        <w:spacing w:before="0"/>
      </w:pPr>
      <w:r>
        <w:tab/>
      </w:r>
      <w:r>
        <w:rPr>
          <w:i/>
          <w:iCs/>
        </w:rPr>
        <w:t>Government Gazette</w:t>
      </w:r>
      <w:r>
        <w:rPr>
          <w:i/>
          <w:iCs/>
        </w:rPr>
        <w:tab/>
      </w:r>
      <w:r>
        <w:t>16 Aug 2002 p. 4218;</w:t>
      </w:r>
      <w:r>
        <w:br/>
      </w:r>
      <w:r>
        <w:tab/>
      </w:r>
      <w:r>
        <w:rPr>
          <w:i/>
          <w:iCs/>
        </w:rPr>
        <w:tab/>
      </w:r>
      <w:r>
        <w:t>4 Jul 2003 p. 2720;</w:t>
      </w:r>
      <w:r>
        <w:br/>
      </w:r>
      <w:r>
        <w:tab/>
      </w:r>
      <w:r>
        <w:tab/>
        <w:t>6 Jul 2004 p. 2762;</w:t>
      </w:r>
      <w:r>
        <w:br/>
      </w:r>
      <w:r>
        <w:tab/>
        <w:t xml:space="preserve"> </w:t>
      </w:r>
      <w:r>
        <w:tab/>
        <w:t>15 Jul 2005 p. 3307</w:t>
      </w:r>
      <w:r>
        <w:noBreakHyphen/>
        <w:t>8;</w:t>
      </w:r>
      <w:r>
        <w:br/>
      </w:r>
      <w:r>
        <w:tab/>
        <w:t xml:space="preserve"> </w:t>
      </w:r>
      <w:r>
        <w:tab/>
        <w:t>10 Jul 2007 p. 3445;</w:t>
      </w:r>
      <w:r>
        <w:br/>
      </w:r>
      <w:r>
        <w:tab/>
        <w:t xml:space="preserve"> </w:t>
      </w:r>
      <w:r>
        <w:tab/>
        <w:t>26 Aug 2008 p. 4039;</w:t>
      </w:r>
      <w:r>
        <w:br/>
      </w:r>
      <w:r>
        <w:tab/>
      </w:r>
      <w:r>
        <w:tab/>
        <w:t>26 Jun 2009 p. 2588.</w:t>
      </w:r>
    </w:p>
    <w:p>
      <w:pPr>
        <w:pStyle w:val="nSubsection"/>
        <w:keepNext/>
        <w:spacing w:before="160"/>
      </w:pPr>
      <w:r>
        <w:rPr>
          <w:vertAlign w:val="superscript"/>
        </w:rPr>
        <w:t>3</w:t>
      </w:r>
      <w:r>
        <w:tab/>
        <w:t xml:space="preserve">The </w:t>
      </w:r>
      <w:r>
        <w:rPr>
          <w:i/>
        </w:rPr>
        <w:t>Railways (Access) Amendment Code 2004</w:t>
      </w:r>
      <w:r>
        <w:t xml:space="preserve"> s. 3(2) reads as follows:</w:t>
      </w:r>
    </w:p>
    <w:p>
      <w:pPr>
        <w:pStyle w:val="Blank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7, 8, 9 and 15(7) of this Code had not been made.</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219" w:name="_Toc424742229"/>
      <w:r>
        <w:rPr>
          <w:sz w:val="28"/>
        </w:rPr>
        <w:t>Defined terms</w:t>
      </w:r>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 xml:space="preserve">commencement day means the day on which the </w:t>
      </w:r>
      <w:r>
        <w:tab/>
        <w:t>36A(1)</w:t>
      </w:r>
    </w:p>
    <w:p>
      <w:pPr>
        <w:pStyle w:val="DefinedTerms"/>
      </w:pPr>
      <w:r>
        <w:t>a statement of policy</w:t>
      </w:r>
      <w:r>
        <w:tab/>
        <w:t>44(2)</w:t>
      </w:r>
    </w:p>
    <w:p>
      <w:pPr>
        <w:pStyle w:val="DefinedTerms"/>
      </w:pPr>
      <w:r>
        <w:t>access</w:t>
      </w:r>
      <w:r>
        <w:tab/>
        <w:t>3</w:t>
      </w:r>
    </w:p>
    <w:p>
      <w:pPr>
        <w:pStyle w:val="DefinedTerms"/>
      </w:pPr>
      <w:r>
        <w:t>access agreement</w:t>
      </w:r>
      <w:r>
        <w:tab/>
        <w:t>3</w:t>
      </w:r>
    </w:p>
    <w:p>
      <w:pPr>
        <w:pStyle w:val="DefinedTerms"/>
      </w:pPr>
      <w:r>
        <w:t>access</w:t>
      </w:r>
      <w:r>
        <w:noBreakHyphen/>
        <w:t>related functions</w:t>
      </w:r>
      <w:r>
        <w:tab/>
        <w:t>Sch. 4 cl. 1</w:t>
      </w:r>
    </w:p>
    <w:p>
      <w:pPr>
        <w:pStyle w:val="DefinedTerms"/>
      </w:pPr>
      <w:r>
        <w:t>Act</w:t>
      </w:r>
      <w:r>
        <w:tab/>
        <w:t>3</w:t>
      </w:r>
    </w:p>
    <w:p>
      <w:pPr>
        <w:pStyle w:val="DefinedTerms"/>
      </w:pPr>
      <w:r>
        <w:t>arbitrator</w:t>
      </w:r>
      <w:r>
        <w:tab/>
        <w:t>22</w:t>
      </w:r>
    </w:p>
    <w:p>
      <w:pPr>
        <w:pStyle w:val="DefinedTerms"/>
      </w:pPr>
      <w:r>
        <w:t>associate</w:t>
      </w:r>
      <w:r>
        <w:tab/>
        <w:t>3</w:t>
      </w:r>
    </w:p>
    <w:p>
      <w:pPr>
        <w:pStyle w:val="DefinedTerms"/>
      </w:pPr>
      <w:r>
        <w:t>calendar year</w:t>
      </w:r>
      <w:r>
        <w:tab/>
        <w:t>6</w:t>
      </w:r>
    </w:p>
    <w:p>
      <w:pPr>
        <w:pStyle w:val="DefinedTerms"/>
      </w:pPr>
      <w:r>
        <w:t>capacity</w:t>
      </w:r>
      <w:r>
        <w:tab/>
        <w:t>3</w:t>
      </w:r>
    </w:p>
    <w:p>
      <w:pPr>
        <w:pStyle w:val="DefinedTerms"/>
      </w:pPr>
      <w:r>
        <w:t>capital costs</w:t>
      </w:r>
      <w:r>
        <w:tab/>
        <w:t>Sch. 4 cl. 2(1)</w:t>
      </w:r>
    </w:p>
    <w:p>
      <w:pPr>
        <w:pStyle w:val="DefinedTerms"/>
      </w:pPr>
      <w:r>
        <w:t>ceiling price</w:t>
      </w:r>
      <w:r>
        <w:tab/>
        <w:t>9(4)</w:t>
      </w:r>
    </w:p>
    <w:p>
      <w:pPr>
        <w:pStyle w:val="DefinedTerms"/>
      </w:pPr>
      <w:r>
        <w:t>Commission</w:t>
      </w:r>
      <w:r>
        <w:tab/>
        <w:t>3</w:t>
      </w:r>
    </w:p>
    <w:p>
      <w:pPr>
        <w:pStyle w:val="DefinedTerms"/>
      </w:pPr>
      <w:r>
        <w:t>determination</w:t>
      </w:r>
      <w:r>
        <w:tab/>
        <w:t>3</w:t>
      </w:r>
    </w:p>
    <w:p>
      <w:pPr>
        <w:pStyle w:val="DefinedTerms"/>
      </w:pPr>
      <w:r>
        <w:t>enhanced facilities</w:t>
      </w:r>
      <w:r>
        <w:tab/>
        <w:t>Sch. 4 cl. 7A(2)</w:t>
      </w:r>
    </w:p>
    <w:p>
      <w:pPr>
        <w:pStyle w:val="DefinedTerms"/>
      </w:pPr>
      <w:r>
        <w:t>entity</w:t>
      </w:r>
      <w:r>
        <w:tab/>
        <w:t>3</w:t>
      </w:r>
    </w:p>
    <w:p>
      <w:pPr>
        <w:pStyle w:val="DefinedTerms"/>
      </w:pPr>
      <w:r>
        <w:t>expansion</w:t>
      </w:r>
      <w:r>
        <w:tab/>
        <w:t>3</w:t>
      </w:r>
    </w:p>
    <w:p>
      <w:pPr>
        <w:pStyle w:val="DefinedTerms"/>
      </w:pPr>
      <w:r>
        <w:t>extension</w:t>
      </w:r>
      <w:r>
        <w:tab/>
        <w:t>3</w:t>
      </w:r>
    </w:p>
    <w:p>
      <w:pPr>
        <w:pStyle w:val="DefinedTerms"/>
      </w:pPr>
      <w:r>
        <w:t>financial resources</w:t>
      </w:r>
      <w:r>
        <w:tab/>
        <w:t>14(2)</w:t>
      </w:r>
    </w:p>
    <w:p>
      <w:pPr>
        <w:pStyle w:val="DefinedTerms"/>
      </w:pPr>
      <w:r>
        <w:t>floor price</w:t>
      </w:r>
      <w:r>
        <w:tab/>
        <w:t>9(4)</w:t>
      </w:r>
    </w:p>
    <w:p>
      <w:pPr>
        <w:pStyle w:val="DefinedTerms"/>
      </w:pPr>
      <w:r>
        <w:t>Government railway</w:t>
      </w:r>
      <w:r>
        <w:tab/>
        <w:t>3</w:t>
      </w:r>
    </w:p>
    <w:p>
      <w:pPr>
        <w:pStyle w:val="DefinedTerms"/>
      </w:pPr>
      <w:r>
        <w:t>gross tonnage</w:t>
      </w:r>
      <w:r>
        <w:tab/>
        <w:t>Sch. 2</w:t>
      </w:r>
    </w:p>
    <w:p>
      <w:pPr>
        <w:pStyle w:val="DefinedTerms"/>
      </w:pPr>
      <w:r>
        <w:t>GRV</w:t>
      </w:r>
      <w:r>
        <w:tab/>
        <w:t>Sch. 4 cl. 2(4)</w:t>
      </w:r>
    </w:p>
    <w:p>
      <w:pPr>
        <w:pStyle w:val="DefinedTerms"/>
      </w:pPr>
      <w:r>
        <w:t>incremental costs</w:t>
      </w:r>
      <w:r>
        <w:tab/>
        <w:t>Sch. 4 cl. 1</w:t>
      </w:r>
    </w:p>
    <w:p>
      <w:pPr>
        <w:pStyle w:val="DefinedTerms"/>
      </w:pPr>
      <w:r>
        <w:t>matters determined by the Regulator</w:t>
      </w:r>
      <w:r>
        <w:tab/>
        <w:t>29(3)</w:t>
      </w:r>
    </w:p>
    <w:p>
      <w:pPr>
        <w:pStyle w:val="DefinedTerms"/>
      </w:pPr>
      <w:r>
        <w:t>operating costs</w:t>
      </w:r>
      <w:r>
        <w:tab/>
        <w:t>Sch. 4 cl. 1</w:t>
      </w:r>
    </w:p>
    <w:p>
      <w:pPr>
        <w:pStyle w:val="DefinedTerms"/>
      </w:pPr>
      <w:r>
        <w:t>operator</w:t>
      </w:r>
      <w:r>
        <w:tab/>
        <w:t>3</w:t>
      </w:r>
    </w:p>
    <w:p>
      <w:pPr>
        <w:pStyle w:val="DefinedTerms"/>
      </w:pPr>
      <w:r>
        <w:t>other entities</w:t>
      </w:r>
      <w:r>
        <w:tab/>
        <w:t>Sch. 4 cl. 5</w:t>
      </w:r>
    </w:p>
    <w:p>
      <w:pPr>
        <w:pStyle w:val="DefinedTerms"/>
      </w:pPr>
      <w:r>
        <w:t>other party</w:t>
      </w:r>
      <w:r>
        <w:tab/>
        <w:t>22</w:t>
      </w:r>
    </w:p>
    <w:p>
      <w:pPr>
        <w:pStyle w:val="DefinedTerms"/>
      </w:pPr>
      <w:r>
        <w:t>Part 5 instrument</w:t>
      </w:r>
      <w:r>
        <w:tab/>
        <w:t>40(3)</w:t>
      </w:r>
    </w:p>
    <w:p>
      <w:pPr>
        <w:pStyle w:val="DefinedTerms"/>
      </w:pPr>
      <w:r>
        <w:t>proponent</w:t>
      </w:r>
      <w:r>
        <w:tab/>
        <w:t>3</w:t>
      </w:r>
    </w:p>
    <w:p>
      <w:pPr>
        <w:pStyle w:val="DefinedTerms"/>
      </w:pPr>
      <w:r>
        <w:t>proposal</w:t>
      </w:r>
      <w:r>
        <w:tab/>
        <w:t>3</w:t>
      </w:r>
    </w:p>
    <w:p>
      <w:pPr>
        <w:pStyle w:val="DefinedTerms"/>
      </w:pPr>
      <w:r>
        <w:t>rail operations</w:t>
      </w:r>
      <w:r>
        <w:tab/>
        <w:t>3</w:t>
      </w:r>
    </w:p>
    <w:p>
      <w:pPr>
        <w:pStyle w:val="DefinedTerms"/>
      </w:pPr>
      <w:r>
        <w:t>rail operations of the railway owner</w:t>
      </w:r>
      <w:r>
        <w:tab/>
        <w:t>16(3)</w:t>
      </w:r>
    </w:p>
    <w:p>
      <w:pPr>
        <w:pStyle w:val="DefinedTerms"/>
      </w:pPr>
      <w:r>
        <w:t>railway infrastructure</w:t>
      </w:r>
      <w:r>
        <w:tab/>
        <w:t>3</w:t>
      </w:r>
    </w:p>
    <w:p>
      <w:pPr>
        <w:pStyle w:val="DefinedTerms"/>
      </w:pPr>
      <w:r>
        <w:t>railway owner</w:t>
      </w:r>
      <w:r>
        <w:tab/>
        <w:t>3</w:t>
      </w:r>
    </w:p>
    <w:p>
      <w:pPr>
        <w:pStyle w:val="DefinedTerms"/>
      </w:pPr>
      <w:r>
        <w:t>railways network</w:t>
      </w:r>
      <w:r>
        <w:tab/>
        <w:t>3</w:t>
      </w:r>
    </w:p>
    <w:p>
      <w:pPr>
        <w:pStyle w:val="DefinedTerms"/>
      </w:pPr>
      <w:r>
        <w:t>Regulator</w:t>
      </w:r>
      <w:r>
        <w:tab/>
        <w:t>3</w:t>
      </w:r>
    </w:p>
    <w:p>
      <w:pPr>
        <w:pStyle w:val="DefinedTerms"/>
      </w:pPr>
      <w:r>
        <w:t>related body corporate</w:t>
      </w:r>
      <w:r>
        <w:tab/>
        <w:t>3</w:t>
      </w:r>
    </w:p>
    <w:p>
      <w:pPr>
        <w:pStyle w:val="DefinedTerms"/>
      </w:pPr>
      <w:r>
        <w:t>required information</w:t>
      </w:r>
      <w:r>
        <w:tab/>
        <w:t>6</w:t>
      </w:r>
    </w:p>
    <w:p>
      <w:pPr>
        <w:pStyle w:val="DefinedTerms"/>
      </w:pPr>
      <w:r>
        <w:t>rolling stock</w:t>
      </w:r>
      <w:r>
        <w:tab/>
        <w:t>3</w:t>
      </w:r>
    </w:p>
    <w:p>
      <w:pPr>
        <w:pStyle w:val="DefinedTerms"/>
      </w:pPr>
      <w:r>
        <w:t>route</w:t>
      </w:r>
      <w:r>
        <w:tab/>
        <w:t>3</w:t>
      </w:r>
    </w:p>
    <w:p>
      <w:pPr>
        <w:pStyle w:val="DefinedTerms"/>
      </w:pPr>
      <w:r>
        <w:t>route section</w:t>
      </w:r>
      <w:r>
        <w:tab/>
        <w:t>3</w:t>
      </w:r>
    </w:p>
    <w:p>
      <w:pPr>
        <w:pStyle w:val="DefinedTerms"/>
      </w:pPr>
      <w:r>
        <w:t>the costing principles</w:t>
      </w:r>
      <w:r>
        <w:tab/>
        <w:t>46(1)</w:t>
      </w:r>
    </w:p>
    <w:p>
      <w:pPr>
        <w:pStyle w:val="DefinedTerms"/>
      </w:pPr>
      <w:r>
        <w:t>the other party</w:t>
      </w:r>
      <w:r>
        <w:tab/>
        <w:t>26(1)</w:t>
      </w:r>
    </w:p>
    <w:p>
      <w:pPr>
        <w:pStyle w:val="DefinedTerms"/>
      </w:pPr>
      <w:r>
        <w:t>the over</w:t>
      </w:r>
      <w:r>
        <w:noBreakHyphen/>
        <w:t>payment rules</w:t>
      </w:r>
      <w:r>
        <w:tab/>
        <w:t>47(1)</w:t>
      </w:r>
    </w:p>
    <w:p>
      <w:pPr>
        <w:pStyle w:val="DefinedTerms"/>
      </w:pPr>
      <w:r>
        <w:t>the route</w:t>
      </w:r>
      <w:r>
        <w:tab/>
        <w:t>Sch. 4 cl. 7(2), Sch. 4 cl. 8(3)</w:t>
      </w:r>
    </w:p>
    <w:p>
      <w:pPr>
        <w:pStyle w:val="DefinedTerms"/>
      </w:pPr>
      <w:r>
        <w:t>the termination day</w:t>
      </w:r>
      <w:r>
        <w:tab/>
        <w:t>20(2)</w:t>
      </w:r>
    </w:p>
    <w:p>
      <w:pPr>
        <w:pStyle w:val="DefinedTerms"/>
      </w:pPr>
      <w:r>
        <w:t>the train management guidelines</w:t>
      </w:r>
      <w:r>
        <w:tab/>
        <w:t>43(3)</w:t>
      </w:r>
    </w:p>
    <w:p>
      <w:pPr>
        <w:pStyle w:val="DefinedTerms"/>
      </w:pPr>
      <w:r>
        <w:t>tonnage of freight carried</w:t>
      </w:r>
      <w:r>
        <w:tab/>
        <w:t>Sch. 2</w:t>
      </w:r>
    </w:p>
    <w:p>
      <w:pPr>
        <w:pStyle w:val="DefinedTerms"/>
      </w:pPr>
      <w:r>
        <w:t>total costs</w:t>
      </w:r>
      <w:r>
        <w:tab/>
        <w:t>Sch. 4 cl. 1</w:t>
      </w:r>
    </w:p>
    <w:p>
      <w:pPr>
        <w:pStyle w:val="DefinedTerms"/>
      </w:pPr>
      <w:r>
        <w:t>TPI Railway and Port Agreement</w:t>
      </w:r>
      <w:r>
        <w:tab/>
        <w:t>3</w:t>
      </w:r>
    </w:p>
    <w:p>
      <w:pPr>
        <w:pStyle w:val="DefinedTerms"/>
      </w:pPr>
      <w:r>
        <w:t>WACC</w:t>
      </w:r>
      <w:r>
        <w:tab/>
        <w:t>Sch. 4 cl. 2(4)</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p/>
    <w:p/>
    <w:p/>
    <w:p/>
    <w:p/>
    <w:p/>
    <w:p/>
    <w:p/>
    <w:p/>
    <w:p/>
    <w:p/>
    <w:p/>
    <w:p/>
    <w:p/>
    <w:p/>
    <w:p/>
    <w:p/>
    <w:p/>
    <w:p/>
    <w:p/>
    <w:p/>
    <w:p/>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vAlign w:val="bottom"/>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vAlign w:val="bottom"/>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2" w:name="Schedule"/>
    <w:bookmarkEnd w:id="1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for which provision to be made in access agreement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for which provision to be made in access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Provisions relating to prices to be paid for access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relating to prices to be paid for access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0" w:name="DefinedTerms"/>
    <w:bookmarkEnd w:id="22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4231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5DE9F3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0DC49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85885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5154452"/>
    <w:docVar w:name="WAFER_20140124161438" w:val="RemoveTocBookmarks,RemoveUnusedBookmarks,RemoveLanguageTags,UsedStyles,ResetPageSize,UpdateArrangement"/>
    <w:docVar w:name="WAFER_20140124161438_GUID" w:val="1e97bf29-eb76-40e3-b378-2417fbc27a4c"/>
    <w:docVar w:name="WAFER_20140124172227" w:val="RemoveTocBookmarks,RunningHeaders"/>
    <w:docVar w:name="WAFER_20140124172227_GUID" w:val="da0edf65-61d6-4be0-abbf-8a82d0701a65"/>
    <w:docVar w:name="WAFER_20150715154452" w:val="ResetPageSize,UpdateArrangement,UpdateNTable"/>
    <w:docVar w:name="WAFER_20150715154452_GUID" w:val="8a2c60fa-bfd1-4849-a2fc-6e45625ac5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image" Target="media/image2.png"/><Relationship Id="rId35" Type="http://schemas.openxmlformats.org/officeDocument/2006/relationships/header" Target="header18.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7FCAE-40B3-4F2E-8D2C-F728D7E69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15709</Words>
  <Characters>76663</Characters>
  <Application>Microsoft Office Word</Application>
  <DocSecurity>0</DocSecurity>
  <Lines>2190</Lines>
  <Paragraphs>1399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90973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2000 - 01-d0-02</dc:title>
  <dc:subject/>
  <dc:creator/>
  <cp:keywords/>
  <dc:description/>
  <cp:lastModifiedBy>svcMRProcess</cp:lastModifiedBy>
  <cp:revision>4</cp:revision>
  <cp:lastPrinted>2010-02-09T03:47:00Z</cp:lastPrinted>
  <dcterms:created xsi:type="dcterms:W3CDTF">2019-04-08T02:45:00Z</dcterms:created>
  <dcterms:modified xsi:type="dcterms:W3CDTF">2019-04-08T02:45:00Z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20130807</vt:lpwstr>
  </property>
  <property fmtid="{D5CDD505-2E9C-101B-9397-08002B2CF9AE}" pid="4" name="DocumentType">
    <vt:lpwstr>Reg</vt:lpwstr>
  </property>
  <property fmtid="{D5CDD505-2E9C-101B-9397-08002B2CF9AE}" pid="5" name="OwlsUID">
    <vt:i4>35</vt:i4>
  </property>
  <property fmtid="{D5CDD505-2E9C-101B-9397-08002B2CF9AE}" pid="6" name="ReprintNo">
    <vt:lpwstr>1</vt:lpwstr>
  </property>
  <property fmtid="{D5CDD505-2E9C-101B-9397-08002B2CF9AE}" pid="7" name="AsAtDate">
    <vt:lpwstr>07 Aug 2013</vt:lpwstr>
  </property>
  <property fmtid="{D5CDD505-2E9C-101B-9397-08002B2CF9AE}" pid="8" name="Suffix">
    <vt:lpwstr>01-d0-02</vt:lpwstr>
  </property>
</Properties>
</file>