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Associations Incorporation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Associations Incorporation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_Toc377996638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_Toc377996639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Corporations Act</w:t>
      </w:r>
      <w:r>
        <w:tab/>
      </w:r>
      <w:r>
        <w:fldChar w:fldCharType="begin"/>
      </w:r>
      <w:r>
        <w:instrText xml:space="preserve"> PAGEREF _Toc377996640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approval of purpose</w:t>
      </w:r>
      <w:r>
        <w:tab/>
      </w:r>
      <w:r>
        <w:fldChar w:fldCharType="begin"/>
      </w:r>
      <w:r>
        <w:instrText xml:space="preserve"> PAGEREF _Toc377996641 \h </w:instrText>
      </w:r>
      <w:r>
        <w:fldChar w:fldCharType="separate"/>
      </w:r>
      <w:r>
        <w:t>1</w:t>
      </w:r>
      <w:r>
        <w:fldChar w:fldCharType="end"/>
      </w:r>
    </w:p>
    <w:p>
      <w:pPr>
        <w:pStyle w:val="TOC8"/>
        <w:rPr>
          <w:rFonts w:asciiTheme="minorHAnsi" w:eastAsiaTheme="minorEastAsia" w:hAnsiTheme="minorHAnsi" w:cstheme="minorBidi"/>
          <w:szCs w:val="22"/>
        </w:rPr>
      </w:pPr>
      <w:r>
        <w:t>6.</w:t>
      </w:r>
      <w:r>
        <w:tab/>
        <w:t>Applied provisions — voluntary winding up</w:t>
      </w:r>
      <w:r>
        <w:tab/>
      </w:r>
      <w:r>
        <w:fldChar w:fldCharType="begin"/>
      </w:r>
      <w:r>
        <w:instrText xml:space="preserve"> PAGEREF _Toc377996642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of liquidator</w:t>
      </w:r>
      <w:r>
        <w:tab/>
      </w:r>
      <w:r>
        <w:fldChar w:fldCharType="begin"/>
      </w:r>
      <w:r>
        <w:instrText xml:space="preserve"> PAGEREF _Toc377996643 \h </w:instrText>
      </w:r>
      <w:r>
        <w:fldChar w:fldCharType="separate"/>
      </w:r>
      <w:r>
        <w:t>3</w:t>
      </w:r>
      <w:r>
        <w:fldChar w:fldCharType="end"/>
      </w:r>
    </w:p>
    <w:p>
      <w:pPr>
        <w:pStyle w:val="TOC8"/>
        <w:rPr>
          <w:rFonts w:asciiTheme="minorHAnsi" w:eastAsiaTheme="minorEastAsia" w:hAnsiTheme="minorHAnsi" w:cstheme="minorBidi"/>
          <w:szCs w:val="22"/>
        </w:rPr>
      </w:pPr>
      <w:r>
        <w:t>8.</w:t>
      </w:r>
      <w:r>
        <w:tab/>
        <w:t>Applied provisions — winding up by Court</w:t>
      </w:r>
      <w:r>
        <w:tab/>
      </w:r>
      <w:r>
        <w:fldChar w:fldCharType="begin"/>
      </w:r>
      <w:r>
        <w:instrText xml:space="preserve"> PAGEREF _Toc377996644 \h </w:instrText>
      </w:r>
      <w:r>
        <w:fldChar w:fldCharType="separate"/>
      </w:r>
      <w:r>
        <w:t>3</w:t>
      </w:r>
      <w:r>
        <w:fldChar w:fldCharType="end"/>
      </w:r>
    </w:p>
    <w:p>
      <w:pPr>
        <w:pStyle w:val="TOC8"/>
        <w:rPr>
          <w:rFonts w:asciiTheme="minorHAnsi" w:eastAsiaTheme="minorEastAsia" w:hAnsiTheme="minorHAnsi" w:cstheme="minorBidi"/>
          <w:szCs w:val="22"/>
        </w:rPr>
      </w:pPr>
      <w:r>
        <w:t>9.</w:t>
      </w:r>
      <w:r>
        <w:tab/>
        <w:t>Forms</w:t>
      </w:r>
      <w:r>
        <w:tab/>
      </w:r>
      <w:r>
        <w:fldChar w:fldCharType="begin"/>
      </w:r>
      <w:r>
        <w:instrText xml:space="preserve"> PAGEREF _Toc377996645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Compliance with forms</w:t>
      </w:r>
      <w:r>
        <w:tab/>
      </w:r>
      <w:r>
        <w:fldChar w:fldCharType="begin"/>
      </w:r>
      <w:r>
        <w:instrText xml:space="preserve"> PAGEREF _Toc377996646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Completion of forms</w:t>
      </w:r>
      <w:r>
        <w:tab/>
      </w:r>
      <w:r>
        <w:fldChar w:fldCharType="begin"/>
      </w:r>
      <w:r>
        <w:instrText xml:space="preserve"> PAGEREF _Toc377996647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requirements for documents</w:t>
      </w:r>
      <w:r>
        <w:tab/>
      </w:r>
      <w:r>
        <w:fldChar w:fldCharType="begin"/>
      </w:r>
      <w:r>
        <w:instrText xml:space="preserve"> PAGEREF _Toc377996648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Annexures accompanying forms</w:t>
      </w:r>
      <w:r>
        <w:tab/>
      </w:r>
      <w:r>
        <w:fldChar w:fldCharType="begin"/>
      </w:r>
      <w:r>
        <w:instrText xml:space="preserve"> PAGEREF _Toc377996649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Signature of documents lodged with Commissioner</w:t>
      </w:r>
      <w:r>
        <w:tab/>
      </w:r>
      <w:r>
        <w:fldChar w:fldCharType="begin"/>
      </w:r>
      <w:r>
        <w:instrText xml:space="preserve"> PAGEREF _Toc377996650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Translations</w:t>
      </w:r>
      <w:r>
        <w:tab/>
      </w:r>
      <w:r>
        <w:fldChar w:fldCharType="begin"/>
      </w:r>
      <w:r>
        <w:instrText xml:space="preserve"> PAGEREF _Toc377996651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Fees</w:t>
      </w:r>
      <w:r>
        <w:tab/>
      </w:r>
      <w:r>
        <w:fldChar w:fldCharType="begin"/>
      </w:r>
      <w:r>
        <w:instrText xml:space="preserve"> PAGEREF _Toc377996652 \h </w:instrText>
      </w:r>
      <w:r>
        <w:fldChar w:fldCharType="separate"/>
      </w:r>
      <w:r>
        <w:t>6</w:t>
      </w:r>
      <w:r>
        <w:fldChar w:fldCharType="end"/>
      </w:r>
    </w:p>
    <w:p>
      <w:pPr>
        <w:pStyle w:val="TOC8"/>
        <w:rPr>
          <w:rFonts w:asciiTheme="minorHAnsi" w:eastAsiaTheme="minorEastAsia" w:hAnsiTheme="minorHAnsi" w:cstheme="minorBidi"/>
          <w:szCs w:val="22"/>
        </w:rPr>
      </w:pPr>
      <w:r>
        <w:t>17.</w:t>
      </w:r>
      <w:r>
        <w:tab/>
        <w:t>Infringement notices</w:t>
      </w:r>
      <w:r>
        <w:tab/>
      </w:r>
      <w:r>
        <w:fldChar w:fldCharType="begin"/>
      </w:r>
      <w:r>
        <w:instrText xml:space="preserve"> PAGEREF _Toc377996653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_Toc377996659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 w:name="_Toc377996638"/>
      <w:r>
        <w:rPr>
          <w:rStyle w:val="CharSectno"/>
        </w:rPr>
        <w:t>1</w:t>
      </w:r>
      <w:r>
        <w:rPr>
          <w:snapToGrid w:val="0"/>
        </w:rPr>
        <w:t>.</w:t>
      </w:r>
      <w:r>
        <w:rPr>
          <w:snapToGrid w:val="0"/>
        </w:rPr>
        <w:tab/>
        <w:t>Citation</w:t>
      </w:r>
      <w:bookmarkEnd w:id="1"/>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 w:name="_Toc377996639"/>
      <w:r>
        <w:rPr>
          <w:rStyle w:val="CharSectno"/>
        </w:rPr>
        <w:t>2</w:t>
      </w:r>
      <w:r>
        <w:rPr>
          <w:snapToGrid w:val="0"/>
        </w:rPr>
        <w:t>.</w:t>
      </w:r>
      <w:r>
        <w:rPr>
          <w:snapToGrid w:val="0"/>
        </w:rPr>
        <w:tab/>
        <w:t>Commencement</w:t>
      </w:r>
      <w:bookmarkEnd w:id="2"/>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3" w:name="_Toc377996640"/>
      <w:r>
        <w:rPr>
          <w:rStyle w:val="CharSectno"/>
        </w:rPr>
        <w:t>3</w:t>
      </w:r>
      <w:r>
        <w:t>.</w:t>
      </w:r>
      <w:r>
        <w:tab/>
        <w:t>Term used: Corporations Act</w:t>
      </w:r>
      <w:bookmarkEnd w:id="3"/>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4" w:name="_Toc377996641"/>
      <w:r>
        <w:rPr>
          <w:rStyle w:val="CharSectno"/>
        </w:rPr>
        <w:t>4</w:t>
      </w:r>
      <w:r>
        <w:rPr>
          <w:snapToGrid w:val="0"/>
        </w:rPr>
        <w:t>.</w:t>
      </w:r>
      <w:r>
        <w:rPr>
          <w:snapToGrid w:val="0"/>
        </w:rPr>
        <w:tab/>
        <w:t>Application for approval of purpose</w:t>
      </w:r>
      <w:bookmarkEnd w:id="4"/>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5" w:name="_Toc377996642"/>
      <w:r>
        <w:rPr>
          <w:rStyle w:val="CharSectno"/>
        </w:rPr>
        <w:t>6</w:t>
      </w:r>
      <w:r>
        <w:t>.</w:t>
      </w:r>
      <w:r>
        <w:tab/>
        <w:t>Applied provisions — voluntary winding up</w:t>
      </w:r>
      <w:bookmarkEnd w:id="5"/>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6" w:name="_Toc377996643"/>
      <w:r>
        <w:rPr>
          <w:rStyle w:val="CharSectno"/>
        </w:rPr>
        <w:t>7</w:t>
      </w:r>
      <w:r>
        <w:rPr>
          <w:snapToGrid w:val="0"/>
        </w:rPr>
        <w:t>.</w:t>
      </w:r>
      <w:r>
        <w:rPr>
          <w:snapToGrid w:val="0"/>
        </w:rPr>
        <w:tab/>
        <w:t>Approval of liquidator</w:t>
      </w:r>
      <w:bookmarkEnd w:id="6"/>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7" w:name="_Toc377996644"/>
      <w:r>
        <w:rPr>
          <w:rStyle w:val="CharSectno"/>
        </w:rPr>
        <w:t>8</w:t>
      </w:r>
      <w:r>
        <w:t>.</w:t>
      </w:r>
      <w:r>
        <w:tab/>
        <w:t>Applied provisions — winding up by Court</w:t>
      </w:r>
      <w:bookmarkEnd w:id="7"/>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8" w:name="_Toc377996645"/>
      <w:r>
        <w:rPr>
          <w:rStyle w:val="CharSectno"/>
        </w:rPr>
        <w:t>9</w:t>
      </w:r>
      <w:r>
        <w:t>.</w:t>
      </w:r>
      <w:r>
        <w:tab/>
        <w:t>Forms</w:t>
      </w:r>
      <w:bookmarkEnd w:id="8"/>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9" w:name="_Toc377996646"/>
      <w:r>
        <w:rPr>
          <w:rStyle w:val="CharSectno"/>
        </w:rPr>
        <w:t>10</w:t>
      </w:r>
      <w:r>
        <w:rPr>
          <w:snapToGrid w:val="0"/>
        </w:rPr>
        <w:t>.</w:t>
      </w:r>
      <w:r>
        <w:rPr>
          <w:snapToGrid w:val="0"/>
        </w:rPr>
        <w:tab/>
        <w:t>Compliance with forms</w:t>
      </w:r>
      <w:bookmarkEnd w:id="9"/>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10" w:name="_Toc377996647"/>
      <w:r>
        <w:rPr>
          <w:rStyle w:val="CharSectno"/>
        </w:rPr>
        <w:t>11</w:t>
      </w:r>
      <w:r>
        <w:rPr>
          <w:snapToGrid w:val="0"/>
        </w:rPr>
        <w:t>.</w:t>
      </w:r>
      <w:r>
        <w:rPr>
          <w:snapToGrid w:val="0"/>
        </w:rPr>
        <w:tab/>
        <w:t>Completion of forms</w:t>
      </w:r>
      <w:bookmarkEnd w:id="10"/>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11" w:name="_Toc377996648"/>
      <w:r>
        <w:rPr>
          <w:rStyle w:val="CharSectno"/>
        </w:rPr>
        <w:t>12</w:t>
      </w:r>
      <w:r>
        <w:rPr>
          <w:snapToGrid w:val="0"/>
        </w:rPr>
        <w:t>.</w:t>
      </w:r>
      <w:r>
        <w:rPr>
          <w:snapToGrid w:val="0"/>
        </w:rPr>
        <w:tab/>
        <w:t>General requirements for documents</w:t>
      </w:r>
      <w:bookmarkEnd w:id="11"/>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12" w:name="_Toc377996649"/>
      <w:r>
        <w:rPr>
          <w:rStyle w:val="CharSectno"/>
        </w:rPr>
        <w:t>13</w:t>
      </w:r>
      <w:r>
        <w:rPr>
          <w:snapToGrid w:val="0"/>
        </w:rPr>
        <w:t>.</w:t>
      </w:r>
      <w:r>
        <w:rPr>
          <w:snapToGrid w:val="0"/>
        </w:rPr>
        <w:tab/>
        <w:t>Annexures accompanying forms</w:t>
      </w:r>
      <w:bookmarkEnd w:id="12"/>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13" w:name="_Toc377996650"/>
      <w:r>
        <w:rPr>
          <w:rStyle w:val="CharSectno"/>
        </w:rPr>
        <w:t>14</w:t>
      </w:r>
      <w:r>
        <w:rPr>
          <w:snapToGrid w:val="0"/>
        </w:rPr>
        <w:t>.</w:t>
      </w:r>
      <w:r>
        <w:rPr>
          <w:snapToGrid w:val="0"/>
        </w:rPr>
        <w:tab/>
        <w:t>Signature of documents lodged with Commissioner</w:t>
      </w:r>
      <w:bookmarkEnd w:id="13"/>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14" w:name="_Toc377996651"/>
      <w:r>
        <w:rPr>
          <w:rStyle w:val="CharSectno"/>
        </w:rPr>
        <w:t>15</w:t>
      </w:r>
      <w:r>
        <w:rPr>
          <w:snapToGrid w:val="0"/>
        </w:rPr>
        <w:t>.</w:t>
      </w:r>
      <w:r>
        <w:rPr>
          <w:snapToGrid w:val="0"/>
        </w:rPr>
        <w:tab/>
        <w:t>Translations</w:t>
      </w:r>
      <w:bookmarkEnd w:id="14"/>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15" w:name="_Toc377996652"/>
      <w:r>
        <w:rPr>
          <w:rStyle w:val="CharSectno"/>
        </w:rPr>
        <w:t>16</w:t>
      </w:r>
      <w:r>
        <w:rPr>
          <w:snapToGrid w:val="0"/>
        </w:rPr>
        <w:t>.</w:t>
      </w:r>
      <w:r>
        <w:rPr>
          <w:snapToGrid w:val="0"/>
        </w:rPr>
        <w:tab/>
        <w:t>Fees</w:t>
      </w:r>
      <w:bookmarkEnd w:id="15"/>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16" w:name="_Toc377996653"/>
      <w:r>
        <w:rPr>
          <w:rStyle w:val="CharSectno"/>
        </w:rPr>
        <w:t>17</w:t>
      </w:r>
      <w:r>
        <w:t>.</w:t>
      </w:r>
      <w:r>
        <w:tab/>
        <w:t>Infringement notices</w:t>
      </w:r>
      <w:bookmarkEnd w:id="16"/>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 w:name="_Toc377996654"/>
      <w:r>
        <w:rPr>
          <w:rStyle w:val="CharSchNo"/>
        </w:rPr>
        <w:t>Schedule 1</w:t>
      </w:r>
      <w:bookmarkEnd w:id="17"/>
      <w:r>
        <w:t xml:space="preserve"> </w:t>
      </w:r>
    </w:p>
    <w:p>
      <w:pPr>
        <w:pStyle w:val="yShoulderClause"/>
        <w:rPr>
          <w:snapToGrid w:val="0"/>
        </w:rPr>
      </w:pPr>
      <w:r>
        <w:rPr>
          <w:snapToGrid w:val="0"/>
        </w:rPr>
        <w:t>[Regulation 9]</w:t>
      </w:r>
    </w:p>
    <w:p>
      <w:pPr>
        <w:pStyle w:val="yHeading2"/>
        <w:rPr>
          <w:snapToGrid/>
        </w:rPr>
      </w:pPr>
      <w:bookmarkStart w:id="18" w:name="_Toc377996655"/>
      <w:r>
        <w:rPr>
          <w:rStyle w:val="CharSchText"/>
        </w:rPr>
        <w:t>Forms</w:t>
      </w:r>
      <w:bookmarkEnd w:id="18"/>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19" w:name="_Toc377996656"/>
      <w:r>
        <w:rPr>
          <w:rStyle w:val="CharSchNo"/>
        </w:rPr>
        <w:t>Schedule 2</w:t>
      </w:r>
      <w:bookmarkEnd w:id="19"/>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23.10</w:t>
            </w:r>
          </w:p>
          <w:p>
            <w:pPr>
              <w:pStyle w:val="yTable"/>
              <w:jc w:val="right"/>
            </w:pPr>
            <w:r>
              <w:br/>
            </w:r>
            <w:r>
              <w:br/>
            </w:r>
            <w:r>
              <w:br/>
            </w:r>
            <w:r>
              <w:rPr>
                <w:szCs w:val="22"/>
              </w:rPr>
              <w:t>23.10</w:t>
            </w:r>
          </w:p>
          <w:p>
            <w:pPr>
              <w:pStyle w:val="yTable"/>
              <w:jc w:val="right"/>
            </w:pPr>
            <w:r>
              <w:br/>
            </w:r>
            <w:r>
              <w:br/>
            </w:r>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Lodgment of application for extension of period for holding an annual general meeting under section 23(1)..</w:t>
            </w:r>
            <w:r>
              <w:tab/>
            </w:r>
          </w:p>
        </w:tc>
        <w:tc>
          <w:tcPr>
            <w:tcW w:w="992" w:type="dxa"/>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Pr>
          <w:p>
            <w:pPr>
              <w:pStyle w:val="yTable"/>
              <w:jc w:val="right"/>
            </w:pPr>
            <w:r>
              <w:br/>
            </w:r>
            <w:r>
              <w:rPr>
                <w:szCs w:val="22"/>
              </w:rPr>
              <w:t>$1.65</w:t>
            </w:r>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20" w:name="_Toc377996657"/>
      <w:r>
        <w:rPr>
          <w:rStyle w:val="CharSchNo"/>
        </w:rPr>
        <w:t>Schedule 3</w:t>
      </w:r>
      <w:r>
        <w:t> — </w:t>
      </w:r>
      <w:r>
        <w:rPr>
          <w:rStyle w:val="CharSchText"/>
        </w:rPr>
        <w:t>Prescribed offences and modified penalties</w:t>
      </w:r>
      <w:bookmarkEnd w:id="20"/>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 w:name="_Toc377996658"/>
      <w:r>
        <w:t>Notes</w:t>
      </w:r>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7996659"/>
      <w:r>
        <w:rPr>
          <w:snapToGrid w:val="0"/>
        </w:rP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Pr>
          <w:p>
            <w:pPr>
              <w:pStyle w:val="nTable"/>
              <w:spacing w:after="40"/>
              <w:rPr>
                <w:i/>
                <w:sz w:val="19"/>
              </w:rPr>
            </w:pPr>
            <w:r>
              <w:rPr>
                <w:i/>
                <w:sz w:val="19"/>
              </w:rPr>
              <w:t>Associations Incorporation Amendment Regulations 2011</w:t>
            </w:r>
          </w:p>
        </w:tc>
        <w:tc>
          <w:tcPr>
            <w:tcW w:w="1276" w:type="dxa"/>
          </w:tcPr>
          <w:p>
            <w:pPr>
              <w:pStyle w:val="nTable"/>
              <w:spacing w:after="40"/>
              <w:rPr>
                <w:sz w:val="19"/>
              </w:rPr>
            </w:pPr>
            <w:r>
              <w:rPr>
                <w:sz w:val="19"/>
              </w:rPr>
              <w:t>25 Feb 2011 p. 651-2</w:t>
            </w:r>
          </w:p>
        </w:tc>
        <w:tc>
          <w:tcPr>
            <w:tcW w:w="2693" w:type="dxa"/>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r>
        <w:tc>
          <w:tcPr>
            <w:tcW w:w="3118" w:type="dxa"/>
          </w:tcPr>
          <w:p>
            <w:pPr>
              <w:pStyle w:val="nTable"/>
              <w:spacing w:after="40"/>
              <w:rPr>
                <w:i/>
                <w:sz w:val="19"/>
              </w:rPr>
            </w:pPr>
            <w:r>
              <w:rPr>
                <w:i/>
                <w:sz w:val="19"/>
              </w:rPr>
              <w:t>Associations Incorporation Amendment Regulations (No. 2) 2011</w:t>
            </w:r>
          </w:p>
        </w:tc>
        <w:tc>
          <w:tcPr>
            <w:tcW w:w="1276" w:type="dxa"/>
          </w:tcPr>
          <w:p>
            <w:pPr>
              <w:pStyle w:val="nTable"/>
              <w:spacing w:after="40"/>
              <w:rPr>
                <w:sz w:val="19"/>
              </w:rPr>
            </w:pPr>
            <w:r>
              <w:rPr>
                <w:sz w:val="19"/>
              </w:rPr>
              <w:t>22 Jun 2011 p. 2335</w:t>
            </w:r>
            <w:r>
              <w:rPr>
                <w:sz w:val="19"/>
              </w:rPr>
              <w:noBreakHyphen/>
              <w:t>6</w:t>
            </w:r>
          </w:p>
        </w:tc>
        <w:tc>
          <w:tcPr>
            <w:tcW w:w="2693" w:type="dxa"/>
          </w:tcPr>
          <w:p>
            <w:pPr>
              <w:pStyle w:val="nTable"/>
              <w:spacing w:after="40"/>
              <w:rPr>
                <w:sz w:val="19"/>
              </w:rPr>
            </w:pPr>
            <w:r>
              <w:rPr>
                <w:sz w:val="19"/>
              </w:rPr>
              <w:t>r. 1 and 2: 22 Jun 2011 (see r. 2(a));</w:t>
            </w:r>
            <w:r>
              <w:rPr>
                <w:sz w:val="19"/>
              </w:rPr>
              <w:br/>
              <w:t>Regulations other than r. 1 and 2: 1 Jul 2011 (see r. 2(b))</w:t>
            </w:r>
          </w:p>
        </w:tc>
      </w:tr>
      <w:tr>
        <w:tc>
          <w:tcPr>
            <w:tcW w:w="3118" w:type="dxa"/>
          </w:tcPr>
          <w:p>
            <w:pPr>
              <w:pStyle w:val="nTable"/>
              <w:spacing w:after="40"/>
              <w:rPr>
                <w:i/>
                <w:sz w:val="19"/>
              </w:rPr>
            </w:pPr>
            <w:r>
              <w:rPr>
                <w:i/>
                <w:sz w:val="19"/>
              </w:rPr>
              <w:t>Associations Incorporation Amendment Regulations (No. 2) 2013</w:t>
            </w:r>
          </w:p>
        </w:tc>
        <w:tc>
          <w:tcPr>
            <w:tcW w:w="1276" w:type="dxa"/>
          </w:tcPr>
          <w:p>
            <w:pPr>
              <w:pStyle w:val="nTable"/>
              <w:spacing w:after="40"/>
              <w:rPr>
                <w:sz w:val="19"/>
              </w:rPr>
            </w:pPr>
            <w:r>
              <w:rPr>
                <w:sz w:val="19"/>
              </w:rPr>
              <w:t>27 Jun 2013 p. 2671-2</w:t>
            </w:r>
          </w:p>
        </w:tc>
        <w:tc>
          <w:tcPr>
            <w:tcW w:w="2693" w:type="dxa"/>
          </w:tcPr>
          <w:p>
            <w:pPr>
              <w:pStyle w:val="nTable"/>
              <w:spacing w:after="40"/>
              <w:rPr>
                <w:sz w:val="19"/>
              </w:rPr>
            </w:pPr>
            <w:r>
              <w:rPr>
                <w:sz w:val="19"/>
              </w:rPr>
              <w:t>r. 1 and 2: 27 Jun 2013 (see r. 2(a));</w:t>
            </w:r>
            <w:r>
              <w:rPr>
                <w:sz w:val="19"/>
              </w:rPr>
              <w:br/>
              <w:t>Regulations other than r. 1 and 2: 1 Jul 2013 (see r. 2(b))</w:t>
            </w:r>
          </w:p>
        </w:tc>
      </w:tr>
      <w:tr>
        <w:tc>
          <w:tcPr>
            <w:tcW w:w="3118" w:type="dxa"/>
            <w:tcBorders>
              <w:bottom w:val="single" w:sz="4" w:space="0" w:color="auto"/>
            </w:tcBorders>
          </w:tcPr>
          <w:p>
            <w:pPr>
              <w:pStyle w:val="nTable"/>
              <w:spacing w:after="40"/>
              <w:rPr>
                <w:i/>
                <w:sz w:val="19"/>
              </w:rPr>
            </w:pPr>
            <w:r>
              <w:rPr>
                <w:i/>
                <w:sz w:val="19"/>
              </w:rPr>
              <w:t>Associations Incorporation Amendment Regulations 2013</w:t>
            </w:r>
          </w:p>
        </w:tc>
        <w:tc>
          <w:tcPr>
            <w:tcW w:w="1276" w:type="dxa"/>
            <w:tcBorders>
              <w:bottom w:val="single" w:sz="4" w:space="0" w:color="auto"/>
            </w:tcBorders>
          </w:tcPr>
          <w:p>
            <w:pPr>
              <w:pStyle w:val="nTable"/>
              <w:spacing w:after="40"/>
              <w:rPr>
                <w:sz w:val="19"/>
              </w:rPr>
            </w:pPr>
            <w:r>
              <w:rPr>
                <w:sz w:val="19"/>
              </w:rPr>
              <w:t>20 Aug 2013 p. 3821</w:t>
            </w:r>
          </w:p>
        </w:tc>
        <w:tc>
          <w:tcPr>
            <w:tcW w:w="2693" w:type="dxa"/>
            <w:tcBorders>
              <w:bottom w:val="single" w:sz="4" w:space="0" w:color="auto"/>
            </w:tcBorders>
          </w:tcPr>
          <w:p>
            <w:pPr>
              <w:pStyle w:val="nTable"/>
              <w:spacing w:after="40"/>
              <w:rPr>
                <w:sz w:val="19"/>
              </w:rPr>
            </w:pPr>
            <w:r>
              <w:rPr>
                <w:sz w:val="19"/>
              </w:rPr>
              <w:t>r. 1 and 2: 20 Aug 2013 (see r. 2(a));</w:t>
            </w:r>
            <w:r>
              <w:rPr>
                <w:sz w:val="19"/>
              </w:rPr>
              <w:br/>
              <w:t xml:space="preserve">Regulations other than r. 1 and 2: 21 Aug 2013 (see r. 2(b) and </w:t>
            </w:r>
            <w:r>
              <w:rPr>
                <w:i/>
                <w:sz w:val="19"/>
              </w:rPr>
              <w:t>Gazette</w:t>
            </w:r>
            <w:r>
              <w:rPr>
                <w:sz w:val="19"/>
              </w:rPr>
              <w:t xml:space="preserve"> 20 Aug 2013 p. 3815)</w:t>
            </w:r>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3" w:name="_Toc377996660"/>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 w:name="DefinedTerms"/>
      <w:bookmarkEnd w:id="24"/>
      <w:r>
        <w:t>Corporations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17"/>
    <w:docVar w:name="WAFER_20140120154306" w:val="RemoveTocBookmarks,RemoveUnusedBookmarks,RemoveLanguageTags,UsedStyles,ResetPageSize,UpdateArrangement"/>
    <w:docVar w:name="WAFER_20140120154306_GUID" w:val="c74fe4a4-8075-45b1-83e8-14d2a3862ac4"/>
    <w:docVar w:name="WAFER_20140120154758" w:val="RemoveTocBookmarks,RunningHeaders"/>
    <w:docVar w:name="WAFER_20140120154758_GUID" w:val="09161b6a-bf65-4a23-b718-d73f77364b85"/>
    <w:docVar w:name="WAFER_20151204150717" w:val="RemoveTrackChanges"/>
    <w:docVar w:name="WAFER_20151204150717_GUID" w:val="52539545-c35f-4f44-adae-b388069fb0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4051</Words>
  <Characters>22488</Characters>
  <Application>Microsoft Office Word</Application>
  <DocSecurity>0</DocSecurity>
  <Lines>864</Lines>
  <Paragraphs>552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1988 - 04-f0-03</dc:title>
  <dc:subject/>
  <dc:creator/>
  <cp:keywords/>
  <dc:description/>
  <cp:lastModifiedBy>svcMRProcess</cp:lastModifiedBy>
  <cp:revision>4</cp:revision>
  <cp:lastPrinted>2009-03-31T03:54:00Z</cp:lastPrinted>
  <dcterms:created xsi:type="dcterms:W3CDTF">2015-12-04T17:22:00Z</dcterms:created>
  <dcterms:modified xsi:type="dcterms:W3CDTF">2015-12-04T17:22:00Z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20130821</vt:lpwstr>
  </property>
  <property fmtid="{D5CDD505-2E9C-101B-9397-08002B2CF9AE}" pid="7" name="AsAtDate">
    <vt:lpwstr>21 Aug 2013</vt:lpwstr>
  </property>
  <property fmtid="{D5CDD505-2E9C-101B-9397-08002B2CF9AE}" pid="8" name="Suffix">
    <vt:lpwstr>04-f0-03</vt:lpwstr>
  </property>
</Properties>
</file>