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Debt Collectors Licensing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Debt Collectors Licensing Regulations 1964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_Toc378164736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_Toc378164737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_Toc378164738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_Toc378164739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_Toc378164740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snapToGrid w:val="0"/>
        </w:rPr>
        <w:t>Lodging of application</w:t>
      </w:r>
      <w:r>
        <w:tab/>
      </w:r>
      <w:r>
        <w:fldChar w:fldCharType="begin"/>
      </w:r>
      <w:r>
        <w:instrText xml:space="preserve"> PAGEREF _Toc378164741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_Toc378164742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_Toc378164743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_Toc378164744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_Toc378164745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_Toc378164746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Change of address</w:t>
      </w:r>
      <w:r>
        <w:tab/>
      </w:r>
      <w:r>
        <w:fldChar w:fldCharType="begin"/>
      </w:r>
      <w:r>
        <w:instrText xml:space="preserve"> PAGEREF _Toc378164747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_Toc378164748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_Toc378164749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_Toc378164750 \h </w:instrText>
      </w:r>
      <w:r>
        <w:fldChar w:fldCharType="separate"/>
      </w:r>
      <w:r>
        <w:t>7</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_Toc378164751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First Schedule</w:t>
      </w:r>
    </w:p>
    <w:p>
      <w:pPr>
        <w:pStyle w:val="TOC2"/>
        <w:tabs>
          <w:tab w:val="right" w:leader="dot" w:pos="7086"/>
        </w:tabs>
        <w:rPr>
          <w:rFonts w:asciiTheme="minorHAnsi" w:eastAsiaTheme="minorEastAsia" w:hAnsiTheme="minorHAnsi" w:cstheme="minorBidi"/>
          <w:b w:val="0"/>
          <w:sz w:val="22"/>
          <w:szCs w:val="22"/>
        </w:rPr>
      </w:pPr>
      <w:r>
        <w:t>Second Schedule</w:t>
      </w:r>
    </w:p>
    <w:p>
      <w:pPr>
        <w:pStyle w:val="TOC2"/>
        <w:tabs>
          <w:tab w:val="right" w:leader="dot" w:pos="7086"/>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_Toc378164756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378164736"/>
      <w:r>
        <w:rPr>
          <w:rStyle w:val="CharSectno"/>
        </w:rPr>
        <w:t>1</w:t>
      </w:r>
      <w:r>
        <w:rPr>
          <w:snapToGrid w:val="0"/>
        </w:rPr>
        <w:t>.</w:t>
      </w:r>
      <w:r>
        <w:rPr>
          <w:snapToGrid w:val="0"/>
        </w:rPr>
        <w:tab/>
        <w:t>Citation</w:t>
      </w:r>
      <w:bookmarkEnd w:id="1"/>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2" w:name="endcomma"/>
      <w:bookmarkEnd w:id="2"/>
      <w:r>
        <w:rPr>
          <w:snapToGrid w:val="0"/>
        </w:rPr>
        <w:t xml:space="preserve"> </w:t>
      </w:r>
      <w:bookmarkStart w:id="3" w:name="comma"/>
      <w:bookmarkEnd w:id="3"/>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378164737"/>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378164738"/>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6" w:name="_Toc378164739"/>
      <w:r>
        <w:rPr>
          <w:rStyle w:val="CharSectno"/>
        </w:rPr>
        <w:t>4</w:t>
      </w:r>
      <w:r>
        <w:t>.</w:t>
      </w:r>
      <w:r>
        <w:tab/>
        <w:t>Fees</w:t>
      </w:r>
      <w:bookmarkEnd w:id="6"/>
    </w:p>
    <w:p>
      <w:pPr>
        <w:pStyle w:val="Subsection"/>
      </w:pPr>
      <w:r>
        <w:tab/>
      </w:r>
      <w:r>
        <w:tab/>
        <w:t>The fees specified in the Table are payable for the matters specified in the Table.</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c>
          <w:tcPr>
            <w:tcW w:w="3685" w:type="dxa"/>
          </w:tcPr>
          <w:p>
            <w:pPr>
              <w:pStyle w:val="TableNAm"/>
            </w:pPr>
            <w:r>
              <w:t>Issue or renewal of licence</w:t>
            </w:r>
          </w:p>
        </w:tc>
        <w:tc>
          <w:tcPr>
            <w:tcW w:w="1843" w:type="dxa"/>
          </w:tcPr>
          <w:p>
            <w:pPr>
              <w:pStyle w:val="TableNAm"/>
            </w:pPr>
            <w:r>
              <w:t>$540.00</w:t>
            </w:r>
          </w:p>
        </w:tc>
      </w:tr>
      <w:tr>
        <w:tc>
          <w:tcPr>
            <w:tcW w:w="3685" w:type="dxa"/>
          </w:tcPr>
          <w:p>
            <w:pPr>
              <w:pStyle w:val="TableNAm"/>
            </w:pPr>
            <w:r>
              <w:t>Transfer of licence</w:t>
            </w:r>
          </w:p>
        </w:tc>
        <w:tc>
          <w:tcPr>
            <w:tcW w:w="1843" w:type="dxa"/>
          </w:tcPr>
          <w:p>
            <w:pPr>
              <w:pStyle w:val="TableNAm"/>
            </w:pPr>
            <w:r>
              <w:t>$304.00</w:t>
            </w:r>
          </w:p>
        </w:tc>
      </w:tr>
      <w:tr>
        <w:tc>
          <w:tcPr>
            <w:tcW w:w="3685" w:type="dxa"/>
          </w:tcPr>
          <w:p>
            <w:pPr>
              <w:pStyle w:val="TableNAm"/>
            </w:pPr>
            <w:r>
              <w:t>Issue of duplicate licence</w:t>
            </w:r>
          </w:p>
        </w:tc>
        <w:tc>
          <w:tcPr>
            <w:tcW w:w="1843" w:type="dxa"/>
          </w:tcPr>
          <w:p>
            <w:pPr>
              <w:pStyle w:val="TableNAm"/>
            </w:pPr>
            <w:r>
              <w:t>$33.00</w:t>
            </w:r>
          </w:p>
        </w:tc>
      </w:tr>
      <w:tr>
        <w:tc>
          <w:tcPr>
            <w:tcW w:w="3685" w:type="dxa"/>
          </w:tcPr>
          <w:p>
            <w:pPr>
              <w:pStyle w:val="TableNAm"/>
            </w:pPr>
            <w:r>
              <w:t>Inspection of register kept under section 12 of the Act</w:t>
            </w:r>
          </w:p>
        </w:tc>
        <w:tc>
          <w:tcPr>
            <w:tcW w:w="1843" w:type="dxa"/>
          </w:tcPr>
          <w:p>
            <w:pPr>
              <w:pStyle w:val="TableNAm"/>
            </w:pPr>
            <w:r>
              <w:br/>
              <w:t>$10.90</w:t>
            </w:r>
          </w:p>
        </w:tc>
      </w:tr>
    </w:tbl>
    <w:p>
      <w:pPr>
        <w:pStyle w:val="Footnotesection"/>
      </w:pPr>
      <w:r>
        <w:tab/>
        <w:t>[Regulation 4 inserted in Gazette 27 Jun 2013 p. 2677-8.]</w:t>
      </w:r>
    </w:p>
    <w:p>
      <w:pPr>
        <w:pStyle w:val="Heading5"/>
        <w:rPr>
          <w:snapToGrid w:val="0"/>
        </w:rPr>
      </w:pPr>
      <w:bookmarkStart w:id="7" w:name="_Toc378164740"/>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8" w:name="_Toc378164741"/>
      <w:r>
        <w:rPr>
          <w:rStyle w:val="CharSectno"/>
        </w:rPr>
        <w:t>6</w:t>
      </w:r>
      <w:r>
        <w:t>.</w:t>
      </w:r>
      <w:r>
        <w:tab/>
      </w:r>
      <w:r>
        <w:rPr>
          <w:snapToGrid w:val="0"/>
        </w:rPr>
        <w:t>Lodging of application</w:t>
      </w:r>
      <w:bookmarkEnd w:id="8"/>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9" w:name="_Toc378164742"/>
      <w:r>
        <w:rPr>
          <w:rStyle w:val="CharSectno"/>
        </w:rPr>
        <w:t>7</w:t>
      </w:r>
      <w:r>
        <w:rPr>
          <w:snapToGrid w:val="0"/>
        </w:rPr>
        <w:t>.</w:t>
      </w:r>
      <w:r>
        <w:rPr>
          <w:snapToGrid w:val="0"/>
        </w:rPr>
        <w:tab/>
        <w:t>Duplicate licence</w:t>
      </w:r>
      <w:bookmarkEnd w:id="9"/>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10" w:name="_Toc378164743"/>
      <w:r>
        <w:rPr>
          <w:rStyle w:val="CharSectno"/>
        </w:rPr>
        <w:t>8</w:t>
      </w:r>
      <w:r>
        <w:rPr>
          <w:snapToGrid w:val="0"/>
        </w:rPr>
        <w:t>.</w:t>
      </w:r>
      <w:r>
        <w:rPr>
          <w:snapToGrid w:val="0"/>
        </w:rPr>
        <w:tab/>
        <w:t>Fidelity bond</w:t>
      </w:r>
      <w:bookmarkEnd w:id="1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r>
        <w:tab/>
        <w:t>[Regulation 8 amended in Gazette 30 Dec 2004 p. 6916.]</w:t>
      </w:r>
    </w:p>
    <w:p>
      <w:pPr>
        <w:pStyle w:val="Heading5"/>
        <w:rPr>
          <w:snapToGrid w:val="0"/>
        </w:rPr>
      </w:pPr>
      <w:bookmarkStart w:id="11" w:name="_Toc378164744"/>
      <w:r>
        <w:rPr>
          <w:rStyle w:val="CharSectno"/>
        </w:rPr>
        <w:t>9</w:t>
      </w:r>
      <w:r>
        <w:rPr>
          <w:snapToGrid w:val="0"/>
        </w:rPr>
        <w:t>.</w:t>
      </w:r>
      <w:r>
        <w:rPr>
          <w:snapToGrid w:val="0"/>
        </w:rPr>
        <w:tab/>
        <w:t>Surrender of licence</w:t>
      </w:r>
      <w:bookmarkEnd w:id="1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12" w:name="_Toc378164745"/>
      <w:r>
        <w:rPr>
          <w:rStyle w:val="CharSectno"/>
        </w:rPr>
        <w:t>10</w:t>
      </w:r>
      <w:r>
        <w:rPr>
          <w:snapToGrid w:val="0"/>
        </w:rPr>
        <w:t>.</w:t>
      </w:r>
      <w:r>
        <w:rPr>
          <w:snapToGrid w:val="0"/>
        </w:rPr>
        <w:tab/>
        <w:t>Non</w:t>
      </w:r>
      <w:r>
        <w:rPr>
          <w:snapToGrid w:val="0"/>
        </w:rPr>
        <w:noBreakHyphen/>
        <w:t>disclosure by auditor and person appointed by Minister</w:t>
      </w:r>
      <w:bookmarkEnd w:id="12"/>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13" w:name="_Toc378164746"/>
      <w:r>
        <w:rPr>
          <w:rStyle w:val="CharSectno"/>
        </w:rPr>
        <w:t>11</w:t>
      </w:r>
      <w:r>
        <w:rPr>
          <w:snapToGrid w:val="0"/>
        </w:rPr>
        <w:t>.</w:t>
      </w:r>
      <w:r>
        <w:rPr>
          <w:snapToGrid w:val="0"/>
        </w:rPr>
        <w:tab/>
        <w:t>Offence</w:t>
      </w:r>
      <w:bookmarkEnd w:id="13"/>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14" w:name="_Toc378164747"/>
      <w:r>
        <w:rPr>
          <w:rStyle w:val="CharSectno"/>
        </w:rPr>
        <w:t>12</w:t>
      </w:r>
      <w:r>
        <w:rPr>
          <w:snapToGrid w:val="0"/>
        </w:rPr>
        <w:t>.</w:t>
      </w:r>
      <w:r>
        <w:rPr>
          <w:snapToGrid w:val="0"/>
        </w:rPr>
        <w:tab/>
        <w:t>Change of address</w:t>
      </w:r>
      <w:bookmarkEnd w:id="14"/>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15" w:name="_Toc378164748"/>
      <w:r>
        <w:rPr>
          <w:rStyle w:val="CharSectno"/>
        </w:rPr>
        <w:t>13</w:t>
      </w:r>
      <w:r>
        <w:rPr>
          <w:snapToGrid w:val="0"/>
        </w:rPr>
        <w:t>.</w:t>
      </w:r>
      <w:r>
        <w:rPr>
          <w:snapToGrid w:val="0"/>
        </w:rPr>
        <w:tab/>
        <w:t>Charges by licensee</w:t>
      </w:r>
      <w:bookmarkEnd w:id="15"/>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6" w:name="_Toc378164749"/>
      <w:r>
        <w:rPr>
          <w:rStyle w:val="CharSectno"/>
        </w:rPr>
        <w:t>14</w:t>
      </w:r>
      <w:r>
        <w:rPr>
          <w:snapToGrid w:val="0"/>
        </w:rPr>
        <w:t>.</w:t>
      </w:r>
      <w:r>
        <w:rPr>
          <w:snapToGrid w:val="0"/>
        </w:rPr>
        <w:tab/>
        <w:t>Exemptions</w:t>
      </w:r>
      <w:bookmarkEnd w:id="16"/>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17" w:name="_Toc378164750"/>
      <w:r>
        <w:rPr>
          <w:rStyle w:val="CharSectno"/>
        </w:rPr>
        <w:t>15</w:t>
      </w:r>
      <w:r>
        <w:rPr>
          <w:snapToGrid w:val="0"/>
        </w:rPr>
        <w:t>.</w:t>
      </w:r>
      <w:r>
        <w:rPr>
          <w:snapToGrid w:val="0"/>
        </w:rPr>
        <w:tab/>
        <w:t>Penalties</w:t>
      </w:r>
      <w:bookmarkEnd w:id="17"/>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8" w:name="_Toc378164751"/>
      <w:r>
        <w:rPr>
          <w:rStyle w:val="CharSectno"/>
        </w:rPr>
        <w:t>16</w:t>
      </w:r>
      <w:r>
        <w:t>.</w:t>
      </w:r>
      <w:r>
        <w:tab/>
        <w:t>Infringement notices</w:t>
      </w:r>
      <w:bookmarkEnd w:id="18"/>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 w:name="_Toc378164752"/>
      <w:r>
        <w:rPr>
          <w:rStyle w:val="CharSchNo"/>
        </w:rPr>
        <w:t>First Schedule</w:t>
      </w:r>
      <w:bookmarkEnd w:id="19"/>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20" w:name="_Toc378164753"/>
      <w:r>
        <w:rPr>
          <w:rStyle w:val="CharSchNo"/>
        </w:rPr>
        <w:t>Second Schedule</w:t>
      </w:r>
      <w:bookmarkEnd w:id="20"/>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21" w:name="_Toc378164754"/>
      <w:r>
        <w:rPr>
          <w:rStyle w:val="CharSchNo"/>
        </w:rPr>
        <w:t>Third Schedule</w:t>
      </w:r>
      <w:r>
        <w:t> — </w:t>
      </w:r>
      <w:r>
        <w:rPr>
          <w:rStyle w:val="CharSchText"/>
        </w:rPr>
        <w:t>Prescribed offences and modified penalties</w:t>
      </w:r>
      <w:bookmarkEnd w:id="21"/>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2" w:name="_Toc378164755"/>
      <w:r>
        <w:t>Notes</w:t>
      </w:r>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378164756"/>
      <w:r>
        <w:rPr>
          <w:snapToGrid w:val="0"/>
        </w:rPr>
        <w:t>Compilation table</w:t>
      </w:r>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rPr>
              <w:t>r. 1 and 2: 23 Jun 2009 (see r. 2(a));</w:t>
            </w:r>
            <w:r>
              <w:rPr>
                <w:snapToGrid w:val="0"/>
                <w:spacing w:val="-2"/>
                <w:sz w:val="19"/>
              </w:rPr>
              <w:br/>
              <w:t>Regulations other than r. 1 and 2: 1 Jul 2009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2010</w:t>
            </w:r>
          </w:p>
        </w:tc>
        <w:tc>
          <w:tcPr>
            <w:tcW w:w="1276" w:type="dxa"/>
          </w:tcPr>
          <w:p>
            <w:pPr>
              <w:pStyle w:val="nTable"/>
              <w:spacing w:after="40"/>
              <w:rPr>
                <w:sz w:val="19"/>
              </w:rPr>
            </w:pPr>
            <w:r>
              <w:rPr>
                <w:sz w:val="19"/>
              </w:rPr>
              <w:t>25 Jun 2010 p. 2844-5</w:t>
            </w:r>
          </w:p>
        </w:tc>
        <w:tc>
          <w:tcPr>
            <w:tcW w:w="2693" w:type="dxa"/>
          </w:tcPr>
          <w:p>
            <w:pPr>
              <w:pStyle w:val="nTable"/>
              <w:spacing w:after="40"/>
              <w:rPr>
                <w:sz w:val="19"/>
              </w:rPr>
            </w:pPr>
            <w:r>
              <w:rPr>
                <w:snapToGrid w:val="0"/>
                <w:spacing w:val="-2"/>
                <w:sz w:val="19"/>
              </w:rPr>
              <w:t>r. 1 and 2: 25 Jun 2010 (see r. 2(a));</w:t>
            </w:r>
            <w:r>
              <w:rPr>
                <w:snapToGrid w:val="0"/>
                <w:spacing w:val="-2"/>
                <w:sz w:val="19"/>
              </w:rPr>
              <w:br/>
              <w:t>Regulations other than r. 1 and 2: 1 Jul 2010 (see r. 2(b))</w:t>
            </w:r>
          </w:p>
        </w:tc>
      </w:tr>
      <w:tr>
        <w:trPr>
          <w:cantSplit/>
        </w:trPr>
        <w:tc>
          <w:tcPr>
            <w:tcW w:w="3119" w:type="dxa"/>
          </w:tcPr>
          <w:p>
            <w:pPr>
              <w:pStyle w:val="nTable"/>
              <w:spacing w:after="40"/>
              <w:ind w:right="113"/>
              <w:rPr>
                <w:i/>
                <w:sz w:val="19"/>
              </w:rPr>
            </w:pPr>
            <w:r>
              <w:rPr>
                <w:i/>
                <w:sz w:val="19"/>
              </w:rPr>
              <w:t>Debt Collectors Licensing Amendment Regulations 2011</w:t>
            </w:r>
          </w:p>
        </w:tc>
        <w:tc>
          <w:tcPr>
            <w:tcW w:w="1276" w:type="dxa"/>
          </w:tcPr>
          <w:p>
            <w:pPr>
              <w:pStyle w:val="nTable"/>
              <w:spacing w:after="40"/>
              <w:rPr>
                <w:sz w:val="19"/>
              </w:rPr>
            </w:pPr>
            <w:r>
              <w:rPr>
                <w:sz w:val="19"/>
              </w:rPr>
              <w:t>22 Jun 2011 p. 2345</w:t>
            </w:r>
            <w:r>
              <w:rPr>
                <w:sz w:val="19"/>
              </w:rPr>
              <w:noBreakHyphen/>
              <w:t>6</w:t>
            </w:r>
          </w:p>
        </w:tc>
        <w:tc>
          <w:tcPr>
            <w:tcW w:w="2693" w:type="dxa"/>
          </w:tcPr>
          <w:p>
            <w:pPr>
              <w:pStyle w:val="nTable"/>
              <w:spacing w:after="40"/>
              <w:rPr>
                <w:snapToGrid w:val="0"/>
                <w:spacing w:val="-2"/>
                <w:sz w:val="19"/>
              </w:rPr>
            </w:pPr>
            <w:r>
              <w:rPr>
                <w:snapToGrid w:val="0"/>
                <w:spacing w:val="-2"/>
                <w:sz w:val="19"/>
              </w:rPr>
              <w:t>r. 1 and 2: 22 Jun 2011 (see r. 2(a));</w:t>
            </w:r>
            <w:r>
              <w:rPr>
                <w:snapToGrid w:val="0"/>
                <w:spacing w:val="-2"/>
                <w:sz w:val="19"/>
              </w:rPr>
              <w:br/>
              <w:t>Regulations other than r. 1 and 2: 1 Jul 2011 (see r. 2(b))</w:t>
            </w:r>
          </w:p>
        </w:tc>
      </w:tr>
      <w:tr>
        <w:trPr>
          <w:cantSplit/>
        </w:trPr>
        <w:tc>
          <w:tcPr>
            <w:tcW w:w="3119" w:type="dxa"/>
          </w:tcPr>
          <w:p>
            <w:pPr>
              <w:pStyle w:val="nTable"/>
              <w:spacing w:after="40"/>
              <w:ind w:right="113"/>
              <w:rPr>
                <w:i/>
                <w:sz w:val="19"/>
              </w:rPr>
            </w:pPr>
            <w:r>
              <w:rPr>
                <w:i/>
                <w:sz w:val="19"/>
              </w:rPr>
              <w:t>Debt Collectors Licensing Amendment Regulations 2012</w:t>
            </w:r>
          </w:p>
        </w:tc>
        <w:tc>
          <w:tcPr>
            <w:tcW w:w="1276" w:type="dxa"/>
          </w:tcPr>
          <w:p>
            <w:pPr>
              <w:pStyle w:val="nTable"/>
              <w:spacing w:after="40"/>
              <w:rPr>
                <w:sz w:val="19"/>
              </w:rPr>
            </w:pPr>
            <w:r>
              <w:rPr>
                <w:sz w:val="19"/>
              </w:rPr>
              <w:t>15 Jun 2012 p. 2585-6</w:t>
            </w:r>
          </w:p>
        </w:tc>
        <w:tc>
          <w:tcPr>
            <w:tcW w:w="2693" w:type="dxa"/>
          </w:tcPr>
          <w:p>
            <w:pPr>
              <w:pStyle w:val="nTable"/>
              <w:spacing w:after="40"/>
              <w:rPr>
                <w:snapToGrid w:val="0"/>
                <w:spacing w:val="-2"/>
                <w:sz w:val="19"/>
              </w:rPr>
            </w:pPr>
            <w:r>
              <w:rPr>
                <w:snapToGrid w:val="0"/>
                <w:spacing w:val="-2"/>
                <w:sz w:val="19"/>
              </w:rPr>
              <w:t>r. 1 and 2: 15 Jun 2012 (see r. 2(a));</w:t>
            </w:r>
            <w:r>
              <w:rPr>
                <w:snapToGrid w:val="0"/>
                <w:spacing w:val="-2"/>
                <w:sz w:val="19"/>
              </w:rPr>
              <w:br/>
              <w:t>Regulations other than r. 1 and 2: 1 Jul 2012 (see r. 2(b))</w:t>
            </w:r>
          </w:p>
        </w:tc>
      </w:tr>
      <w:tr>
        <w:trPr>
          <w:cantSplit/>
        </w:trPr>
        <w:tc>
          <w:tcPr>
            <w:tcW w:w="3119" w:type="dxa"/>
          </w:tcPr>
          <w:p>
            <w:pPr>
              <w:pStyle w:val="nTable"/>
              <w:spacing w:after="40"/>
              <w:ind w:right="113"/>
              <w:rPr>
                <w:i/>
                <w:sz w:val="19"/>
              </w:rPr>
            </w:pPr>
            <w:r>
              <w:rPr>
                <w:i/>
                <w:sz w:val="19"/>
              </w:rPr>
              <w:t>Debt Collectors Licensing Amendment Regulations (No. 2) 2013</w:t>
            </w:r>
          </w:p>
        </w:tc>
        <w:tc>
          <w:tcPr>
            <w:tcW w:w="1276" w:type="dxa"/>
          </w:tcPr>
          <w:p>
            <w:pPr>
              <w:pStyle w:val="nTable"/>
              <w:spacing w:after="40"/>
              <w:rPr>
                <w:sz w:val="19"/>
              </w:rPr>
            </w:pPr>
            <w:r>
              <w:rPr>
                <w:sz w:val="19"/>
              </w:rPr>
              <w:t>27 Jun 2013 p. 2677-8</w:t>
            </w:r>
          </w:p>
        </w:tc>
        <w:tc>
          <w:tcPr>
            <w:tcW w:w="2693" w:type="dxa"/>
          </w:tcPr>
          <w:p>
            <w:pPr>
              <w:pStyle w:val="nTable"/>
              <w:spacing w:after="40"/>
              <w:rPr>
                <w:i/>
                <w:snapToGrid w:val="0"/>
                <w:spacing w:val="-2"/>
                <w:sz w:val="19"/>
              </w:rPr>
            </w:pPr>
            <w:r>
              <w:rPr>
                <w:snapToGrid w:val="0"/>
                <w:spacing w:val="-2"/>
                <w:sz w:val="19"/>
              </w:rPr>
              <w:t>r. 1 and 2: 27 Jun 2013 (see r. 2(a));</w:t>
            </w:r>
            <w:r>
              <w:rPr>
                <w:snapToGrid w:val="0"/>
                <w:spacing w:val="-2"/>
                <w:sz w:val="19"/>
              </w:rPr>
              <w:br/>
              <w:t>Regulations other than r. 1 and 2: 1 Jul 2013 (see r. 2(b))</w:t>
            </w:r>
          </w:p>
        </w:tc>
      </w:tr>
      <w:tr>
        <w:trPr>
          <w:cantSplit/>
        </w:trPr>
        <w:tc>
          <w:tcPr>
            <w:tcW w:w="3119" w:type="dxa"/>
            <w:tcBorders>
              <w:bottom w:val="single" w:sz="4" w:space="0" w:color="auto"/>
            </w:tcBorders>
          </w:tcPr>
          <w:p>
            <w:pPr>
              <w:pStyle w:val="nTable"/>
              <w:spacing w:after="40"/>
              <w:ind w:right="113"/>
              <w:rPr>
                <w:i/>
                <w:sz w:val="19"/>
              </w:rPr>
            </w:pPr>
            <w:r>
              <w:rPr>
                <w:i/>
                <w:sz w:val="19"/>
              </w:rPr>
              <w:t>Debt Collectors Licensing Amendment Regulations 2013</w:t>
            </w:r>
          </w:p>
        </w:tc>
        <w:tc>
          <w:tcPr>
            <w:tcW w:w="1276" w:type="dxa"/>
            <w:tcBorders>
              <w:bottom w:val="single" w:sz="4" w:space="0" w:color="auto"/>
            </w:tcBorders>
          </w:tcPr>
          <w:p>
            <w:pPr>
              <w:pStyle w:val="nTable"/>
              <w:spacing w:after="40"/>
              <w:rPr>
                <w:sz w:val="19"/>
              </w:rPr>
            </w:pPr>
            <w:r>
              <w:rPr>
                <w:sz w:val="19"/>
              </w:rPr>
              <w:t>20 Aug 2013 p. 3828</w:t>
            </w:r>
          </w:p>
        </w:tc>
        <w:tc>
          <w:tcPr>
            <w:tcW w:w="2693" w:type="dxa"/>
            <w:tcBorders>
              <w:bottom w:val="single" w:sz="4" w:space="0" w:color="auto"/>
            </w:tcBorders>
          </w:tcPr>
          <w:p>
            <w:pPr>
              <w:pStyle w:val="nTable"/>
              <w:spacing w:after="40"/>
              <w:rPr>
                <w:i/>
                <w:snapToGrid w:val="0"/>
                <w:spacing w:val="-2"/>
                <w:sz w:val="19"/>
              </w:rPr>
            </w:pPr>
            <w:r>
              <w:rPr>
                <w:snapToGrid w:val="0"/>
                <w:spacing w:val="-2"/>
                <w:sz w:val="19"/>
              </w:rPr>
              <w:t>r. 1 and 2: 20 Aug 2013 (see r. 2(a));</w:t>
            </w:r>
            <w:r>
              <w:rPr>
                <w:snapToGrid w:val="0"/>
                <w:spacing w:val="-2"/>
                <w:sz w:val="19"/>
              </w:rPr>
              <w:br/>
              <w:t xml:space="preserve">Regulations other than r. 1 and 2: 21 Aug 2013 (see r. 2(b) and </w:t>
            </w:r>
            <w:r>
              <w:rPr>
                <w:i/>
                <w:snapToGrid w:val="0"/>
                <w:spacing w:val="-2"/>
                <w:sz w:val="19"/>
              </w:rPr>
              <w:t>Gazette</w:t>
            </w:r>
            <w:r>
              <w:rPr>
                <w:snapToGrid w:val="0"/>
                <w:spacing w:val="-2"/>
                <w:sz w:val="19"/>
              </w:rPr>
              <w:t xml:space="preserve"> 20 Aug 2013 p. 3815)</w:t>
            </w:r>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24" w:name="_Toc378164757"/>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 w:name="DefinedTerms"/>
      <w:bookmarkEnd w:id="25"/>
      <w:r>
        <w:t>the Act</w:t>
      </w:r>
      <w:r>
        <w:tab/>
        <w:t>1(2)</w:t>
      </w:r>
    </w:p>
    <w:p>
      <w:pPr>
        <w:pStyle w:val="DefinedTerms"/>
      </w:pPr>
    </w:p>
    <w:p>
      <w:pPr>
        <w:rPr>
          <w:sz w:val="16"/>
        </w:rPr>
      </w:pPr>
    </w:p>
    <w:p>
      <w:pPr>
        <w:rPr>
          <w:sz w:val="16"/>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sz w:val="16"/>
        </w:rPr>
      </w:pPr>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30"/>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51210085630" w:val="RemoveTrackChanges"/>
    <w:docVar w:name="WAFER_20151210085630_GUID" w:val="87841736-c7c6-41a5-a733-b78754167c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4690</Words>
  <Characters>25332</Characters>
  <Application>Microsoft Office Word</Application>
  <DocSecurity>0</DocSecurity>
  <Lines>817</Lines>
  <Paragraphs>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1964 - 04-f0-02</dc:title>
  <dc:subject/>
  <dc:creator/>
  <cp:keywords/>
  <dc:description/>
  <cp:lastModifiedBy>svcMRProcess</cp:lastModifiedBy>
  <cp:revision>4</cp:revision>
  <cp:lastPrinted>2009-08-14T02:45:00Z</cp:lastPrinted>
  <dcterms:created xsi:type="dcterms:W3CDTF">2015-12-10T22:42:00Z</dcterms:created>
  <dcterms:modified xsi:type="dcterms:W3CDTF">2015-12-10T22:42:00Z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AsAtDate">
    <vt:lpwstr>21 Aug 2013</vt:lpwstr>
  </property>
  <property fmtid="{D5CDD505-2E9C-101B-9397-08002B2CF9AE}" pid="8" name="Suffix">
    <vt:lpwstr>04-f0-02</vt:lpwstr>
  </property>
</Properties>
</file>