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Wood Distillation and Charcoal Iron and Steel Industry Act 1943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1997 </w:t>
      </w:r>
      <w:r>
        <w:rPr>
          <w:iCs/>
          <w:color w:val="000000"/>
          <w:sz w:val="22"/>
          <w:szCs w:val="22"/>
        </w:rPr>
        <w:t>s. </w:t>
      </w:r>
      <w:r>
        <w:rPr>
          <w:color w:val="000000"/>
          <w:sz w:val="22"/>
          <w:szCs w:val="22"/>
        </w:rPr>
        <w:t>13 (No. 57 of 1997) as at 15 Dec 1997 (see s. 2(1)).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Wood Distillation and Charcoal Iron and Steel Industry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_Toc426101997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Construction</w:t>
      </w:r>
      <w:r>
        <w:tab/>
      </w:r>
      <w:r>
        <w:fldChar w:fldCharType="begin"/>
      </w:r>
      <w:r>
        <w:instrText xml:space="preserve"> PAGEREF _Toc426101998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_Toc426101999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Administration</w:t>
      </w:r>
      <w:r>
        <w:tab/>
      </w:r>
      <w:r>
        <w:fldChar w:fldCharType="begin"/>
      </w:r>
      <w:r>
        <w:instrText xml:space="preserve"> PAGEREF _Toc426102000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Authority to the Minister to establish, maintain, and carry on works, plant, and undertakings</w:t>
      </w:r>
      <w:r>
        <w:tab/>
      </w:r>
      <w:r>
        <w:fldChar w:fldCharType="begin"/>
      </w:r>
      <w:r>
        <w:instrText xml:space="preserve"> PAGEREF _Toc426102001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Dedication and acquisition of land</w:t>
      </w:r>
      <w:r>
        <w:tab/>
      </w:r>
      <w:r>
        <w:fldChar w:fldCharType="begin"/>
      </w:r>
      <w:r>
        <w:instrText xml:space="preserve"> PAGEREF _Toc426102002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Funds</w:t>
      </w:r>
      <w:r>
        <w:tab/>
      </w:r>
      <w:r>
        <w:fldChar w:fldCharType="begin"/>
      </w:r>
      <w:r>
        <w:instrText xml:space="preserve"> PAGEREF _Toc426102003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Borrowing powers</w:t>
      </w:r>
      <w:r>
        <w:tab/>
      </w:r>
      <w:r>
        <w:fldChar w:fldCharType="begin"/>
      </w:r>
      <w:r>
        <w:instrText xml:space="preserve"> PAGEREF _Toc426102004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officers and servants</w:t>
      </w:r>
      <w:r>
        <w:tab/>
      </w:r>
      <w:r>
        <w:fldChar w:fldCharType="begin"/>
      </w:r>
      <w:r>
        <w:instrText xml:space="preserve"> PAGEREF _Toc426102005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Certain officers to give security</w:t>
      </w:r>
      <w:r>
        <w:tab/>
      </w:r>
      <w:r>
        <w:fldChar w:fldCharType="begin"/>
      </w:r>
      <w:r>
        <w:instrText xml:space="preserve"> PAGEREF _Toc426102006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Board of Management</w:t>
      </w:r>
      <w:r>
        <w:tab/>
      </w:r>
      <w:r>
        <w:fldChar w:fldCharType="begin"/>
      </w:r>
      <w:r>
        <w:instrText xml:space="preserve"> PAGEREF _Toc426102007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_Toc426102008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_Toc426102009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Acting Chairman</w:t>
      </w:r>
      <w:r>
        <w:tab/>
      </w:r>
      <w:r>
        <w:fldChar w:fldCharType="begin"/>
      </w:r>
      <w:r>
        <w:instrText xml:space="preserve"> PAGEREF _Toc426102010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on difference of opinion</w:t>
      </w:r>
      <w:r>
        <w:tab/>
      </w:r>
      <w:r>
        <w:fldChar w:fldCharType="begin"/>
      </w:r>
      <w:r>
        <w:instrText xml:space="preserve"> PAGEREF _Toc426102011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Acts of Board not invalidated by vacancy</w:t>
      </w:r>
      <w:r>
        <w:tab/>
      </w:r>
      <w:r>
        <w:fldChar w:fldCharType="begin"/>
      </w:r>
      <w:r>
        <w:instrText xml:space="preserve"> PAGEREF _Toc426102012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Minutes of proceedings</w:t>
      </w:r>
      <w:r>
        <w:tab/>
      </w:r>
      <w:r>
        <w:fldChar w:fldCharType="begin"/>
      </w:r>
      <w:r>
        <w:instrText xml:space="preserve"> PAGEREF _Toc426102013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duties and functions of the Board</w:t>
      </w:r>
      <w:r>
        <w:tab/>
      </w:r>
      <w:r>
        <w:fldChar w:fldCharType="begin"/>
      </w:r>
      <w:r>
        <w:instrText xml:space="preserve"> PAGEREF _Toc426102014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Claims and proceedings by and against the Minister</w:t>
      </w:r>
      <w:r>
        <w:tab/>
      </w:r>
      <w:r>
        <w:fldChar w:fldCharType="begin"/>
      </w:r>
      <w:r>
        <w:instrText xml:space="preserve"> PAGEREF _Toc426102015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Contribution of interest and sinking fund</w:t>
      </w:r>
      <w:r>
        <w:tab/>
      </w:r>
      <w:r>
        <w:fldChar w:fldCharType="begin"/>
      </w:r>
      <w:r>
        <w:instrText xml:space="preserve"> PAGEREF _Toc426102016 \h </w:instrText>
      </w:r>
      <w:r>
        <w:fldChar w:fldCharType="separate"/>
      </w:r>
      <w:r>
        <w:t>11</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Board may borrow money</w:t>
      </w:r>
      <w:r>
        <w:tab/>
      </w:r>
      <w:r>
        <w:fldChar w:fldCharType="begin"/>
      </w:r>
      <w:r>
        <w:instrText xml:space="preserve"> PAGEREF _Toc426102017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Interest on capital expenditure from Revenue</w:t>
      </w:r>
      <w:r>
        <w:tab/>
      </w:r>
      <w:r>
        <w:fldChar w:fldCharType="begin"/>
      </w:r>
      <w:r>
        <w:instrText xml:space="preserve"> PAGEREF _Toc426102018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Charges for use of property and services</w:t>
      </w:r>
      <w:r>
        <w:tab/>
      </w:r>
      <w:r>
        <w:fldChar w:fldCharType="begin"/>
      </w:r>
      <w:r>
        <w:instrText xml:space="preserve"> PAGEREF _Toc426102019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Temporary investment of moneys. Application of balance</w:t>
      </w:r>
      <w:r>
        <w:tab/>
      </w:r>
      <w:r>
        <w:fldChar w:fldCharType="begin"/>
      </w:r>
      <w:r>
        <w:instrText xml:space="preserve"> PAGEREF _Toc426102020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_Toc426102021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_Toc426102022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w:t>
      </w:r>
      <w:r>
        <w:rPr>
          <w:snapToGrid w:val="0"/>
        </w:rPr>
        <w:noBreakHyphen/>
        <w:t>constitution of Board and suspension of provisions of Act during currency of the Agreement</w:t>
      </w:r>
      <w:r>
        <w:tab/>
      </w:r>
      <w:r>
        <w:fldChar w:fldCharType="begin"/>
      </w:r>
      <w:r>
        <w:instrText xml:space="preserve"> PAGEREF _Toc426102023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_Toc426102025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Wood Distillation and Charcoal Iron and Steel Industry Act 1943 </w:t>
      </w:r>
    </w:p>
    <w:p>
      <w:pPr>
        <w:pStyle w:val="LongTitle"/>
        <w:rPr>
          <w:snapToGrid w:val="0"/>
        </w:rPr>
      </w:pPr>
      <w:r>
        <w:rPr>
          <w:snapToGrid w:val="0"/>
        </w:rPr>
        <w:t xml:space="preserve">An Act to authorize the establishment, maintenance and carrying on by the Government of the State, of works, plant and other undertakings in connection with certain processes of wood distillation and the production of Charcoal Iron and of Steel and the sale of products derived from the carrying on of the said works, plant, and other undertakings. </w:t>
      </w:r>
    </w:p>
    <w:p>
      <w:pPr>
        <w:pStyle w:val="Enactment"/>
        <w:rPr>
          <w:snapToGrid w:val="0"/>
        </w:rPr>
      </w:pPr>
      <w:r>
        <w:rPr>
          <w:snapToGrid w:val="0"/>
        </w:rPr>
        <w:t xml:space="preserve">Be it enacted —  </w:t>
      </w:r>
    </w:p>
    <w:p>
      <w:pPr>
        <w:pStyle w:val="Heading5"/>
        <w:rPr>
          <w:snapToGrid w:val="0"/>
        </w:rPr>
      </w:pPr>
      <w:bookmarkStart w:id="4" w:name="_Toc379287496"/>
      <w:bookmarkStart w:id="5" w:name="_Toc42610199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Wood Distillation and Charcoal Iron and Steel Industry Act 1943</w:t>
      </w:r>
      <w:r>
        <w:rPr>
          <w:snapToGrid w:val="0"/>
        </w:rPr>
        <w:t>.</w:t>
      </w:r>
    </w:p>
    <w:p>
      <w:pPr>
        <w:pStyle w:val="Heading5"/>
        <w:rPr>
          <w:snapToGrid w:val="0"/>
        </w:rPr>
      </w:pPr>
      <w:bookmarkStart w:id="6" w:name="_Toc379287497"/>
      <w:bookmarkStart w:id="7" w:name="_Toc426101998"/>
      <w:r>
        <w:rPr>
          <w:rStyle w:val="CharSectno"/>
        </w:rPr>
        <w:t>2</w:t>
      </w:r>
      <w:r>
        <w:rPr>
          <w:snapToGrid w:val="0"/>
        </w:rPr>
        <w:t>.</w:t>
      </w:r>
      <w:r>
        <w:rPr>
          <w:snapToGrid w:val="0"/>
        </w:rPr>
        <w:tab/>
        <w:t>Construction</w:t>
      </w:r>
      <w:bookmarkEnd w:id="6"/>
      <w:bookmarkEnd w:id="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pPr>
        <w:pStyle w:val="Heading5"/>
        <w:rPr>
          <w:snapToGrid w:val="0"/>
        </w:rPr>
      </w:pPr>
      <w:bookmarkStart w:id="8" w:name="_Toc379287498"/>
      <w:bookmarkStart w:id="9" w:name="_Toc426101999"/>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“Board”</w:t>
      </w:r>
      <w:r>
        <w:t xml:space="preserve"> means the Charcoal Iron and Steel Industry Board of Management constituted under and for the purposes of this Act.</w:t>
      </w:r>
    </w:p>
    <w:p>
      <w:pPr>
        <w:pStyle w:val="Defstart"/>
      </w:pPr>
      <w:r>
        <w:rPr>
          <w:b/>
        </w:rPr>
        <w:tab/>
        <w:t>“Charcoal”</w:t>
      </w:r>
      <w:r>
        <w:t xml:space="preserve"> means wood charcoal which is produced by carbonising wood or sawdust and includes briquettes made substantially from wood charcoal.</w:t>
      </w:r>
    </w:p>
    <w:p>
      <w:pPr>
        <w:pStyle w:val="Defstart"/>
      </w:pPr>
      <w:r>
        <w:rPr>
          <w:b/>
        </w:rPr>
        <w:tab/>
        <w:t>“Charcoal iron”</w:t>
      </w:r>
      <w:r>
        <w:t xml:space="preserve"> means pig</w:t>
      </w:r>
      <w:r>
        <w:noBreakHyphen/>
        <w:t>iron produced in a blast furnace in which charcoal is the fuel used as distinct from ordinary pig</w:t>
      </w:r>
      <w:r>
        <w:noBreakHyphen/>
        <w:t>iron produced by the use of coke as the fuel.</w:t>
      </w:r>
    </w:p>
    <w:p>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pPr>
        <w:pStyle w:val="Defstart"/>
      </w:pPr>
      <w:r>
        <w:rPr>
          <w:b/>
        </w:rPr>
        <w:tab/>
        <w:t>“Wood distillation”</w:t>
      </w:r>
      <w:r>
        <w:t xml:space="preserve"> means the process by which wood is converted into charcoal by heating in steel retorts in the absence of air with arrangements for condensing the liquid products and for collecting the wood gas.</w:t>
      </w:r>
    </w:p>
    <w:p>
      <w:pPr>
        <w:pStyle w:val="Defstart"/>
      </w:pPr>
      <w:r>
        <w:rPr>
          <w:b/>
        </w:rPr>
        <w:tab/>
        <w:t>“Works, plant and undertakings”</w:t>
      </w:r>
      <w:r>
        <w:t xml:space="preserve"> includes: — </w:t>
      </w:r>
    </w:p>
    <w:p>
      <w:pPr>
        <w:pStyle w:val="Defpara"/>
      </w:pPr>
      <w:r>
        <w:tab/>
        <w:t>(a)</w:t>
      </w:r>
      <w:r>
        <w:tab/>
        <w:t>land, and land and buildings;</w:t>
      </w:r>
    </w:p>
    <w:p>
      <w:pPr>
        <w:pStyle w:val="Defpara"/>
      </w:pPr>
      <w:r>
        <w:tab/>
        <w:t>(b)</w:t>
      </w:r>
      <w:r>
        <w:tab/>
        <w:t>machinery, tools, apparatus, equipment, appliances, fittings and materials; and</w:t>
      </w:r>
    </w:p>
    <w:p>
      <w:pPr>
        <w:pStyle w:val="Defpara"/>
      </w:pPr>
      <w:r>
        <w:tab/>
        <w:t>(c)</w:t>
      </w:r>
      <w:r>
        <w:tab/>
        <w:t>patents, processes, and other activities — </w:t>
      </w:r>
    </w:p>
    <w:p>
      <w:pPr>
        <w:pStyle w:val="Defstart"/>
      </w:pPr>
      <w:r>
        <w:tab/>
      </w:r>
      <w:r>
        <w:tab/>
        <w:t>which are or may be required or used as part of or as ancillary or incidental to the doing of any act, matter or thing in relation to the production of charcoal and other products by means of a process of wood distillation and to the production of charcoal iron and of steel.</w:t>
      </w:r>
    </w:p>
    <w:p>
      <w:pPr>
        <w:pStyle w:val="Heading5"/>
        <w:rPr>
          <w:snapToGrid w:val="0"/>
        </w:rPr>
      </w:pPr>
      <w:bookmarkStart w:id="10" w:name="_Toc379287499"/>
      <w:bookmarkStart w:id="11" w:name="_Toc426102000"/>
      <w:r>
        <w:rPr>
          <w:rStyle w:val="CharSectno"/>
        </w:rPr>
        <w:t>4</w:t>
      </w:r>
      <w:r>
        <w:rPr>
          <w:snapToGrid w:val="0"/>
        </w:rPr>
        <w:t>.</w:t>
      </w:r>
      <w:r>
        <w:rPr>
          <w:snapToGrid w:val="0"/>
        </w:rPr>
        <w:tab/>
        <w:t>Administration</w:t>
      </w:r>
      <w:bookmarkEnd w:id="10"/>
      <w:bookmarkEnd w:id="11"/>
      <w:r>
        <w:rPr>
          <w:snapToGrid w:val="0"/>
        </w:rPr>
        <w:t xml:space="preserve"> </w:t>
      </w:r>
    </w:p>
    <w:p>
      <w:pPr>
        <w:pStyle w:val="Subsection"/>
        <w:rPr>
          <w:snapToGrid w:val="0"/>
        </w:rPr>
      </w:pPr>
      <w:r>
        <w:rPr>
          <w:snapToGrid w:val="0"/>
        </w:rPr>
        <w:tab/>
      </w:r>
      <w:r>
        <w:rPr>
          <w:snapToGrid w:val="0"/>
        </w:rPr>
        <w:tab/>
        <w:t>This Act shall be administered by the Minister.</w:t>
      </w:r>
    </w:p>
    <w:p>
      <w:pPr>
        <w:pStyle w:val="Heading5"/>
        <w:rPr>
          <w:snapToGrid w:val="0"/>
        </w:rPr>
      </w:pPr>
      <w:bookmarkStart w:id="12" w:name="_Toc379287500"/>
      <w:bookmarkStart w:id="13" w:name="_Toc426102001"/>
      <w:r>
        <w:rPr>
          <w:rStyle w:val="CharSectno"/>
        </w:rPr>
        <w:t>5</w:t>
      </w:r>
      <w:r>
        <w:rPr>
          <w:snapToGrid w:val="0"/>
        </w:rPr>
        <w:t>.</w:t>
      </w:r>
      <w:r>
        <w:rPr>
          <w:snapToGrid w:val="0"/>
        </w:rPr>
        <w:tab/>
        <w:t>Authority to the Minister to establish, maintain, and carry on works, plant, and undertakings</w:t>
      </w:r>
      <w:bookmarkEnd w:id="12"/>
      <w:bookmarkEnd w:id="13"/>
      <w:r>
        <w:rPr>
          <w:snapToGrid w:val="0"/>
        </w:rPr>
        <w:t xml:space="preserve"> </w:t>
      </w:r>
    </w:p>
    <w:p>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charcoal and other products by any process of wood distillation, and of producing charcoal iron and steel; and</w:t>
      </w:r>
    </w:p>
    <w:p>
      <w:pPr>
        <w:pStyle w:val="Indenta"/>
        <w:rPr>
          <w:snapToGrid w:val="0"/>
        </w:rPr>
      </w:pPr>
      <w:r>
        <w:rPr>
          <w:snapToGrid w:val="0"/>
        </w:rPr>
        <w:tab/>
        <w:t>(b)</w:t>
      </w:r>
      <w:r>
        <w:rPr>
          <w:snapToGrid w:val="0"/>
        </w:rPr>
        <w:tab/>
        <w:t>To carry on in or about such works, plant, and undertakings the business of producing charcoal and other products, and charcoal iron and steel as aforesaid for sale or for any other use by the Government of the State, and of selling or using as aforesaid the charcoal and other products, and the charcoal iron and steel produced as aforesaid.</w:t>
      </w:r>
    </w:p>
    <w:p>
      <w:pPr>
        <w:pStyle w:val="Indenta"/>
        <w:rPr>
          <w:snapToGrid w:val="0"/>
        </w:rPr>
      </w:pPr>
      <w:r>
        <w:rPr>
          <w:snapToGrid w:val="0"/>
        </w:rPr>
        <w:tab/>
        <w:t>(c) (i)</w:t>
      </w:r>
      <w:r>
        <w:rPr>
          <w:snapToGrid w:val="0"/>
        </w:rPr>
        <w:tab/>
        <w:t>For the purposes aforesaid to acquire machinery, plants, goods, chattels, and effects;</w:t>
      </w:r>
    </w:p>
    <w:p>
      <w:pPr>
        <w:pStyle w:val="Indenta"/>
        <w:rPr>
          <w:snapToGrid w:val="0"/>
        </w:rPr>
      </w:pPr>
      <w:r>
        <w:rPr>
          <w:snapToGrid w:val="0"/>
        </w:rPr>
        <w:tab/>
        <w:t>(ii)</w:t>
      </w:r>
      <w:r>
        <w:rPr>
          <w:snapToGrid w:val="0"/>
        </w:rPr>
        <w:tab/>
        <w:t>to erect, maintain, and repair buildings with all necessary machinery and plant;</w:t>
      </w:r>
    </w:p>
    <w:p>
      <w:pPr>
        <w:pStyle w:val="Indenta"/>
        <w:rPr>
          <w:snapToGrid w:val="0"/>
        </w:rPr>
      </w:pPr>
      <w:r>
        <w:rPr>
          <w:snapToGrid w:val="0"/>
        </w:rPr>
        <w:tab/>
        <w:t>(iii)</w:t>
      </w:r>
      <w:r>
        <w:rPr>
          <w:snapToGrid w:val="0"/>
        </w:rPr>
        <w:tab/>
        <w:t>construct or have constructed or rent railway sidings and all necessary appurtenances thereto; and</w:t>
      </w:r>
    </w:p>
    <w:p>
      <w:pPr>
        <w:pStyle w:val="Indenta"/>
        <w:rPr>
          <w:snapToGrid w:val="0"/>
        </w:rPr>
      </w:pPr>
      <w:r>
        <w:rPr>
          <w:snapToGrid w:val="0"/>
        </w:rPr>
        <w:tab/>
        <w:t>(iv)</w:t>
      </w:r>
      <w:r>
        <w:rPr>
          <w:snapToGrid w:val="0"/>
        </w:rPr>
        <w:tab/>
        <w:t>make roads, ways, railways, tramways, and other conveniences for transportation to and from works, plant, and undertakings.</w:t>
      </w:r>
    </w:p>
    <w:p>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State Trading Concerns Act 1916</w:t>
      </w:r>
      <w:r>
        <w:rPr>
          <w:snapToGrid w:val="0"/>
        </w:rPr>
        <w:t>, and the provisions of that Act shall not apply thereto.</w:t>
      </w:r>
    </w:p>
    <w:p>
      <w:pPr>
        <w:pStyle w:val="Heading5"/>
        <w:rPr>
          <w:snapToGrid w:val="0"/>
        </w:rPr>
      </w:pPr>
      <w:bookmarkStart w:id="14" w:name="_Toc379287501"/>
      <w:bookmarkStart w:id="15" w:name="_Toc426102002"/>
      <w:r>
        <w:rPr>
          <w:rStyle w:val="CharSectno"/>
        </w:rPr>
        <w:t>6</w:t>
      </w:r>
      <w:r>
        <w:rPr>
          <w:snapToGrid w:val="0"/>
        </w:rPr>
        <w:t>.</w:t>
      </w:r>
      <w:r>
        <w:rPr>
          <w:snapToGrid w:val="0"/>
        </w:rPr>
        <w:tab/>
        <w:t>Dedication and acquisition of land</w:t>
      </w:r>
      <w:bookmarkEnd w:id="14"/>
      <w:bookmarkEnd w:id="15"/>
      <w:r>
        <w:rPr>
          <w:snapToGrid w:val="0"/>
        </w:rPr>
        <w:t xml:space="preserve"> </w:t>
      </w:r>
    </w:p>
    <w:p>
      <w:pPr>
        <w:pStyle w:val="Subsection"/>
        <w:rPr>
          <w:snapToGrid w:val="0"/>
        </w:rPr>
      </w:pPr>
      <w:r>
        <w:rPr>
          <w:snapToGrid w:val="0"/>
        </w:rPr>
        <w:tab/>
        <w:t>(1)</w:t>
      </w:r>
      <w:r>
        <w:rPr>
          <w:snapToGrid w:val="0"/>
        </w:rPr>
        <w:tab/>
        <w:t>The Governor may from time to time for the purposes of this Act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1939</w:t>
      </w:r>
      <w:r>
        <w:rPr>
          <w:snapToGrid w:val="0"/>
        </w:rPr>
        <w:t>, or otherwise is land belonging to the Crown; and</w:t>
      </w:r>
    </w:p>
    <w:p>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1933</w:t>
      </w:r>
      <w:r>
        <w:rPr>
          <w:snapToGrid w:val="0"/>
        </w:rPr>
        <w:t xml:space="preserve">, in the same manner with the same rights and subject to the same duties as if the works, plant, and undertakings authorized by this Act were a </w:t>
      </w:r>
      <w:r>
        <w:rPr>
          <w:b/>
          <w:snapToGrid w:val="0"/>
        </w:rPr>
        <w:t>“public work”</w:t>
      </w:r>
      <w:r>
        <w:rPr>
          <w:snapToGrid w:val="0"/>
        </w:rPr>
        <w:t xml:space="preserve"> within the meaning of the </w:t>
      </w:r>
      <w:r>
        <w:rPr>
          <w:i/>
          <w:snapToGrid w:val="0"/>
        </w:rPr>
        <w:t>Public Works Act 1902</w:t>
      </w:r>
      <w:r>
        <w:rPr>
          <w:i/>
          <w:snapToGrid w:val="0"/>
        </w:rPr>
        <w:noBreakHyphen/>
        <w:t>1933</w:t>
      </w:r>
      <w:r>
        <w:rPr>
          <w:snapToGrid w:val="0"/>
        </w:rPr>
        <w:t>.</w:t>
      </w:r>
    </w:p>
    <w:p>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pPr>
        <w:pStyle w:val="Heading5"/>
        <w:rPr>
          <w:snapToGrid w:val="0"/>
        </w:rPr>
      </w:pPr>
      <w:bookmarkStart w:id="16" w:name="_Toc379287502"/>
      <w:bookmarkStart w:id="17" w:name="_Toc426102003"/>
      <w:r>
        <w:rPr>
          <w:rStyle w:val="CharSectno"/>
        </w:rPr>
        <w:t>7</w:t>
      </w:r>
      <w:r>
        <w:rPr>
          <w:snapToGrid w:val="0"/>
        </w:rPr>
        <w:t>.</w:t>
      </w:r>
      <w:r>
        <w:rPr>
          <w:snapToGrid w:val="0"/>
        </w:rPr>
        <w:tab/>
        <w:t>Funds</w:t>
      </w:r>
      <w:bookmarkEnd w:id="16"/>
      <w:bookmarkEnd w:id="17"/>
      <w:r>
        <w:rPr>
          <w:snapToGrid w:val="0"/>
        </w:rPr>
        <w:t xml:space="preserve"> </w:t>
      </w:r>
    </w:p>
    <w:p>
      <w:pPr>
        <w:pStyle w:val="Subsection"/>
        <w:rPr>
          <w:snapToGrid w:val="0"/>
        </w:rPr>
      </w:pPr>
      <w:r>
        <w:rPr>
          <w:snapToGrid w:val="0"/>
        </w:rPr>
        <w:tab/>
        <w:t>(1)</w:t>
      </w:r>
      <w:r>
        <w:rPr>
          <w:snapToGrid w:val="0"/>
        </w:rPr>
        <w:tab/>
        <w:t>The funds necessary for the effectual exercise by the Minister of the powers conferred upon him by section five of this Act shall be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the income derived by the Minister from the business carried on by him under the authority of this Act; and</w:t>
      </w:r>
    </w:p>
    <w:p>
      <w:pPr>
        <w:pStyle w:val="Indenta"/>
        <w:rPr>
          <w:snapToGrid w:val="0"/>
        </w:rPr>
      </w:pPr>
      <w:r>
        <w:rPr>
          <w:snapToGrid w:val="0"/>
        </w:rPr>
        <w:tab/>
        <w:t>(c)</w:t>
      </w:r>
      <w:r>
        <w:rPr>
          <w:snapToGrid w:val="0"/>
        </w:rPr>
        <w:tab/>
        <w:t>such moneys as the Minister may borrow under and subject to the provisions of this Act.</w:t>
      </w:r>
    </w:p>
    <w:p>
      <w:pPr>
        <w:pStyle w:val="Subsection"/>
        <w:rPr>
          <w:snapToGrid w:val="0"/>
        </w:rPr>
      </w:pPr>
      <w:r>
        <w:rPr>
          <w:snapToGrid w:val="0"/>
        </w:rPr>
        <w:tab/>
        <w:t>(2)</w:t>
      </w:r>
      <w:r>
        <w:rPr>
          <w:snapToGrid w:val="0"/>
        </w:rPr>
        <w:tab/>
        <w:t>All such moneys shall be placed to the credit of an account at the Treasury to be called “The Charcoal Iron and Steel Industry Account” and shall be applied to the purposes of this Act.</w:t>
      </w:r>
    </w:p>
    <w:p>
      <w:pPr>
        <w:pStyle w:val="Ednotepara"/>
        <w:rPr>
          <w:snapToGrid w:val="0"/>
        </w:rPr>
      </w:pPr>
      <w:r>
        <w:rPr>
          <w:snapToGrid w:val="0"/>
        </w:rPr>
        <w:tab/>
      </w:r>
      <w:r>
        <w:rPr>
          <w:snapToGrid w:val="0"/>
        </w:rPr>
        <w:tab/>
        <w:t>[Paragraphs (i) and (ii) deleted.]</w:t>
      </w:r>
    </w:p>
    <w:p>
      <w:pPr>
        <w:pStyle w:val="Subsection"/>
        <w:rPr>
          <w:snapToGrid w:val="0"/>
        </w:rPr>
      </w:pPr>
      <w:r>
        <w:rPr>
          <w:snapToGrid w:val="0"/>
        </w:rPr>
        <w:tab/>
        <w:t>(2a)</w:t>
      </w:r>
      <w:r>
        <w:rPr>
          <w:snapToGrid w:val="0"/>
        </w:rPr>
        <w:tab/>
        <w:t>Moneys received by the Minister shall, for the purposes of this section, be deemed in the hands of the Minister to be revenue or profit or income moneys if those moneys are — </w:t>
      </w:r>
    </w:p>
    <w:p>
      <w:pPr>
        <w:pStyle w:val="Indenta"/>
        <w:rPr>
          <w:snapToGrid w:val="0"/>
        </w:rPr>
      </w:pPr>
      <w:r>
        <w:rPr>
          <w:snapToGrid w:val="0"/>
        </w:rPr>
        <w:tab/>
        <w:t>(a)</w:t>
      </w:r>
      <w:r>
        <w:rPr>
          <w:snapToGrid w:val="0"/>
        </w:rPr>
        <w:tab/>
        <w:t>appropriated by Parliament from the Consolidated Fund; or</w:t>
      </w:r>
    </w:p>
    <w:p>
      <w:pPr>
        <w:pStyle w:val="Indenta"/>
        <w:rPr>
          <w:snapToGrid w:val="0"/>
        </w:rPr>
      </w:pPr>
      <w:r>
        <w:rPr>
          <w:snapToGrid w:val="0"/>
        </w:rPr>
        <w:tab/>
        <w:t>(b)</w:t>
      </w:r>
      <w:r>
        <w:rPr>
          <w:snapToGrid w:val="0"/>
        </w:rPr>
        <w:tab/>
        <w:t>advanced from the Treasurer’s Advance Account and the Treasurer directs that such moneys shall be deemed to be revenue or profit or income moneys.</w:t>
      </w:r>
    </w:p>
    <w:p>
      <w:pPr>
        <w:pStyle w:val="Subsection"/>
        <w:rPr>
          <w:snapToGrid w:val="0"/>
        </w:rPr>
      </w:pPr>
      <w:r>
        <w:rPr>
          <w:snapToGrid w:val="0"/>
        </w:rPr>
        <w:tab/>
        <w:t>(3)</w:t>
      </w:r>
      <w:r>
        <w:rPr>
          <w:snapToGrid w:val="0"/>
        </w:rPr>
        <w:tab/>
        <w:t>The said account shall be operated upon in such manner as may be prescribed.</w:t>
      </w:r>
    </w:p>
    <w:p>
      <w:pPr>
        <w:pStyle w:val="Subsection"/>
        <w:rPr>
          <w:snapToGrid w:val="0"/>
        </w:rPr>
      </w:pPr>
      <w:r>
        <w:rPr>
          <w:snapToGrid w:val="0"/>
        </w:rPr>
        <w:tab/>
        <w:t>(4)</w:t>
      </w:r>
      <w:r>
        <w:rPr>
          <w:snapToGrid w:val="0"/>
        </w:rPr>
        <w:tab/>
        <w:t>The moneys from time to time in the said account shall be chargeable with — </w:t>
      </w:r>
    </w:p>
    <w:p>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pPr>
        <w:pStyle w:val="Indenta"/>
        <w:rPr>
          <w:snapToGrid w:val="0"/>
        </w:rPr>
      </w:pPr>
      <w:r>
        <w:rPr>
          <w:snapToGrid w:val="0"/>
        </w:rPr>
        <w:tab/>
        <w:t>(b)</w:t>
      </w:r>
      <w:r>
        <w:rPr>
          <w:snapToGrid w:val="0"/>
        </w:rPr>
        <w:tab/>
        <w:t>the fees or remuneration and allowances payable to members of the Board;</w:t>
      </w:r>
    </w:p>
    <w:p>
      <w:pPr>
        <w:pStyle w:val="Indenta"/>
        <w:rPr>
          <w:snapToGrid w:val="0"/>
        </w:rPr>
      </w:pPr>
      <w:r>
        <w:rPr>
          <w:snapToGrid w:val="0"/>
        </w:rPr>
        <w:tab/>
        <w:t>(c)</w:t>
      </w:r>
      <w:r>
        <w:rPr>
          <w:snapToGrid w:val="0"/>
        </w:rPr>
        <w:tab/>
        <w:t>the salaries and wages of officers and servants employed in or in connection with the business carried on by the Minister; and</w:t>
      </w:r>
    </w:p>
    <w:p>
      <w:pPr>
        <w:pStyle w:val="Indenta"/>
        <w:rPr>
          <w:snapToGrid w:val="0"/>
        </w:rPr>
      </w:pPr>
      <w:r>
        <w:rPr>
          <w:snapToGrid w:val="0"/>
        </w:rPr>
        <w:tab/>
        <w:t>(d)</w:t>
      </w:r>
      <w:r>
        <w:rPr>
          <w:snapToGrid w:val="0"/>
        </w:rPr>
        <w:tab/>
        <w:t>all other expenditure lawfully incurred by the Minister in the exercise of his powers under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capital expenditure mentioned in paragraph (a) of this subsection shall in the first instance by charged against and be paid out of those moneys in the said account which are recorded or entered in the books of account as capital moneys; and</w:t>
      </w:r>
    </w:p>
    <w:p>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said account which are recorded or entered in the books of account as revenue or profit or income moneys.</w:t>
      </w:r>
    </w:p>
    <w:p>
      <w:pPr>
        <w:pStyle w:val="Footnotesection"/>
      </w:pPr>
      <w:r>
        <w:tab/>
        <w:t xml:space="preserve">[Section 7 amended by No. 98 of 1985 Schedule 1; No. 6 of 1993 s.11.] </w:t>
      </w:r>
    </w:p>
    <w:p>
      <w:pPr>
        <w:pStyle w:val="Heading5"/>
        <w:rPr>
          <w:snapToGrid w:val="0"/>
        </w:rPr>
      </w:pPr>
      <w:bookmarkStart w:id="18" w:name="_Toc379287503"/>
      <w:bookmarkStart w:id="19" w:name="_Toc426102004"/>
      <w:r>
        <w:rPr>
          <w:rStyle w:val="CharSectno"/>
        </w:rPr>
        <w:t>8</w:t>
      </w:r>
      <w:r>
        <w:rPr>
          <w:snapToGrid w:val="0"/>
        </w:rPr>
        <w:t>.</w:t>
      </w:r>
      <w:r>
        <w:rPr>
          <w:snapToGrid w:val="0"/>
        </w:rPr>
        <w:tab/>
        <w:t>Borrowing powers</w:t>
      </w:r>
      <w:bookmarkEnd w:id="18"/>
      <w:bookmarkEnd w:id="19"/>
      <w:r>
        <w:rPr>
          <w:snapToGrid w:val="0"/>
        </w:rPr>
        <w:t xml:space="preserve"> </w:t>
      </w:r>
    </w:p>
    <w:p>
      <w:pPr>
        <w:pStyle w:val="Subsection"/>
        <w:rPr>
          <w:snapToGrid w:val="0"/>
        </w:rPr>
      </w:pPr>
      <w:r>
        <w:rPr>
          <w:snapToGrid w:val="0"/>
        </w:rPr>
        <w:tab/>
        <w:t>(1)</w:t>
      </w:r>
      <w:r>
        <w:rPr>
          <w:snapToGrid w:val="0"/>
        </w:rPr>
        <w:tab/>
        <w:t>The Minister may borrow from the Treasurer to enable the Minister to defray expenditure incurred by him under this Act at any time when the moneys in the Charcoal Iron and Steel Industry Account aforesaid are not sufficient to meet such expenditure in full.</w:t>
      </w:r>
    </w:p>
    <w:p>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Governor.</w:t>
      </w:r>
    </w:p>
    <w:p>
      <w:pPr>
        <w:pStyle w:val="Subsection"/>
        <w:rPr>
          <w:snapToGrid w:val="0"/>
        </w:rPr>
      </w:pPr>
      <w:r>
        <w:rPr>
          <w:snapToGrid w:val="0"/>
        </w:rPr>
        <w:tab/>
        <w:t>(3)</w:t>
      </w:r>
      <w:r>
        <w:rPr>
          <w:snapToGrid w:val="0"/>
        </w:rPr>
        <w:tab/>
        <w:t>The moneys borrowed and the interest payable in respect thereof shall be a charge upon the moneys in the Charcoal Iron and Steel Industry Account from time to time, and upon any works, plant and undertakings established by the Minister and upon any other property belonging to the Minister under this Act.</w:t>
      </w:r>
    </w:p>
    <w:p>
      <w:pPr>
        <w:pStyle w:val="Heading5"/>
        <w:rPr>
          <w:snapToGrid w:val="0"/>
        </w:rPr>
      </w:pPr>
      <w:bookmarkStart w:id="20" w:name="_Toc379287504"/>
      <w:bookmarkStart w:id="21" w:name="_Toc426102005"/>
      <w:r>
        <w:rPr>
          <w:rStyle w:val="CharSectno"/>
        </w:rPr>
        <w:t>9</w:t>
      </w:r>
      <w:r>
        <w:rPr>
          <w:snapToGrid w:val="0"/>
        </w:rPr>
        <w:t>.</w:t>
      </w:r>
      <w:r>
        <w:rPr>
          <w:snapToGrid w:val="0"/>
        </w:rPr>
        <w:tab/>
        <w:t>Appointment of officers and servants</w:t>
      </w:r>
      <w:bookmarkEnd w:id="20"/>
      <w:bookmarkEnd w:id="21"/>
      <w:r>
        <w:rPr>
          <w:snapToGrid w:val="0"/>
        </w:rPr>
        <w:t xml:space="preserve"> </w:t>
      </w:r>
    </w:p>
    <w:p>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pPr>
        <w:pStyle w:val="Subsection"/>
        <w:rPr>
          <w:snapToGrid w:val="0"/>
        </w:rPr>
      </w:pPr>
      <w:r>
        <w:rPr>
          <w:snapToGrid w:val="0"/>
        </w:rPr>
        <w:tab/>
        <w:t>(2)</w:t>
      </w:r>
      <w:r>
        <w:rPr>
          <w:snapToGrid w:val="0"/>
        </w:rPr>
        <w:tab/>
        <w:t>All persons so appointed shall, subject to the Minister, be under the control and direction of the Board.</w:t>
      </w:r>
    </w:p>
    <w:p>
      <w:pPr>
        <w:pStyle w:val="Heading5"/>
        <w:rPr>
          <w:snapToGrid w:val="0"/>
        </w:rPr>
      </w:pPr>
      <w:bookmarkStart w:id="22" w:name="_Toc379287505"/>
      <w:bookmarkStart w:id="23" w:name="_Toc426102006"/>
      <w:r>
        <w:rPr>
          <w:rStyle w:val="CharSectno"/>
        </w:rPr>
        <w:t>10</w:t>
      </w:r>
      <w:r>
        <w:rPr>
          <w:snapToGrid w:val="0"/>
        </w:rPr>
        <w:t>.</w:t>
      </w:r>
      <w:r>
        <w:rPr>
          <w:snapToGrid w:val="0"/>
        </w:rPr>
        <w:tab/>
        <w:t>Certain officers to give security</w:t>
      </w:r>
      <w:bookmarkEnd w:id="22"/>
      <w:bookmarkEnd w:id="23"/>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duties of his office the Board may require him to furnish sufficient security for the faithful execution thereof.</w:t>
      </w:r>
    </w:p>
    <w:p>
      <w:pPr>
        <w:pStyle w:val="Heading5"/>
        <w:rPr>
          <w:snapToGrid w:val="0"/>
        </w:rPr>
      </w:pPr>
      <w:bookmarkStart w:id="24" w:name="_Toc379287506"/>
      <w:bookmarkStart w:id="25" w:name="_Toc426102007"/>
      <w:r>
        <w:rPr>
          <w:rStyle w:val="CharSectno"/>
        </w:rPr>
        <w:t>11</w:t>
      </w:r>
      <w:r>
        <w:rPr>
          <w:snapToGrid w:val="0"/>
        </w:rPr>
        <w:t>.</w:t>
      </w:r>
      <w:r>
        <w:rPr>
          <w:snapToGrid w:val="0"/>
        </w:rPr>
        <w:tab/>
        <w:t>Board of Management</w:t>
      </w:r>
      <w:bookmarkEnd w:id="24"/>
      <w:bookmarkEnd w:id="25"/>
      <w:r>
        <w:rPr>
          <w:snapToGrid w:val="0"/>
        </w:rPr>
        <w:t xml:space="preserve"> </w:t>
      </w:r>
    </w:p>
    <w:p>
      <w:pPr>
        <w:pStyle w:val="Subsection"/>
        <w:rPr>
          <w:snapToGrid w:val="0"/>
        </w:rPr>
      </w:pPr>
      <w:r>
        <w:rPr>
          <w:snapToGrid w:val="0"/>
        </w:rPr>
        <w:tab/>
        <w:t>(1)</w:t>
      </w:r>
      <w:r>
        <w:rPr>
          <w:snapToGrid w:val="0"/>
        </w:rPr>
        <w:tab/>
        <w:t>There shall be constituted for the purposes of this Act a Board of Management to be called “the Charcoal Iron and Steel Industry Board of Management.”</w:t>
      </w:r>
    </w:p>
    <w:p>
      <w:pPr>
        <w:pStyle w:val="Subsection"/>
        <w:rPr>
          <w:snapToGrid w:val="0"/>
        </w:rPr>
      </w:pPr>
      <w:r>
        <w:rPr>
          <w:snapToGrid w:val="0"/>
        </w:rPr>
        <w:tab/>
        <w:t>(2)</w:t>
      </w:r>
      <w:r>
        <w:rPr>
          <w:snapToGrid w:val="0"/>
        </w:rPr>
        <w:tab/>
        <w:t>The Board shall consist of five members to be appointed by the Governor on the recommendation of the Minister, one of whom shall be nominated by the workers in the industry concerned in the works plant and undertakings established under this Act.</w:t>
      </w:r>
    </w:p>
    <w:p>
      <w:pPr>
        <w:pStyle w:val="Subsection"/>
        <w:rPr>
          <w:snapToGrid w:val="0"/>
        </w:rPr>
      </w:pPr>
      <w:r>
        <w:rPr>
          <w:snapToGrid w:val="0"/>
        </w:rPr>
        <w:tab/>
        <w:t>(3)</w:t>
      </w:r>
      <w:r>
        <w:rPr>
          <w:snapToGrid w:val="0"/>
        </w:rPr>
        <w:tab/>
        <w:t>The members shall hold office during the pleasure of the Governor.</w:t>
      </w:r>
    </w:p>
    <w:p>
      <w:pPr>
        <w:pStyle w:val="Subsection"/>
        <w:rPr>
          <w:snapToGrid w:val="0"/>
        </w:rPr>
      </w:pPr>
      <w:r>
        <w:rPr>
          <w:snapToGrid w:val="0"/>
        </w:rPr>
        <w:tab/>
        <w:t>(4)</w:t>
      </w:r>
      <w:r>
        <w:rPr>
          <w:snapToGrid w:val="0"/>
        </w:rPr>
        <w:tab/>
        <w:t>One of such members shall be appointed by the Governor as chairman of the Board.</w:t>
      </w:r>
    </w:p>
    <w:p>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pPr>
        <w:pStyle w:val="Heading5"/>
        <w:rPr>
          <w:snapToGrid w:val="0"/>
        </w:rPr>
      </w:pPr>
      <w:bookmarkStart w:id="26" w:name="_Toc379287507"/>
      <w:bookmarkStart w:id="27" w:name="_Toc426102008"/>
      <w:r>
        <w:rPr>
          <w:rStyle w:val="CharSectno"/>
        </w:rPr>
        <w:t>12</w:t>
      </w:r>
      <w:r>
        <w:rPr>
          <w:snapToGrid w:val="0"/>
        </w:rPr>
        <w:t>.</w:t>
      </w:r>
      <w:r>
        <w:rPr>
          <w:snapToGrid w:val="0"/>
        </w:rPr>
        <w:tab/>
        <w:t>Remuneration and allowances</w:t>
      </w:r>
      <w:bookmarkEnd w:id="26"/>
      <w:bookmarkEnd w:id="27"/>
      <w:r>
        <w:rPr>
          <w:snapToGrid w:val="0"/>
        </w:rPr>
        <w:t xml:space="preserve"> </w:t>
      </w:r>
    </w:p>
    <w:p>
      <w:pPr>
        <w:pStyle w:val="Subsection"/>
        <w:rPr>
          <w:snapToGrid w:val="0"/>
        </w:rPr>
      </w:pPr>
      <w:r>
        <w:rPr>
          <w:snapToGrid w:val="0"/>
        </w:rPr>
        <w:tab/>
      </w:r>
      <w:r>
        <w:rPr>
          <w:snapToGrid w:val="0"/>
        </w:rPr>
        <w:tab/>
        <w:t>The members of the Board shall receive — </w:t>
      </w:r>
    </w:p>
    <w:p>
      <w:pPr>
        <w:pStyle w:val="Indenta"/>
        <w:rPr>
          <w:snapToGrid w:val="0"/>
        </w:rPr>
      </w:pPr>
      <w:r>
        <w:rPr>
          <w:snapToGrid w:val="0"/>
        </w:rPr>
        <w:tab/>
        <w:t>(a)</w:t>
      </w:r>
      <w:r>
        <w:rPr>
          <w:snapToGrid w:val="0"/>
        </w:rPr>
        <w:tab/>
        <w:t>such fees or other remuneration for their services as the Governor shall from time to time determine; and</w:t>
      </w:r>
    </w:p>
    <w:p>
      <w:pPr>
        <w:pStyle w:val="Indenta"/>
        <w:rPr>
          <w:snapToGrid w:val="0"/>
        </w:rPr>
      </w:pPr>
      <w:r>
        <w:rPr>
          <w:snapToGrid w:val="0"/>
        </w:rPr>
        <w:tab/>
        <w:t>(b)</w:t>
      </w:r>
      <w:r>
        <w:rPr>
          <w:snapToGrid w:val="0"/>
        </w:rPr>
        <w:tab/>
        <w:t>such travelling and other allowances as may be prescribed by regulations.</w:t>
      </w:r>
    </w:p>
    <w:p>
      <w:pPr>
        <w:pStyle w:val="Heading5"/>
        <w:rPr>
          <w:snapToGrid w:val="0"/>
        </w:rPr>
      </w:pPr>
      <w:bookmarkStart w:id="28" w:name="_Toc379287508"/>
      <w:bookmarkStart w:id="29" w:name="_Toc426102009"/>
      <w:r>
        <w:rPr>
          <w:rStyle w:val="CharSectno"/>
        </w:rPr>
        <w:t>13</w:t>
      </w:r>
      <w:r>
        <w:rPr>
          <w:snapToGrid w:val="0"/>
        </w:rPr>
        <w:t>.</w:t>
      </w:r>
      <w:r>
        <w:rPr>
          <w:snapToGrid w:val="0"/>
        </w:rPr>
        <w:tab/>
        <w:t>Quorum</w:t>
      </w:r>
      <w:bookmarkEnd w:id="28"/>
      <w:bookmarkEnd w:id="29"/>
      <w:r>
        <w:rPr>
          <w:snapToGrid w:val="0"/>
        </w:rPr>
        <w:t xml:space="preserve"> </w:t>
      </w:r>
    </w:p>
    <w:p>
      <w:pPr>
        <w:pStyle w:val="Subsection"/>
        <w:rPr>
          <w:snapToGrid w:val="0"/>
        </w:rPr>
      </w:pPr>
      <w:r>
        <w:rPr>
          <w:snapToGrid w:val="0"/>
        </w:rPr>
        <w:tab/>
      </w:r>
      <w:r>
        <w:rPr>
          <w:snapToGrid w:val="0"/>
        </w:rPr>
        <w:tab/>
        <w:t>For the conduct of the business of the Board three members shall be a quorum, and shall have all the powers and authorities vested in the Board.</w:t>
      </w:r>
    </w:p>
    <w:p>
      <w:pPr>
        <w:pStyle w:val="Heading5"/>
        <w:rPr>
          <w:snapToGrid w:val="0"/>
        </w:rPr>
      </w:pPr>
      <w:bookmarkStart w:id="30" w:name="_Toc379287509"/>
      <w:bookmarkStart w:id="31" w:name="_Toc426102010"/>
      <w:r>
        <w:rPr>
          <w:rStyle w:val="CharSectno"/>
        </w:rPr>
        <w:t>14</w:t>
      </w:r>
      <w:r>
        <w:rPr>
          <w:snapToGrid w:val="0"/>
        </w:rPr>
        <w:t>.</w:t>
      </w:r>
      <w:r>
        <w:rPr>
          <w:snapToGrid w:val="0"/>
        </w:rPr>
        <w:tab/>
        <w:t>Acting Chairman</w:t>
      </w:r>
      <w:bookmarkEnd w:id="30"/>
      <w:bookmarkEnd w:id="31"/>
      <w:r>
        <w:rPr>
          <w:snapToGrid w:val="0"/>
        </w:rPr>
        <w:t xml:space="preserve"> </w:t>
      </w:r>
    </w:p>
    <w:p>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pPr>
        <w:pStyle w:val="Heading5"/>
        <w:rPr>
          <w:snapToGrid w:val="0"/>
        </w:rPr>
      </w:pPr>
      <w:bookmarkStart w:id="32" w:name="_Toc379287510"/>
      <w:bookmarkStart w:id="33" w:name="_Toc426102011"/>
      <w:r>
        <w:rPr>
          <w:rStyle w:val="CharSectno"/>
        </w:rPr>
        <w:t>15</w:t>
      </w:r>
      <w:r>
        <w:rPr>
          <w:snapToGrid w:val="0"/>
        </w:rPr>
        <w:t>.</w:t>
      </w:r>
      <w:r>
        <w:rPr>
          <w:snapToGrid w:val="0"/>
        </w:rPr>
        <w:tab/>
        <w:t>Procedure on difference of opinion</w:t>
      </w:r>
      <w:bookmarkEnd w:id="32"/>
      <w:bookmarkEnd w:id="33"/>
      <w:r>
        <w:rPr>
          <w:snapToGrid w:val="0"/>
        </w:rPr>
        <w:t xml:space="preserve"> </w:t>
      </w:r>
    </w:p>
    <w:p>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pPr>
        <w:pStyle w:val="Heading5"/>
        <w:rPr>
          <w:snapToGrid w:val="0"/>
        </w:rPr>
      </w:pPr>
      <w:bookmarkStart w:id="34" w:name="_Toc379287511"/>
      <w:bookmarkStart w:id="35" w:name="_Toc426102012"/>
      <w:r>
        <w:rPr>
          <w:rStyle w:val="CharSectno"/>
        </w:rPr>
        <w:t>16</w:t>
      </w:r>
      <w:r>
        <w:rPr>
          <w:snapToGrid w:val="0"/>
        </w:rPr>
        <w:t>.</w:t>
      </w:r>
      <w:r>
        <w:rPr>
          <w:snapToGrid w:val="0"/>
        </w:rPr>
        <w:tab/>
        <w:t>Acts of Board not invalidated by vacancy</w:t>
      </w:r>
      <w:bookmarkEnd w:id="34"/>
      <w:bookmarkEnd w:id="35"/>
      <w:r>
        <w:rPr>
          <w:snapToGrid w:val="0"/>
        </w:rPr>
        <w:t xml:space="preserve"> </w:t>
      </w:r>
    </w:p>
    <w:p>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pPr>
        <w:pStyle w:val="Heading5"/>
        <w:rPr>
          <w:snapToGrid w:val="0"/>
        </w:rPr>
      </w:pPr>
      <w:bookmarkStart w:id="36" w:name="_Toc379287512"/>
      <w:bookmarkStart w:id="37" w:name="_Toc426102013"/>
      <w:r>
        <w:rPr>
          <w:rStyle w:val="CharSectno"/>
        </w:rPr>
        <w:t>17</w:t>
      </w:r>
      <w:r>
        <w:rPr>
          <w:snapToGrid w:val="0"/>
        </w:rPr>
        <w:t>.</w:t>
      </w:r>
      <w:r>
        <w:rPr>
          <w:snapToGrid w:val="0"/>
        </w:rPr>
        <w:tab/>
        <w:t>Minutes of proceedings</w:t>
      </w:r>
      <w:bookmarkEnd w:id="36"/>
      <w:bookmarkEnd w:id="37"/>
      <w:r>
        <w:rPr>
          <w:snapToGrid w:val="0"/>
        </w:rPr>
        <w:t xml:space="preserve"> </w:t>
      </w:r>
    </w:p>
    <w:p>
      <w:pPr>
        <w:pStyle w:val="Subsection"/>
        <w:rPr>
          <w:snapToGrid w:val="0"/>
        </w:rPr>
      </w:pPr>
      <w:r>
        <w:rPr>
          <w:snapToGrid w:val="0"/>
        </w:rPr>
        <w:tab/>
      </w:r>
      <w:r>
        <w:rPr>
          <w:snapToGrid w:val="0"/>
        </w:rPr>
        <w:tab/>
        <w:t>The Board shall — </w:t>
      </w:r>
    </w:p>
    <w:p>
      <w:pPr>
        <w:pStyle w:val="Indenta"/>
        <w:rPr>
          <w:snapToGrid w:val="0"/>
        </w:rPr>
      </w:pPr>
      <w:r>
        <w:rPr>
          <w:snapToGrid w:val="0"/>
        </w:rPr>
        <w:tab/>
        <w:t>(a)</w:t>
      </w:r>
      <w:r>
        <w:rPr>
          <w:snapToGrid w:val="0"/>
        </w:rPr>
        <w:tab/>
        <w:t>keep minutes of its proceedings in such manner and form as may be prescribed; and</w:t>
      </w:r>
    </w:p>
    <w:p>
      <w:pPr>
        <w:pStyle w:val="Indenta"/>
        <w:rPr>
          <w:snapToGrid w:val="0"/>
        </w:rPr>
      </w:pPr>
      <w:r>
        <w:rPr>
          <w:snapToGrid w:val="0"/>
        </w:rPr>
        <w:tab/>
        <w:t>(b)</w:t>
      </w:r>
      <w:r>
        <w:rPr>
          <w:snapToGrid w:val="0"/>
        </w:rPr>
        <w:tab/>
        <w:t>make periodical reports of its proceedings as may be prescribed or as may be from time to time required by the Minister.</w:t>
      </w:r>
    </w:p>
    <w:p>
      <w:pPr>
        <w:pStyle w:val="Heading5"/>
        <w:rPr>
          <w:snapToGrid w:val="0"/>
        </w:rPr>
      </w:pPr>
      <w:bookmarkStart w:id="38" w:name="_Toc379287513"/>
      <w:bookmarkStart w:id="39" w:name="_Toc426102014"/>
      <w:r>
        <w:rPr>
          <w:rStyle w:val="CharSectno"/>
        </w:rPr>
        <w:t>18</w:t>
      </w:r>
      <w:r>
        <w:rPr>
          <w:snapToGrid w:val="0"/>
        </w:rPr>
        <w:t>.</w:t>
      </w:r>
      <w:r>
        <w:rPr>
          <w:snapToGrid w:val="0"/>
        </w:rPr>
        <w:tab/>
        <w:t>Powers, duties and functions of the Board</w:t>
      </w:r>
      <w:bookmarkEnd w:id="38"/>
      <w:bookmarkEnd w:id="39"/>
      <w:r>
        <w:rPr>
          <w:snapToGrid w:val="0"/>
        </w:rPr>
        <w:t xml:space="preserve"> </w:t>
      </w:r>
    </w:p>
    <w:p>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pPr>
        <w:pStyle w:val="Subsection"/>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pPr>
        <w:pStyle w:val="Indenta"/>
        <w:rPr>
          <w:snapToGrid w:val="0"/>
        </w:rPr>
      </w:pPr>
      <w:r>
        <w:rPr>
          <w:snapToGrid w:val="0"/>
        </w:rPr>
        <w:tab/>
        <w:t>(c)</w:t>
      </w:r>
      <w:r>
        <w:rPr>
          <w:snapToGrid w:val="0"/>
        </w:rPr>
        <w:tab/>
        <w:t>the making and entering into contracts in connection with the carrying on of the said business as the agent or representative of the Minister;</w:t>
      </w:r>
    </w:p>
    <w:p>
      <w:pPr>
        <w:pStyle w:val="Indenta"/>
        <w:rPr>
          <w:snapToGrid w:val="0"/>
        </w:rPr>
      </w:pPr>
      <w:r>
        <w:rPr>
          <w:snapToGrid w:val="0"/>
        </w:rPr>
        <w:tab/>
        <w:t>(d)</w:t>
      </w:r>
      <w:r>
        <w:rPr>
          <w:snapToGrid w:val="0"/>
        </w:rPr>
        <w:tab/>
        <w:t>the sale of products in the course of the carrying on of the said business;</w:t>
      </w:r>
    </w:p>
    <w:p>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pPr>
        <w:pStyle w:val="Ednotepara"/>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pPr>
        <w:pStyle w:val="Indenta"/>
        <w:rPr>
          <w:snapToGrid w:val="0"/>
        </w:rPr>
      </w:pPr>
      <w:r>
        <w:rPr>
          <w:snapToGrid w:val="0"/>
        </w:rPr>
        <w:tab/>
        <w:t>(h)</w:t>
      </w:r>
      <w:r>
        <w:rPr>
          <w:snapToGrid w:val="0"/>
        </w:rPr>
        <w:tab/>
        <w:t>Such other powers and duties as may from time to time be prescribed.</w:t>
      </w:r>
    </w:p>
    <w:p>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pPr>
        <w:pStyle w:val="Footnotesection"/>
      </w:pPr>
      <w:r>
        <w:tab/>
        <w:t xml:space="preserve">[Section 18 amended by No. 98 of 1985 Schedule 1.] </w:t>
      </w:r>
    </w:p>
    <w:p>
      <w:pPr>
        <w:pStyle w:val="Heading5"/>
        <w:rPr>
          <w:snapToGrid w:val="0"/>
        </w:rPr>
      </w:pPr>
      <w:bookmarkStart w:id="40" w:name="_Toc379287514"/>
      <w:bookmarkStart w:id="41" w:name="_Toc426102015"/>
      <w:r>
        <w:rPr>
          <w:rStyle w:val="CharSectno"/>
        </w:rPr>
        <w:t>19</w:t>
      </w:r>
      <w:r>
        <w:rPr>
          <w:snapToGrid w:val="0"/>
        </w:rPr>
        <w:t>.</w:t>
      </w:r>
      <w:r>
        <w:rPr>
          <w:snapToGrid w:val="0"/>
        </w:rPr>
        <w:tab/>
        <w:t>Claims and proceedings by and against the Minister</w:t>
      </w:r>
      <w:bookmarkEnd w:id="40"/>
      <w:bookmarkEnd w:id="41"/>
      <w:r>
        <w:rPr>
          <w:snapToGrid w:val="0"/>
        </w:rPr>
        <w:t xml:space="preserve"> </w:t>
      </w:r>
    </w:p>
    <w:p>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pPr>
        <w:pStyle w:val="Heading5"/>
        <w:rPr>
          <w:snapToGrid w:val="0"/>
        </w:rPr>
      </w:pPr>
      <w:bookmarkStart w:id="42" w:name="_Toc379287515"/>
      <w:bookmarkStart w:id="43" w:name="_Toc426102016"/>
      <w:r>
        <w:rPr>
          <w:rStyle w:val="CharSectno"/>
        </w:rPr>
        <w:t>20</w:t>
      </w:r>
      <w:r>
        <w:rPr>
          <w:snapToGrid w:val="0"/>
        </w:rPr>
        <w:t>.</w:t>
      </w:r>
      <w:r>
        <w:rPr>
          <w:snapToGrid w:val="0"/>
        </w:rPr>
        <w:tab/>
        <w:t>Contribution of interest and sinking fund</w:t>
      </w:r>
      <w:bookmarkEnd w:id="42"/>
      <w:bookmarkEnd w:id="43"/>
      <w:r>
        <w:rPr>
          <w:snapToGrid w:val="0"/>
        </w:rPr>
        <w:t xml:space="preserve"> </w:t>
      </w:r>
    </w:p>
    <w:p>
      <w:pPr>
        <w:pStyle w:val="Subsection"/>
        <w:rPr>
          <w:snapToGrid w:val="0"/>
        </w:rPr>
      </w:pPr>
      <w:r>
        <w:rPr>
          <w:snapToGrid w:val="0"/>
        </w:rPr>
        <w:tab/>
        <w:t>(1)</w:t>
      </w:r>
      <w:r>
        <w:rPr>
          <w:snapToGrid w:val="0"/>
        </w:rPr>
        <w:tab/>
        <w:t>There shall be entered and debited in the said Charcoal Iron and Steel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pPr>
        <w:pStyle w:val="Footnotesection"/>
      </w:pPr>
      <w:r>
        <w:tab/>
        <w:t>[Section 20 amended by No. 6 of 1993 s.14 (8).]</w:t>
      </w:r>
    </w:p>
    <w:p>
      <w:pPr>
        <w:pStyle w:val="Heading5"/>
        <w:rPr>
          <w:snapToGrid w:val="0"/>
        </w:rPr>
      </w:pPr>
      <w:bookmarkStart w:id="44" w:name="_Toc379287516"/>
      <w:bookmarkStart w:id="45" w:name="_Toc426102017"/>
      <w:r>
        <w:rPr>
          <w:rStyle w:val="CharSectno"/>
        </w:rPr>
        <w:t>20A</w:t>
      </w:r>
      <w:r>
        <w:rPr>
          <w:snapToGrid w:val="0"/>
        </w:rPr>
        <w:t xml:space="preserve">. </w:t>
      </w:r>
      <w:r>
        <w:rPr>
          <w:snapToGrid w:val="0"/>
        </w:rPr>
        <w:tab/>
        <w:t>Board may borrow money</w:t>
      </w:r>
      <w:bookmarkEnd w:id="44"/>
      <w:bookmarkEnd w:id="45"/>
      <w:r>
        <w:rPr>
          <w:snapToGrid w:val="0"/>
        </w:rPr>
        <w:t xml:space="preserve"> </w:t>
      </w:r>
    </w:p>
    <w:p>
      <w:pPr>
        <w:pStyle w:val="Subsection"/>
        <w:rPr>
          <w:snapToGrid w:val="0"/>
        </w:rPr>
      </w:pPr>
      <w:r>
        <w:rPr>
          <w:snapToGrid w:val="0"/>
        </w:rPr>
        <w:tab/>
        <w:t>(1)</w:t>
      </w:r>
      <w:r>
        <w:rPr>
          <w:snapToGrid w:val="0"/>
        </w:rPr>
        <w:tab/>
        <w:t>For the purposes of carrying out its powers and functions under this Act, the Board is authorized with the prior approval in writing of the Minister and the Treasurer to borrow money upon such terms and conditions only as the Treasurer approves.</w:t>
      </w:r>
    </w:p>
    <w:p>
      <w:pPr>
        <w:pStyle w:val="Subsection"/>
        <w:rPr>
          <w:snapToGrid w:val="0"/>
        </w:rPr>
      </w:pPr>
      <w:r>
        <w:rPr>
          <w:snapToGrid w:val="0"/>
        </w:rPr>
        <w:tab/>
        <w:t>(2)</w:t>
      </w:r>
      <w:r>
        <w:rPr>
          <w:snapToGrid w:val="0"/>
        </w:rPr>
        <w:tab/>
        <w:t>The Treasurer on behalf of the State is hereby authorized to guarantee, on such terms and conditions as he thinks fit, repayment of any money borrowed by the Board under this section and the payment of interest thereon.</w:t>
      </w:r>
    </w:p>
    <w:p>
      <w:pPr>
        <w:pStyle w:val="Subsection"/>
        <w:rPr>
          <w:snapToGrid w:val="0"/>
        </w:rPr>
      </w:pPr>
      <w:r>
        <w:rPr>
          <w:snapToGrid w:val="0"/>
        </w:rPr>
        <w:tab/>
        <w:t>(3)</w:t>
      </w:r>
      <w:r>
        <w:rPr>
          <w:snapToGrid w:val="0"/>
        </w:rPr>
        <w:tab/>
        <w:t>The Treasurer shall cause any money required for fulfilling any guarantee given by him pursuant to this section, to be paid out of the Consolidated Fund which Fund is hereby to the necessary extent appropriated accordingly, and the Treasurer shall cause any sums received or recovered by him from the Board or otherwise in respect of a sum so paid by the Treasurer to be paid into the Consolidated Fund.</w:t>
      </w:r>
    </w:p>
    <w:p>
      <w:pPr>
        <w:pStyle w:val="Footnotesection"/>
      </w:pPr>
      <w:r>
        <w:tab/>
        <w:t xml:space="preserve">[Section 20A inserted by No. 29 of 1972 s.2; amended by No. 98 of 1985 Schedule 1; No. 6 of 1993 s.11.] </w:t>
      </w:r>
    </w:p>
    <w:p>
      <w:pPr>
        <w:pStyle w:val="Heading5"/>
        <w:rPr>
          <w:snapToGrid w:val="0"/>
        </w:rPr>
      </w:pPr>
      <w:bookmarkStart w:id="46" w:name="_Toc379287517"/>
      <w:bookmarkStart w:id="47" w:name="_Toc426102018"/>
      <w:r>
        <w:rPr>
          <w:rStyle w:val="CharSectno"/>
        </w:rPr>
        <w:t>21</w:t>
      </w:r>
      <w:r>
        <w:rPr>
          <w:snapToGrid w:val="0"/>
        </w:rPr>
        <w:t>.</w:t>
      </w:r>
      <w:r>
        <w:rPr>
          <w:snapToGrid w:val="0"/>
        </w:rPr>
        <w:tab/>
        <w:t>Interest on capital expenditure from Revenue</w:t>
      </w:r>
      <w:bookmarkEnd w:id="46"/>
      <w:bookmarkEnd w:id="47"/>
      <w:r>
        <w:rPr>
          <w:snapToGrid w:val="0"/>
        </w:rPr>
        <w:t xml:space="preserve"> </w:t>
      </w:r>
    </w:p>
    <w:p>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twenty</w:t>
      </w:r>
      <w:r>
        <w:rPr>
          <w:snapToGrid w:val="0"/>
        </w:rPr>
        <w:noBreakHyphen/>
        <w:t>seven of this Act.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[Section 21 amended by No. 6 of 1993 s.11.]</w:t>
      </w:r>
    </w:p>
    <w:p>
      <w:pPr>
        <w:pStyle w:val="Heading5"/>
        <w:rPr>
          <w:snapToGrid w:val="0"/>
        </w:rPr>
      </w:pPr>
      <w:bookmarkStart w:id="48" w:name="_Toc379287518"/>
      <w:bookmarkStart w:id="49" w:name="_Toc426102019"/>
      <w:r>
        <w:rPr>
          <w:rStyle w:val="CharSectno"/>
        </w:rPr>
        <w:t>22</w:t>
      </w:r>
      <w:r>
        <w:rPr>
          <w:snapToGrid w:val="0"/>
        </w:rPr>
        <w:t>.</w:t>
      </w:r>
      <w:r>
        <w:rPr>
          <w:snapToGrid w:val="0"/>
        </w:rPr>
        <w:tab/>
        <w:t>Charges for use of property and services</w:t>
      </w:r>
      <w:bookmarkEnd w:id="48"/>
      <w:bookmarkEnd w:id="49"/>
      <w:r>
        <w:rPr>
          <w:snapToGrid w:val="0"/>
        </w:rPr>
        <w:t xml:space="preserve"> </w:t>
      </w:r>
    </w:p>
    <w:p>
      <w:pPr>
        <w:pStyle w:val="Subsection"/>
        <w:rPr>
          <w:snapToGrid w:val="0"/>
        </w:rPr>
      </w:pPr>
      <w:r>
        <w:rPr>
          <w:snapToGrid w:val="0"/>
        </w:rPr>
        <w:tab/>
        <w:t>(1)</w:t>
      </w:r>
      <w:r>
        <w:rPr>
          <w:snapToGrid w:val="0"/>
        </w:rPr>
        <w:tab/>
        <w:t>There shall be entered and debited in the Charcoal Iron and Steel Industry Account aforesaid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pPr>
        <w:pStyle w:val="Subsection"/>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22 amended by No. 6 of 1993 s.11.]</w:t>
      </w:r>
    </w:p>
    <w:p>
      <w:pPr>
        <w:pStyle w:val="Heading5"/>
        <w:rPr>
          <w:snapToGrid w:val="0"/>
        </w:rPr>
      </w:pPr>
      <w:bookmarkStart w:id="50" w:name="_Toc379287519"/>
      <w:bookmarkStart w:id="51" w:name="_Toc426102020"/>
      <w:r>
        <w:rPr>
          <w:rStyle w:val="CharSectno"/>
        </w:rPr>
        <w:t>23</w:t>
      </w:r>
      <w:r>
        <w:rPr>
          <w:snapToGrid w:val="0"/>
        </w:rPr>
        <w:t>.</w:t>
      </w:r>
      <w:r>
        <w:rPr>
          <w:snapToGrid w:val="0"/>
        </w:rPr>
        <w:tab/>
        <w:t>Temporary investment of moneys. Application of balance</w:t>
      </w:r>
      <w:bookmarkEnd w:id="50"/>
      <w:bookmarkEnd w:id="51"/>
      <w:r>
        <w:rPr>
          <w:snapToGrid w:val="0"/>
        </w:rPr>
        <w:t xml:space="preserve"> </w:t>
      </w:r>
    </w:p>
    <w:p>
      <w:pPr>
        <w:pStyle w:val="Subsection"/>
        <w:rPr>
          <w:snapToGrid w:val="0"/>
        </w:rPr>
      </w:pPr>
      <w:r>
        <w:rPr>
          <w:snapToGrid w:val="0"/>
        </w:rPr>
        <w:tab/>
      </w:r>
      <w:r>
        <w:rPr>
          <w:snapToGrid w:val="0"/>
        </w:rPr>
        <w:tab/>
        <w:t>All moneys standing to the credit of the Charcoal Iron and Steel Industry Account aforesaid may, until required by the Minister in connection with the exercise of his powers under this Act be temporarily invested as the Treasurer may direct in any securities wherein moneys in the Public Bank Account may lawfully be invested, and all interest thereon shall be paid to the credit of the said Account.</w:t>
      </w:r>
    </w:p>
    <w:p>
      <w:pPr>
        <w:pStyle w:val="Footnotesection"/>
      </w:pPr>
      <w:r>
        <w:tab/>
        <w:t xml:space="preserve">[Section 23 amended by No. 98 of 1985 Schedule 1.] </w:t>
      </w:r>
    </w:p>
    <w:p>
      <w:pPr>
        <w:pStyle w:val="Heading5"/>
        <w:rPr>
          <w:snapToGrid w:val="0"/>
        </w:rPr>
      </w:pPr>
      <w:bookmarkStart w:id="52" w:name="_Toc379287520"/>
      <w:bookmarkStart w:id="53" w:name="_Toc426102021"/>
      <w:r>
        <w:rPr>
          <w:rStyle w:val="CharSectno"/>
        </w:rPr>
        <w:t>24</w:t>
      </w:r>
      <w:r>
        <w:rPr>
          <w:snapToGrid w:val="0"/>
        </w:rPr>
        <w:t>.</w:t>
      </w:r>
      <w:r>
        <w:rPr>
          <w:snapToGrid w:val="0"/>
        </w:rPr>
        <w:tab/>
        <w:t xml:space="preserve">Application of </w:t>
      </w:r>
      <w:r>
        <w:rPr>
          <w:i/>
          <w:snapToGrid w:val="0"/>
        </w:rPr>
        <w:t>Financial Administration and Audit Act 1985</w:t>
      </w:r>
      <w:bookmarkEnd w:id="52"/>
      <w:bookmarkEnd w:id="5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24 inserted by No. 98 of 1985 Schedule 1.] </w:t>
      </w:r>
    </w:p>
    <w:p>
      <w:pPr>
        <w:pStyle w:val="Ednotesection"/>
      </w:pPr>
      <w:r>
        <w:t>[</w:t>
      </w:r>
      <w:r>
        <w:rPr>
          <w:b/>
        </w:rPr>
        <w:t>25-31.</w:t>
      </w:r>
      <w:r>
        <w:rPr>
          <w:bCs/>
        </w:rPr>
        <w:tab/>
        <w:t>R</w:t>
      </w:r>
      <w:r>
        <w:t>epealed by No. 98 of 1985, Schedule 1.]</w:t>
      </w:r>
    </w:p>
    <w:p>
      <w:pPr>
        <w:pStyle w:val="Heading5"/>
        <w:rPr>
          <w:snapToGrid w:val="0"/>
        </w:rPr>
      </w:pPr>
      <w:bookmarkStart w:id="54" w:name="_Toc379287521"/>
      <w:bookmarkStart w:id="55" w:name="_Toc426102022"/>
      <w:r>
        <w:rPr>
          <w:rStyle w:val="CharSectno"/>
        </w:rPr>
        <w:t>32</w:t>
      </w:r>
      <w:r>
        <w:rPr>
          <w:snapToGrid w:val="0"/>
        </w:rPr>
        <w:t>.</w:t>
      </w:r>
      <w:r>
        <w:rPr>
          <w:snapToGrid w:val="0"/>
        </w:rPr>
        <w:tab/>
        <w:t>Regulations</w:t>
      </w:r>
      <w:bookmarkEnd w:id="54"/>
      <w:bookmarkEnd w:id="55"/>
      <w:r>
        <w:rPr>
          <w:snapToGrid w:val="0"/>
        </w:rPr>
        <w:t xml:space="preserve"> </w:t>
      </w:r>
    </w:p>
    <w:p>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pPr>
        <w:pStyle w:val="Heading5"/>
        <w:rPr>
          <w:snapToGrid w:val="0"/>
        </w:rPr>
      </w:pPr>
      <w:bookmarkStart w:id="56" w:name="_Toc379287522"/>
      <w:bookmarkStart w:id="57" w:name="_Toc426102023"/>
      <w:r>
        <w:rPr>
          <w:rStyle w:val="CharSectno"/>
        </w:rPr>
        <w:t>33</w:t>
      </w:r>
      <w:r>
        <w:rPr>
          <w:snapToGrid w:val="0"/>
        </w:rPr>
        <w:t>.</w:t>
      </w:r>
      <w:r>
        <w:rPr>
          <w:snapToGrid w:val="0"/>
        </w:rPr>
        <w:tab/>
        <w:t>Re</w:t>
      </w:r>
      <w:r>
        <w:rPr>
          <w:snapToGrid w:val="0"/>
        </w:rPr>
        <w:noBreakHyphen/>
        <w:t>constitution of Board and suspension of provisions of Act during currency of the Agreement</w:t>
      </w:r>
      <w:bookmarkEnd w:id="56"/>
      <w:bookmarkEnd w:id="57"/>
      <w:r>
        <w:rPr>
          <w:snapToGrid w:val="0"/>
        </w:rPr>
        <w:t xml:space="preserve"> </w:t>
      </w:r>
    </w:p>
    <w:p>
      <w:pPr>
        <w:pStyle w:val="Subsection"/>
        <w:rPr>
          <w:snapToGrid w:val="0"/>
        </w:rPr>
      </w:pPr>
      <w:r>
        <w:rPr>
          <w:snapToGrid w:val="0"/>
        </w:rPr>
        <w:tab/>
        <w:t>(1)</w:t>
      </w:r>
      <w:r>
        <w:rPr>
          <w:snapToGrid w:val="0"/>
        </w:rPr>
        <w:tab/>
        <w:t>Subject to subsections (2) and (4) of this section but notwithstanding any other provision of this Act, on and from the Sale Date — </w:t>
      </w:r>
    </w:p>
    <w:p>
      <w:pPr>
        <w:pStyle w:val="Indenta"/>
        <w:rPr>
          <w:snapToGrid w:val="0"/>
        </w:rPr>
      </w:pPr>
      <w:r>
        <w:rPr>
          <w:snapToGrid w:val="0"/>
        </w:rPr>
        <w:tab/>
        <w:t>(a)</w:t>
      </w:r>
      <w:r>
        <w:rPr>
          <w:snapToGrid w:val="0"/>
        </w:rPr>
        <w:tab/>
        <w:t>the members of the Board shall cease to hold office and the Board shall be re</w:t>
      </w:r>
      <w:r>
        <w:rPr>
          <w:snapToGrid w:val="0"/>
        </w:rPr>
        <w:noBreakHyphen/>
        <w:t>constituted to consist of the Treasurer;</w:t>
      </w:r>
    </w:p>
    <w:p>
      <w:pPr>
        <w:pStyle w:val="Indenta"/>
        <w:rPr>
          <w:snapToGrid w:val="0"/>
        </w:rPr>
      </w:pPr>
      <w:r>
        <w:rPr>
          <w:snapToGrid w:val="0"/>
        </w:rPr>
        <w:tab/>
        <w:t>(b)</w:t>
      </w:r>
      <w:r>
        <w:rPr>
          <w:snapToGrid w:val="0"/>
        </w:rPr>
        <w:tab/>
        <w:t>the Board shall out of the moneys payable to it, pursuant to paragraph (b) of subclause (3) of clause five of the Agreement, re</w:t>
      </w:r>
      <w:r>
        <w:rPr>
          <w:snapToGrid w:val="0"/>
        </w:rPr>
        <w:noBreakHyphen/>
        <w:t>pay the instalments of principal and interest in respect of the several loans that were made to the Board prior to the Sale Date and guaranteed by the Treasurer under section twenty A of this Act;</w:t>
      </w:r>
    </w:p>
    <w:p>
      <w:pPr>
        <w:pStyle w:val="Indenta"/>
        <w:rPr>
          <w:snapToGrid w:val="0"/>
        </w:rPr>
      </w:pPr>
      <w:r>
        <w:rPr>
          <w:snapToGrid w:val="0"/>
        </w:rPr>
        <w:tab/>
        <w:t>(c)</w:t>
      </w:r>
      <w:r>
        <w:rPr>
          <w:snapToGrid w:val="0"/>
        </w:rPr>
        <w:tab/>
        <w:t>the provisions of sections four to thirty</w:t>
      </w:r>
      <w:r>
        <w:rPr>
          <w:snapToGrid w:val="0"/>
        </w:rPr>
        <w:noBreakHyphen/>
        <w:t>two, inclusive, of this Act shall (except to the extent necessary for the purposes of this section) be of no effect, but nothing in this paragraph operates so as to limit the operation of any guarantee given by the Treasurer pursuant to section twenty A of this Act prior to the Sale Date.</w:t>
      </w:r>
    </w:p>
    <w:p>
      <w:pPr>
        <w:pStyle w:val="Subsection"/>
        <w:rPr>
          <w:snapToGrid w:val="0"/>
        </w:rPr>
      </w:pPr>
      <w:r>
        <w:rPr>
          <w:snapToGrid w:val="0"/>
        </w:rPr>
        <w:tab/>
        <w:t>(2)</w:t>
      </w:r>
      <w:r>
        <w:rPr>
          <w:snapToGrid w:val="0"/>
        </w:rPr>
        <w:tab/>
        <w:t>If the Agreement is determined pursuant to clause twenty</w:t>
      </w:r>
      <w:r>
        <w:rPr>
          <w:snapToGrid w:val="0"/>
        </w:rPr>
        <w:noBreakHyphen/>
        <w:t>seven thereof, the provisions of subsection (1) of this section shall cease to have effect.</w:t>
      </w:r>
    </w:p>
    <w:p>
      <w:pPr>
        <w:pStyle w:val="Subsection"/>
        <w:rPr>
          <w:snapToGrid w:val="0"/>
        </w:rPr>
      </w:pPr>
      <w:r>
        <w:rPr>
          <w:snapToGrid w:val="0"/>
        </w:rPr>
        <w:tab/>
        <w:t>(3)</w:t>
      </w:r>
      <w:r>
        <w:rPr>
          <w:snapToGrid w:val="0"/>
        </w:rPr>
        <w:tab/>
        <w:t>In this section — </w:t>
      </w:r>
    </w:p>
    <w:p>
      <w:pPr>
        <w:pStyle w:val="Defstart"/>
      </w:pPr>
      <w:r>
        <w:rPr>
          <w:b/>
        </w:rPr>
        <w:tab/>
        <w:t>“the Agreement”</w:t>
      </w:r>
      <w:r>
        <w:t xml:space="preserve"> means the Agreement defined in section two of the </w:t>
      </w:r>
      <w:r>
        <w:rPr>
          <w:i/>
        </w:rPr>
        <w:t>Wundowie Charcoal Iron Industry Sale Agreement Act 1974</w:t>
      </w:r>
      <w:r>
        <w:t>;</w:t>
      </w:r>
    </w:p>
    <w:p>
      <w:pPr>
        <w:pStyle w:val="Defstart"/>
      </w:pPr>
      <w:r>
        <w:rPr>
          <w:b/>
        </w:rPr>
        <w:tab/>
        <w:t>“the Sale Date”</w:t>
      </w:r>
      <w:r>
        <w:t xml:space="preserve"> has the same meaning as is given thereto by clause one of the Agreement.</w:t>
      </w:r>
    </w:p>
    <w:p>
      <w:pPr>
        <w:pStyle w:val="Subsection"/>
        <w:rPr>
          <w:snapToGrid w:val="0"/>
        </w:rPr>
      </w:pPr>
      <w:r>
        <w:rPr>
          <w:snapToGrid w:val="0"/>
        </w:rPr>
        <w:tab/>
        <w:t>(4)</w:t>
      </w:r>
      <w:r>
        <w:rPr>
          <w:snapToGrid w:val="0"/>
        </w:rPr>
        <w:tab/>
        <w:t>Nothing in this section shall be construed as varying or modifying in any way any rights of any party to the Agreement.</w:t>
      </w:r>
    </w:p>
    <w:p>
      <w:pPr>
        <w:pStyle w:val="Footnotesection"/>
      </w:pPr>
      <w:r>
        <w:tab/>
        <w:t xml:space="preserve">[Section 33 inserted by No. 73 of 1974 s.4.]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8" w:name="_Toc379287523"/>
      <w:bookmarkStart w:id="59" w:name="_Toc426102024"/>
      <w:r>
        <w:t>Notes</w:t>
      </w:r>
      <w:bookmarkEnd w:id="58"/>
      <w:bookmarkEnd w:id="59"/>
    </w:p>
    <w:p>
      <w:pPr>
        <w:pStyle w:val="nSubsection"/>
        <w:rPr>
          <w:snapToGrid w:val="0"/>
        </w:rPr>
      </w:pPr>
      <w:r>
        <w:rPr>
          <w:snapToGrid w:val="0"/>
          <w:vertAlign w:val="superscript"/>
        </w:rPr>
        <w:t>1.</w:t>
      </w:r>
      <w:r>
        <w:rPr>
          <w:snapToGrid w:val="0"/>
        </w:rPr>
        <w:tab/>
        <w:t xml:space="preserve">This is a compilation of the </w:t>
      </w:r>
      <w:r>
        <w:rPr>
          <w:i/>
          <w:snapToGrid w:val="0"/>
        </w:rPr>
        <w:t>Wood Distillation and Charcoal Iron and Steel Industry Act 1943</w:t>
      </w:r>
      <w:r>
        <w:rPr>
          <w:snapToGrid w:val="0"/>
        </w:rPr>
        <w:t xml:space="preserve"> and includes all amendments effected by the other Acts referred to in the following Table.</w:t>
      </w:r>
    </w:p>
    <w:p>
      <w:pPr>
        <w:pStyle w:val="nHeading3"/>
        <w:rPr>
          <w:snapToGrid w:val="0"/>
        </w:rPr>
      </w:pPr>
      <w:bookmarkStart w:id="60" w:name="_Toc379287524"/>
      <w:bookmarkStart w:id="61" w:name="_Toc426102025"/>
      <w:r>
        <w:rPr>
          <w:snapToGrid w:val="0"/>
        </w:rPr>
        <w:t>Compilation table</w:t>
      </w:r>
      <w:bookmarkEnd w:id="60"/>
      <w:bookmarkEnd w:id="6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Wood Distillation and Charcoal Iron and Steel Industry Act 1943</w:t>
            </w:r>
          </w:p>
        </w:tc>
        <w:tc>
          <w:tcPr>
            <w:tcW w:w="1134" w:type="dxa"/>
            <w:tcBorders>
              <w:top w:val="single" w:sz="8" w:space="0" w:color="auto"/>
            </w:tcBorders>
          </w:tcPr>
          <w:p>
            <w:pPr>
              <w:pStyle w:val="nTable"/>
              <w:spacing w:after="40"/>
            </w:pPr>
            <w:r>
              <w:t>20 of 1943</w:t>
            </w:r>
          </w:p>
        </w:tc>
        <w:tc>
          <w:tcPr>
            <w:tcW w:w="1134" w:type="dxa"/>
            <w:tcBorders>
              <w:top w:val="single" w:sz="8" w:space="0" w:color="auto"/>
            </w:tcBorders>
          </w:tcPr>
          <w:p>
            <w:pPr>
              <w:pStyle w:val="nTable"/>
              <w:spacing w:after="40"/>
            </w:pPr>
            <w:r>
              <w:t>25 Oct 1943</w:t>
            </w:r>
          </w:p>
        </w:tc>
        <w:tc>
          <w:tcPr>
            <w:tcW w:w="2551" w:type="dxa"/>
            <w:tcBorders>
              <w:top w:val="single" w:sz="8" w:space="0" w:color="auto"/>
            </w:tcBorders>
          </w:tcPr>
          <w:p>
            <w:pPr>
              <w:pStyle w:val="nTable"/>
              <w:spacing w:after="40"/>
            </w:pPr>
            <w:r>
              <w:t>25 Oct 1943</w:t>
            </w:r>
          </w:p>
        </w:tc>
      </w:tr>
      <w:tr>
        <w:tc>
          <w:tcPr>
            <w:tcW w:w="2268" w:type="dxa"/>
          </w:tcPr>
          <w:p>
            <w:pPr>
              <w:pStyle w:val="nTable"/>
              <w:spacing w:after="40"/>
            </w:pPr>
          </w:p>
        </w:tc>
        <w:tc>
          <w:tcPr>
            <w:tcW w:w="1134" w:type="dxa"/>
          </w:tcPr>
          <w:p>
            <w:pPr>
              <w:pStyle w:val="nTable"/>
              <w:spacing w:after="40"/>
            </w:pPr>
            <w:r>
              <w:t>29 of 1972</w:t>
            </w:r>
          </w:p>
        </w:tc>
        <w:tc>
          <w:tcPr>
            <w:tcW w:w="1134" w:type="dxa"/>
          </w:tcPr>
          <w:p>
            <w:pPr>
              <w:pStyle w:val="nTable"/>
              <w:spacing w:after="40"/>
            </w:pPr>
            <w:r>
              <w:t>9 Jun 1972</w:t>
            </w:r>
          </w:p>
        </w:tc>
        <w:tc>
          <w:tcPr>
            <w:tcW w:w="2551" w:type="dxa"/>
          </w:tcPr>
          <w:p>
            <w:pPr>
              <w:pStyle w:val="nTable"/>
              <w:spacing w:after="40"/>
            </w:pPr>
            <w:r>
              <w:t>9 Jun 1972</w:t>
            </w:r>
          </w:p>
        </w:tc>
      </w:tr>
      <w:tr>
        <w:tc>
          <w:tcPr>
            <w:tcW w:w="2268" w:type="dxa"/>
          </w:tcPr>
          <w:p>
            <w:pPr>
              <w:pStyle w:val="nTable"/>
              <w:spacing w:after="40"/>
            </w:pPr>
          </w:p>
        </w:tc>
        <w:tc>
          <w:tcPr>
            <w:tcW w:w="1134" w:type="dxa"/>
          </w:tcPr>
          <w:p>
            <w:pPr>
              <w:pStyle w:val="nTable"/>
              <w:spacing w:after="40"/>
            </w:pPr>
            <w:r>
              <w:t>73 of 1974</w:t>
            </w:r>
          </w:p>
        </w:tc>
        <w:tc>
          <w:tcPr>
            <w:tcW w:w="1134" w:type="dxa"/>
          </w:tcPr>
          <w:p>
            <w:pPr>
              <w:pStyle w:val="nTable"/>
              <w:spacing w:after="40"/>
            </w:pPr>
            <w:r>
              <w:t>10 Dec 1974</w:t>
            </w:r>
          </w:p>
        </w:tc>
        <w:tc>
          <w:tcPr>
            <w:tcW w:w="2551" w:type="dxa"/>
          </w:tcPr>
          <w:p>
            <w:pPr>
              <w:pStyle w:val="nTable"/>
              <w:spacing w:after="40"/>
            </w:pPr>
            <w:r>
              <w:t>10 Dec 1974</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1997</w:t>
            </w:r>
            <w:r>
              <w:rPr>
                <w:b/>
                <w:bCs/>
                <w:color w:val="FF0000"/>
              </w:rPr>
              <w:t xml:space="preserve"> s. 13 (No. 57 of 1997) as at 15 Dec 1997 (see s. 2(1))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1997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Wood Distillation and Charcoal Iron and Steel Industry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Distillation and Charcoal Iron and Steel Industry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Wood Distillation and Charcoal Iron and Steel Industry Act 1943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CD5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A88B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F61E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88DC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2CB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EAF7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C200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2CD6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30157E"/>
    <w:lvl w:ilvl="0">
      <w:start w:val="1"/>
      <w:numFmt w:val="decimal"/>
      <w:pStyle w:val="ListNumber"/>
      <w:lvlText w:val="%1."/>
      <w:lvlJc w:val="left"/>
      <w:pPr>
        <w:tabs>
          <w:tab w:val="num" w:pos="360"/>
        </w:tabs>
        <w:ind w:left="360" w:hanging="360"/>
      </w:pPr>
    </w:lvl>
  </w:abstractNum>
  <w:abstractNum w:abstractNumId="9">
    <w:nsid w:val="FFFFFF89"/>
    <w:multiLevelType w:val="singleLevel"/>
    <w:tmpl w:val="579C7D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D27B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30"/>
    <w:docVar w:name="WAFER_20140204140923" w:val="RemoveTocBookmarks,RemoveUnusedBookmarks,RemoveLanguageTags,UsedStyles,ResetPageSize,UpdateArrangement"/>
    <w:docVar w:name="WAFER_20140204140923_GUID" w:val="07bcd236-ece2-4b2b-9175-471bae2193b9"/>
    <w:docVar w:name="WAFER_20140204142608" w:val="RemoveTocBookmarks,RunningHeaders"/>
    <w:docVar w:name="WAFER_20140204142608_GUID" w:val="7c91bb3d-4780-42fc-bd12-96de55a67e27"/>
    <w:docVar w:name="WAFER_20150731093501" w:val="ResetPageSize,UpdateArrangement,UpdateNTable"/>
    <w:docVar w:name="WAFER_20150731093501_GUID" w:val="a8468e44-d2d0-4d85-8af9-5c176191c776"/>
    <w:docVar w:name="WAFER_20151116153830" w:val="UpdateStyles,UsedStyles"/>
    <w:docVar w:name="WAFER_20151116153830_GUID" w:val="eb58ad96-80fb-4e6f-80c6-44b6dd947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4512</Words>
  <Characters>21432</Characters>
  <Application>Microsoft Office Word</Application>
  <DocSecurity>0</DocSecurity>
  <Lines>564</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Distillation and Charcoal Iron and Steel Industry Act 1943 - 01-f0-05</dc:title>
  <dc:subject/>
  <dc:creator/>
  <cp:keywords/>
  <dc:description/>
  <cp:lastModifiedBy>svcMRProcess</cp:lastModifiedBy>
  <cp:revision>4</cp:revision>
  <cp:lastPrinted>2006-04-18T07:00:00Z</cp:lastPrinted>
  <dcterms:created xsi:type="dcterms:W3CDTF">2015-11-16T07:57:00Z</dcterms:created>
  <dcterms:modified xsi:type="dcterms:W3CDTF">2015-11-16T07:57:00Z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1943</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01-f0-05</vt:lpwstr>
  </property>
  <property fmtid="{D5CDD505-2E9C-101B-9397-08002B2CF9AE}" pid="7" name="Status">
    <vt:lpwstr>NIF</vt:lpwstr>
  </property>
</Properties>
</file>