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Workers’ Compensation and Injury Management Act 1981</w:t>
      </w:r>
      <w:r>
        <w:fldChar w:fldCharType="end"/>
      </w:r>
    </w:p>
    <w:p>
      <w:pPr>
        <w:tabs>
          <w:tab w:val="left" w:pos="284"/>
        </w:tabs>
        <w:spacing w:before="60"/>
        <w:ind w:left="284" w:right="567" w:hanging="284"/>
        <w:rPr>
          <w:sz w:val="20"/>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outlineLvl w:val="0"/>
      </w:pPr>
      <w:r>
        <w:lastRenderedPageBreak/>
        <w:t>Western Australia</w:t>
      </w:r>
    </w:p>
    <w:p>
      <w:pPr>
        <w:pStyle w:val="NameofActRegPage1"/>
        <w:ind w:left="567" w:right="575"/>
      </w:pPr>
      <w:r>
        <w:fldChar w:fldCharType="begin"/>
      </w:r>
      <w:r>
        <w:instrText xml:space="preserve"> STYLEREF "Name Of Act/Reg"</w:instrText>
      </w:r>
      <w:r>
        <w:fldChar w:fldCharType="separate"/>
      </w:r>
      <w:r>
        <w:rPr>
          <w:noProof/>
        </w:rPr>
        <w:t>Workers’ Compensation and Injury Management Act 1981</w:t>
      </w:r>
      <w:r>
        <w:fldChar w:fldCharType="end"/>
      </w:r>
    </w:p>
    <w:p>
      <w:pPr>
        <w:pStyle w:val="Arrangement"/>
        <w:ind w:left="2302" w:right="2302"/>
        <w:outlineLvl w:val="0"/>
      </w:pPr>
      <w:r>
        <w:t>CONTENTS</w:t>
      </w:r>
    </w:p>
    <w:p>
      <w:pPr>
        <w:pStyle w:val="TOC2"/>
        <w:tabs>
          <w:tab w:val="right" w:leader="dot" w:pos="7078"/>
        </w:tabs>
        <w:outlineLvl w:val="0"/>
        <w:rPr>
          <w:b w:val="0"/>
          <w:sz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I — Preliminary</w:t>
      </w:r>
    </w:p>
    <w:p>
      <w:pPr>
        <w:pStyle w:val="TOC8"/>
        <w:rPr>
          <w:sz w:val="24"/>
        </w:rPr>
      </w:pPr>
      <w:r>
        <w:t>1</w:t>
      </w:r>
      <w:r>
        <w:rPr>
          <w:snapToGrid w:val="0"/>
        </w:rPr>
        <w:t>.</w:t>
      </w:r>
      <w:r>
        <w:rPr>
          <w:snapToGrid w:val="0"/>
        </w:rPr>
        <w:tab/>
        <w:t>Short title</w:t>
      </w:r>
      <w:r>
        <w:tab/>
      </w:r>
      <w:r>
        <w:fldChar w:fldCharType="begin"/>
      </w:r>
      <w:r>
        <w:instrText xml:space="preserve"> PAGEREF _Toc122833675 \h </w:instrText>
      </w:r>
      <w:r>
        <w:fldChar w:fldCharType="separate"/>
      </w:r>
      <w:r>
        <w:t>2</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_Toc122833676 \h </w:instrText>
      </w:r>
      <w:r>
        <w:fldChar w:fldCharType="separate"/>
      </w:r>
      <w:r>
        <w:t>2</w:t>
      </w:r>
      <w:r>
        <w:fldChar w:fldCharType="end"/>
      </w:r>
    </w:p>
    <w:p>
      <w:pPr>
        <w:pStyle w:val="TOC8"/>
        <w:rPr>
          <w:sz w:val="24"/>
        </w:rPr>
      </w:pPr>
      <w:r>
        <w:t>3</w:t>
      </w:r>
      <w:r>
        <w:rPr>
          <w:snapToGrid w:val="0"/>
        </w:rPr>
        <w:t>.</w:t>
      </w:r>
      <w:r>
        <w:rPr>
          <w:snapToGrid w:val="0"/>
        </w:rPr>
        <w:tab/>
        <w:t>Purposes</w:t>
      </w:r>
      <w:r>
        <w:tab/>
      </w:r>
      <w:r>
        <w:fldChar w:fldCharType="begin"/>
      </w:r>
      <w:r>
        <w:instrText xml:space="preserve"> PAGEREF _Toc122833677 \h </w:instrText>
      </w:r>
      <w:r>
        <w:fldChar w:fldCharType="separate"/>
      </w:r>
      <w:r>
        <w:t>2</w:t>
      </w:r>
      <w:r>
        <w:fldChar w:fldCharType="end"/>
      </w:r>
    </w:p>
    <w:p>
      <w:pPr>
        <w:pStyle w:val="TOC8"/>
        <w:rPr>
          <w:sz w:val="24"/>
        </w:rPr>
      </w:pPr>
      <w:r>
        <w:t>4</w:t>
      </w:r>
      <w:r>
        <w:rPr>
          <w:snapToGrid w:val="0"/>
        </w:rPr>
        <w:t>.</w:t>
      </w:r>
      <w:r>
        <w:rPr>
          <w:snapToGrid w:val="0"/>
        </w:rPr>
        <w:tab/>
        <w:t>General application</w:t>
      </w:r>
      <w:r>
        <w:tab/>
      </w:r>
      <w:r>
        <w:fldChar w:fldCharType="begin"/>
      </w:r>
      <w:r>
        <w:instrText xml:space="preserve"> PAGEREF _Toc122833678 \h </w:instrText>
      </w:r>
      <w:r>
        <w:fldChar w:fldCharType="separate"/>
      </w:r>
      <w:r>
        <w:t>3</w:t>
      </w:r>
      <w:r>
        <w:fldChar w:fldCharType="end"/>
      </w:r>
    </w:p>
    <w:p>
      <w:pPr>
        <w:pStyle w:val="TOC8"/>
        <w:rPr>
          <w:sz w:val="24"/>
        </w:rPr>
      </w:pPr>
      <w:r>
        <w:t>5</w:t>
      </w:r>
      <w:r>
        <w:rPr>
          <w:snapToGrid w:val="0"/>
        </w:rPr>
        <w:t>.</w:t>
      </w:r>
      <w:r>
        <w:rPr>
          <w:snapToGrid w:val="0"/>
        </w:rPr>
        <w:tab/>
        <w:t>Definitions</w:t>
      </w:r>
      <w:r>
        <w:tab/>
      </w:r>
      <w:r>
        <w:fldChar w:fldCharType="begin"/>
      </w:r>
      <w:r>
        <w:instrText xml:space="preserve"> PAGEREF _Toc122833679 \h </w:instrText>
      </w:r>
      <w:r>
        <w:fldChar w:fldCharType="separate"/>
      </w:r>
      <w:r>
        <w:t>5</w:t>
      </w:r>
      <w:r>
        <w:fldChar w:fldCharType="end"/>
      </w:r>
    </w:p>
    <w:p>
      <w:pPr>
        <w:pStyle w:val="TOC8"/>
        <w:rPr>
          <w:sz w:val="24"/>
        </w:rPr>
      </w:pPr>
      <w:r>
        <w:t>5A.</w:t>
      </w:r>
      <w:r>
        <w:tab/>
        <w:t>Indexation of certain amounts</w:t>
      </w:r>
      <w:r>
        <w:tab/>
      </w:r>
      <w:r>
        <w:fldChar w:fldCharType="begin"/>
      </w:r>
      <w:r>
        <w:instrText xml:space="preserve"> PAGEREF _Toc122833680 \h </w:instrText>
      </w:r>
      <w:r>
        <w:fldChar w:fldCharType="separate"/>
      </w:r>
      <w:r>
        <w:t>19</w:t>
      </w:r>
      <w:r>
        <w:fldChar w:fldCharType="end"/>
      </w:r>
    </w:p>
    <w:p>
      <w:pPr>
        <w:pStyle w:val="TOC2"/>
        <w:tabs>
          <w:tab w:val="right" w:leader="dot" w:pos="7078"/>
        </w:tabs>
        <w:rPr>
          <w:b w:val="0"/>
          <w:sz w:val="24"/>
        </w:rPr>
      </w:pPr>
      <w:r>
        <w:t>Part II — Application of this Act in respect of certain persons and bodies</w:t>
      </w:r>
    </w:p>
    <w:p>
      <w:pPr>
        <w:pStyle w:val="TOC8"/>
        <w:rPr>
          <w:sz w:val="24"/>
        </w:rPr>
      </w:pPr>
      <w:r>
        <w:t>6</w:t>
      </w:r>
      <w:r>
        <w:rPr>
          <w:snapToGrid w:val="0"/>
        </w:rPr>
        <w:t>.</w:t>
      </w:r>
      <w:r>
        <w:rPr>
          <w:snapToGrid w:val="0"/>
        </w:rPr>
        <w:tab/>
        <w:t>Local governments and other authorities</w:t>
      </w:r>
      <w:r>
        <w:tab/>
      </w:r>
      <w:r>
        <w:fldChar w:fldCharType="begin"/>
      </w:r>
      <w:r>
        <w:instrText xml:space="preserve"> PAGEREF _Toc122833682 \h </w:instrText>
      </w:r>
      <w:r>
        <w:fldChar w:fldCharType="separate"/>
      </w:r>
      <w:r>
        <w:t>20</w:t>
      </w:r>
      <w:r>
        <w:fldChar w:fldCharType="end"/>
      </w:r>
    </w:p>
    <w:p>
      <w:pPr>
        <w:pStyle w:val="TOC8"/>
        <w:rPr>
          <w:sz w:val="24"/>
        </w:rPr>
      </w:pPr>
      <w:r>
        <w:t>7</w:t>
      </w:r>
      <w:r>
        <w:rPr>
          <w:snapToGrid w:val="0"/>
        </w:rPr>
        <w:t>.</w:t>
      </w:r>
      <w:r>
        <w:rPr>
          <w:snapToGrid w:val="0"/>
        </w:rPr>
        <w:tab/>
        <w:t>Tributers</w:t>
      </w:r>
      <w:r>
        <w:tab/>
      </w:r>
      <w:r>
        <w:fldChar w:fldCharType="begin"/>
      </w:r>
      <w:r>
        <w:instrText xml:space="preserve"> PAGEREF _Toc122833683 \h </w:instrText>
      </w:r>
      <w:r>
        <w:fldChar w:fldCharType="separate"/>
      </w:r>
      <w:r>
        <w:t>20</w:t>
      </w:r>
      <w:r>
        <w:fldChar w:fldCharType="end"/>
      </w:r>
    </w:p>
    <w:p>
      <w:pPr>
        <w:pStyle w:val="TOC8"/>
        <w:rPr>
          <w:sz w:val="24"/>
        </w:rPr>
      </w:pPr>
      <w:r>
        <w:t>8</w:t>
      </w:r>
      <w:r>
        <w:rPr>
          <w:snapToGrid w:val="0"/>
        </w:rPr>
        <w:t>.</w:t>
      </w:r>
      <w:r>
        <w:rPr>
          <w:snapToGrid w:val="0"/>
        </w:rPr>
        <w:tab/>
        <w:t>Baptist clergymen</w:t>
      </w:r>
      <w:r>
        <w:tab/>
      </w:r>
      <w:r>
        <w:fldChar w:fldCharType="begin"/>
      </w:r>
      <w:r>
        <w:instrText xml:space="preserve"> PAGEREF _Toc122833684 \h </w:instrText>
      </w:r>
      <w:r>
        <w:fldChar w:fldCharType="separate"/>
      </w:r>
      <w:r>
        <w:t>20</w:t>
      </w:r>
      <w:r>
        <w:fldChar w:fldCharType="end"/>
      </w:r>
    </w:p>
    <w:p>
      <w:pPr>
        <w:pStyle w:val="TOC8"/>
        <w:rPr>
          <w:sz w:val="24"/>
        </w:rPr>
      </w:pPr>
      <w:r>
        <w:t>9</w:t>
      </w:r>
      <w:r>
        <w:rPr>
          <w:snapToGrid w:val="0"/>
        </w:rPr>
        <w:t>.</w:t>
      </w:r>
      <w:r>
        <w:rPr>
          <w:snapToGrid w:val="0"/>
        </w:rPr>
        <w:tab/>
        <w:t>Anglican clergy</w:t>
      </w:r>
      <w:r>
        <w:tab/>
      </w:r>
      <w:r>
        <w:fldChar w:fldCharType="begin"/>
      </w:r>
      <w:r>
        <w:instrText xml:space="preserve"> PAGEREF _Toc122833685 \h </w:instrText>
      </w:r>
      <w:r>
        <w:fldChar w:fldCharType="separate"/>
      </w:r>
      <w:r>
        <w:t>20</w:t>
      </w:r>
      <w:r>
        <w:fldChar w:fldCharType="end"/>
      </w:r>
    </w:p>
    <w:p>
      <w:pPr>
        <w:pStyle w:val="TOC8"/>
        <w:rPr>
          <w:sz w:val="24"/>
        </w:rPr>
      </w:pPr>
      <w:r>
        <w:t>10</w:t>
      </w:r>
      <w:r>
        <w:rPr>
          <w:snapToGrid w:val="0"/>
        </w:rPr>
        <w:t>.</w:t>
      </w:r>
      <w:r>
        <w:rPr>
          <w:snapToGrid w:val="0"/>
        </w:rPr>
        <w:tab/>
        <w:t>Other clergymen</w:t>
      </w:r>
      <w:r>
        <w:tab/>
      </w:r>
      <w:r>
        <w:fldChar w:fldCharType="begin"/>
      </w:r>
      <w:r>
        <w:instrText xml:space="preserve"> PAGEREF _Toc122833686 \h </w:instrText>
      </w:r>
      <w:r>
        <w:fldChar w:fldCharType="separate"/>
      </w:r>
      <w:r>
        <w:t>21</w:t>
      </w:r>
      <w:r>
        <w:fldChar w:fldCharType="end"/>
      </w:r>
    </w:p>
    <w:p>
      <w:pPr>
        <w:pStyle w:val="TOC8"/>
        <w:rPr>
          <w:sz w:val="24"/>
        </w:rPr>
      </w:pPr>
      <w:r>
        <w:t>10A.</w:t>
      </w:r>
      <w:r>
        <w:tab/>
        <w:t>Working directors</w:t>
      </w:r>
      <w:r>
        <w:tab/>
      </w:r>
      <w:r>
        <w:fldChar w:fldCharType="begin"/>
      </w:r>
      <w:r>
        <w:instrText xml:space="preserve"> PAGEREF _Toc122833687 \h </w:instrText>
      </w:r>
      <w:r>
        <w:fldChar w:fldCharType="separate"/>
      </w:r>
      <w:r>
        <w:t>21</w:t>
      </w:r>
      <w:r>
        <w:fldChar w:fldCharType="end"/>
      </w:r>
    </w:p>
    <w:p>
      <w:pPr>
        <w:pStyle w:val="TOC8"/>
        <w:rPr>
          <w:sz w:val="24"/>
        </w:rPr>
      </w:pPr>
      <w:r>
        <w:t>11</w:t>
      </w:r>
      <w:r>
        <w:rPr>
          <w:snapToGrid w:val="0"/>
        </w:rPr>
        <w:t>.</w:t>
      </w:r>
      <w:r>
        <w:rPr>
          <w:snapToGrid w:val="0"/>
        </w:rPr>
        <w:tab/>
        <w:t>Exclusion of certain persons who are contestants in sporting or athletic activities</w:t>
      </w:r>
      <w:r>
        <w:tab/>
      </w:r>
      <w:r>
        <w:fldChar w:fldCharType="begin"/>
      </w:r>
      <w:r>
        <w:instrText xml:space="preserve"> PAGEREF _Toc122833688 \h </w:instrText>
      </w:r>
      <w:r>
        <w:fldChar w:fldCharType="separate"/>
      </w:r>
      <w:r>
        <w:t>23</w:t>
      </w:r>
      <w:r>
        <w:fldChar w:fldCharType="end"/>
      </w:r>
    </w:p>
    <w:p>
      <w:pPr>
        <w:pStyle w:val="TOC8"/>
        <w:rPr>
          <w:sz w:val="24"/>
        </w:rPr>
      </w:pPr>
      <w:r>
        <w:t>11A</w:t>
      </w:r>
      <w:r>
        <w:rPr>
          <w:snapToGrid w:val="0"/>
        </w:rPr>
        <w:t>.</w:t>
      </w:r>
      <w:r>
        <w:rPr>
          <w:snapToGrid w:val="0"/>
        </w:rPr>
        <w:tab/>
        <w:t>Jockeys</w:t>
      </w:r>
      <w:r>
        <w:tab/>
      </w:r>
      <w:r>
        <w:fldChar w:fldCharType="begin"/>
      </w:r>
      <w:r>
        <w:instrText xml:space="preserve"> PAGEREF _Toc122833689 \h </w:instrText>
      </w:r>
      <w:r>
        <w:fldChar w:fldCharType="separate"/>
      </w:r>
      <w:r>
        <w:t>23</w:t>
      </w:r>
      <w:r>
        <w:fldChar w:fldCharType="end"/>
      </w:r>
    </w:p>
    <w:p>
      <w:pPr>
        <w:pStyle w:val="TOC8"/>
        <w:rPr>
          <w:sz w:val="24"/>
        </w:rPr>
      </w:pPr>
      <w:r>
        <w:t>12</w:t>
      </w:r>
      <w:r>
        <w:rPr>
          <w:snapToGrid w:val="0"/>
        </w:rPr>
        <w:t>.</w:t>
      </w:r>
      <w:r>
        <w:rPr>
          <w:snapToGrid w:val="0"/>
        </w:rPr>
        <w:tab/>
        <w:t>Compensation not payable in certain cases</w:t>
      </w:r>
      <w:r>
        <w:tab/>
      </w:r>
      <w:r>
        <w:fldChar w:fldCharType="begin"/>
      </w:r>
      <w:r>
        <w:instrText xml:space="preserve"> PAGEREF _Toc122833690 \h </w:instrText>
      </w:r>
      <w:r>
        <w:fldChar w:fldCharType="separate"/>
      </w:r>
      <w:r>
        <w:t>24</w:t>
      </w:r>
      <w:r>
        <w:fldChar w:fldCharType="end"/>
      </w:r>
    </w:p>
    <w:p>
      <w:pPr>
        <w:pStyle w:val="TOC8"/>
        <w:rPr>
          <w:sz w:val="24"/>
        </w:rPr>
      </w:pPr>
      <w:r>
        <w:t>13</w:t>
      </w:r>
      <w:r>
        <w:rPr>
          <w:snapToGrid w:val="0"/>
        </w:rPr>
        <w:t>.</w:t>
      </w:r>
      <w:r>
        <w:rPr>
          <w:snapToGrid w:val="0"/>
        </w:rPr>
        <w:tab/>
        <w:t>Continued operation of this Act where compensation previously paid</w:t>
      </w:r>
      <w:r>
        <w:tab/>
      </w:r>
      <w:r>
        <w:fldChar w:fldCharType="begin"/>
      </w:r>
      <w:r>
        <w:instrText xml:space="preserve"> PAGEREF _Toc122833691 \h </w:instrText>
      </w:r>
      <w:r>
        <w:fldChar w:fldCharType="separate"/>
      </w:r>
      <w:r>
        <w:t>24</w:t>
      </w:r>
      <w:r>
        <w:fldChar w:fldCharType="end"/>
      </w:r>
    </w:p>
    <w:p>
      <w:pPr>
        <w:pStyle w:val="TOC8"/>
        <w:rPr>
          <w:sz w:val="24"/>
        </w:rPr>
      </w:pPr>
      <w:r>
        <w:t>14</w:t>
      </w:r>
      <w:r>
        <w:rPr>
          <w:snapToGrid w:val="0"/>
        </w:rPr>
        <w:t>.</w:t>
      </w:r>
      <w:r>
        <w:rPr>
          <w:snapToGrid w:val="0"/>
        </w:rPr>
        <w:tab/>
        <w:t>Application to worker in employment of Crown</w:t>
      </w:r>
      <w:r>
        <w:tab/>
      </w:r>
      <w:r>
        <w:fldChar w:fldCharType="begin"/>
      </w:r>
      <w:r>
        <w:instrText xml:space="preserve"> PAGEREF _Toc122833692 \h </w:instrText>
      </w:r>
      <w:r>
        <w:fldChar w:fldCharType="separate"/>
      </w:r>
      <w:r>
        <w:t>25</w:t>
      </w:r>
      <w:r>
        <w:fldChar w:fldCharType="end"/>
      </w:r>
    </w:p>
    <w:p>
      <w:pPr>
        <w:pStyle w:val="TOC8"/>
        <w:rPr>
          <w:sz w:val="24"/>
        </w:rPr>
      </w:pPr>
      <w:r>
        <w:lastRenderedPageBreak/>
        <w:t>16</w:t>
      </w:r>
      <w:r>
        <w:rPr>
          <w:snapToGrid w:val="0"/>
        </w:rPr>
        <w:t>.</w:t>
      </w:r>
      <w:r>
        <w:rPr>
          <w:snapToGrid w:val="0"/>
        </w:rPr>
        <w:tab/>
        <w:t>Act to apply as to injury to persons employed on Western Australian ships</w:t>
      </w:r>
      <w:r>
        <w:tab/>
      </w:r>
      <w:r>
        <w:fldChar w:fldCharType="begin"/>
      </w:r>
      <w:r>
        <w:instrText xml:space="preserve"> PAGEREF _Toc122833693 \h </w:instrText>
      </w:r>
      <w:r>
        <w:fldChar w:fldCharType="separate"/>
      </w:r>
      <w:r>
        <w:t>25</w:t>
      </w:r>
      <w:r>
        <w:fldChar w:fldCharType="end"/>
      </w:r>
    </w:p>
    <w:p>
      <w:pPr>
        <w:pStyle w:val="TOC8"/>
        <w:rPr>
          <w:sz w:val="24"/>
        </w:rPr>
      </w:pPr>
      <w:r>
        <w:t>17</w:t>
      </w:r>
      <w:r>
        <w:rPr>
          <w:snapToGrid w:val="0"/>
        </w:rPr>
        <w:t>.</w:t>
      </w:r>
      <w:r>
        <w:rPr>
          <w:snapToGrid w:val="0"/>
        </w:rPr>
        <w:tab/>
        <w:t>Crew of fishing vessel</w:t>
      </w:r>
      <w:r>
        <w:tab/>
      </w:r>
      <w:r>
        <w:fldChar w:fldCharType="begin"/>
      </w:r>
      <w:r>
        <w:instrText xml:space="preserve"> PAGEREF _Toc122833694 \h </w:instrText>
      </w:r>
      <w:r>
        <w:fldChar w:fldCharType="separate"/>
      </w:r>
      <w:r>
        <w:t>27</w:t>
      </w:r>
      <w:r>
        <w:fldChar w:fldCharType="end"/>
      </w:r>
    </w:p>
    <w:p>
      <w:pPr>
        <w:pStyle w:val="TOC2"/>
        <w:tabs>
          <w:tab w:val="right" w:leader="dot" w:pos="7078"/>
        </w:tabs>
        <w:outlineLvl w:val="0"/>
        <w:rPr>
          <w:b w:val="0"/>
          <w:sz w:val="24"/>
        </w:rPr>
      </w:pPr>
      <w:r>
        <w:t>Part III — Compensation</w:t>
      </w:r>
    </w:p>
    <w:p>
      <w:pPr>
        <w:pStyle w:val="TOC4"/>
        <w:tabs>
          <w:tab w:val="right" w:leader="dot" w:pos="7078"/>
        </w:tabs>
        <w:rPr>
          <w:b w:val="0"/>
          <w:sz w:val="24"/>
        </w:rPr>
      </w:pPr>
      <w:r>
        <w:t>Division 1 — Injury: general</w:t>
      </w:r>
    </w:p>
    <w:p>
      <w:pPr>
        <w:pStyle w:val="TOC8"/>
        <w:rPr>
          <w:sz w:val="24"/>
        </w:rPr>
      </w:pPr>
      <w:r>
        <w:t>18</w:t>
      </w:r>
      <w:r>
        <w:rPr>
          <w:snapToGrid w:val="0"/>
        </w:rPr>
        <w:t>.</w:t>
      </w:r>
      <w:r>
        <w:rPr>
          <w:snapToGrid w:val="0"/>
        </w:rPr>
        <w:tab/>
        <w:t>Liability of employers to workers for injury</w:t>
      </w:r>
      <w:r>
        <w:tab/>
      </w:r>
      <w:r>
        <w:fldChar w:fldCharType="begin"/>
      </w:r>
      <w:r>
        <w:instrText xml:space="preserve"> PAGEREF _Toc122833697 \h </w:instrText>
      </w:r>
      <w:r>
        <w:fldChar w:fldCharType="separate"/>
      </w:r>
      <w:r>
        <w:t>28</w:t>
      </w:r>
      <w:r>
        <w:fldChar w:fldCharType="end"/>
      </w:r>
    </w:p>
    <w:p>
      <w:pPr>
        <w:pStyle w:val="TOC8"/>
        <w:rPr>
          <w:sz w:val="24"/>
        </w:rPr>
      </w:pPr>
      <w:r>
        <w:t>19</w:t>
      </w:r>
      <w:r>
        <w:rPr>
          <w:snapToGrid w:val="0"/>
        </w:rPr>
        <w:t>.</w:t>
      </w:r>
      <w:r>
        <w:rPr>
          <w:snapToGrid w:val="0"/>
        </w:rPr>
        <w:tab/>
        <w:t>Personal injury by accident arising out of or in course of employment</w:t>
      </w:r>
      <w:r>
        <w:tab/>
      </w:r>
      <w:r>
        <w:fldChar w:fldCharType="begin"/>
      </w:r>
      <w:r>
        <w:instrText xml:space="preserve"> PAGEREF _Toc122833698 \h </w:instrText>
      </w:r>
      <w:r>
        <w:fldChar w:fldCharType="separate"/>
      </w:r>
      <w:r>
        <w:t>28</w:t>
      </w:r>
      <w:r>
        <w:fldChar w:fldCharType="end"/>
      </w:r>
    </w:p>
    <w:p>
      <w:pPr>
        <w:pStyle w:val="TOC8"/>
        <w:rPr>
          <w:sz w:val="24"/>
        </w:rPr>
      </w:pPr>
      <w:r>
        <w:t>20.</w:t>
      </w:r>
      <w:r>
        <w:tab/>
        <w:t>Compensation not payable unless worker’s employment connected with this State</w:t>
      </w:r>
      <w:r>
        <w:tab/>
      </w:r>
      <w:r>
        <w:fldChar w:fldCharType="begin"/>
      </w:r>
      <w:r>
        <w:instrText xml:space="preserve"> PAGEREF _Toc122833699 \h </w:instrText>
      </w:r>
      <w:r>
        <w:fldChar w:fldCharType="separate"/>
      </w:r>
      <w:r>
        <w:t>29</w:t>
      </w:r>
      <w:r>
        <w:fldChar w:fldCharType="end"/>
      </w:r>
    </w:p>
    <w:p>
      <w:pPr>
        <w:pStyle w:val="TOC8"/>
        <w:rPr>
          <w:sz w:val="24"/>
        </w:rPr>
      </w:pPr>
      <w:r>
        <w:t>21</w:t>
      </w:r>
      <w:r>
        <w:rPr>
          <w:snapToGrid w:val="0"/>
        </w:rPr>
        <w:t>.</w:t>
      </w:r>
      <w:r>
        <w:rPr>
          <w:snapToGrid w:val="0"/>
        </w:rPr>
        <w:tab/>
        <w:t>Compensation from date of incapacity</w:t>
      </w:r>
      <w:r>
        <w:tab/>
      </w:r>
      <w:r>
        <w:fldChar w:fldCharType="begin"/>
      </w:r>
      <w:r>
        <w:instrText xml:space="preserve"> PAGEREF _Toc122833700 \h </w:instrText>
      </w:r>
      <w:r>
        <w:fldChar w:fldCharType="separate"/>
      </w:r>
      <w:r>
        <w:t>31</w:t>
      </w:r>
      <w:r>
        <w:fldChar w:fldCharType="end"/>
      </w:r>
    </w:p>
    <w:p>
      <w:pPr>
        <w:pStyle w:val="TOC8"/>
        <w:rPr>
          <w:sz w:val="24"/>
        </w:rPr>
      </w:pPr>
      <w:r>
        <w:t>22</w:t>
      </w:r>
      <w:r>
        <w:rPr>
          <w:snapToGrid w:val="0"/>
        </w:rPr>
        <w:t>.</w:t>
      </w:r>
      <w:r>
        <w:rPr>
          <w:snapToGrid w:val="0"/>
        </w:rPr>
        <w:tab/>
        <w:t>Serious and wilful misconduct</w:t>
      </w:r>
      <w:r>
        <w:tab/>
      </w:r>
      <w:r>
        <w:fldChar w:fldCharType="begin"/>
      </w:r>
      <w:r>
        <w:instrText xml:space="preserve"> PAGEREF _Toc122833701 \h </w:instrText>
      </w:r>
      <w:r>
        <w:fldChar w:fldCharType="separate"/>
      </w:r>
      <w:r>
        <w:t>31</w:t>
      </w:r>
      <w:r>
        <w:fldChar w:fldCharType="end"/>
      </w:r>
    </w:p>
    <w:p>
      <w:pPr>
        <w:pStyle w:val="TOC8"/>
        <w:rPr>
          <w:sz w:val="24"/>
        </w:rPr>
      </w:pPr>
      <w:r>
        <w:t>23.</w:t>
      </w:r>
      <w:r>
        <w:tab/>
        <w:t>Person not to be compensated twice</w:t>
      </w:r>
      <w:r>
        <w:tab/>
      </w:r>
      <w:r>
        <w:fldChar w:fldCharType="begin"/>
      </w:r>
      <w:r>
        <w:instrText xml:space="preserve"> PAGEREF _Toc122833702 \h </w:instrText>
      </w:r>
      <w:r>
        <w:fldChar w:fldCharType="separate"/>
      </w:r>
      <w:r>
        <w:t>32</w:t>
      </w:r>
      <w:r>
        <w:fldChar w:fldCharType="end"/>
      </w:r>
    </w:p>
    <w:p>
      <w:pPr>
        <w:pStyle w:val="TOC4"/>
        <w:tabs>
          <w:tab w:val="right" w:leader="dot" w:pos="7078"/>
        </w:tabs>
        <w:rPr>
          <w:b w:val="0"/>
          <w:sz w:val="24"/>
        </w:rPr>
      </w:pPr>
      <w:r>
        <w:t>Division 1a — Determination by courts and recognition of determination</w:t>
      </w:r>
    </w:p>
    <w:p>
      <w:pPr>
        <w:pStyle w:val="TOC8"/>
        <w:rPr>
          <w:sz w:val="24"/>
        </w:rPr>
      </w:pPr>
      <w:r>
        <w:t>23A.</w:t>
      </w:r>
      <w:r>
        <w:tab/>
        <w:t>Definition</w:t>
      </w:r>
      <w:r>
        <w:tab/>
      </w:r>
      <w:r>
        <w:fldChar w:fldCharType="begin"/>
      </w:r>
      <w:r>
        <w:instrText xml:space="preserve"> PAGEREF _Toc122833704 \h </w:instrText>
      </w:r>
      <w:r>
        <w:fldChar w:fldCharType="separate"/>
      </w:r>
      <w:r>
        <w:t>32</w:t>
      </w:r>
      <w:r>
        <w:fldChar w:fldCharType="end"/>
      </w:r>
    </w:p>
    <w:p>
      <w:pPr>
        <w:pStyle w:val="TOC8"/>
        <w:rPr>
          <w:sz w:val="24"/>
        </w:rPr>
      </w:pPr>
      <w:r>
        <w:t>23B.</w:t>
      </w:r>
      <w:r>
        <w:tab/>
        <w:t>Determination of State with which worker’s employment is connected in proceedings under this Act</w:t>
      </w:r>
      <w:r>
        <w:tab/>
      </w:r>
      <w:r>
        <w:fldChar w:fldCharType="begin"/>
      </w:r>
      <w:r>
        <w:instrText xml:space="preserve"> PAGEREF _Toc122833705 \h </w:instrText>
      </w:r>
      <w:r>
        <w:fldChar w:fldCharType="separate"/>
      </w:r>
      <w:r>
        <w:t>33</w:t>
      </w:r>
      <w:r>
        <w:fldChar w:fldCharType="end"/>
      </w:r>
    </w:p>
    <w:p>
      <w:pPr>
        <w:pStyle w:val="TOC8"/>
        <w:rPr>
          <w:sz w:val="24"/>
        </w:rPr>
      </w:pPr>
      <w:r>
        <w:t>23C.</w:t>
      </w:r>
      <w:r>
        <w:tab/>
        <w:t>Determination by the District Court of State with which worker’s employment is connected</w:t>
      </w:r>
      <w:r>
        <w:tab/>
      </w:r>
      <w:r>
        <w:fldChar w:fldCharType="begin"/>
      </w:r>
      <w:r>
        <w:instrText xml:space="preserve"> PAGEREF _Toc122833706 \h </w:instrText>
      </w:r>
      <w:r>
        <w:fldChar w:fldCharType="separate"/>
      </w:r>
      <w:r>
        <w:t>33</w:t>
      </w:r>
      <w:r>
        <w:fldChar w:fldCharType="end"/>
      </w:r>
    </w:p>
    <w:p>
      <w:pPr>
        <w:pStyle w:val="TOC8"/>
        <w:rPr>
          <w:sz w:val="24"/>
        </w:rPr>
      </w:pPr>
      <w:r>
        <w:t>23D.</w:t>
      </w:r>
      <w:r>
        <w:tab/>
        <w:t>Recognition of previous determinations</w:t>
      </w:r>
      <w:r>
        <w:tab/>
      </w:r>
      <w:r>
        <w:fldChar w:fldCharType="begin"/>
      </w:r>
      <w:r>
        <w:instrText xml:space="preserve"> PAGEREF _Toc122833707 \h </w:instrText>
      </w:r>
      <w:r>
        <w:fldChar w:fldCharType="separate"/>
      </w:r>
      <w:r>
        <w:t>34</w:t>
      </w:r>
      <w:r>
        <w:fldChar w:fldCharType="end"/>
      </w:r>
    </w:p>
    <w:p>
      <w:pPr>
        <w:pStyle w:val="TOC8"/>
        <w:rPr>
          <w:sz w:val="24"/>
        </w:rPr>
      </w:pPr>
      <w:r>
        <w:t>23E.</w:t>
      </w:r>
      <w:r>
        <w:tab/>
        <w:t>Determination may be made by consent</w:t>
      </w:r>
      <w:r>
        <w:tab/>
      </w:r>
      <w:r>
        <w:fldChar w:fldCharType="begin"/>
      </w:r>
      <w:r>
        <w:instrText xml:space="preserve"> PAGEREF _Toc122833708 \h </w:instrText>
      </w:r>
      <w:r>
        <w:fldChar w:fldCharType="separate"/>
      </w:r>
      <w:r>
        <w:t>34</w:t>
      </w:r>
      <w:r>
        <w:fldChar w:fldCharType="end"/>
      </w:r>
    </w:p>
    <w:p>
      <w:pPr>
        <w:pStyle w:val="TOC4"/>
        <w:tabs>
          <w:tab w:val="right" w:leader="dot" w:pos="7078"/>
        </w:tabs>
        <w:rPr>
          <w:b w:val="0"/>
          <w:sz w:val="24"/>
        </w:rPr>
      </w:pPr>
      <w:r>
        <w:t>Division 2 — Discontinued regime for lump sum payments for specified injuries</w:t>
      </w:r>
    </w:p>
    <w:p>
      <w:pPr>
        <w:pStyle w:val="TOC8"/>
        <w:rPr>
          <w:sz w:val="24"/>
        </w:rPr>
      </w:pPr>
      <w:r>
        <w:t>24</w:t>
      </w:r>
      <w:r>
        <w:rPr>
          <w:snapToGrid w:val="0"/>
        </w:rPr>
        <w:t>.</w:t>
      </w:r>
      <w:r>
        <w:rPr>
          <w:snapToGrid w:val="0"/>
        </w:rPr>
        <w:tab/>
        <w:t>Compensation for injuries mentioned in Schedule 2</w:t>
      </w:r>
      <w:r>
        <w:tab/>
      </w:r>
      <w:r>
        <w:fldChar w:fldCharType="begin"/>
      </w:r>
      <w:r>
        <w:instrText xml:space="preserve"> PAGEREF _Toc122833710 \h </w:instrText>
      </w:r>
      <w:r>
        <w:fldChar w:fldCharType="separate"/>
      </w:r>
      <w:r>
        <w:t>34</w:t>
      </w:r>
      <w:r>
        <w:fldChar w:fldCharType="end"/>
      </w:r>
    </w:p>
    <w:p>
      <w:pPr>
        <w:pStyle w:val="TOC8"/>
        <w:rPr>
          <w:sz w:val="24"/>
        </w:rPr>
      </w:pPr>
      <w:r>
        <w:t>24A</w:t>
      </w:r>
      <w:r>
        <w:rPr>
          <w:snapToGrid w:val="0"/>
        </w:rPr>
        <w:t>.</w:t>
      </w:r>
      <w:r>
        <w:rPr>
          <w:snapToGrid w:val="0"/>
        </w:rPr>
        <w:tab/>
        <w:t>Lump sum compensation for noise induced hearing loss</w:t>
      </w:r>
      <w:r>
        <w:tab/>
      </w:r>
      <w:r>
        <w:fldChar w:fldCharType="begin"/>
      </w:r>
      <w:r>
        <w:instrText xml:space="preserve"> PAGEREF _Toc122833711 \h </w:instrText>
      </w:r>
      <w:r>
        <w:fldChar w:fldCharType="separate"/>
      </w:r>
      <w:r>
        <w:t>35</w:t>
      </w:r>
      <w:r>
        <w:fldChar w:fldCharType="end"/>
      </w:r>
    </w:p>
    <w:p>
      <w:pPr>
        <w:pStyle w:val="TOC8"/>
        <w:rPr>
          <w:sz w:val="24"/>
        </w:rPr>
      </w:pPr>
      <w:r>
        <w:t>24B</w:t>
      </w:r>
      <w:r>
        <w:rPr>
          <w:snapToGrid w:val="0"/>
        </w:rPr>
        <w:t>.</w:t>
      </w:r>
      <w:r>
        <w:rPr>
          <w:snapToGrid w:val="0"/>
        </w:rPr>
        <w:tab/>
        <w:t>Election under section 24 or 24A</w:t>
      </w:r>
      <w:r>
        <w:tab/>
      </w:r>
      <w:r>
        <w:fldChar w:fldCharType="begin"/>
      </w:r>
      <w:r>
        <w:instrText xml:space="preserve"> PAGEREF _Toc122833712 \h </w:instrText>
      </w:r>
      <w:r>
        <w:fldChar w:fldCharType="separate"/>
      </w:r>
      <w:r>
        <w:t>37</w:t>
      </w:r>
      <w:r>
        <w:fldChar w:fldCharType="end"/>
      </w:r>
    </w:p>
    <w:p>
      <w:pPr>
        <w:pStyle w:val="TOC8"/>
        <w:rPr>
          <w:sz w:val="24"/>
        </w:rPr>
      </w:pPr>
      <w:r>
        <w:t>25</w:t>
      </w:r>
      <w:r>
        <w:rPr>
          <w:snapToGrid w:val="0"/>
        </w:rPr>
        <w:t>.</w:t>
      </w:r>
      <w:r>
        <w:rPr>
          <w:snapToGrid w:val="0"/>
        </w:rPr>
        <w:tab/>
        <w:t>“Loss of</w:t>
      </w:r>
      <w:r>
        <w:rPr>
          <w:snapToGrid w:val="0"/>
          <w:vertAlign w:val="superscript"/>
        </w:rPr>
        <w:t xml:space="preserve"> </w:t>
      </w:r>
      <w:r>
        <w:rPr>
          <w:snapToGrid w:val="0"/>
        </w:rPr>
        <w:t>”</w:t>
      </w:r>
      <w:r>
        <w:tab/>
      </w:r>
      <w:r>
        <w:fldChar w:fldCharType="begin"/>
      </w:r>
      <w:r>
        <w:instrText xml:space="preserve"> PAGEREF _Toc122833713 \h </w:instrText>
      </w:r>
      <w:r>
        <w:fldChar w:fldCharType="separate"/>
      </w:r>
      <w:r>
        <w:t>38</w:t>
      </w:r>
      <w:r>
        <w:fldChar w:fldCharType="end"/>
      </w:r>
    </w:p>
    <w:p>
      <w:pPr>
        <w:pStyle w:val="TOC8"/>
        <w:rPr>
          <w:sz w:val="24"/>
        </w:rPr>
      </w:pPr>
      <w:r>
        <w:t>26</w:t>
      </w:r>
      <w:r>
        <w:rPr>
          <w:snapToGrid w:val="0"/>
        </w:rPr>
        <w:t>.</w:t>
      </w:r>
      <w:r>
        <w:rPr>
          <w:snapToGrid w:val="0"/>
        </w:rPr>
        <w:tab/>
        <w:t>Subsequent injuries</w:t>
      </w:r>
      <w:r>
        <w:tab/>
      </w:r>
      <w:r>
        <w:fldChar w:fldCharType="begin"/>
      </w:r>
      <w:r>
        <w:instrText xml:space="preserve"> PAGEREF _Toc122833714 \h </w:instrText>
      </w:r>
      <w:r>
        <w:fldChar w:fldCharType="separate"/>
      </w:r>
      <w:r>
        <w:t>38</w:t>
      </w:r>
      <w:r>
        <w:fldChar w:fldCharType="end"/>
      </w:r>
    </w:p>
    <w:p>
      <w:pPr>
        <w:pStyle w:val="TOC8"/>
        <w:rPr>
          <w:sz w:val="24"/>
        </w:rPr>
      </w:pPr>
      <w:r>
        <w:t>27</w:t>
      </w:r>
      <w:r>
        <w:rPr>
          <w:snapToGrid w:val="0"/>
        </w:rPr>
        <w:t>.</w:t>
      </w:r>
      <w:r>
        <w:rPr>
          <w:snapToGrid w:val="0"/>
        </w:rPr>
        <w:tab/>
        <w:t>Compensation in accordance with table at date of accident</w:t>
      </w:r>
      <w:r>
        <w:tab/>
      </w:r>
      <w:r>
        <w:fldChar w:fldCharType="begin"/>
      </w:r>
      <w:r>
        <w:instrText xml:space="preserve"> PAGEREF _Toc122833715 \h </w:instrText>
      </w:r>
      <w:r>
        <w:fldChar w:fldCharType="separate"/>
      </w:r>
      <w:r>
        <w:t>39</w:t>
      </w:r>
      <w:r>
        <w:fldChar w:fldCharType="end"/>
      </w:r>
    </w:p>
    <w:p>
      <w:pPr>
        <w:pStyle w:val="TOC8"/>
        <w:rPr>
          <w:sz w:val="24"/>
        </w:rPr>
      </w:pPr>
      <w:r>
        <w:t>28</w:t>
      </w:r>
      <w:r>
        <w:rPr>
          <w:snapToGrid w:val="0"/>
        </w:rPr>
        <w:t>.</w:t>
      </w:r>
      <w:r>
        <w:rPr>
          <w:snapToGrid w:val="0"/>
        </w:rPr>
        <w:tab/>
        <w:t>Limit on compensation of worker electing</w:t>
      </w:r>
      <w:r>
        <w:tab/>
      </w:r>
      <w:r>
        <w:fldChar w:fldCharType="begin"/>
      </w:r>
      <w:r>
        <w:instrText xml:space="preserve"> PAGEREF _Toc122833716 \h </w:instrText>
      </w:r>
      <w:r>
        <w:fldChar w:fldCharType="separate"/>
      </w:r>
      <w:r>
        <w:t>40</w:t>
      </w:r>
      <w:r>
        <w:fldChar w:fldCharType="end"/>
      </w:r>
    </w:p>
    <w:p>
      <w:pPr>
        <w:pStyle w:val="TOC8"/>
        <w:rPr>
          <w:sz w:val="24"/>
        </w:rPr>
      </w:pPr>
      <w:r>
        <w:t>29</w:t>
      </w:r>
      <w:r>
        <w:rPr>
          <w:snapToGrid w:val="0"/>
        </w:rPr>
        <w:t>.</w:t>
      </w:r>
      <w:r>
        <w:rPr>
          <w:snapToGrid w:val="0"/>
        </w:rPr>
        <w:tab/>
        <w:t>Compensation while incapacity continues</w:t>
      </w:r>
      <w:r>
        <w:tab/>
      </w:r>
      <w:r>
        <w:fldChar w:fldCharType="begin"/>
      </w:r>
      <w:r>
        <w:instrText xml:space="preserve"> PAGEREF _Toc122833717 \h </w:instrText>
      </w:r>
      <w:r>
        <w:fldChar w:fldCharType="separate"/>
      </w:r>
      <w:r>
        <w:t>40</w:t>
      </w:r>
      <w:r>
        <w:fldChar w:fldCharType="end"/>
      </w:r>
    </w:p>
    <w:p>
      <w:pPr>
        <w:pStyle w:val="TOC8"/>
        <w:rPr>
          <w:sz w:val="24"/>
        </w:rPr>
      </w:pPr>
      <w:r>
        <w:t>30</w:t>
      </w:r>
      <w:r>
        <w:rPr>
          <w:snapToGrid w:val="0"/>
        </w:rPr>
        <w:t>.</w:t>
      </w:r>
      <w:r>
        <w:rPr>
          <w:snapToGrid w:val="0"/>
        </w:rPr>
        <w:tab/>
        <w:t>Compensation payable before election</w:t>
      </w:r>
      <w:r>
        <w:tab/>
      </w:r>
      <w:r>
        <w:fldChar w:fldCharType="begin"/>
      </w:r>
      <w:r>
        <w:instrText xml:space="preserve"> PAGEREF _Toc122833718 \h </w:instrText>
      </w:r>
      <w:r>
        <w:fldChar w:fldCharType="separate"/>
      </w:r>
      <w:r>
        <w:t>40</w:t>
      </w:r>
      <w:r>
        <w:fldChar w:fldCharType="end"/>
      </w:r>
    </w:p>
    <w:p>
      <w:pPr>
        <w:pStyle w:val="TOC8"/>
        <w:rPr>
          <w:sz w:val="24"/>
        </w:rPr>
      </w:pPr>
      <w:r>
        <w:t>31</w:t>
      </w:r>
      <w:r>
        <w:rPr>
          <w:snapToGrid w:val="0"/>
        </w:rPr>
        <w:t>.</w:t>
      </w:r>
      <w:r>
        <w:rPr>
          <w:snapToGrid w:val="0"/>
        </w:rPr>
        <w:tab/>
        <w:t>Schedule 2 interpretation</w:t>
      </w:r>
      <w:r>
        <w:tab/>
      </w:r>
      <w:r>
        <w:fldChar w:fldCharType="begin"/>
      </w:r>
      <w:r>
        <w:instrText xml:space="preserve"> PAGEREF _Toc122833719 \h </w:instrText>
      </w:r>
      <w:r>
        <w:fldChar w:fldCharType="separate"/>
      </w:r>
      <w:r>
        <w:t>41</w:t>
      </w:r>
      <w:r>
        <w:fldChar w:fldCharType="end"/>
      </w:r>
    </w:p>
    <w:p>
      <w:pPr>
        <w:pStyle w:val="TOC4"/>
        <w:tabs>
          <w:tab w:val="right" w:leader="dot" w:pos="7078"/>
        </w:tabs>
        <w:rPr>
          <w:b w:val="0"/>
          <w:sz w:val="24"/>
        </w:rPr>
      </w:pPr>
      <w:r>
        <w:t>Division 2A — New regime for lump sum payments for specified injuries</w:t>
      </w:r>
    </w:p>
    <w:p>
      <w:pPr>
        <w:pStyle w:val="TOC8"/>
        <w:rPr>
          <w:sz w:val="24"/>
        </w:rPr>
      </w:pPr>
      <w:r>
        <w:t>31A.</w:t>
      </w:r>
      <w:r>
        <w:tab/>
        <w:t>Application of Division</w:t>
      </w:r>
      <w:r>
        <w:tab/>
      </w:r>
      <w:r>
        <w:fldChar w:fldCharType="begin"/>
      </w:r>
      <w:r>
        <w:instrText xml:space="preserve"> PAGEREF _Toc122833721 \h </w:instrText>
      </w:r>
      <w:r>
        <w:fldChar w:fldCharType="separate"/>
      </w:r>
      <w:r>
        <w:t>41</w:t>
      </w:r>
      <w:r>
        <w:fldChar w:fldCharType="end"/>
      </w:r>
    </w:p>
    <w:p>
      <w:pPr>
        <w:pStyle w:val="TOC8"/>
        <w:rPr>
          <w:sz w:val="24"/>
        </w:rPr>
      </w:pPr>
      <w:r>
        <w:t>31B.</w:t>
      </w:r>
      <w:r>
        <w:tab/>
        <w:t>Degree of permanent impairment</w:t>
      </w:r>
      <w:r>
        <w:tab/>
      </w:r>
      <w:r>
        <w:fldChar w:fldCharType="begin"/>
      </w:r>
      <w:r>
        <w:instrText xml:space="preserve"> PAGEREF _Toc122833722 \h </w:instrText>
      </w:r>
      <w:r>
        <w:fldChar w:fldCharType="separate"/>
      </w:r>
      <w:r>
        <w:t>42</w:t>
      </w:r>
      <w:r>
        <w:fldChar w:fldCharType="end"/>
      </w:r>
    </w:p>
    <w:p>
      <w:pPr>
        <w:pStyle w:val="TOC8"/>
        <w:rPr>
          <w:sz w:val="24"/>
        </w:rPr>
      </w:pPr>
      <w:r>
        <w:t>31C.</w:t>
      </w:r>
      <w:r>
        <w:tab/>
        <w:t>Compensation for impairments mentioned in Schedule 2</w:t>
      </w:r>
      <w:r>
        <w:tab/>
      </w:r>
      <w:r>
        <w:fldChar w:fldCharType="begin"/>
      </w:r>
      <w:r>
        <w:instrText xml:space="preserve"> PAGEREF _Toc122833723 \h </w:instrText>
      </w:r>
      <w:r>
        <w:fldChar w:fldCharType="separate"/>
      </w:r>
      <w:r>
        <w:t>42</w:t>
      </w:r>
      <w:r>
        <w:fldChar w:fldCharType="end"/>
      </w:r>
    </w:p>
    <w:p>
      <w:pPr>
        <w:pStyle w:val="TOC8"/>
        <w:rPr>
          <w:sz w:val="24"/>
        </w:rPr>
      </w:pPr>
      <w:r>
        <w:t>31D.</w:t>
      </w:r>
      <w:r>
        <w:tab/>
        <w:t>Schedule 2 impairment assessment</w:t>
      </w:r>
      <w:r>
        <w:tab/>
      </w:r>
      <w:r>
        <w:fldChar w:fldCharType="begin"/>
      </w:r>
      <w:r>
        <w:instrText xml:space="preserve"> PAGEREF _Toc122833724 \h </w:instrText>
      </w:r>
      <w:r>
        <w:fldChar w:fldCharType="separate"/>
      </w:r>
      <w:r>
        <w:t>43</w:t>
      </w:r>
      <w:r>
        <w:fldChar w:fldCharType="end"/>
      </w:r>
    </w:p>
    <w:p>
      <w:pPr>
        <w:pStyle w:val="TOC8"/>
        <w:rPr>
          <w:sz w:val="24"/>
        </w:rPr>
      </w:pPr>
      <w:r>
        <w:t>31E.</w:t>
      </w:r>
      <w:r>
        <w:tab/>
        <w:t>Lump sum compensation for noise induced hearing loss</w:t>
      </w:r>
      <w:r>
        <w:tab/>
      </w:r>
      <w:r>
        <w:fldChar w:fldCharType="begin"/>
      </w:r>
      <w:r>
        <w:instrText xml:space="preserve"> PAGEREF _Toc122833725 \h </w:instrText>
      </w:r>
      <w:r>
        <w:fldChar w:fldCharType="separate"/>
      </w:r>
      <w:r>
        <w:t>44</w:t>
      </w:r>
      <w:r>
        <w:fldChar w:fldCharType="end"/>
      </w:r>
    </w:p>
    <w:p>
      <w:pPr>
        <w:pStyle w:val="TOC8"/>
        <w:rPr>
          <w:sz w:val="24"/>
        </w:rPr>
      </w:pPr>
      <w:r>
        <w:t>31F.</w:t>
      </w:r>
      <w:r>
        <w:tab/>
        <w:t>Lump sum compensation for AIDS</w:t>
      </w:r>
      <w:r>
        <w:tab/>
      </w:r>
      <w:r>
        <w:fldChar w:fldCharType="begin"/>
      </w:r>
      <w:r>
        <w:instrText xml:space="preserve"> PAGEREF _Toc122833726 \h </w:instrText>
      </w:r>
      <w:r>
        <w:fldChar w:fldCharType="separate"/>
      </w:r>
      <w:r>
        <w:t>45</w:t>
      </w:r>
      <w:r>
        <w:fldChar w:fldCharType="end"/>
      </w:r>
    </w:p>
    <w:p>
      <w:pPr>
        <w:pStyle w:val="TOC8"/>
        <w:rPr>
          <w:sz w:val="24"/>
        </w:rPr>
      </w:pPr>
      <w:r>
        <w:t>31G.</w:t>
      </w:r>
      <w:r>
        <w:tab/>
        <w:t>Subsequent injuries</w:t>
      </w:r>
      <w:r>
        <w:tab/>
      </w:r>
      <w:r>
        <w:fldChar w:fldCharType="begin"/>
      </w:r>
      <w:r>
        <w:instrText xml:space="preserve"> PAGEREF _Toc122833727 \h </w:instrText>
      </w:r>
      <w:r>
        <w:fldChar w:fldCharType="separate"/>
      </w:r>
      <w:r>
        <w:t>47</w:t>
      </w:r>
      <w:r>
        <w:fldChar w:fldCharType="end"/>
      </w:r>
    </w:p>
    <w:p>
      <w:pPr>
        <w:pStyle w:val="TOC8"/>
        <w:rPr>
          <w:sz w:val="24"/>
        </w:rPr>
      </w:pPr>
      <w:r>
        <w:t>31H.</w:t>
      </w:r>
      <w:r>
        <w:tab/>
        <w:t>Election under section 31C or 31E</w:t>
      </w:r>
      <w:r>
        <w:tab/>
      </w:r>
      <w:r>
        <w:fldChar w:fldCharType="begin"/>
      </w:r>
      <w:r>
        <w:instrText xml:space="preserve"> PAGEREF _Toc122833728 \h </w:instrText>
      </w:r>
      <w:r>
        <w:fldChar w:fldCharType="separate"/>
      </w:r>
      <w:r>
        <w:t>48</w:t>
      </w:r>
      <w:r>
        <w:fldChar w:fldCharType="end"/>
      </w:r>
    </w:p>
    <w:p>
      <w:pPr>
        <w:pStyle w:val="TOC8"/>
        <w:rPr>
          <w:sz w:val="24"/>
        </w:rPr>
      </w:pPr>
      <w:r>
        <w:t>31I.</w:t>
      </w:r>
      <w:r>
        <w:tab/>
        <w:t>Effect of election</w:t>
      </w:r>
      <w:r>
        <w:tab/>
      </w:r>
      <w:r>
        <w:fldChar w:fldCharType="begin"/>
      </w:r>
      <w:r>
        <w:instrText xml:space="preserve"> PAGEREF _Toc122833729 \h </w:instrText>
      </w:r>
      <w:r>
        <w:fldChar w:fldCharType="separate"/>
      </w:r>
      <w:r>
        <w:t>49</w:t>
      </w:r>
      <w:r>
        <w:fldChar w:fldCharType="end"/>
      </w:r>
    </w:p>
    <w:p>
      <w:pPr>
        <w:pStyle w:val="TOC8"/>
        <w:rPr>
          <w:sz w:val="24"/>
        </w:rPr>
      </w:pPr>
      <w:r>
        <w:t>31J.</w:t>
      </w:r>
      <w:r>
        <w:tab/>
        <w:t>Limit on compensation of worker electing</w:t>
      </w:r>
      <w:r>
        <w:tab/>
      </w:r>
      <w:r>
        <w:fldChar w:fldCharType="begin"/>
      </w:r>
      <w:r>
        <w:instrText xml:space="preserve"> PAGEREF _Toc122833730 \h </w:instrText>
      </w:r>
      <w:r>
        <w:fldChar w:fldCharType="separate"/>
      </w:r>
      <w:r>
        <w:t>50</w:t>
      </w:r>
      <w:r>
        <w:fldChar w:fldCharType="end"/>
      </w:r>
    </w:p>
    <w:p>
      <w:pPr>
        <w:pStyle w:val="TOC8"/>
        <w:rPr>
          <w:sz w:val="24"/>
        </w:rPr>
      </w:pPr>
      <w:r>
        <w:t>31K.</w:t>
      </w:r>
      <w:r>
        <w:tab/>
        <w:t>Compensation payable before election</w:t>
      </w:r>
      <w:r>
        <w:tab/>
      </w:r>
      <w:r>
        <w:fldChar w:fldCharType="begin"/>
      </w:r>
      <w:r>
        <w:instrText xml:space="preserve"> PAGEREF _Toc122833731 \h </w:instrText>
      </w:r>
      <w:r>
        <w:fldChar w:fldCharType="separate"/>
      </w:r>
      <w:r>
        <w:t>50</w:t>
      </w:r>
      <w:r>
        <w:fldChar w:fldCharType="end"/>
      </w:r>
    </w:p>
    <w:p>
      <w:pPr>
        <w:pStyle w:val="TOC4"/>
        <w:tabs>
          <w:tab w:val="right" w:leader="dot" w:pos="7078"/>
        </w:tabs>
        <w:rPr>
          <w:b w:val="0"/>
          <w:sz w:val="24"/>
        </w:rPr>
      </w:pPr>
      <w:r>
        <w:t>Division 3 — Injury: specified industrial diseases</w:t>
      </w:r>
    </w:p>
    <w:p>
      <w:pPr>
        <w:pStyle w:val="TOC8"/>
        <w:rPr>
          <w:sz w:val="24"/>
        </w:rPr>
      </w:pPr>
      <w:r>
        <w:t>32</w:t>
      </w:r>
      <w:r>
        <w:rPr>
          <w:snapToGrid w:val="0"/>
        </w:rPr>
        <w:t>.</w:t>
      </w:r>
      <w:r>
        <w:rPr>
          <w:snapToGrid w:val="0"/>
        </w:rPr>
        <w:tab/>
        <w:t>Compensation of worker dying from or affected by certain industrial diseases (Schedule 3)</w:t>
      </w:r>
      <w:r>
        <w:tab/>
      </w:r>
      <w:r>
        <w:fldChar w:fldCharType="begin"/>
      </w:r>
      <w:r>
        <w:instrText xml:space="preserve"> PAGEREF _Toc122833733 \h </w:instrText>
      </w:r>
      <w:r>
        <w:fldChar w:fldCharType="separate"/>
      </w:r>
      <w:r>
        <w:t>50</w:t>
      </w:r>
      <w:r>
        <w:fldChar w:fldCharType="end"/>
      </w:r>
    </w:p>
    <w:p>
      <w:pPr>
        <w:pStyle w:val="TOC8"/>
        <w:rPr>
          <w:sz w:val="24"/>
        </w:rPr>
      </w:pPr>
      <w:r>
        <w:t>33</w:t>
      </w:r>
      <w:r>
        <w:rPr>
          <w:snapToGrid w:val="0"/>
        </w:rPr>
        <w:t>.</w:t>
      </w:r>
      <w:r>
        <w:rPr>
          <w:snapToGrid w:val="0"/>
        </w:rPr>
        <w:tab/>
        <w:t>Pneumoconiosis, mesothelioma or lung cancer</w:t>
      </w:r>
      <w:r>
        <w:tab/>
      </w:r>
      <w:r>
        <w:fldChar w:fldCharType="begin"/>
      </w:r>
      <w:r>
        <w:instrText xml:space="preserve"> PAGEREF _Toc122833734 \h </w:instrText>
      </w:r>
      <w:r>
        <w:fldChar w:fldCharType="separate"/>
      </w:r>
      <w:r>
        <w:t>51</w:t>
      </w:r>
      <w:r>
        <w:fldChar w:fldCharType="end"/>
      </w:r>
    </w:p>
    <w:p>
      <w:pPr>
        <w:pStyle w:val="TOC8"/>
        <w:rPr>
          <w:sz w:val="24"/>
        </w:rPr>
      </w:pPr>
      <w:r>
        <w:t>34</w:t>
      </w:r>
      <w:r>
        <w:rPr>
          <w:snapToGrid w:val="0"/>
        </w:rPr>
        <w:t>.</w:t>
      </w:r>
      <w:r>
        <w:rPr>
          <w:snapToGrid w:val="0"/>
        </w:rPr>
        <w:tab/>
        <w:t>Worker suffering from chronic bronchitis and pneumoconiosis</w:t>
      </w:r>
      <w:r>
        <w:tab/>
      </w:r>
      <w:r>
        <w:fldChar w:fldCharType="begin"/>
      </w:r>
      <w:r>
        <w:instrText xml:space="preserve"> PAGEREF _Toc122833735 \h </w:instrText>
      </w:r>
      <w:r>
        <w:fldChar w:fldCharType="separate"/>
      </w:r>
      <w:r>
        <w:t>52</w:t>
      </w:r>
      <w:r>
        <w:fldChar w:fldCharType="end"/>
      </w:r>
    </w:p>
    <w:p>
      <w:pPr>
        <w:pStyle w:val="TOC8"/>
        <w:rPr>
          <w:sz w:val="24"/>
        </w:rPr>
      </w:pPr>
      <w:r>
        <w:t>35</w:t>
      </w:r>
      <w:r>
        <w:rPr>
          <w:snapToGrid w:val="0"/>
        </w:rPr>
        <w:t>.</w:t>
      </w:r>
      <w:r>
        <w:rPr>
          <w:snapToGrid w:val="0"/>
        </w:rPr>
        <w:tab/>
        <w:t>Worker suffering from lung cancer and pneumoconiosis</w:t>
      </w:r>
      <w:r>
        <w:tab/>
      </w:r>
      <w:r>
        <w:fldChar w:fldCharType="begin"/>
      </w:r>
      <w:r>
        <w:instrText xml:space="preserve"> PAGEREF _Toc122833736 \h </w:instrText>
      </w:r>
      <w:r>
        <w:fldChar w:fldCharType="separate"/>
      </w:r>
      <w:r>
        <w:t>52</w:t>
      </w:r>
      <w:r>
        <w:fldChar w:fldCharType="end"/>
      </w:r>
    </w:p>
    <w:p>
      <w:pPr>
        <w:pStyle w:val="TOC8"/>
        <w:rPr>
          <w:sz w:val="24"/>
        </w:rPr>
      </w:pPr>
      <w:r>
        <w:t>36</w:t>
      </w:r>
      <w:r>
        <w:rPr>
          <w:snapToGrid w:val="0"/>
        </w:rPr>
        <w:t>.</w:t>
      </w:r>
      <w:r>
        <w:rPr>
          <w:snapToGrid w:val="0"/>
        </w:rPr>
        <w:tab/>
        <w:t>Reference to medical panel</w:t>
      </w:r>
      <w:r>
        <w:tab/>
      </w:r>
      <w:r>
        <w:fldChar w:fldCharType="begin"/>
      </w:r>
      <w:r>
        <w:instrText xml:space="preserve"> PAGEREF _Toc122833737 \h </w:instrText>
      </w:r>
      <w:r>
        <w:fldChar w:fldCharType="separate"/>
      </w:r>
      <w:r>
        <w:t>52</w:t>
      </w:r>
      <w:r>
        <w:fldChar w:fldCharType="end"/>
      </w:r>
    </w:p>
    <w:p>
      <w:pPr>
        <w:pStyle w:val="TOC8"/>
        <w:rPr>
          <w:sz w:val="24"/>
        </w:rPr>
      </w:pPr>
      <w:r>
        <w:t>37</w:t>
      </w:r>
      <w:r>
        <w:rPr>
          <w:snapToGrid w:val="0"/>
        </w:rPr>
        <w:t>.</w:t>
      </w:r>
      <w:r>
        <w:rPr>
          <w:snapToGrid w:val="0"/>
        </w:rPr>
        <w:tab/>
        <w:t>Oral submission by medical practitioner</w:t>
      </w:r>
      <w:r>
        <w:tab/>
      </w:r>
      <w:r>
        <w:fldChar w:fldCharType="begin"/>
      </w:r>
      <w:r>
        <w:instrText xml:space="preserve"> PAGEREF _Toc122833738 \h </w:instrText>
      </w:r>
      <w:r>
        <w:fldChar w:fldCharType="separate"/>
      </w:r>
      <w:r>
        <w:t>53</w:t>
      </w:r>
      <w:r>
        <w:fldChar w:fldCharType="end"/>
      </w:r>
    </w:p>
    <w:p>
      <w:pPr>
        <w:pStyle w:val="TOC8"/>
        <w:rPr>
          <w:sz w:val="24"/>
        </w:rPr>
      </w:pPr>
      <w:r>
        <w:t>38</w:t>
      </w:r>
      <w:r>
        <w:rPr>
          <w:snapToGrid w:val="0"/>
        </w:rPr>
        <w:t>.</w:t>
      </w:r>
      <w:r>
        <w:rPr>
          <w:snapToGrid w:val="0"/>
        </w:rPr>
        <w:tab/>
        <w:t>Questions for determination by a medical panel</w:t>
      </w:r>
      <w:r>
        <w:tab/>
      </w:r>
      <w:r>
        <w:fldChar w:fldCharType="begin"/>
      </w:r>
      <w:r>
        <w:instrText xml:space="preserve"> PAGEREF _Toc122833739 \h </w:instrText>
      </w:r>
      <w:r>
        <w:fldChar w:fldCharType="separate"/>
      </w:r>
      <w:r>
        <w:t>54</w:t>
      </w:r>
      <w:r>
        <w:fldChar w:fldCharType="end"/>
      </w:r>
    </w:p>
    <w:p>
      <w:pPr>
        <w:pStyle w:val="TOC8"/>
        <w:rPr>
          <w:sz w:val="24"/>
        </w:rPr>
      </w:pPr>
      <w:r>
        <w:t>39</w:t>
      </w:r>
      <w:r>
        <w:rPr>
          <w:snapToGrid w:val="0"/>
        </w:rPr>
        <w:t>.</w:t>
      </w:r>
      <w:r>
        <w:rPr>
          <w:snapToGrid w:val="0"/>
        </w:rPr>
        <w:tab/>
        <w:t>Worker disabled by tuberculosis and pneumoconiosis</w:t>
      </w:r>
      <w:r>
        <w:tab/>
      </w:r>
      <w:r>
        <w:fldChar w:fldCharType="begin"/>
      </w:r>
      <w:r>
        <w:instrText xml:space="preserve"> PAGEREF _Toc122833740 \h </w:instrText>
      </w:r>
      <w:r>
        <w:fldChar w:fldCharType="separate"/>
      </w:r>
      <w:r>
        <w:t>55</w:t>
      </w:r>
      <w:r>
        <w:fldChar w:fldCharType="end"/>
      </w:r>
    </w:p>
    <w:p>
      <w:pPr>
        <w:pStyle w:val="TOC8"/>
        <w:rPr>
          <w:sz w:val="24"/>
        </w:rPr>
      </w:pPr>
      <w:r>
        <w:t>40.</w:t>
      </w:r>
      <w:r>
        <w:tab/>
        <w:t>Interpretation of this Division in cases of death without prior incapacity</w:t>
      </w:r>
      <w:r>
        <w:tab/>
      </w:r>
      <w:r>
        <w:fldChar w:fldCharType="begin"/>
      </w:r>
      <w:r>
        <w:instrText xml:space="preserve"> PAGEREF _Toc122833741 \h </w:instrText>
      </w:r>
      <w:r>
        <w:fldChar w:fldCharType="separate"/>
      </w:r>
      <w:r>
        <w:t>55</w:t>
      </w:r>
      <w:r>
        <w:fldChar w:fldCharType="end"/>
      </w:r>
    </w:p>
    <w:p>
      <w:pPr>
        <w:pStyle w:val="TOC8"/>
        <w:rPr>
          <w:sz w:val="24"/>
        </w:rPr>
      </w:pPr>
      <w:r>
        <w:t>41</w:t>
      </w:r>
      <w:r>
        <w:rPr>
          <w:snapToGrid w:val="0"/>
        </w:rPr>
        <w:t>.</w:t>
      </w:r>
      <w:r>
        <w:rPr>
          <w:snapToGrid w:val="0"/>
        </w:rPr>
        <w:tab/>
        <w:t>Last employer liable but may join others</w:t>
      </w:r>
      <w:r>
        <w:tab/>
      </w:r>
      <w:r>
        <w:fldChar w:fldCharType="begin"/>
      </w:r>
      <w:r>
        <w:instrText xml:space="preserve"> PAGEREF _Toc122833742 \h </w:instrText>
      </w:r>
      <w:r>
        <w:fldChar w:fldCharType="separate"/>
      </w:r>
      <w:r>
        <w:t>56</w:t>
      </w:r>
      <w:r>
        <w:fldChar w:fldCharType="end"/>
      </w:r>
    </w:p>
    <w:p>
      <w:pPr>
        <w:pStyle w:val="TOC8"/>
        <w:rPr>
          <w:sz w:val="24"/>
        </w:rPr>
      </w:pPr>
      <w:r>
        <w:t>42</w:t>
      </w:r>
      <w:r>
        <w:rPr>
          <w:snapToGrid w:val="0"/>
        </w:rPr>
        <w:t>.</w:t>
      </w:r>
      <w:r>
        <w:rPr>
          <w:snapToGrid w:val="0"/>
        </w:rPr>
        <w:tab/>
        <w:t>Relevant earnings</w:t>
      </w:r>
      <w:r>
        <w:tab/>
      </w:r>
      <w:r>
        <w:fldChar w:fldCharType="begin"/>
      </w:r>
      <w:r>
        <w:instrText xml:space="preserve"> PAGEREF _Toc122833743 \h </w:instrText>
      </w:r>
      <w:r>
        <w:fldChar w:fldCharType="separate"/>
      </w:r>
      <w:r>
        <w:t>57</w:t>
      </w:r>
      <w:r>
        <w:fldChar w:fldCharType="end"/>
      </w:r>
    </w:p>
    <w:p>
      <w:pPr>
        <w:pStyle w:val="TOC8"/>
        <w:rPr>
          <w:sz w:val="24"/>
        </w:rPr>
      </w:pPr>
      <w:r>
        <w:t>43</w:t>
      </w:r>
      <w:r>
        <w:rPr>
          <w:snapToGrid w:val="0"/>
        </w:rPr>
        <w:t>.</w:t>
      </w:r>
      <w:r>
        <w:rPr>
          <w:snapToGrid w:val="0"/>
        </w:rPr>
        <w:tab/>
        <w:t>Employer to whom notice to be given</w:t>
      </w:r>
      <w:r>
        <w:tab/>
      </w:r>
      <w:r>
        <w:fldChar w:fldCharType="begin"/>
      </w:r>
      <w:r>
        <w:instrText xml:space="preserve"> PAGEREF _Toc122833744 \h </w:instrText>
      </w:r>
      <w:r>
        <w:fldChar w:fldCharType="separate"/>
      </w:r>
      <w:r>
        <w:t>57</w:t>
      </w:r>
      <w:r>
        <w:fldChar w:fldCharType="end"/>
      </w:r>
    </w:p>
    <w:p>
      <w:pPr>
        <w:pStyle w:val="TOC8"/>
        <w:rPr>
          <w:sz w:val="24"/>
        </w:rPr>
      </w:pPr>
      <w:r>
        <w:t>44</w:t>
      </w:r>
      <w:r>
        <w:rPr>
          <w:snapToGrid w:val="0"/>
        </w:rPr>
        <w:t>.</w:t>
      </w:r>
      <w:r>
        <w:rPr>
          <w:snapToGrid w:val="0"/>
        </w:rPr>
        <w:tab/>
        <w:t>Disease deemed due to nature of employment</w:t>
      </w:r>
      <w:r>
        <w:tab/>
      </w:r>
      <w:r>
        <w:fldChar w:fldCharType="begin"/>
      </w:r>
      <w:r>
        <w:instrText xml:space="preserve"> PAGEREF _Toc122833745 \h </w:instrText>
      </w:r>
      <w:r>
        <w:fldChar w:fldCharType="separate"/>
      </w:r>
      <w:r>
        <w:t>57</w:t>
      </w:r>
      <w:r>
        <w:fldChar w:fldCharType="end"/>
      </w:r>
    </w:p>
    <w:p>
      <w:pPr>
        <w:pStyle w:val="TOC8"/>
        <w:rPr>
          <w:sz w:val="24"/>
        </w:rPr>
      </w:pPr>
      <w:r>
        <w:t>45</w:t>
      </w:r>
      <w:r>
        <w:rPr>
          <w:snapToGrid w:val="0"/>
        </w:rPr>
        <w:t>.</w:t>
      </w:r>
      <w:r>
        <w:rPr>
          <w:snapToGrid w:val="0"/>
        </w:rPr>
        <w:tab/>
        <w:t>Additions to Schedule 3</w:t>
      </w:r>
      <w:r>
        <w:tab/>
      </w:r>
      <w:r>
        <w:fldChar w:fldCharType="begin"/>
      </w:r>
      <w:r>
        <w:instrText xml:space="preserve"> PAGEREF _Toc122833746 \h </w:instrText>
      </w:r>
      <w:r>
        <w:fldChar w:fldCharType="separate"/>
      </w:r>
      <w:r>
        <w:t>57</w:t>
      </w:r>
      <w:r>
        <w:fldChar w:fldCharType="end"/>
      </w:r>
    </w:p>
    <w:p>
      <w:pPr>
        <w:pStyle w:val="TOC8"/>
        <w:rPr>
          <w:sz w:val="24"/>
        </w:rPr>
      </w:pPr>
      <w:r>
        <w:t>46</w:t>
      </w:r>
      <w:r>
        <w:rPr>
          <w:snapToGrid w:val="0"/>
        </w:rPr>
        <w:t>.</w:t>
      </w:r>
      <w:r>
        <w:rPr>
          <w:snapToGrid w:val="0"/>
        </w:rPr>
        <w:tab/>
        <w:t>Compensation limited to prescribed amount</w:t>
      </w:r>
      <w:r>
        <w:tab/>
      </w:r>
      <w:r>
        <w:fldChar w:fldCharType="begin"/>
      </w:r>
      <w:r>
        <w:instrText xml:space="preserve"> PAGEREF _Toc122833747 \h </w:instrText>
      </w:r>
      <w:r>
        <w:fldChar w:fldCharType="separate"/>
      </w:r>
      <w:r>
        <w:t>58</w:t>
      </w:r>
      <w:r>
        <w:fldChar w:fldCharType="end"/>
      </w:r>
    </w:p>
    <w:p>
      <w:pPr>
        <w:pStyle w:val="TOC8"/>
        <w:rPr>
          <w:sz w:val="24"/>
        </w:rPr>
      </w:pPr>
      <w:r>
        <w:t>47</w:t>
      </w:r>
      <w:r>
        <w:rPr>
          <w:snapToGrid w:val="0"/>
        </w:rPr>
        <w:t>.</w:t>
      </w:r>
      <w:r>
        <w:rPr>
          <w:snapToGrid w:val="0"/>
        </w:rPr>
        <w:tab/>
        <w:t>Certain workers not to benefit</w:t>
      </w:r>
      <w:r>
        <w:tab/>
      </w:r>
      <w:r>
        <w:fldChar w:fldCharType="begin"/>
      </w:r>
      <w:r>
        <w:instrText xml:space="preserve"> PAGEREF _Toc122833748 \h </w:instrText>
      </w:r>
      <w:r>
        <w:fldChar w:fldCharType="separate"/>
      </w:r>
      <w:r>
        <w:t>59</w:t>
      </w:r>
      <w:r>
        <w:fldChar w:fldCharType="end"/>
      </w:r>
    </w:p>
    <w:p>
      <w:pPr>
        <w:pStyle w:val="TOC8"/>
        <w:rPr>
          <w:sz w:val="24"/>
        </w:rPr>
      </w:pPr>
      <w:r>
        <w:t>48</w:t>
      </w:r>
      <w:r>
        <w:rPr>
          <w:snapToGrid w:val="0"/>
        </w:rPr>
        <w:t>.</w:t>
      </w:r>
      <w:r>
        <w:rPr>
          <w:snapToGrid w:val="0"/>
        </w:rPr>
        <w:tab/>
        <w:t>Notification of disease</w:t>
      </w:r>
      <w:r>
        <w:tab/>
      </w:r>
      <w:r>
        <w:fldChar w:fldCharType="begin"/>
      </w:r>
      <w:r>
        <w:instrText xml:space="preserve"> PAGEREF _Toc122833749 \h </w:instrText>
      </w:r>
      <w:r>
        <w:fldChar w:fldCharType="separate"/>
      </w:r>
      <w:r>
        <w:t>60</w:t>
      </w:r>
      <w:r>
        <w:fldChar w:fldCharType="end"/>
      </w:r>
    </w:p>
    <w:p>
      <w:pPr>
        <w:pStyle w:val="TOC4"/>
        <w:tabs>
          <w:tab w:val="right" w:leader="dot" w:pos="7078"/>
        </w:tabs>
        <w:rPr>
          <w:b w:val="0"/>
          <w:sz w:val="24"/>
        </w:rPr>
      </w:pPr>
      <w:r>
        <w:t>Division 4 — Injury: specified losses of functions</w:t>
      </w:r>
    </w:p>
    <w:p>
      <w:pPr>
        <w:pStyle w:val="TOC8"/>
        <w:rPr>
          <w:sz w:val="24"/>
        </w:rPr>
      </w:pPr>
      <w:r>
        <w:t>49.</w:t>
      </w:r>
      <w:r>
        <w:tab/>
        <w:t>Injury occurs when loss of function renders worker less able to earn full wages</w:t>
      </w:r>
      <w:r>
        <w:tab/>
      </w:r>
      <w:r>
        <w:fldChar w:fldCharType="begin"/>
      </w:r>
      <w:r>
        <w:instrText xml:space="preserve"> PAGEREF _Toc122833751 \h </w:instrText>
      </w:r>
      <w:r>
        <w:fldChar w:fldCharType="separate"/>
      </w:r>
      <w:r>
        <w:t>60</w:t>
      </w:r>
      <w:r>
        <w:fldChar w:fldCharType="end"/>
      </w:r>
    </w:p>
    <w:p>
      <w:pPr>
        <w:pStyle w:val="TOC8"/>
        <w:rPr>
          <w:sz w:val="24"/>
        </w:rPr>
      </w:pPr>
      <w:r>
        <w:t>51</w:t>
      </w:r>
      <w:r>
        <w:rPr>
          <w:snapToGrid w:val="0"/>
        </w:rPr>
        <w:t>.</w:t>
      </w:r>
      <w:r>
        <w:rPr>
          <w:snapToGrid w:val="0"/>
        </w:rPr>
        <w:tab/>
        <w:t>Compensation recoverable from last employer</w:t>
      </w:r>
      <w:r>
        <w:tab/>
      </w:r>
      <w:r>
        <w:fldChar w:fldCharType="begin"/>
      </w:r>
      <w:r>
        <w:instrText xml:space="preserve"> PAGEREF _Toc122833752 \h </w:instrText>
      </w:r>
      <w:r>
        <w:fldChar w:fldCharType="separate"/>
      </w:r>
      <w:r>
        <w:t>61</w:t>
      </w:r>
      <w:r>
        <w:fldChar w:fldCharType="end"/>
      </w:r>
    </w:p>
    <w:p>
      <w:pPr>
        <w:pStyle w:val="TOC8"/>
        <w:rPr>
          <w:sz w:val="24"/>
        </w:rPr>
      </w:pPr>
      <w:r>
        <w:t>52</w:t>
      </w:r>
      <w:r>
        <w:rPr>
          <w:snapToGrid w:val="0"/>
        </w:rPr>
        <w:t>.</w:t>
      </w:r>
      <w:r>
        <w:rPr>
          <w:snapToGrid w:val="0"/>
        </w:rPr>
        <w:tab/>
        <w:t>How compensation calculated</w:t>
      </w:r>
      <w:r>
        <w:tab/>
      </w:r>
      <w:r>
        <w:fldChar w:fldCharType="begin"/>
      </w:r>
      <w:r>
        <w:instrText xml:space="preserve"> PAGEREF _Toc122833753 \h </w:instrText>
      </w:r>
      <w:r>
        <w:fldChar w:fldCharType="separate"/>
      </w:r>
      <w:r>
        <w:t>62</w:t>
      </w:r>
      <w:r>
        <w:fldChar w:fldCharType="end"/>
      </w:r>
    </w:p>
    <w:p>
      <w:pPr>
        <w:pStyle w:val="TOC8"/>
        <w:rPr>
          <w:sz w:val="24"/>
        </w:rPr>
      </w:pPr>
      <w:r>
        <w:t>53</w:t>
      </w:r>
      <w:r>
        <w:rPr>
          <w:snapToGrid w:val="0"/>
        </w:rPr>
        <w:t>.</w:t>
      </w:r>
      <w:r>
        <w:rPr>
          <w:snapToGrid w:val="0"/>
        </w:rPr>
        <w:tab/>
        <w:t>Employer to whom notice given</w:t>
      </w:r>
      <w:r>
        <w:tab/>
      </w:r>
      <w:r>
        <w:fldChar w:fldCharType="begin"/>
      </w:r>
      <w:r>
        <w:instrText xml:space="preserve"> PAGEREF _Toc122833754 \h </w:instrText>
      </w:r>
      <w:r>
        <w:fldChar w:fldCharType="separate"/>
      </w:r>
      <w:r>
        <w:t>62</w:t>
      </w:r>
      <w:r>
        <w:fldChar w:fldCharType="end"/>
      </w:r>
    </w:p>
    <w:p>
      <w:pPr>
        <w:pStyle w:val="TOC8"/>
        <w:rPr>
          <w:sz w:val="24"/>
        </w:rPr>
      </w:pPr>
      <w:r>
        <w:t>54</w:t>
      </w:r>
      <w:r>
        <w:rPr>
          <w:snapToGrid w:val="0"/>
        </w:rPr>
        <w:t>.</w:t>
      </w:r>
      <w:r>
        <w:rPr>
          <w:snapToGrid w:val="0"/>
        </w:rPr>
        <w:tab/>
        <w:t>Loss of function deemed due to nature of employment</w:t>
      </w:r>
      <w:r>
        <w:tab/>
      </w:r>
      <w:r>
        <w:fldChar w:fldCharType="begin"/>
      </w:r>
      <w:r>
        <w:instrText xml:space="preserve"> PAGEREF _Toc122833755 \h </w:instrText>
      </w:r>
      <w:r>
        <w:fldChar w:fldCharType="separate"/>
      </w:r>
      <w:r>
        <w:t>62</w:t>
      </w:r>
      <w:r>
        <w:fldChar w:fldCharType="end"/>
      </w:r>
    </w:p>
    <w:p>
      <w:pPr>
        <w:pStyle w:val="TOC8"/>
        <w:rPr>
          <w:sz w:val="24"/>
        </w:rPr>
      </w:pPr>
      <w:r>
        <w:t>55</w:t>
      </w:r>
      <w:r>
        <w:rPr>
          <w:snapToGrid w:val="0"/>
        </w:rPr>
        <w:t>.</w:t>
      </w:r>
      <w:r>
        <w:rPr>
          <w:snapToGrid w:val="0"/>
        </w:rPr>
        <w:tab/>
        <w:t>Additions to Schedule 4</w:t>
      </w:r>
      <w:r>
        <w:tab/>
      </w:r>
      <w:r>
        <w:fldChar w:fldCharType="begin"/>
      </w:r>
      <w:r>
        <w:instrText xml:space="preserve"> PAGEREF _Toc122833756 \h </w:instrText>
      </w:r>
      <w:r>
        <w:fldChar w:fldCharType="separate"/>
      </w:r>
      <w:r>
        <w:t>62</w:t>
      </w:r>
      <w:r>
        <w:fldChar w:fldCharType="end"/>
      </w:r>
    </w:p>
    <w:p>
      <w:pPr>
        <w:pStyle w:val="TOC4"/>
        <w:tabs>
          <w:tab w:val="right" w:leader="dot" w:pos="7078"/>
        </w:tabs>
        <w:rPr>
          <w:b w:val="0"/>
          <w:sz w:val="24"/>
        </w:rPr>
      </w:pPr>
      <w:r>
        <w:t>Division 5</w:t>
      </w:r>
      <w:r>
        <w:rPr>
          <w:snapToGrid w:val="0"/>
        </w:rPr>
        <w:t> — </w:t>
      </w:r>
      <w:r>
        <w:t>Commencement, review, suspension, and cessation of payments</w:t>
      </w:r>
    </w:p>
    <w:p>
      <w:pPr>
        <w:pStyle w:val="TOC8"/>
        <w:rPr>
          <w:sz w:val="24"/>
        </w:rPr>
      </w:pPr>
      <w:r>
        <w:t>56</w:t>
      </w:r>
      <w:r>
        <w:rPr>
          <w:snapToGrid w:val="0"/>
        </w:rPr>
        <w:t>.</w:t>
      </w:r>
      <w:r>
        <w:rPr>
          <w:snapToGrid w:val="0"/>
        </w:rPr>
        <w:tab/>
        <w:t>Entitlement to weekly payments ceasing on account of age</w:t>
      </w:r>
      <w:r>
        <w:tab/>
      </w:r>
      <w:r>
        <w:fldChar w:fldCharType="begin"/>
      </w:r>
      <w:r>
        <w:instrText xml:space="preserve"> PAGEREF _Toc122833758 \h </w:instrText>
      </w:r>
      <w:r>
        <w:fldChar w:fldCharType="separate"/>
      </w:r>
      <w:r>
        <w:t>63</w:t>
      </w:r>
      <w:r>
        <w:fldChar w:fldCharType="end"/>
      </w:r>
    </w:p>
    <w:p>
      <w:pPr>
        <w:pStyle w:val="TOC8"/>
        <w:rPr>
          <w:sz w:val="24"/>
        </w:rPr>
      </w:pPr>
      <w:r>
        <w:t>57</w:t>
      </w:r>
      <w:r>
        <w:rPr>
          <w:snapToGrid w:val="0"/>
        </w:rPr>
        <w:t>.</w:t>
      </w:r>
      <w:r>
        <w:rPr>
          <w:snapToGrid w:val="0"/>
        </w:rPr>
        <w:tab/>
        <w:t>Saving as to expenses</w:t>
      </w:r>
      <w:r>
        <w:tab/>
      </w:r>
      <w:r>
        <w:fldChar w:fldCharType="begin"/>
      </w:r>
      <w:r>
        <w:instrText xml:space="preserve"> PAGEREF _Toc122833759 \h </w:instrText>
      </w:r>
      <w:r>
        <w:fldChar w:fldCharType="separate"/>
      </w:r>
      <w:r>
        <w:t>63</w:t>
      </w:r>
      <w:r>
        <w:fldChar w:fldCharType="end"/>
      </w:r>
    </w:p>
    <w:p>
      <w:pPr>
        <w:pStyle w:val="TOC8"/>
        <w:rPr>
          <w:sz w:val="24"/>
        </w:rPr>
      </w:pPr>
      <w:r>
        <w:t>57A</w:t>
      </w:r>
      <w:r>
        <w:rPr>
          <w:snapToGrid w:val="0"/>
        </w:rPr>
        <w:t>.</w:t>
      </w:r>
      <w:r>
        <w:rPr>
          <w:snapToGrid w:val="0"/>
        </w:rPr>
        <w:tab/>
        <w:t>Claims procedure — insured employer</w:t>
      </w:r>
      <w:r>
        <w:tab/>
      </w:r>
      <w:r>
        <w:fldChar w:fldCharType="begin"/>
      </w:r>
      <w:r>
        <w:instrText xml:space="preserve"> PAGEREF _Toc122833760 \h </w:instrText>
      </w:r>
      <w:r>
        <w:fldChar w:fldCharType="separate"/>
      </w:r>
      <w:r>
        <w:t>64</w:t>
      </w:r>
      <w:r>
        <w:fldChar w:fldCharType="end"/>
      </w:r>
    </w:p>
    <w:p>
      <w:pPr>
        <w:pStyle w:val="TOC8"/>
        <w:rPr>
          <w:sz w:val="24"/>
        </w:rPr>
      </w:pPr>
      <w:r>
        <w:t>57B</w:t>
      </w:r>
      <w:r>
        <w:rPr>
          <w:snapToGrid w:val="0"/>
        </w:rPr>
        <w:t>.</w:t>
      </w:r>
      <w:r>
        <w:rPr>
          <w:snapToGrid w:val="0"/>
        </w:rPr>
        <w:tab/>
        <w:t>Claims procedure — self</w:t>
      </w:r>
      <w:r>
        <w:rPr>
          <w:snapToGrid w:val="0"/>
        </w:rPr>
        <w:noBreakHyphen/>
        <w:t>insurer or uninsured employer</w:t>
      </w:r>
      <w:r>
        <w:tab/>
      </w:r>
      <w:r>
        <w:fldChar w:fldCharType="begin"/>
      </w:r>
      <w:r>
        <w:instrText xml:space="preserve"> PAGEREF _Toc122833761 \h </w:instrText>
      </w:r>
      <w:r>
        <w:fldChar w:fldCharType="separate"/>
      </w:r>
      <w:r>
        <w:t>67</w:t>
      </w:r>
      <w:r>
        <w:fldChar w:fldCharType="end"/>
      </w:r>
    </w:p>
    <w:p>
      <w:pPr>
        <w:pStyle w:val="TOC8"/>
        <w:rPr>
          <w:sz w:val="24"/>
        </w:rPr>
      </w:pPr>
      <w:r>
        <w:t>57BA.</w:t>
      </w:r>
      <w:r>
        <w:tab/>
        <w:t>Notices under sections 57A and 57B</w:t>
      </w:r>
      <w:r>
        <w:tab/>
      </w:r>
      <w:r>
        <w:fldChar w:fldCharType="begin"/>
      </w:r>
      <w:r>
        <w:instrText xml:space="preserve"> PAGEREF _Toc122833762 \h </w:instrText>
      </w:r>
      <w:r>
        <w:fldChar w:fldCharType="separate"/>
      </w:r>
      <w:r>
        <w:t>69</w:t>
      </w:r>
      <w:r>
        <w:fldChar w:fldCharType="end"/>
      </w:r>
    </w:p>
    <w:p>
      <w:pPr>
        <w:pStyle w:val="TOC8"/>
        <w:rPr>
          <w:sz w:val="24"/>
        </w:rPr>
      </w:pPr>
      <w:r>
        <w:t>57C</w:t>
      </w:r>
      <w:r>
        <w:rPr>
          <w:snapToGrid w:val="0"/>
        </w:rPr>
        <w:t>.</w:t>
      </w:r>
      <w:r>
        <w:rPr>
          <w:snapToGrid w:val="0"/>
        </w:rPr>
        <w:tab/>
        <w:t>Notification to Commission</w:t>
      </w:r>
      <w:r>
        <w:tab/>
      </w:r>
      <w:r>
        <w:fldChar w:fldCharType="begin"/>
      </w:r>
      <w:r>
        <w:instrText xml:space="preserve"> PAGEREF _Toc122833763 \h </w:instrText>
      </w:r>
      <w:r>
        <w:fldChar w:fldCharType="separate"/>
      </w:r>
      <w:r>
        <w:t>71</w:t>
      </w:r>
      <w:r>
        <w:fldChar w:fldCharType="end"/>
      </w:r>
    </w:p>
    <w:p>
      <w:pPr>
        <w:pStyle w:val="TOC8"/>
        <w:rPr>
          <w:sz w:val="24"/>
        </w:rPr>
      </w:pPr>
      <w:r>
        <w:t>57D</w:t>
      </w:r>
      <w:r>
        <w:rPr>
          <w:snapToGrid w:val="0"/>
        </w:rPr>
        <w:t>.</w:t>
      </w:r>
      <w:r>
        <w:rPr>
          <w:snapToGrid w:val="0"/>
        </w:rPr>
        <w:tab/>
        <w:t>Confidentiality</w:t>
      </w:r>
      <w:r>
        <w:tab/>
      </w:r>
      <w:r>
        <w:fldChar w:fldCharType="begin"/>
      </w:r>
      <w:r>
        <w:instrText xml:space="preserve"> PAGEREF _Toc122833764 \h </w:instrText>
      </w:r>
      <w:r>
        <w:fldChar w:fldCharType="separate"/>
      </w:r>
      <w:r>
        <w:t>72</w:t>
      </w:r>
      <w:r>
        <w:fldChar w:fldCharType="end"/>
      </w:r>
    </w:p>
    <w:p>
      <w:pPr>
        <w:pStyle w:val="TOC8"/>
        <w:rPr>
          <w:sz w:val="24"/>
        </w:rPr>
      </w:pPr>
      <w:r>
        <w:t>58</w:t>
      </w:r>
      <w:r>
        <w:rPr>
          <w:snapToGrid w:val="0"/>
        </w:rPr>
        <w:t>.</w:t>
      </w:r>
      <w:r>
        <w:rPr>
          <w:snapToGrid w:val="0"/>
        </w:rPr>
        <w:tab/>
        <w:t>Arbitrator may determine liability</w:t>
      </w:r>
      <w:r>
        <w:tab/>
      </w:r>
      <w:r>
        <w:fldChar w:fldCharType="begin"/>
      </w:r>
      <w:r>
        <w:instrText xml:space="preserve"> PAGEREF _Toc122833765 \h </w:instrText>
      </w:r>
      <w:r>
        <w:fldChar w:fldCharType="separate"/>
      </w:r>
      <w:r>
        <w:t>73</w:t>
      </w:r>
      <w:r>
        <w:fldChar w:fldCharType="end"/>
      </w:r>
    </w:p>
    <w:p>
      <w:pPr>
        <w:pStyle w:val="TOC8"/>
        <w:rPr>
          <w:sz w:val="24"/>
        </w:rPr>
      </w:pPr>
      <w:r>
        <w:t>59</w:t>
      </w:r>
      <w:r>
        <w:rPr>
          <w:snapToGrid w:val="0"/>
        </w:rPr>
        <w:t>.</w:t>
      </w:r>
      <w:r>
        <w:rPr>
          <w:snapToGrid w:val="0"/>
        </w:rPr>
        <w:tab/>
        <w:t>Information as to remunerated work</w:t>
      </w:r>
      <w:r>
        <w:tab/>
      </w:r>
      <w:r>
        <w:fldChar w:fldCharType="begin"/>
      </w:r>
      <w:r>
        <w:instrText xml:space="preserve"> PAGEREF _Toc122833766 \h </w:instrText>
      </w:r>
      <w:r>
        <w:fldChar w:fldCharType="separate"/>
      </w:r>
      <w:r>
        <w:t>75</w:t>
      </w:r>
      <w:r>
        <w:fldChar w:fldCharType="end"/>
      </w:r>
    </w:p>
    <w:p>
      <w:pPr>
        <w:pStyle w:val="TOC8"/>
        <w:rPr>
          <w:sz w:val="24"/>
        </w:rPr>
      </w:pPr>
      <w:r>
        <w:t>60</w:t>
      </w:r>
      <w:r>
        <w:rPr>
          <w:snapToGrid w:val="0"/>
        </w:rPr>
        <w:t>.</w:t>
      </w:r>
      <w:r>
        <w:rPr>
          <w:snapToGrid w:val="0"/>
        </w:rPr>
        <w:tab/>
        <w:t>Application for discontinuance or reduction of weekly payments</w:t>
      </w:r>
      <w:r>
        <w:tab/>
      </w:r>
      <w:r>
        <w:fldChar w:fldCharType="begin"/>
      </w:r>
      <w:r>
        <w:instrText xml:space="preserve"> PAGEREF _Toc122833767 \h </w:instrText>
      </w:r>
      <w:r>
        <w:fldChar w:fldCharType="separate"/>
      </w:r>
      <w:r>
        <w:t>77</w:t>
      </w:r>
      <w:r>
        <w:fldChar w:fldCharType="end"/>
      </w:r>
    </w:p>
    <w:p>
      <w:pPr>
        <w:pStyle w:val="TOC8"/>
        <w:rPr>
          <w:sz w:val="24"/>
        </w:rPr>
      </w:pPr>
      <w:r>
        <w:t>61</w:t>
      </w:r>
      <w:r>
        <w:rPr>
          <w:snapToGrid w:val="0"/>
        </w:rPr>
        <w:t>.</w:t>
      </w:r>
      <w:r>
        <w:rPr>
          <w:snapToGrid w:val="0"/>
        </w:rPr>
        <w:tab/>
        <w:t>Unlawful discontinuance of weekly payments</w:t>
      </w:r>
      <w:r>
        <w:tab/>
      </w:r>
      <w:r>
        <w:fldChar w:fldCharType="begin"/>
      </w:r>
      <w:r>
        <w:instrText xml:space="preserve"> PAGEREF _Toc122833768 \h </w:instrText>
      </w:r>
      <w:r>
        <w:fldChar w:fldCharType="separate"/>
      </w:r>
      <w:r>
        <w:t>77</w:t>
      </w:r>
      <w:r>
        <w:fldChar w:fldCharType="end"/>
      </w:r>
    </w:p>
    <w:p>
      <w:pPr>
        <w:pStyle w:val="TOC8"/>
        <w:rPr>
          <w:sz w:val="24"/>
        </w:rPr>
      </w:pPr>
      <w:r>
        <w:t>62</w:t>
      </w:r>
      <w:r>
        <w:rPr>
          <w:snapToGrid w:val="0"/>
        </w:rPr>
        <w:t>.</w:t>
      </w:r>
      <w:r>
        <w:rPr>
          <w:snapToGrid w:val="0"/>
        </w:rPr>
        <w:tab/>
        <w:t>Review of weekly payments</w:t>
      </w:r>
      <w:r>
        <w:tab/>
      </w:r>
      <w:r>
        <w:fldChar w:fldCharType="begin"/>
      </w:r>
      <w:r>
        <w:instrText xml:space="preserve"> PAGEREF _Toc122833769 \h </w:instrText>
      </w:r>
      <w:r>
        <w:fldChar w:fldCharType="separate"/>
      </w:r>
      <w:r>
        <w:t>80</w:t>
      </w:r>
      <w:r>
        <w:fldChar w:fldCharType="end"/>
      </w:r>
    </w:p>
    <w:p>
      <w:pPr>
        <w:pStyle w:val="TOC8"/>
        <w:rPr>
          <w:sz w:val="24"/>
        </w:rPr>
      </w:pPr>
      <w:r>
        <w:t>63</w:t>
      </w:r>
      <w:r>
        <w:rPr>
          <w:snapToGrid w:val="0"/>
        </w:rPr>
        <w:t>.</w:t>
      </w:r>
      <w:r>
        <w:rPr>
          <w:snapToGrid w:val="0"/>
        </w:rPr>
        <w:tab/>
        <w:t>No compensation during suspension</w:t>
      </w:r>
      <w:r>
        <w:tab/>
      </w:r>
      <w:r>
        <w:fldChar w:fldCharType="begin"/>
      </w:r>
      <w:r>
        <w:instrText xml:space="preserve"> PAGEREF _Toc122833770 \h </w:instrText>
      </w:r>
      <w:r>
        <w:fldChar w:fldCharType="separate"/>
      </w:r>
      <w:r>
        <w:t>81</w:t>
      </w:r>
      <w:r>
        <w:fldChar w:fldCharType="end"/>
      </w:r>
    </w:p>
    <w:p>
      <w:pPr>
        <w:pStyle w:val="TOC8"/>
        <w:rPr>
          <w:sz w:val="24"/>
        </w:rPr>
      </w:pPr>
      <w:r>
        <w:t>64</w:t>
      </w:r>
      <w:r>
        <w:rPr>
          <w:snapToGrid w:val="0"/>
        </w:rPr>
        <w:t>.</w:t>
      </w:r>
      <w:r>
        <w:rPr>
          <w:snapToGrid w:val="0"/>
        </w:rPr>
        <w:tab/>
        <w:t>Medical examination</w:t>
      </w:r>
      <w:r>
        <w:tab/>
      </w:r>
      <w:r>
        <w:fldChar w:fldCharType="begin"/>
      </w:r>
      <w:r>
        <w:instrText xml:space="preserve"> PAGEREF _Toc122833771 \h </w:instrText>
      </w:r>
      <w:r>
        <w:fldChar w:fldCharType="separate"/>
      </w:r>
      <w:r>
        <w:t>81</w:t>
      </w:r>
      <w:r>
        <w:fldChar w:fldCharType="end"/>
      </w:r>
    </w:p>
    <w:p>
      <w:pPr>
        <w:pStyle w:val="TOC8"/>
        <w:rPr>
          <w:sz w:val="24"/>
        </w:rPr>
      </w:pPr>
      <w:r>
        <w:t>65</w:t>
      </w:r>
      <w:r>
        <w:rPr>
          <w:snapToGrid w:val="0"/>
        </w:rPr>
        <w:t>.</w:t>
      </w:r>
      <w:r>
        <w:rPr>
          <w:snapToGrid w:val="0"/>
        </w:rPr>
        <w:tab/>
        <w:t>Periodical medical examination</w:t>
      </w:r>
      <w:r>
        <w:tab/>
      </w:r>
      <w:r>
        <w:fldChar w:fldCharType="begin"/>
      </w:r>
      <w:r>
        <w:instrText xml:space="preserve"> PAGEREF _Toc122833772 \h </w:instrText>
      </w:r>
      <w:r>
        <w:fldChar w:fldCharType="separate"/>
      </w:r>
      <w:r>
        <w:t>81</w:t>
      </w:r>
      <w:r>
        <w:fldChar w:fldCharType="end"/>
      </w:r>
    </w:p>
    <w:p>
      <w:pPr>
        <w:pStyle w:val="TOC8"/>
        <w:rPr>
          <w:sz w:val="24"/>
        </w:rPr>
      </w:pPr>
      <w:r>
        <w:t>66</w:t>
      </w:r>
      <w:r>
        <w:rPr>
          <w:snapToGrid w:val="0"/>
        </w:rPr>
        <w:t>.</w:t>
      </w:r>
      <w:r>
        <w:rPr>
          <w:snapToGrid w:val="0"/>
        </w:rPr>
        <w:tab/>
        <w:t>Regulations as to medical examination</w:t>
      </w:r>
      <w:r>
        <w:tab/>
      </w:r>
      <w:r>
        <w:fldChar w:fldCharType="begin"/>
      </w:r>
      <w:r>
        <w:instrText xml:space="preserve"> PAGEREF _Toc122833773 \h </w:instrText>
      </w:r>
      <w:r>
        <w:fldChar w:fldCharType="separate"/>
      </w:r>
      <w:r>
        <w:t>82</w:t>
      </w:r>
      <w:r>
        <w:fldChar w:fldCharType="end"/>
      </w:r>
    </w:p>
    <w:p>
      <w:pPr>
        <w:pStyle w:val="TOC8"/>
        <w:rPr>
          <w:sz w:val="24"/>
        </w:rPr>
      </w:pPr>
      <w:r>
        <w:t>66A.</w:t>
      </w:r>
      <w:r>
        <w:tab/>
        <w:t>Additional medical examinations</w:t>
      </w:r>
      <w:r>
        <w:tab/>
      </w:r>
      <w:r>
        <w:fldChar w:fldCharType="begin"/>
      </w:r>
      <w:r>
        <w:instrText xml:space="preserve"> PAGEREF _Toc122833774 \h </w:instrText>
      </w:r>
      <w:r>
        <w:fldChar w:fldCharType="separate"/>
      </w:r>
      <w:r>
        <w:t>82</w:t>
      </w:r>
      <w:r>
        <w:fldChar w:fldCharType="end"/>
      </w:r>
    </w:p>
    <w:p>
      <w:pPr>
        <w:pStyle w:val="TOC8"/>
        <w:rPr>
          <w:sz w:val="24"/>
        </w:rPr>
      </w:pPr>
      <w:r>
        <w:t>67</w:t>
      </w:r>
      <w:r>
        <w:rPr>
          <w:snapToGrid w:val="0"/>
        </w:rPr>
        <w:t>.</w:t>
      </w:r>
      <w:r>
        <w:rPr>
          <w:snapToGrid w:val="0"/>
        </w:rPr>
        <w:tab/>
        <w:t>Lump sum in redemption of weekly payments</w:t>
      </w:r>
      <w:r>
        <w:tab/>
      </w:r>
      <w:r>
        <w:fldChar w:fldCharType="begin"/>
      </w:r>
      <w:r>
        <w:instrText xml:space="preserve"> PAGEREF _Toc122833775 \h </w:instrText>
      </w:r>
      <w:r>
        <w:fldChar w:fldCharType="separate"/>
      </w:r>
      <w:r>
        <w:t>83</w:t>
      </w:r>
      <w:r>
        <w:fldChar w:fldCharType="end"/>
      </w:r>
    </w:p>
    <w:p>
      <w:pPr>
        <w:pStyle w:val="TOC8"/>
        <w:rPr>
          <w:sz w:val="24"/>
        </w:rPr>
      </w:pPr>
      <w:r>
        <w:t>68</w:t>
      </w:r>
      <w:r>
        <w:rPr>
          <w:snapToGrid w:val="0"/>
        </w:rPr>
        <w:t>.</w:t>
      </w:r>
      <w:r>
        <w:rPr>
          <w:snapToGrid w:val="0"/>
        </w:rPr>
        <w:tab/>
        <w:t>Calculation of lump sum</w:t>
      </w:r>
      <w:r>
        <w:tab/>
      </w:r>
      <w:r>
        <w:fldChar w:fldCharType="begin"/>
      </w:r>
      <w:r>
        <w:instrText xml:space="preserve"> PAGEREF _Toc122833776 \h </w:instrText>
      </w:r>
      <w:r>
        <w:fldChar w:fldCharType="separate"/>
      </w:r>
      <w:r>
        <w:t>84</w:t>
      </w:r>
      <w:r>
        <w:fldChar w:fldCharType="end"/>
      </w:r>
    </w:p>
    <w:p>
      <w:pPr>
        <w:pStyle w:val="TOC8"/>
        <w:rPr>
          <w:sz w:val="24"/>
        </w:rPr>
      </w:pPr>
      <w:r>
        <w:t>69</w:t>
      </w:r>
      <w:r>
        <w:rPr>
          <w:snapToGrid w:val="0"/>
        </w:rPr>
        <w:t>.</w:t>
      </w:r>
      <w:r>
        <w:rPr>
          <w:snapToGrid w:val="0"/>
        </w:rPr>
        <w:tab/>
        <w:t>Worker not residing in the State</w:t>
      </w:r>
      <w:r>
        <w:tab/>
      </w:r>
      <w:r>
        <w:fldChar w:fldCharType="begin"/>
      </w:r>
      <w:r>
        <w:instrText xml:space="preserve"> PAGEREF _Toc122833777 \h </w:instrText>
      </w:r>
      <w:r>
        <w:fldChar w:fldCharType="separate"/>
      </w:r>
      <w:r>
        <w:t>84</w:t>
      </w:r>
      <w:r>
        <w:fldChar w:fldCharType="end"/>
      </w:r>
    </w:p>
    <w:p>
      <w:pPr>
        <w:pStyle w:val="TOC8"/>
        <w:rPr>
          <w:sz w:val="24"/>
        </w:rPr>
      </w:pPr>
      <w:r>
        <w:t>70.</w:t>
      </w:r>
      <w:r>
        <w:tab/>
        <w:t>Furnishing medical reports</w:t>
      </w:r>
      <w:r>
        <w:tab/>
      </w:r>
      <w:r>
        <w:fldChar w:fldCharType="begin"/>
      </w:r>
      <w:r>
        <w:instrText xml:space="preserve"> PAGEREF _Toc122833778 \h </w:instrText>
      </w:r>
      <w:r>
        <w:fldChar w:fldCharType="separate"/>
      </w:r>
      <w:r>
        <w:t>85</w:t>
      </w:r>
      <w:r>
        <w:fldChar w:fldCharType="end"/>
      </w:r>
    </w:p>
    <w:p>
      <w:pPr>
        <w:pStyle w:val="TOC8"/>
        <w:rPr>
          <w:sz w:val="24"/>
        </w:rPr>
      </w:pPr>
      <w:r>
        <w:t>71</w:t>
      </w:r>
      <w:r>
        <w:rPr>
          <w:snapToGrid w:val="0"/>
        </w:rPr>
        <w:t>.</w:t>
      </w:r>
      <w:r>
        <w:rPr>
          <w:snapToGrid w:val="0"/>
        </w:rPr>
        <w:tab/>
        <w:t>Recovery of payments</w:t>
      </w:r>
      <w:r>
        <w:tab/>
      </w:r>
      <w:r>
        <w:fldChar w:fldCharType="begin"/>
      </w:r>
      <w:r>
        <w:instrText xml:space="preserve"> PAGEREF _Toc122833779 \h </w:instrText>
      </w:r>
      <w:r>
        <w:fldChar w:fldCharType="separate"/>
      </w:r>
      <w:r>
        <w:t>85</w:t>
      </w:r>
      <w:r>
        <w:fldChar w:fldCharType="end"/>
      </w:r>
    </w:p>
    <w:p>
      <w:pPr>
        <w:pStyle w:val="TOC8"/>
        <w:rPr>
          <w:sz w:val="24"/>
        </w:rPr>
      </w:pPr>
      <w:r>
        <w:t>72.</w:t>
      </w:r>
      <w:r>
        <w:tab/>
        <w:t>Suspension of payments during custody</w:t>
      </w:r>
      <w:r>
        <w:tab/>
      </w:r>
      <w:r>
        <w:fldChar w:fldCharType="begin"/>
      </w:r>
      <w:r>
        <w:instrText xml:space="preserve"> PAGEREF _Toc122833780 \h </w:instrText>
      </w:r>
      <w:r>
        <w:fldChar w:fldCharType="separate"/>
      </w:r>
      <w:r>
        <w:t>86</w:t>
      </w:r>
      <w:r>
        <w:fldChar w:fldCharType="end"/>
      </w:r>
    </w:p>
    <w:p>
      <w:pPr>
        <w:pStyle w:val="TOC8"/>
        <w:rPr>
          <w:sz w:val="24"/>
        </w:rPr>
      </w:pPr>
      <w:r>
        <w:t>72A.</w:t>
      </w:r>
      <w:r>
        <w:tab/>
        <w:t>Suspension or cessation of payments for failure to undergo medical examination</w:t>
      </w:r>
      <w:r>
        <w:tab/>
      </w:r>
      <w:r>
        <w:fldChar w:fldCharType="begin"/>
      </w:r>
      <w:r>
        <w:instrText xml:space="preserve"> PAGEREF _Toc122833781 \h </w:instrText>
      </w:r>
      <w:r>
        <w:fldChar w:fldCharType="separate"/>
      </w:r>
      <w:r>
        <w:t>87</w:t>
      </w:r>
      <w:r>
        <w:fldChar w:fldCharType="end"/>
      </w:r>
    </w:p>
    <w:p>
      <w:pPr>
        <w:pStyle w:val="TOC8"/>
        <w:rPr>
          <w:sz w:val="24"/>
        </w:rPr>
      </w:pPr>
      <w:r>
        <w:t>72B.</w:t>
      </w:r>
      <w:r>
        <w:tab/>
        <w:t>Suspension or cessation of payments for failure to participate in return to work program</w:t>
      </w:r>
      <w:r>
        <w:tab/>
      </w:r>
      <w:r>
        <w:fldChar w:fldCharType="begin"/>
      </w:r>
      <w:r>
        <w:instrText xml:space="preserve"> PAGEREF _Toc122833782 \h </w:instrText>
      </w:r>
      <w:r>
        <w:fldChar w:fldCharType="separate"/>
      </w:r>
      <w:r>
        <w:t>88</w:t>
      </w:r>
      <w:r>
        <w:fldChar w:fldCharType="end"/>
      </w:r>
    </w:p>
    <w:p>
      <w:pPr>
        <w:pStyle w:val="TOC4"/>
        <w:tabs>
          <w:tab w:val="right" w:leader="dot" w:pos="7078"/>
        </w:tabs>
        <w:rPr>
          <w:b w:val="0"/>
          <w:sz w:val="24"/>
        </w:rPr>
      </w:pPr>
      <w:r>
        <w:t>Division 6</w:t>
      </w:r>
      <w:r>
        <w:rPr>
          <w:snapToGrid w:val="0"/>
        </w:rPr>
        <w:t> — </w:t>
      </w:r>
      <w:r>
        <w:t>Disputes between employers</w:t>
      </w:r>
    </w:p>
    <w:p>
      <w:pPr>
        <w:pStyle w:val="TOC8"/>
        <w:rPr>
          <w:sz w:val="24"/>
        </w:rPr>
      </w:pPr>
      <w:r>
        <w:t>73</w:t>
      </w:r>
      <w:r>
        <w:rPr>
          <w:snapToGrid w:val="0"/>
        </w:rPr>
        <w:t>.</w:t>
      </w:r>
      <w:r>
        <w:rPr>
          <w:snapToGrid w:val="0"/>
        </w:rPr>
        <w:tab/>
        <w:t>Worker entitled but dispute between employers</w:t>
      </w:r>
      <w:r>
        <w:tab/>
      </w:r>
      <w:r>
        <w:fldChar w:fldCharType="begin"/>
      </w:r>
      <w:r>
        <w:instrText xml:space="preserve"> PAGEREF _Toc122833784 \h </w:instrText>
      </w:r>
      <w:r>
        <w:fldChar w:fldCharType="separate"/>
      </w:r>
      <w:r>
        <w:t>89</w:t>
      </w:r>
      <w:r>
        <w:fldChar w:fldCharType="end"/>
      </w:r>
    </w:p>
    <w:p>
      <w:pPr>
        <w:pStyle w:val="TOC8"/>
        <w:rPr>
          <w:sz w:val="24"/>
        </w:rPr>
      </w:pPr>
      <w:r>
        <w:t>74</w:t>
      </w:r>
      <w:r>
        <w:rPr>
          <w:snapToGrid w:val="0"/>
        </w:rPr>
        <w:t>.</w:t>
      </w:r>
      <w:r>
        <w:rPr>
          <w:snapToGrid w:val="0"/>
        </w:rPr>
        <w:tab/>
        <w:t>Dispute between insurers</w:t>
      </w:r>
      <w:r>
        <w:tab/>
      </w:r>
      <w:r>
        <w:fldChar w:fldCharType="begin"/>
      </w:r>
      <w:r>
        <w:instrText xml:space="preserve"> PAGEREF _Toc122833785 \h </w:instrText>
      </w:r>
      <w:r>
        <w:fldChar w:fldCharType="separate"/>
      </w:r>
      <w:r>
        <w:t>90</w:t>
      </w:r>
      <w:r>
        <w:fldChar w:fldCharType="end"/>
      </w:r>
    </w:p>
    <w:p>
      <w:pPr>
        <w:pStyle w:val="TOC8"/>
        <w:rPr>
          <w:sz w:val="24"/>
        </w:rPr>
      </w:pPr>
      <w:r>
        <w:t>74A</w:t>
      </w:r>
      <w:r>
        <w:rPr>
          <w:snapToGrid w:val="0"/>
        </w:rPr>
        <w:t>.</w:t>
      </w:r>
      <w:r>
        <w:rPr>
          <w:snapToGrid w:val="0"/>
        </w:rPr>
        <w:tab/>
        <w:t>Apportionment under sections 73 and 74</w:t>
      </w:r>
      <w:r>
        <w:tab/>
      </w:r>
      <w:r>
        <w:fldChar w:fldCharType="begin"/>
      </w:r>
      <w:r>
        <w:instrText xml:space="preserve"> PAGEREF _Toc122833786 \h </w:instrText>
      </w:r>
      <w:r>
        <w:fldChar w:fldCharType="separate"/>
      </w:r>
      <w:r>
        <w:t>91</w:t>
      </w:r>
      <w:r>
        <w:fldChar w:fldCharType="end"/>
      </w:r>
    </w:p>
    <w:p>
      <w:pPr>
        <w:pStyle w:val="TOC8"/>
        <w:rPr>
          <w:sz w:val="24"/>
        </w:rPr>
      </w:pPr>
      <w:r>
        <w:t>75</w:t>
      </w:r>
      <w:r>
        <w:rPr>
          <w:snapToGrid w:val="0"/>
        </w:rPr>
        <w:t>.</w:t>
      </w:r>
      <w:r>
        <w:rPr>
          <w:snapToGrid w:val="0"/>
        </w:rPr>
        <w:tab/>
        <w:t>Obligation to make weekly payments preserved</w:t>
      </w:r>
      <w:r>
        <w:tab/>
      </w:r>
      <w:r>
        <w:fldChar w:fldCharType="begin"/>
      </w:r>
      <w:r>
        <w:instrText xml:space="preserve"> PAGEREF _Toc122833787 \h </w:instrText>
      </w:r>
      <w:r>
        <w:fldChar w:fldCharType="separate"/>
      </w:r>
      <w:r>
        <w:t>91</w:t>
      </w:r>
      <w:r>
        <w:fldChar w:fldCharType="end"/>
      </w:r>
    </w:p>
    <w:p>
      <w:pPr>
        <w:pStyle w:val="TOC4"/>
        <w:tabs>
          <w:tab w:val="right" w:leader="dot" w:pos="7078"/>
        </w:tabs>
        <w:rPr>
          <w:b w:val="0"/>
          <w:sz w:val="24"/>
        </w:rPr>
      </w:pPr>
      <w:r>
        <w:t>Division 7</w:t>
      </w:r>
      <w:r>
        <w:rPr>
          <w:snapToGrid w:val="0"/>
        </w:rPr>
        <w:t> — </w:t>
      </w:r>
      <w:r>
        <w:t>Agreements</w:t>
      </w:r>
    </w:p>
    <w:p>
      <w:pPr>
        <w:pStyle w:val="TOC8"/>
        <w:rPr>
          <w:sz w:val="24"/>
        </w:rPr>
      </w:pPr>
      <w:r>
        <w:t>76</w:t>
      </w:r>
      <w:r>
        <w:rPr>
          <w:snapToGrid w:val="0"/>
        </w:rPr>
        <w:t>.</w:t>
      </w:r>
      <w:r>
        <w:rPr>
          <w:snapToGrid w:val="0"/>
        </w:rPr>
        <w:tab/>
        <w:t>Registration of memorandum of agreement</w:t>
      </w:r>
      <w:r>
        <w:tab/>
      </w:r>
      <w:r>
        <w:fldChar w:fldCharType="begin"/>
      </w:r>
      <w:r>
        <w:instrText xml:space="preserve"> PAGEREF _Toc122833789 \h </w:instrText>
      </w:r>
      <w:r>
        <w:fldChar w:fldCharType="separate"/>
      </w:r>
      <w:r>
        <w:t>92</w:t>
      </w:r>
      <w:r>
        <w:fldChar w:fldCharType="end"/>
      </w:r>
    </w:p>
    <w:p>
      <w:pPr>
        <w:pStyle w:val="TOC8"/>
        <w:rPr>
          <w:sz w:val="24"/>
        </w:rPr>
      </w:pPr>
      <w:r>
        <w:t>77</w:t>
      </w:r>
      <w:r>
        <w:rPr>
          <w:snapToGrid w:val="0"/>
        </w:rPr>
        <w:t>.</w:t>
      </w:r>
      <w:r>
        <w:rPr>
          <w:snapToGrid w:val="0"/>
        </w:rPr>
        <w:tab/>
        <w:t>Registration obligatory</w:t>
      </w:r>
      <w:r>
        <w:tab/>
      </w:r>
      <w:r>
        <w:fldChar w:fldCharType="begin"/>
      </w:r>
      <w:r>
        <w:instrText xml:space="preserve"> PAGEREF _Toc122833790 \h </w:instrText>
      </w:r>
      <w:r>
        <w:fldChar w:fldCharType="separate"/>
      </w:r>
      <w:r>
        <w:t>95</w:t>
      </w:r>
      <w:r>
        <w:fldChar w:fldCharType="end"/>
      </w:r>
    </w:p>
    <w:p>
      <w:pPr>
        <w:pStyle w:val="TOC8"/>
        <w:rPr>
          <w:sz w:val="24"/>
        </w:rPr>
      </w:pPr>
      <w:r>
        <w:t>78</w:t>
      </w:r>
      <w:r>
        <w:rPr>
          <w:snapToGrid w:val="0"/>
        </w:rPr>
        <w:t>.</w:t>
      </w:r>
      <w:r>
        <w:rPr>
          <w:snapToGrid w:val="0"/>
        </w:rPr>
        <w:tab/>
        <w:t>Effect of non</w:t>
      </w:r>
      <w:r>
        <w:rPr>
          <w:snapToGrid w:val="0"/>
        </w:rPr>
        <w:noBreakHyphen/>
        <w:t>registration of agreement</w:t>
      </w:r>
      <w:r>
        <w:tab/>
      </w:r>
      <w:r>
        <w:fldChar w:fldCharType="begin"/>
      </w:r>
      <w:r>
        <w:instrText xml:space="preserve"> PAGEREF _Toc122833791 \h </w:instrText>
      </w:r>
      <w:r>
        <w:fldChar w:fldCharType="separate"/>
      </w:r>
      <w:r>
        <w:t>95</w:t>
      </w:r>
      <w:r>
        <w:fldChar w:fldCharType="end"/>
      </w:r>
    </w:p>
    <w:p>
      <w:pPr>
        <w:pStyle w:val="TOC4"/>
        <w:tabs>
          <w:tab w:val="right" w:leader="dot" w:pos="7078"/>
        </w:tabs>
        <w:rPr>
          <w:b w:val="0"/>
          <w:sz w:val="24"/>
        </w:rPr>
      </w:pPr>
      <w:r>
        <w:t>Division 8</w:t>
      </w:r>
      <w:r>
        <w:rPr>
          <w:snapToGrid w:val="0"/>
        </w:rPr>
        <w:t> — </w:t>
      </w:r>
      <w:r>
        <w:t>Other matters affecting compensation</w:t>
      </w:r>
    </w:p>
    <w:p>
      <w:pPr>
        <w:pStyle w:val="TOC8"/>
        <w:rPr>
          <w:sz w:val="24"/>
        </w:rPr>
      </w:pPr>
      <w:r>
        <w:t>79</w:t>
      </w:r>
      <w:r>
        <w:rPr>
          <w:snapToGrid w:val="0"/>
        </w:rPr>
        <w:t>.</w:t>
      </w:r>
      <w:r>
        <w:rPr>
          <w:snapToGrid w:val="0"/>
        </w:rPr>
        <w:tab/>
        <w:t>Wilful and false representation</w:t>
      </w:r>
      <w:r>
        <w:tab/>
      </w:r>
      <w:r>
        <w:fldChar w:fldCharType="begin"/>
      </w:r>
      <w:r>
        <w:instrText xml:space="preserve"> PAGEREF _Toc122833793 \h </w:instrText>
      </w:r>
      <w:r>
        <w:fldChar w:fldCharType="separate"/>
      </w:r>
      <w:r>
        <w:t>95</w:t>
      </w:r>
      <w:r>
        <w:fldChar w:fldCharType="end"/>
      </w:r>
    </w:p>
    <w:p>
      <w:pPr>
        <w:pStyle w:val="TOC8"/>
        <w:rPr>
          <w:sz w:val="24"/>
        </w:rPr>
      </w:pPr>
      <w:r>
        <w:t>80</w:t>
      </w:r>
      <w:r>
        <w:rPr>
          <w:snapToGrid w:val="0"/>
        </w:rPr>
        <w:t>.</w:t>
      </w:r>
      <w:r>
        <w:rPr>
          <w:snapToGrid w:val="0"/>
        </w:rPr>
        <w:tab/>
        <w:t>Effect on annual leave, long service leave and sick leave</w:t>
      </w:r>
      <w:r>
        <w:tab/>
      </w:r>
      <w:r>
        <w:fldChar w:fldCharType="begin"/>
      </w:r>
      <w:r>
        <w:instrText xml:space="preserve"> PAGEREF _Toc122833794 \h </w:instrText>
      </w:r>
      <w:r>
        <w:fldChar w:fldCharType="separate"/>
      </w:r>
      <w:r>
        <w:t>96</w:t>
      </w:r>
      <w:r>
        <w:fldChar w:fldCharType="end"/>
      </w:r>
    </w:p>
    <w:p>
      <w:pPr>
        <w:pStyle w:val="TOC8"/>
        <w:rPr>
          <w:sz w:val="24"/>
        </w:rPr>
      </w:pPr>
      <w:r>
        <w:t>81</w:t>
      </w:r>
      <w:r>
        <w:rPr>
          <w:snapToGrid w:val="0"/>
        </w:rPr>
        <w:t>.</w:t>
      </w:r>
      <w:r>
        <w:rPr>
          <w:snapToGrid w:val="0"/>
        </w:rPr>
        <w:tab/>
        <w:t>Effect on public holidays pay</w:t>
      </w:r>
      <w:r>
        <w:tab/>
      </w:r>
      <w:r>
        <w:fldChar w:fldCharType="begin"/>
      </w:r>
      <w:r>
        <w:instrText xml:space="preserve"> PAGEREF _Toc122833795 \h </w:instrText>
      </w:r>
      <w:r>
        <w:fldChar w:fldCharType="separate"/>
      </w:r>
      <w:r>
        <w:t>96</w:t>
      </w:r>
      <w:r>
        <w:fldChar w:fldCharType="end"/>
      </w:r>
    </w:p>
    <w:p>
      <w:pPr>
        <w:pStyle w:val="TOC8"/>
        <w:rPr>
          <w:sz w:val="24"/>
        </w:rPr>
      </w:pPr>
      <w:r>
        <w:t>82</w:t>
      </w:r>
      <w:r>
        <w:rPr>
          <w:snapToGrid w:val="0"/>
        </w:rPr>
        <w:t>.</w:t>
      </w:r>
      <w:r>
        <w:rPr>
          <w:snapToGrid w:val="0"/>
        </w:rPr>
        <w:tab/>
        <w:t>Recovery of cost of services rendered</w:t>
      </w:r>
      <w:r>
        <w:tab/>
      </w:r>
      <w:r>
        <w:fldChar w:fldCharType="begin"/>
      </w:r>
      <w:r>
        <w:instrText xml:space="preserve"> PAGEREF _Toc122833796 \h </w:instrText>
      </w:r>
      <w:r>
        <w:fldChar w:fldCharType="separate"/>
      </w:r>
      <w:r>
        <w:t>97</w:t>
      </w:r>
      <w:r>
        <w:fldChar w:fldCharType="end"/>
      </w:r>
    </w:p>
    <w:p>
      <w:pPr>
        <w:pStyle w:val="TOC8"/>
        <w:rPr>
          <w:sz w:val="24"/>
        </w:rPr>
      </w:pPr>
      <w:r>
        <w:t>83</w:t>
      </w:r>
      <w:r>
        <w:rPr>
          <w:snapToGrid w:val="0"/>
        </w:rPr>
        <w:t>.</w:t>
      </w:r>
      <w:r>
        <w:rPr>
          <w:snapToGrid w:val="0"/>
        </w:rPr>
        <w:tab/>
        <w:t>Industrial award and partial incapacity</w:t>
      </w:r>
      <w:r>
        <w:tab/>
      </w:r>
      <w:r>
        <w:fldChar w:fldCharType="begin"/>
      </w:r>
      <w:r>
        <w:instrText xml:space="preserve"> PAGEREF _Toc122833797 \h </w:instrText>
      </w:r>
      <w:r>
        <w:fldChar w:fldCharType="separate"/>
      </w:r>
      <w:r>
        <w:t>97</w:t>
      </w:r>
      <w:r>
        <w:fldChar w:fldCharType="end"/>
      </w:r>
    </w:p>
    <w:p>
      <w:pPr>
        <w:pStyle w:val="TOC8"/>
        <w:rPr>
          <w:sz w:val="24"/>
        </w:rPr>
      </w:pPr>
      <w:r>
        <w:t>84</w:t>
      </w:r>
      <w:r>
        <w:rPr>
          <w:snapToGrid w:val="0"/>
        </w:rPr>
        <w:t>.</w:t>
      </w:r>
      <w:r>
        <w:rPr>
          <w:snapToGrid w:val="0"/>
        </w:rPr>
        <w:tab/>
        <w:t>Worker not to be prejudiced by resuming work</w:t>
      </w:r>
      <w:r>
        <w:tab/>
      </w:r>
      <w:r>
        <w:fldChar w:fldCharType="begin"/>
      </w:r>
      <w:r>
        <w:instrText xml:space="preserve"> PAGEREF _Toc122833798 \h </w:instrText>
      </w:r>
      <w:r>
        <w:fldChar w:fldCharType="separate"/>
      </w:r>
      <w:r>
        <w:t>98</w:t>
      </w:r>
      <w:r>
        <w:fldChar w:fldCharType="end"/>
      </w:r>
    </w:p>
    <w:p>
      <w:pPr>
        <w:pStyle w:val="TOC8"/>
        <w:rPr>
          <w:sz w:val="24"/>
        </w:rPr>
      </w:pPr>
      <w:r>
        <w:t>84AA</w:t>
      </w:r>
      <w:r>
        <w:rPr>
          <w:snapToGrid w:val="0"/>
        </w:rPr>
        <w:t>.</w:t>
      </w:r>
      <w:r>
        <w:rPr>
          <w:snapToGrid w:val="0"/>
        </w:rPr>
        <w:tab/>
        <w:t>Employer to keep position available during worker’s incapacity</w:t>
      </w:r>
      <w:r>
        <w:tab/>
      </w:r>
      <w:r>
        <w:fldChar w:fldCharType="begin"/>
      </w:r>
      <w:r>
        <w:instrText xml:space="preserve"> PAGEREF _Toc122833799 \h </w:instrText>
      </w:r>
      <w:r>
        <w:fldChar w:fldCharType="separate"/>
      </w:r>
      <w:r>
        <w:t>98</w:t>
      </w:r>
      <w:r>
        <w:fldChar w:fldCharType="end"/>
      </w:r>
    </w:p>
    <w:p>
      <w:pPr>
        <w:pStyle w:val="TOC8"/>
        <w:rPr>
          <w:sz w:val="24"/>
        </w:rPr>
      </w:pPr>
      <w:r>
        <w:t>84AB.</w:t>
      </w:r>
      <w:r>
        <w:tab/>
        <w:t>Employer to notify worker and WorkCover WA of intention to dismiss worker</w:t>
      </w:r>
      <w:r>
        <w:tab/>
      </w:r>
      <w:r>
        <w:fldChar w:fldCharType="begin"/>
      </w:r>
      <w:r>
        <w:instrText xml:space="preserve"> PAGEREF _Toc122833800 \h </w:instrText>
      </w:r>
      <w:r>
        <w:fldChar w:fldCharType="separate"/>
      </w:r>
      <w:r>
        <w:t>99</w:t>
      </w:r>
      <w:r>
        <w:fldChar w:fldCharType="end"/>
      </w:r>
    </w:p>
    <w:p>
      <w:pPr>
        <w:pStyle w:val="TOC2"/>
        <w:tabs>
          <w:tab w:val="right" w:leader="dot" w:pos="7078"/>
        </w:tabs>
        <w:rPr>
          <w:b w:val="0"/>
          <w:sz w:val="24"/>
        </w:rPr>
      </w:pPr>
      <w:r>
        <w:t>Part IV — Civil proceedings in addition to or independent of this Act</w:t>
      </w:r>
    </w:p>
    <w:p>
      <w:pPr>
        <w:pStyle w:val="TOC4"/>
        <w:tabs>
          <w:tab w:val="right" w:leader="dot" w:pos="7078"/>
        </w:tabs>
        <w:rPr>
          <w:b w:val="0"/>
          <w:sz w:val="24"/>
        </w:rPr>
      </w:pPr>
      <w:r>
        <w:t>Division 1</w:t>
      </w:r>
      <w:r>
        <w:rPr>
          <w:snapToGrid w:val="0"/>
        </w:rPr>
        <w:t> — </w:t>
      </w:r>
      <w:r>
        <w:t>General</w:t>
      </w:r>
    </w:p>
    <w:p>
      <w:pPr>
        <w:pStyle w:val="TOC8"/>
        <w:rPr>
          <w:sz w:val="24"/>
        </w:rPr>
      </w:pPr>
      <w:r>
        <w:t>85</w:t>
      </w:r>
      <w:r>
        <w:rPr>
          <w:snapToGrid w:val="0"/>
        </w:rPr>
        <w:t>.</w:t>
      </w:r>
      <w:r>
        <w:rPr>
          <w:snapToGrid w:val="0"/>
        </w:rPr>
        <w:tab/>
        <w:t>Saving — motor vehicle cases</w:t>
      </w:r>
      <w:r>
        <w:tab/>
      </w:r>
      <w:r>
        <w:fldChar w:fldCharType="begin"/>
      </w:r>
      <w:r>
        <w:instrText xml:space="preserve"> PAGEREF _Toc122833803 \h </w:instrText>
      </w:r>
      <w:r>
        <w:fldChar w:fldCharType="separate"/>
      </w:r>
      <w:r>
        <w:t>100</w:t>
      </w:r>
      <w:r>
        <w:fldChar w:fldCharType="end"/>
      </w:r>
    </w:p>
    <w:p>
      <w:pPr>
        <w:pStyle w:val="TOC8"/>
        <w:rPr>
          <w:sz w:val="24"/>
        </w:rPr>
      </w:pPr>
      <w:r>
        <w:t>86</w:t>
      </w:r>
      <w:r>
        <w:rPr>
          <w:snapToGrid w:val="0"/>
        </w:rPr>
        <w:t>.</w:t>
      </w:r>
      <w:r>
        <w:rPr>
          <w:snapToGrid w:val="0"/>
        </w:rPr>
        <w:tab/>
        <w:t>Saving — independent liability</w:t>
      </w:r>
      <w:r>
        <w:tab/>
      </w:r>
      <w:r>
        <w:fldChar w:fldCharType="begin"/>
      </w:r>
      <w:r>
        <w:instrText xml:space="preserve"> PAGEREF _Toc122833804 \h </w:instrText>
      </w:r>
      <w:r>
        <w:fldChar w:fldCharType="separate"/>
      </w:r>
      <w:r>
        <w:t>100</w:t>
      </w:r>
      <w:r>
        <w:fldChar w:fldCharType="end"/>
      </w:r>
    </w:p>
    <w:p>
      <w:pPr>
        <w:pStyle w:val="TOC8"/>
        <w:rPr>
          <w:sz w:val="24"/>
        </w:rPr>
      </w:pPr>
      <w:r>
        <w:t>87</w:t>
      </w:r>
      <w:r>
        <w:rPr>
          <w:snapToGrid w:val="0"/>
        </w:rPr>
        <w:t>.</w:t>
      </w:r>
      <w:r>
        <w:rPr>
          <w:snapToGrid w:val="0"/>
        </w:rPr>
        <w:tab/>
        <w:t>Costs between solicitor and client in common law actions</w:t>
      </w:r>
      <w:r>
        <w:tab/>
      </w:r>
      <w:r>
        <w:fldChar w:fldCharType="begin"/>
      </w:r>
      <w:r>
        <w:instrText xml:space="preserve"> PAGEREF _Toc122833805 \h </w:instrText>
      </w:r>
      <w:r>
        <w:fldChar w:fldCharType="separate"/>
      </w:r>
      <w:r>
        <w:t>100</w:t>
      </w:r>
      <w:r>
        <w:fldChar w:fldCharType="end"/>
      </w:r>
    </w:p>
    <w:p>
      <w:pPr>
        <w:pStyle w:val="TOC8"/>
        <w:rPr>
          <w:sz w:val="24"/>
        </w:rPr>
      </w:pPr>
      <w:r>
        <w:t>91</w:t>
      </w:r>
      <w:r>
        <w:rPr>
          <w:snapToGrid w:val="0"/>
        </w:rPr>
        <w:t>.</w:t>
      </w:r>
      <w:r>
        <w:rPr>
          <w:snapToGrid w:val="0"/>
        </w:rPr>
        <w:tab/>
        <w:t>Where action brought for injury for which compensation is payable under this Act</w:t>
      </w:r>
      <w:r>
        <w:tab/>
      </w:r>
      <w:r>
        <w:fldChar w:fldCharType="begin"/>
      </w:r>
      <w:r>
        <w:instrText xml:space="preserve"> PAGEREF _Toc122833806 \h </w:instrText>
      </w:r>
      <w:r>
        <w:fldChar w:fldCharType="separate"/>
      </w:r>
      <w:r>
        <w:t>101</w:t>
      </w:r>
      <w:r>
        <w:fldChar w:fldCharType="end"/>
      </w:r>
    </w:p>
    <w:p>
      <w:pPr>
        <w:pStyle w:val="TOC8"/>
        <w:rPr>
          <w:sz w:val="24"/>
        </w:rPr>
      </w:pPr>
      <w:r>
        <w:t>92</w:t>
      </w:r>
      <w:r>
        <w:rPr>
          <w:snapToGrid w:val="0"/>
        </w:rPr>
        <w:t>.</w:t>
      </w:r>
      <w:r>
        <w:rPr>
          <w:snapToGrid w:val="0"/>
        </w:rPr>
        <w:tab/>
        <w:t>Both damages and compensation not recoverable</w:t>
      </w:r>
      <w:r>
        <w:tab/>
      </w:r>
      <w:r>
        <w:fldChar w:fldCharType="begin"/>
      </w:r>
      <w:r>
        <w:instrText xml:space="preserve"> PAGEREF _Toc122833807 \h </w:instrText>
      </w:r>
      <w:r>
        <w:fldChar w:fldCharType="separate"/>
      </w:r>
      <w:r>
        <w:t>101</w:t>
      </w:r>
      <w:r>
        <w:fldChar w:fldCharType="end"/>
      </w:r>
    </w:p>
    <w:p>
      <w:pPr>
        <w:pStyle w:val="TOC8"/>
        <w:rPr>
          <w:sz w:val="24"/>
        </w:rPr>
      </w:pPr>
      <w:r>
        <w:t>93</w:t>
      </w:r>
      <w:r>
        <w:rPr>
          <w:snapToGrid w:val="0"/>
        </w:rPr>
        <w:t>.</w:t>
      </w:r>
      <w:r>
        <w:rPr>
          <w:snapToGrid w:val="0"/>
        </w:rPr>
        <w:tab/>
        <w:t>Remedies against stranger</w:t>
      </w:r>
      <w:r>
        <w:tab/>
      </w:r>
      <w:r>
        <w:fldChar w:fldCharType="begin"/>
      </w:r>
      <w:r>
        <w:instrText xml:space="preserve"> PAGEREF _Toc122833808 \h </w:instrText>
      </w:r>
      <w:r>
        <w:fldChar w:fldCharType="separate"/>
      </w:r>
      <w:r>
        <w:t>104</w:t>
      </w:r>
      <w:r>
        <w:fldChar w:fldCharType="end"/>
      </w:r>
    </w:p>
    <w:p>
      <w:pPr>
        <w:pStyle w:val="TOC4"/>
        <w:tabs>
          <w:tab w:val="right" w:leader="dot" w:pos="7078"/>
        </w:tabs>
        <w:rPr>
          <w:b w:val="0"/>
          <w:sz w:val="24"/>
        </w:rPr>
      </w:pPr>
      <w:r>
        <w:t>Division 1a — Choice of law</w:t>
      </w:r>
    </w:p>
    <w:p>
      <w:pPr>
        <w:pStyle w:val="TOC8"/>
        <w:rPr>
          <w:sz w:val="24"/>
        </w:rPr>
      </w:pPr>
      <w:r>
        <w:t>93AA.</w:t>
      </w:r>
      <w:r>
        <w:tab/>
        <w:t>The applicable substantive law for work injury claims</w:t>
      </w:r>
      <w:r>
        <w:tab/>
      </w:r>
      <w:r>
        <w:fldChar w:fldCharType="begin"/>
      </w:r>
      <w:r>
        <w:instrText xml:space="preserve"> PAGEREF _Toc122833810 \h </w:instrText>
      </w:r>
      <w:r>
        <w:fldChar w:fldCharType="separate"/>
      </w:r>
      <w:r>
        <w:t>106</w:t>
      </w:r>
      <w:r>
        <w:fldChar w:fldCharType="end"/>
      </w:r>
    </w:p>
    <w:p>
      <w:pPr>
        <w:pStyle w:val="TOC8"/>
        <w:rPr>
          <w:sz w:val="24"/>
        </w:rPr>
      </w:pPr>
      <w:r>
        <w:t>93AB.</w:t>
      </w:r>
      <w:r>
        <w:tab/>
        <w:t>Claims to which Division applies</w:t>
      </w:r>
      <w:r>
        <w:tab/>
      </w:r>
      <w:r>
        <w:fldChar w:fldCharType="begin"/>
      </w:r>
      <w:r>
        <w:instrText xml:space="preserve"> PAGEREF _Toc122833811 \h </w:instrText>
      </w:r>
      <w:r>
        <w:fldChar w:fldCharType="separate"/>
      </w:r>
      <w:r>
        <w:t>107</w:t>
      </w:r>
      <w:r>
        <w:fldChar w:fldCharType="end"/>
      </w:r>
    </w:p>
    <w:p>
      <w:pPr>
        <w:pStyle w:val="TOC8"/>
        <w:rPr>
          <w:sz w:val="24"/>
        </w:rPr>
      </w:pPr>
      <w:r>
        <w:t>93AC.</w:t>
      </w:r>
      <w:r>
        <w:tab/>
        <w:t>What constitutes injury and employment</w:t>
      </w:r>
      <w:r>
        <w:tab/>
      </w:r>
      <w:r>
        <w:fldChar w:fldCharType="begin"/>
      </w:r>
      <w:r>
        <w:instrText xml:space="preserve"> PAGEREF _Toc122833812 \h </w:instrText>
      </w:r>
      <w:r>
        <w:fldChar w:fldCharType="separate"/>
      </w:r>
      <w:r>
        <w:t>107</w:t>
      </w:r>
      <w:r>
        <w:fldChar w:fldCharType="end"/>
      </w:r>
    </w:p>
    <w:p>
      <w:pPr>
        <w:pStyle w:val="TOC8"/>
        <w:rPr>
          <w:sz w:val="24"/>
        </w:rPr>
      </w:pPr>
      <w:r>
        <w:t>93AD.</w:t>
      </w:r>
      <w:r>
        <w:tab/>
        <w:t>Claim in respect of death included</w:t>
      </w:r>
      <w:r>
        <w:tab/>
      </w:r>
      <w:r>
        <w:fldChar w:fldCharType="begin"/>
      </w:r>
      <w:r>
        <w:instrText xml:space="preserve"> PAGEREF _Toc122833813 \h </w:instrText>
      </w:r>
      <w:r>
        <w:fldChar w:fldCharType="separate"/>
      </w:r>
      <w:r>
        <w:t>108</w:t>
      </w:r>
      <w:r>
        <w:fldChar w:fldCharType="end"/>
      </w:r>
    </w:p>
    <w:p>
      <w:pPr>
        <w:pStyle w:val="TOC8"/>
        <w:rPr>
          <w:sz w:val="24"/>
        </w:rPr>
      </w:pPr>
      <w:r>
        <w:t>93AE.</w:t>
      </w:r>
      <w:r>
        <w:tab/>
        <w:t>Meaning of “substantive law”</w:t>
      </w:r>
      <w:r>
        <w:tab/>
      </w:r>
      <w:r>
        <w:fldChar w:fldCharType="begin"/>
      </w:r>
      <w:r>
        <w:instrText xml:space="preserve"> PAGEREF _Toc122833814 \h </w:instrText>
      </w:r>
      <w:r>
        <w:fldChar w:fldCharType="separate"/>
      </w:r>
      <w:r>
        <w:t>108</w:t>
      </w:r>
      <w:r>
        <w:fldChar w:fldCharType="end"/>
      </w:r>
    </w:p>
    <w:p>
      <w:pPr>
        <w:pStyle w:val="TOC8"/>
        <w:rPr>
          <w:sz w:val="24"/>
        </w:rPr>
      </w:pPr>
      <w:r>
        <w:t>93AF.</w:t>
      </w:r>
      <w:r>
        <w:tab/>
        <w:t>Availability of action in another State not relevant</w:t>
      </w:r>
      <w:r>
        <w:tab/>
      </w:r>
      <w:r>
        <w:fldChar w:fldCharType="begin"/>
      </w:r>
      <w:r>
        <w:instrText xml:space="preserve"> PAGEREF _Toc122833815 \h </w:instrText>
      </w:r>
      <w:r>
        <w:fldChar w:fldCharType="separate"/>
      </w:r>
      <w:r>
        <w:t>109</w:t>
      </w:r>
      <w:r>
        <w:fldChar w:fldCharType="end"/>
      </w:r>
    </w:p>
    <w:p>
      <w:pPr>
        <w:pStyle w:val="TOC4"/>
        <w:tabs>
          <w:tab w:val="right" w:leader="dot" w:pos="7078"/>
        </w:tabs>
        <w:rPr>
          <w:b w:val="0"/>
          <w:sz w:val="24"/>
        </w:rPr>
      </w:pPr>
      <w:r>
        <w:t>Division 2</w:t>
      </w:r>
      <w:r>
        <w:rPr>
          <w:snapToGrid w:val="0"/>
        </w:rPr>
        <w:t> — </w:t>
      </w:r>
      <w:r>
        <w:t>Constraints on awards of common law damages</w:t>
      </w:r>
    </w:p>
    <w:p>
      <w:pPr>
        <w:pStyle w:val="TOC6"/>
        <w:tabs>
          <w:tab w:val="right" w:leader="dot" w:pos="7078"/>
        </w:tabs>
        <w:rPr>
          <w:b w:val="0"/>
          <w:sz w:val="24"/>
        </w:rPr>
      </w:pPr>
      <w:r>
        <w:t>Subdivision 1 — Preliminary provisions</w:t>
      </w:r>
    </w:p>
    <w:p>
      <w:pPr>
        <w:pStyle w:val="TOC8"/>
        <w:rPr>
          <w:sz w:val="24"/>
        </w:rPr>
      </w:pPr>
      <w:r>
        <w:t>93A</w:t>
      </w:r>
      <w:r>
        <w:rPr>
          <w:snapToGrid w:val="0"/>
        </w:rPr>
        <w:t>.</w:t>
      </w:r>
      <w:r>
        <w:rPr>
          <w:snapToGrid w:val="0"/>
        </w:rPr>
        <w:tab/>
        <w:t>Definitions for this Division</w:t>
      </w:r>
      <w:r>
        <w:tab/>
      </w:r>
      <w:r>
        <w:fldChar w:fldCharType="begin"/>
      </w:r>
      <w:r>
        <w:instrText xml:space="preserve"> PAGEREF _Toc122833818 \h </w:instrText>
      </w:r>
      <w:r>
        <w:fldChar w:fldCharType="separate"/>
      </w:r>
      <w:r>
        <w:t>110</w:t>
      </w:r>
      <w:r>
        <w:fldChar w:fldCharType="end"/>
      </w:r>
    </w:p>
    <w:p>
      <w:pPr>
        <w:pStyle w:val="TOC8"/>
        <w:rPr>
          <w:sz w:val="24"/>
        </w:rPr>
      </w:pPr>
      <w:r>
        <w:t>93B</w:t>
      </w:r>
      <w:r>
        <w:rPr>
          <w:snapToGrid w:val="0"/>
        </w:rPr>
        <w:t>.</w:t>
      </w:r>
      <w:r>
        <w:rPr>
          <w:snapToGrid w:val="0"/>
        </w:rPr>
        <w:tab/>
        <w:t>Application of this Division</w:t>
      </w:r>
      <w:r>
        <w:tab/>
      </w:r>
      <w:r>
        <w:fldChar w:fldCharType="begin"/>
      </w:r>
      <w:r>
        <w:instrText xml:space="preserve"> PAGEREF _Toc122833819 \h </w:instrText>
      </w:r>
      <w:r>
        <w:fldChar w:fldCharType="separate"/>
      </w:r>
      <w:r>
        <w:t>110</w:t>
      </w:r>
      <w:r>
        <w:fldChar w:fldCharType="end"/>
      </w:r>
    </w:p>
    <w:p>
      <w:pPr>
        <w:pStyle w:val="TOC8"/>
        <w:rPr>
          <w:sz w:val="24"/>
        </w:rPr>
      </w:pPr>
      <w:r>
        <w:t>93C</w:t>
      </w:r>
      <w:r>
        <w:rPr>
          <w:snapToGrid w:val="0"/>
        </w:rPr>
        <w:t>.</w:t>
      </w:r>
      <w:r>
        <w:rPr>
          <w:snapToGrid w:val="0"/>
        </w:rPr>
        <w:tab/>
        <w:t>Limit on powers of courts</w:t>
      </w:r>
      <w:r>
        <w:tab/>
      </w:r>
      <w:r>
        <w:fldChar w:fldCharType="begin"/>
      </w:r>
      <w:r>
        <w:instrText xml:space="preserve"> PAGEREF _Toc122833820 \h </w:instrText>
      </w:r>
      <w:r>
        <w:fldChar w:fldCharType="separate"/>
      </w:r>
      <w:r>
        <w:t>111</w:t>
      </w:r>
      <w:r>
        <w:fldChar w:fldCharType="end"/>
      </w:r>
    </w:p>
    <w:p>
      <w:pPr>
        <w:pStyle w:val="TOC6"/>
        <w:tabs>
          <w:tab w:val="right" w:leader="dot" w:pos="7078"/>
        </w:tabs>
        <w:rPr>
          <w:b w:val="0"/>
          <w:sz w:val="24"/>
        </w:rPr>
      </w:pPr>
      <w:r>
        <w:t>Subdivision 2 — 1993 scheme</w:t>
      </w:r>
    </w:p>
    <w:p>
      <w:pPr>
        <w:pStyle w:val="TOC8"/>
        <w:rPr>
          <w:sz w:val="24"/>
        </w:rPr>
      </w:pPr>
      <w:r>
        <w:t>93CA.</w:t>
      </w:r>
      <w:r>
        <w:tab/>
        <w:t>Meaning of “AMA Guides” in this Subdivision</w:t>
      </w:r>
      <w:r>
        <w:tab/>
      </w:r>
      <w:r>
        <w:fldChar w:fldCharType="begin"/>
      </w:r>
      <w:r>
        <w:instrText xml:space="preserve"> PAGEREF _Toc122833822 \h </w:instrText>
      </w:r>
      <w:r>
        <w:fldChar w:fldCharType="separate"/>
      </w:r>
      <w:r>
        <w:t>111</w:t>
      </w:r>
      <w:r>
        <w:fldChar w:fldCharType="end"/>
      </w:r>
    </w:p>
    <w:p>
      <w:pPr>
        <w:pStyle w:val="TOC8"/>
        <w:rPr>
          <w:sz w:val="24"/>
        </w:rPr>
      </w:pPr>
      <w:r>
        <w:t>93CB.</w:t>
      </w:r>
      <w:r>
        <w:tab/>
        <w:t>Limits on application of this Subdivision</w:t>
      </w:r>
      <w:r>
        <w:tab/>
      </w:r>
      <w:r>
        <w:fldChar w:fldCharType="begin"/>
      </w:r>
      <w:r>
        <w:instrText xml:space="preserve"> PAGEREF _Toc122833823 \h </w:instrText>
      </w:r>
      <w:r>
        <w:fldChar w:fldCharType="separate"/>
      </w:r>
      <w:r>
        <w:t>112</w:t>
      </w:r>
      <w:r>
        <w:fldChar w:fldCharType="end"/>
      </w:r>
    </w:p>
    <w:p>
      <w:pPr>
        <w:pStyle w:val="TOC8"/>
        <w:rPr>
          <w:sz w:val="24"/>
        </w:rPr>
      </w:pPr>
      <w:r>
        <w:t>93CC.</w:t>
      </w:r>
      <w:r>
        <w:tab/>
        <w:t>Application of this Subdivision</w:t>
      </w:r>
      <w:r>
        <w:tab/>
      </w:r>
      <w:r>
        <w:fldChar w:fldCharType="begin"/>
      </w:r>
      <w:r>
        <w:instrText xml:space="preserve"> PAGEREF _Toc122833824 \h </w:instrText>
      </w:r>
      <w:r>
        <w:fldChar w:fldCharType="separate"/>
      </w:r>
      <w:r>
        <w:t>112</w:t>
      </w:r>
      <w:r>
        <w:fldChar w:fldCharType="end"/>
      </w:r>
    </w:p>
    <w:p>
      <w:pPr>
        <w:pStyle w:val="TOC8"/>
        <w:rPr>
          <w:sz w:val="24"/>
        </w:rPr>
      </w:pPr>
      <w:r>
        <w:t>93D.</w:t>
      </w:r>
      <w:r>
        <w:tab/>
        <w:t>Assessment of disability</w:t>
      </w:r>
      <w:r>
        <w:tab/>
      </w:r>
      <w:r>
        <w:fldChar w:fldCharType="begin"/>
      </w:r>
      <w:r>
        <w:instrText xml:space="preserve"> PAGEREF _Toc122833825 \h </w:instrText>
      </w:r>
      <w:r>
        <w:fldChar w:fldCharType="separate"/>
      </w:r>
      <w:r>
        <w:t>113</w:t>
      </w:r>
      <w:r>
        <w:fldChar w:fldCharType="end"/>
      </w:r>
    </w:p>
    <w:p>
      <w:pPr>
        <w:pStyle w:val="TOC8"/>
        <w:rPr>
          <w:sz w:val="24"/>
        </w:rPr>
      </w:pPr>
      <w:r>
        <w:t>93E.</w:t>
      </w:r>
      <w:r>
        <w:tab/>
        <w:t>Restrictions on awarding of damages and payment of compensation</w:t>
      </w:r>
      <w:r>
        <w:tab/>
      </w:r>
      <w:r>
        <w:fldChar w:fldCharType="begin"/>
      </w:r>
      <w:r>
        <w:instrText xml:space="preserve"> PAGEREF _Toc122833826 \h </w:instrText>
      </w:r>
      <w:r>
        <w:fldChar w:fldCharType="separate"/>
      </w:r>
      <w:r>
        <w:t>116</w:t>
      </w:r>
      <w:r>
        <w:fldChar w:fldCharType="end"/>
      </w:r>
    </w:p>
    <w:p>
      <w:pPr>
        <w:pStyle w:val="TOC8"/>
        <w:rPr>
          <w:sz w:val="24"/>
        </w:rPr>
      </w:pPr>
      <w:r>
        <w:t>93EA.</w:t>
      </w:r>
      <w:r>
        <w:tab/>
        <w:t>Referring questions with fresh evidence in particular cases</w:t>
      </w:r>
      <w:r>
        <w:tab/>
      </w:r>
      <w:r>
        <w:fldChar w:fldCharType="begin"/>
      </w:r>
      <w:r>
        <w:instrText xml:space="preserve"> PAGEREF _Toc122833827 \h </w:instrText>
      </w:r>
      <w:r>
        <w:fldChar w:fldCharType="separate"/>
      </w:r>
      <w:r>
        <w:t>119</w:t>
      </w:r>
      <w:r>
        <w:fldChar w:fldCharType="end"/>
      </w:r>
    </w:p>
    <w:p>
      <w:pPr>
        <w:pStyle w:val="TOC8"/>
        <w:rPr>
          <w:sz w:val="24"/>
        </w:rPr>
      </w:pPr>
      <w:r>
        <w:t>93EB.</w:t>
      </w:r>
      <w:r>
        <w:tab/>
        <w:t>Referring questions in certain other cases</w:t>
      </w:r>
      <w:r>
        <w:tab/>
      </w:r>
      <w:r>
        <w:fldChar w:fldCharType="begin"/>
      </w:r>
      <w:r>
        <w:instrText xml:space="preserve"> PAGEREF _Toc122833828 \h </w:instrText>
      </w:r>
      <w:r>
        <w:fldChar w:fldCharType="separate"/>
      </w:r>
      <w:r>
        <w:t>121</w:t>
      </w:r>
      <w:r>
        <w:fldChar w:fldCharType="end"/>
      </w:r>
    </w:p>
    <w:p>
      <w:pPr>
        <w:pStyle w:val="TOC8"/>
        <w:rPr>
          <w:sz w:val="24"/>
        </w:rPr>
      </w:pPr>
      <w:r>
        <w:t>93EC.</w:t>
      </w:r>
      <w:r>
        <w:tab/>
        <w:t>Extended time for commencing proceedings</w:t>
      </w:r>
      <w:r>
        <w:tab/>
      </w:r>
      <w:r>
        <w:fldChar w:fldCharType="begin"/>
      </w:r>
      <w:r>
        <w:instrText xml:space="preserve"> PAGEREF _Toc122833829 \h </w:instrText>
      </w:r>
      <w:r>
        <w:fldChar w:fldCharType="separate"/>
      </w:r>
      <w:r>
        <w:t>123</w:t>
      </w:r>
      <w:r>
        <w:fldChar w:fldCharType="end"/>
      </w:r>
    </w:p>
    <w:p>
      <w:pPr>
        <w:pStyle w:val="TOC8"/>
        <w:rPr>
          <w:sz w:val="24"/>
        </w:rPr>
      </w:pPr>
      <w:r>
        <w:t>93F.</w:t>
      </w:r>
      <w:r>
        <w:tab/>
        <w:t>Restrictions on awarding and amount of damages if disability less than 30%</w:t>
      </w:r>
      <w:r>
        <w:tab/>
      </w:r>
      <w:r>
        <w:fldChar w:fldCharType="begin"/>
      </w:r>
      <w:r>
        <w:instrText xml:space="preserve"> PAGEREF _Toc122833830 \h </w:instrText>
      </w:r>
      <w:r>
        <w:fldChar w:fldCharType="separate"/>
      </w:r>
      <w:r>
        <w:t>124</w:t>
      </w:r>
      <w:r>
        <w:fldChar w:fldCharType="end"/>
      </w:r>
    </w:p>
    <w:p>
      <w:pPr>
        <w:pStyle w:val="TOC8"/>
        <w:rPr>
          <w:sz w:val="24"/>
        </w:rPr>
      </w:pPr>
      <w:r>
        <w:t>93G.</w:t>
      </w:r>
      <w:r>
        <w:tab/>
        <w:t>Regulations</w:t>
      </w:r>
      <w:r>
        <w:tab/>
      </w:r>
      <w:r>
        <w:fldChar w:fldCharType="begin"/>
      </w:r>
      <w:r>
        <w:instrText xml:space="preserve"> PAGEREF _Toc122833831 \h </w:instrText>
      </w:r>
      <w:r>
        <w:fldChar w:fldCharType="separate"/>
      </w:r>
      <w:r>
        <w:t>126</w:t>
      </w:r>
      <w:r>
        <w:fldChar w:fldCharType="end"/>
      </w:r>
    </w:p>
    <w:p>
      <w:pPr>
        <w:pStyle w:val="TOC6"/>
        <w:tabs>
          <w:tab w:val="right" w:leader="dot" w:pos="7078"/>
        </w:tabs>
        <w:rPr>
          <w:b w:val="0"/>
          <w:sz w:val="24"/>
        </w:rPr>
      </w:pPr>
      <w:r>
        <w:t>Subdivision 3 — 2004 scheme</w:t>
      </w:r>
    </w:p>
    <w:p>
      <w:pPr>
        <w:pStyle w:val="TOC8"/>
        <w:rPr>
          <w:sz w:val="24"/>
        </w:rPr>
      </w:pPr>
      <w:r>
        <w:t>93H.</w:t>
      </w:r>
      <w:r>
        <w:tab/>
        <w:t>Terms used in this Subdivision</w:t>
      </w:r>
      <w:r>
        <w:tab/>
      </w:r>
      <w:r>
        <w:fldChar w:fldCharType="begin"/>
      </w:r>
      <w:r>
        <w:instrText xml:space="preserve"> PAGEREF _Toc122833833 \h </w:instrText>
      </w:r>
      <w:r>
        <w:fldChar w:fldCharType="separate"/>
      </w:r>
      <w:r>
        <w:t>127</w:t>
      </w:r>
      <w:r>
        <w:fldChar w:fldCharType="end"/>
      </w:r>
    </w:p>
    <w:p>
      <w:pPr>
        <w:pStyle w:val="TOC8"/>
        <w:rPr>
          <w:sz w:val="24"/>
        </w:rPr>
      </w:pPr>
      <w:r>
        <w:t>93I.</w:t>
      </w:r>
      <w:r>
        <w:tab/>
        <w:t>Application of this Subdivision</w:t>
      </w:r>
      <w:r>
        <w:tab/>
      </w:r>
      <w:r>
        <w:fldChar w:fldCharType="begin"/>
      </w:r>
      <w:r>
        <w:instrText xml:space="preserve"> PAGEREF _Toc122833834 \h </w:instrText>
      </w:r>
      <w:r>
        <w:fldChar w:fldCharType="separate"/>
      </w:r>
      <w:r>
        <w:t>127</w:t>
      </w:r>
      <w:r>
        <w:fldChar w:fldCharType="end"/>
      </w:r>
    </w:p>
    <w:p>
      <w:pPr>
        <w:pStyle w:val="TOC8"/>
        <w:rPr>
          <w:sz w:val="24"/>
        </w:rPr>
      </w:pPr>
      <w:r>
        <w:t>93J.</w:t>
      </w:r>
      <w:r>
        <w:tab/>
        <w:t>No damages for noise induced hearing loss if not an injury</w:t>
      </w:r>
      <w:r>
        <w:tab/>
      </w:r>
      <w:r>
        <w:fldChar w:fldCharType="begin"/>
      </w:r>
      <w:r>
        <w:instrText xml:space="preserve"> PAGEREF _Toc122833835 \h </w:instrText>
      </w:r>
      <w:r>
        <w:fldChar w:fldCharType="separate"/>
      </w:r>
      <w:r>
        <w:t>128</w:t>
      </w:r>
      <w:r>
        <w:fldChar w:fldCharType="end"/>
      </w:r>
    </w:p>
    <w:p>
      <w:pPr>
        <w:pStyle w:val="TOC8"/>
        <w:rPr>
          <w:sz w:val="24"/>
        </w:rPr>
      </w:pPr>
      <w:r>
        <w:t>93K.</w:t>
      </w:r>
      <w:r>
        <w:tab/>
        <w:t>Restrictions on awarding, and amount of, damages</w:t>
      </w:r>
      <w:r>
        <w:tab/>
      </w:r>
      <w:r>
        <w:fldChar w:fldCharType="begin"/>
      </w:r>
      <w:r>
        <w:instrText xml:space="preserve"> PAGEREF _Toc122833836 \h </w:instrText>
      </w:r>
      <w:r>
        <w:fldChar w:fldCharType="separate"/>
      </w:r>
      <w:r>
        <w:t>128</w:t>
      </w:r>
      <w:r>
        <w:fldChar w:fldCharType="end"/>
      </w:r>
    </w:p>
    <w:p>
      <w:pPr>
        <w:pStyle w:val="TOC8"/>
        <w:rPr>
          <w:sz w:val="24"/>
        </w:rPr>
      </w:pPr>
      <w:r>
        <w:t>93L.</w:t>
      </w:r>
      <w:r>
        <w:tab/>
        <w:t>Election to retain right to seek damages</w:t>
      </w:r>
      <w:r>
        <w:tab/>
      </w:r>
      <w:r>
        <w:fldChar w:fldCharType="begin"/>
      </w:r>
      <w:r>
        <w:instrText xml:space="preserve"> PAGEREF _Toc122833837 \h </w:instrText>
      </w:r>
      <w:r>
        <w:fldChar w:fldCharType="separate"/>
      </w:r>
      <w:r>
        <w:t>131</w:t>
      </w:r>
      <w:r>
        <w:fldChar w:fldCharType="end"/>
      </w:r>
    </w:p>
    <w:p>
      <w:pPr>
        <w:pStyle w:val="TOC8"/>
        <w:rPr>
          <w:sz w:val="24"/>
        </w:rPr>
      </w:pPr>
      <w:r>
        <w:t>93M.</w:t>
      </w:r>
      <w:r>
        <w:tab/>
        <w:t>Termination day</w:t>
      </w:r>
      <w:r>
        <w:tab/>
      </w:r>
      <w:r>
        <w:fldChar w:fldCharType="begin"/>
      </w:r>
      <w:r>
        <w:instrText xml:space="preserve"> PAGEREF _Toc122833838 \h </w:instrText>
      </w:r>
      <w:r>
        <w:fldChar w:fldCharType="separate"/>
      </w:r>
      <w:r>
        <w:t>132</w:t>
      </w:r>
      <w:r>
        <w:fldChar w:fldCharType="end"/>
      </w:r>
    </w:p>
    <w:p>
      <w:pPr>
        <w:pStyle w:val="TOC8"/>
        <w:rPr>
          <w:sz w:val="24"/>
        </w:rPr>
      </w:pPr>
      <w:r>
        <w:t>93N.</w:t>
      </w:r>
      <w:r>
        <w:tab/>
        <w:t>Special evaluation if condition has not sufficiently stabilised</w:t>
      </w:r>
      <w:r>
        <w:tab/>
      </w:r>
      <w:r>
        <w:fldChar w:fldCharType="begin"/>
      </w:r>
      <w:r>
        <w:instrText xml:space="preserve"> PAGEREF _Toc122833839 \h </w:instrText>
      </w:r>
      <w:r>
        <w:fldChar w:fldCharType="separate"/>
      </w:r>
      <w:r>
        <w:t>135</w:t>
      </w:r>
      <w:r>
        <w:fldChar w:fldCharType="end"/>
      </w:r>
    </w:p>
    <w:p>
      <w:pPr>
        <w:pStyle w:val="TOC8"/>
        <w:rPr>
          <w:sz w:val="24"/>
        </w:rPr>
      </w:pPr>
      <w:r>
        <w:t>93O.</w:t>
      </w:r>
      <w:r>
        <w:tab/>
        <w:t>Employer to give worker notice of certain things</w:t>
      </w:r>
      <w:r>
        <w:tab/>
      </w:r>
      <w:r>
        <w:fldChar w:fldCharType="begin"/>
      </w:r>
      <w:r>
        <w:instrText xml:space="preserve"> PAGEREF _Toc122833840 \h </w:instrText>
      </w:r>
      <w:r>
        <w:fldChar w:fldCharType="separate"/>
      </w:r>
      <w:r>
        <w:t>136</w:t>
      </w:r>
      <w:r>
        <w:fldChar w:fldCharType="end"/>
      </w:r>
    </w:p>
    <w:p>
      <w:pPr>
        <w:pStyle w:val="TOC8"/>
        <w:rPr>
          <w:sz w:val="24"/>
        </w:rPr>
      </w:pPr>
      <w:r>
        <w:t>93P.</w:t>
      </w:r>
      <w:r>
        <w:tab/>
        <w:t>How election may affect statutory compensation</w:t>
      </w:r>
      <w:r>
        <w:tab/>
      </w:r>
      <w:r>
        <w:fldChar w:fldCharType="begin"/>
      </w:r>
      <w:r>
        <w:instrText xml:space="preserve"> PAGEREF _Toc122833841 \h </w:instrText>
      </w:r>
      <w:r>
        <w:fldChar w:fldCharType="separate"/>
      </w:r>
      <w:r>
        <w:t>136</w:t>
      </w:r>
      <w:r>
        <w:fldChar w:fldCharType="end"/>
      </w:r>
    </w:p>
    <w:p>
      <w:pPr>
        <w:pStyle w:val="TOC8"/>
        <w:rPr>
          <w:sz w:val="24"/>
        </w:rPr>
      </w:pPr>
      <w:r>
        <w:t>93Q.</w:t>
      </w:r>
      <w:r>
        <w:tab/>
        <w:t>Special provisions about HIV and AIDS</w:t>
      </w:r>
      <w:r>
        <w:tab/>
      </w:r>
      <w:r>
        <w:fldChar w:fldCharType="begin"/>
      </w:r>
      <w:r>
        <w:instrText xml:space="preserve"> PAGEREF _Toc122833842 \h </w:instrText>
      </w:r>
      <w:r>
        <w:fldChar w:fldCharType="separate"/>
      </w:r>
      <w:r>
        <w:t>138</w:t>
      </w:r>
      <w:r>
        <w:fldChar w:fldCharType="end"/>
      </w:r>
    </w:p>
    <w:p>
      <w:pPr>
        <w:pStyle w:val="TOC8"/>
        <w:rPr>
          <w:sz w:val="24"/>
        </w:rPr>
      </w:pPr>
      <w:r>
        <w:t>93R.</w:t>
      </w:r>
      <w:r>
        <w:tab/>
        <w:t>Special provisions about specified industrial diseases</w:t>
      </w:r>
      <w:r>
        <w:tab/>
      </w:r>
      <w:r>
        <w:fldChar w:fldCharType="begin"/>
      </w:r>
      <w:r>
        <w:instrText xml:space="preserve"> PAGEREF _Toc122833843 \h </w:instrText>
      </w:r>
      <w:r>
        <w:fldChar w:fldCharType="separate"/>
      </w:r>
      <w:r>
        <w:t>139</w:t>
      </w:r>
      <w:r>
        <w:fldChar w:fldCharType="end"/>
      </w:r>
    </w:p>
    <w:p>
      <w:pPr>
        <w:pStyle w:val="TOC8"/>
        <w:rPr>
          <w:sz w:val="24"/>
        </w:rPr>
      </w:pPr>
      <w:r>
        <w:t>93S.</w:t>
      </w:r>
      <w:r>
        <w:tab/>
        <w:t>Regulations</w:t>
      </w:r>
      <w:r>
        <w:tab/>
      </w:r>
      <w:r>
        <w:fldChar w:fldCharType="begin"/>
      </w:r>
      <w:r>
        <w:instrText xml:space="preserve"> PAGEREF _Toc122833844 \h </w:instrText>
      </w:r>
      <w:r>
        <w:fldChar w:fldCharType="separate"/>
      </w:r>
      <w:r>
        <w:t>140</w:t>
      </w:r>
      <w:r>
        <w:fldChar w:fldCharType="end"/>
      </w:r>
    </w:p>
    <w:p>
      <w:pPr>
        <w:pStyle w:val="TOC2"/>
        <w:tabs>
          <w:tab w:val="right" w:leader="dot" w:pos="7078"/>
        </w:tabs>
        <w:rPr>
          <w:b w:val="0"/>
          <w:sz w:val="24"/>
        </w:rPr>
      </w:pPr>
      <w:r>
        <w:t>Part V —</w:t>
      </w:r>
      <w:r>
        <w:rPr>
          <w:b w:val="0"/>
        </w:rPr>
        <w:t> </w:t>
      </w:r>
      <w:r>
        <w:t>WorkCover Western Australia Authority</w:t>
      </w:r>
    </w:p>
    <w:p>
      <w:pPr>
        <w:pStyle w:val="TOC4"/>
        <w:tabs>
          <w:tab w:val="right" w:leader="dot" w:pos="7078"/>
        </w:tabs>
        <w:rPr>
          <w:b w:val="0"/>
          <w:sz w:val="24"/>
        </w:rPr>
      </w:pPr>
      <w:r>
        <w:t>Division 1</w:t>
      </w:r>
      <w:r>
        <w:rPr>
          <w:snapToGrid w:val="0"/>
        </w:rPr>
        <w:t> — </w:t>
      </w:r>
      <w:r>
        <w:t>Constitution, purposes, and powers</w:t>
      </w:r>
    </w:p>
    <w:p>
      <w:pPr>
        <w:pStyle w:val="TOC8"/>
        <w:rPr>
          <w:sz w:val="24"/>
        </w:rPr>
      </w:pPr>
      <w:r>
        <w:t>94</w:t>
      </w:r>
      <w:r>
        <w:rPr>
          <w:snapToGrid w:val="0"/>
        </w:rPr>
        <w:t>.</w:t>
      </w:r>
      <w:r>
        <w:rPr>
          <w:snapToGrid w:val="0"/>
        </w:rPr>
        <w:tab/>
        <w:t>WorkCover Western Australia Authority</w:t>
      </w:r>
      <w:r>
        <w:tab/>
      </w:r>
      <w:r>
        <w:fldChar w:fldCharType="begin"/>
      </w:r>
      <w:r>
        <w:instrText xml:space="preserve"> PAGEREF _Toc122833847 \h </w:instrText>
      </w:r>
      <w:r>
        <w:fldChar w:fldCharType="separate"/>
      </w:r>
      <w:r>
        <w:t>141</w:t>
      </w:r>
      <w:r>
        <w:fldChar w:fldCharType="end"/>
      </w:r>
    </w:p>
    <w:p>
      <w:pPr>
        <w:pStyle w:val="TOC8"/>
        <w:rPr>
          <w:sz w:val="24"/>
        </w:rPr>
      </w:pPr>
      <w:r>
        <w:t>95.</w:t>
      </w:r>
      <w:r>
        <w:tab/>
        <w:t>WorkCover WA’s governing body</w:t>
      </w:r>
      <w:r>
        <w:tab/>
      </w:r>
      <w:r>
        <w:fldChar w:fldCharType="begin"/>
      </w:r>
      <w:r>
        <w:instrText xml:space="preserve"> PAGEREF _Toc122833848 \h </w:instrText>
      </w:r>
      <w:r>
        <w:fldChar w:fldCharType="separate"/>
      </w:r>
      <w:r>
        <w:t>142</w:t>
      </w:r>
      <w:r>
        <w:fldChar w:fldCharType="end"/>
      </w:r>
    </w:p>
    <w:p>
      <w:pPr>
        <w:pStyle w:val="TOC8"/>
        <w:rPr>
          <w:sz w:val="24"/>
        </w:rPr>
      </w:pPr>
      <w:r>
        <w:t>96</w:t>
      </w:r>
      <w:r>
        <w:rPr>
          <w:snapToGrid w:val="0"/>
        </w:rPr>
        <w:t>.</w:t>
      </w:r>
      <w:r>
        <w:rPr>
          <w:snapToGrid w:val="0"/>
        </w:rPr>
        <w:tab/>
        <w:t>Term of office</w:t>
      </w:r>
      <w:r>
        <w:tab/>
      </w:r>
      <w:r>
        <w:fldChar w:fldCharType="begin"/>
      </w:r>
      <w:r>
        <w:instrText xml:space="preserve"> PAGEREF _Toc122833849 \h </w:instrText>
      </w:r>
      <w:r>
        <w:fldChar w:fldCharType="separate"/>
      </w:r>
      <w:r>
        <w:t>144</w:t>
      </w:r>
      <w:r>
        <w:fldChar w:fldCharType="end"/>
      </w:r>
    </w:p>
    <w:p>
      <w:pPr>
        <w:pStyle w:val="TOC8"/>
        <w:rPr>
          <w:sz w:val="24"/>
        </w:rPr>
      </w:pPr>
      <w:r>
        <w:t>97</w:t>
      </w:r>
      <w:r>
        <w:rPr>
          <w:snapToGrid w:val="0"/>
        </w:rPr>
        <w:t>.</w:t>
      </w:r>
      <w:r>
        <w:rPr>
          <w:snapToGrid w:val="0"/>
        </w:rPr>
        <w:tab/>
        <w:t>Meetings</w:t>
      </w:r>
      <w:r>
        <w:tab/>
      </w:r>
      <w:r>
        <w:fldChar w:fldCharType="begin"/>
      </w:r>
      <w:r>
        <w:instrText xml:space="preserve"> PAGEREF _Toc122833850 \h </w:instrText>
      </w:r>
      <w:r>
        <w:fldChar w:fldCharType="separate"/>
      </w:r>
      <w:r>
        <w:t>145</w:t>
      </w:r>
      <w:r>
        <w:fldChar w:fldCharType="end"/>
      </w:r>
    </w:p>
    <w:p>
      <w:pPr>
        <w:pStyle w:val="TOC8"/>
        <w:rPr>
          <w:sz w:val="24"/>
        </w:rPr>
      </w:pPr>
      <w:r>
        <w:t>98</w:t>
      </w:r>
      <w:r>
        <w:rPr>
          <w:snapToGrid w:val="0"/>
        </w:rPr>
        <w:t>.</w:t>
      </w:r>
      <w:r>
        <w:rPr>
          <w:snapToGrid w:val="0"/>
        </w:rPr>
        <w:tab/>
        <w:t>Defects not to invalidate proceedings</w:t>
      </w:r>
      <w:r>
        <w:tab/>
      </w:r>
      <w:r>
        <w:fldChar w:fldCharType="begin"/>
      </w:r>
      <w:r>
        <w:instrText xml:space="preserve"> PAGEREF _Toc122833851 \h </w:instrText>
      </w:r>
      <w:r>
        <w:fldChar w:fldCharType="separate"/>
      </w:r>
      <w:r>
        <w:t>146</w:t>
      </w:r>
      <w:r>
        <w:fldChar w:fldCharType="end"/>
      </w:r>
    </w:p>
    <w:p>
      <w:pPr>
        <w:pStyle w:val="TOC8"/>
        <w:rPr>
          <w:sz w:val="24"/>
        </w:rPr>
      </w:pPr>
      <w:r>
        <w:t>99.</w:t>
      </w:r>
      <w:r>
        <w:tab/>
      </w:r>
      <w:r>
        <w:rPr>
          <w:snapToGrid w:val="0"/>
        </w:rPr>
        <w:t>Conditions of appointment</w:t>
      </w:r>
      <w:r>
        <w:tab/>
      </w:r>
      <w:r>
        <w:fldChar w:fldCharType="begin"/>
      </w:r>
      <w:r>
        <w:instrText xml:space="preserve"> PAGEREF _Toc122833852 \h </w:instrText>
      </w:r>
      <w:r>
        <w:fldChar w:fldCharType="separate"/>
      </w:r>
      <w:r>
        <w:t>146</w:t>
      </w:r>
      <w:r>
        <w:fldChar w:fldCharType="end"/>
      </w:r>
    </w:p>
    <w:p>
      <w:pPr>
        <w:pStyle w:val="TOC8"/>
        <w:rPr>
          <w:sz w:val="24"/>
        </w:rPr>
      </w:pPr>
      <w:r>
        <w:t>100</w:t>
      </w:r>
      <w:r>
        <w:rPr>
          <w:snapToGrid w:val="0"/>
        </w:rPr>
        <w:t>.</w:t>
      </w:r>
      <w:r>
        <w:rPr>
          <w:snapToGrid w:val="0"/>
        </w:rPr>
        <w:tab/>
        <w:t>Functions of WorkCover WA</w:t>
      </w:r>
      <w:r>
        <w:tab/>
      </w:r>
      <w:r>
        <w:fldChar w:fldCharType="begin"/>
      </w:r>
      <w:r>
        <w:instrText xml:space="preserve"> PAGEREF _Toc122833853 \h </w:instrText>
      </w:r>
      <w:r>
        <w:fldChar w:fldCharType="separate"/>
      </w:r>
      <w:r>
        <w:t>146</w:t>
      </w:r>
      <w:r>
        <w:fldChar w:fldCharType="end"/>
      </w:r>
    </w:p>
    <w:p>
      <w:pPr>
        <w:pStyle w:val="TOC8"/>
        <w:rPr>
          <w:sz w:val="24"/>
        </w:rPr>
      </w:pPr>
      <w:r>
        <w:t>100A</w:t>
      </w:r>
      <w:r>
        <w:rPr>
          <w:snapToGrid w:val="0"/>
        </w:rPr>
        <w:t>.</w:t>
      </w:r>
      <w:r>
        <w:rPr>
          <w:snapToGrid w:val="0"/>
        </w:rPr>
        <w:tab/>
        <w:t>Advisory committees</w:t>
      </w:r>
      <w:r>
        <w:tab/>
      </w:r>
      <w:r>
        <w:fldChar w:fldCharType="begin"/>
      </w:r>
      <w:r>
        <w:instrText xml:space="preserve"> PAGEREF _Toc122833854 \h </w:instrText>
      </w:r>
      <w:r>
        <w:fldChar w:fldCharType="separate"/>
      </w:r>
      <w:r>
        <w:t>148</w:t>
      </w:r>
      <w:r>
        <w:fldChar w:fldCharType="end"/>
      </w:r>
    </w:p>
    <w:p>
      <w:pPr>
        <w:pStyle w:val="TOC8"/>
        <w:rPr>
          <w:sz w:val="24"/>
        </w:rPr>
      </w:pPr>
      <w:r>
        <w:t>100B.</w:t>
      </w:r>
      <w:r>
        <w:tab/>
        <w:t>Disclosure of information</w:t>
      </w:r>
      <w:r>
        <w:tab/>
      </w:r>
      <w:r>
        <w:fldChar w:fldCharType="begin"/>
      </w:r>
      <w:r>
        <w:instrText xml:space="preserve"> PAGEREF _Toc122833855 \h </w:instrText>
      </w:r>
      <w:r>
        <w:fldChar w:fldCharType="separate"/>
      </w:r>
      <w:r>
        <w:t>149</w:t>
      </w:r>
      <w:r>
        <w:fldChar w:fldCharType="end"/>
      </w:r>
    </w:p>
    <w:p>
      <w:pPr>
        <w:pStyle w:val="TOC8"/>
        <w:rPr>
          <w:sz w:val="24"/>
        </w:rPr>
      </w:pPr>
      <w:r>
        <w:t>101</w:t>
      </w:r>
      <w:r>
        <w:rPr>
          <w:snapToGrid w:val="0"/>
        </w:rPr>
        <w:t>.</w:t>
      </w:r>
      <w:r>
        <w:rPr>
          <w:snapToGrid w:val="0"/>
        </w:rPr>
        <w:tab/>
        <w:t>Powers</w:t>
      </w:r>
      <w:r>
        <w:tab/>
      </w:r>
      <w:r>
        <w:fldChar w:fldCharType="begin"/>
      </w:r>
      <w:r>
        <w:instrText xml:space="preserve"> PAGEREF _Toc122833856 \h </w:instrText>
      </w:r>
      <w:r>
        <w:fldChar w:fldCharType="separate"/>
      </w:r>
      <w:r>
        <w:t>150</w:t>
      </w:r>
      <w:r>
        <w:fldChar w:fldCharType="end"/>
      </w:r>
    </w:p>
    <w:p>
      <w:pPr>
        <w:pStyle w:val="TOC8"/>
        <w:rPr>
          <w:sz w:val="24"/>
        </w:rPr>
      </w:pPr>
      <w:r>
        <w:t>101AA.</w:t>
      </w:r>
      <w:r>
        <w:tab/>
        <w:t>Delegation by WorkCover WA</w:t>
      </w:r>
      <w:r>
        <w:tab/>
      </w:r>
      <w:r>
        <w:fldChar w:fldCharType="begin"/>
      </w:r>
      <w:r>
        <w:instrText xml:space="preserve"> PAGEREF _Toc122833857 \h </w:instrText>
      </w:r>
      <w:r>
        <w:fldChar w:fldCharType="separate"/>
      </w:r>
      <w:r>
        <w:t>151</w:t>
      </w:r>
      <w:r>
        <w:fldChar w:fldCharType="end"/>
      </w:r>
    </w:p>
    <w:p>
      <w:pPr>
        <w:pStyle w:val="TOC8"/>
        <w:rPr>
          <w:sz w:val="24"/>
        </w:rPr>
      </w:pPr>
      <w:r>
        <w:t>101A</w:t>
      </w:r>
      <w:r>
        <w:rPr>
          <w:snapToGrid w:val="0"/>
        </w:rPr>
        <w:t>.</w:t>
      </w:r>
      <w:r>
        <w:rPr>
          <w:snapToGrid w:val="0"/>
        </w:rPr>
        <w:tab/>
        <w:t xml:space="preserve">Borrowings by </w:t>
      </w:r>
      <w:r>
        <w:t>WorkCover WA</w:t>
      </w:r>
      <w:r>
        <w:tab/>
      </w:r>
      <w:r>
        <w:fldChar w:fldCharType="begin"/>
      </w:r>
      <w:r>
        <w:instrText xml:space="preserve"> PAGEREF _Toc122833858 \h </w:instrText>
      </w:r>
      <w:r>
        <w:fldChar w:fldCharType="separate"/>
      </w:r>
      <w:r>
        <w:t>151</w:t>
      </w:r>
      <w:r>
        <w:fldChar w:fldCharType="end"/>
      </w:r>
    </w:p>
    <w:p>
      <w:pPr>
        <w:pStyle w:val="TOC8"/>
        <w:rPr>
          <w:sz w:val="24"/>
        </w:rPr>
      </w:pPr>
      <w:r>
        <w:t>101B</w:t>
      </w:r>
      <w:r>
        <w:rPr>
          <w:snapToGrid w:val="0"/>
        </w:rPr>
        <w:t>.</w:t>
      </w:r>
      <w:r>
        <w:rPr>
          <w:snapToGrid w:val="0"/>
        </w:rPr>
        <w:tab/>
        <w:t>Guarantees of borrowings</w:t>
      </w:r>
      <w:r>
        <w:tab/>
      </w:r>
      <w:r>
        <w:fldChar w:fldCharType="begin"/>
      </w:r>
      <w:r>
        <w:instrText xml:space="preserve"> PAGEREF _Toc122833859 \h </w:instrText>
      </w:r>
      <w:r>
        <w:fldChar w:fldCharType="separate"/>
      </w:r>
      <w:r>
        <w:t>152</w:t>
      </w:r>
      <w:r>
        <w:fldChar w:fldCharType="end"/>
      </w:r>
    </w:p>
    <w:p>
      <w:pPr>
        <w:pStyle w:val="TOC8"/>
        <w:rPr>
          <w:sz w:val="24"/>
        </w:rPr>
      </w:pPr>
      <w:r>
        <w:t>102</w:t>
      </w:r>
      <w:r>
        <w:rPr>
          <w:snapToGrid w:val="0"/>
        </w:rPr>
        <w:t>.</w:t>
      </w:r>
      <w:r>
        <w:rPr>
          <w:snapToGrid w:val="0"/>
        </w:rPr>
        <w:tab/>
        <w:t>Limitation on powers</w:t>
      </w:r>
      <w:r>
        <w:tab/>
      </w:r>
      <w:r>
        <w:fldChar w:fldCharType="begin"/>
      </w:r>
      <w:r>
        <w:instrText xml:space="preserve"> PAGEREF _Toc122833860 \h </w:instrText>
      </w:r>
      <w:r>
        <w:fldChar w:fldCharType="separate"/>
      </w:r>
      <w:r>
        <w:t>153</w:t>
      </w:r>
      <w:r>
        <w:fldChar w:fldCharType="end"/>
      </w:r>
    </w:p>
    <w:p>
      <w:pPr>
        <w:pStyle w:val="TOC8"/>
        <w:rPr>
          <w:sz w:val="24"/>
        </w:rPr>
      </w:pPr>
      <w:r>
        <w:t>103A</w:t>
      </w:r>
      <w:r>
        <w:rPr>
          <w:snapToGrid w:val="0"/>
        </w:rPr>
        <w:t>.</w:t>
      </w:r>
      <w:r>
        <w:rPr>
          <w:snapToGrid w:val="0"/>
        </w:rPr>
        <w:tab/>
        <w:t>Returns</w:t>
      </w:r>
      <w:r>
        <w:tab/>
      </w:r>
      <w:r>
        <w:fldChar w:fldCharType="begin"/>
      </w:r>
      <w:r>
        <w:instrText xml:space="preserve"> PAGEREF _Toc122833861 \h </w:instrText>
      </w:r>
      <w:r>
        <w:fldChar w:fldCharType="separate"/>
      </w:r>
      <w:r>
        <w:t>153</w:t>
      </w:r>
      <w:r>
        <w:fldChar w:fldCharType="end"/>
      </w:r>
    </w:p>
    <w:p>
      <w:pPr>
        <w:pStyle w:val="TOC8"/>
        <w:rPr>
          <w:sz w:val="24"/>
        </w:rPr>
      </w:pPr>
      <w:r>
        <w:t>104</w:t>
      </w:r>
      <w:r>
        <w:rPr>
          <w:snapToGrid w:val="0"/>
        </w:rPr>
        <w:t>.</w:t>
      </w:r>
      <w:r>
        <w:rPr>
          <w:snapToGrid w:val="0"/>
        </w:rPr>
        <w:tab/>
        <w:t>Publishing and furnishing information</w:t>
      </w:r>
      <w:r>
        <w:tab/>
      </w:r>
      <w:r>
        <w:fldChar w:fldCharType="begin"/>
      </w:r>
      <w:r>
        <w:instrText xml:space="preserve"> PAGEREF _Toc122833862 \h </w:instrText>
      </w:r>
      <w:r>
        <w:fldChar w:fldCharType="separate"/>
      </w:r>
      <w:r>
        <w:t>153</w:t>
      </w:r>
      <w:r>
        <w:fldChar w:fldCharType="end"/>
      </w:r>
    </w:p>
    <w:p>
      <w:pPr>
        <w:pStyle w:val="TOC4"/>
        <w:tabs>
          <w:tab w:val="right" w:leader="dot" w:pos="7078"/>
        </w:tabs>
        <w:rPr>
          <w:b w:val="0"/>
          <w:sz w:val="24"/>
        </w:rPr>
      </w:pPr>
      <w:r>
        <w:t>Division 1AA — Personal interest</w:t>
      </w:r>
    </w:p>
    <w:p>
      <w:pPr>
        <w:pStyle w:val="TOC8"/>
        <w:rPr>
          <w:sz w:val="24"/>
        </w:rPr>
      </w:pPr>
      <w:r>
        <w:t>104AA.</w:t>
      </w:r>
      <w:r>
        <w:tab/>
        <w:t>D</w:t>
      </w:r>
      <w:r>
        <w:rPr>
          <w:snapToGrid w:val="0"/>
        </w:rPr>
        <w:t>isclosure of interests</w:t>
      </w:r>
      <w:r>
        <w:tab/>
      </w:r>
      <w:r>
        <w:fldChar w:fldCharType="begin"/>
      </w:r>
      <w:r>
        <w:instrText xml:space="preserve"> PAGEREF _Toc122833864 \h </w:instrText>
      </w:r>
      <w:r>
        <w:fldChar w:fldCharType="separate"/>
      </w:r>
      <w:r>
        <w:t>154</w:t>
      </w:r>
      <w:r>
        <w:fldChar w:fldCharType="end"/>
      </w:r>
    </w:p>
    <w:p>
      <w:pPr>
        <w:pStyle w:val="TOC8"/>
        <w:rPr>
          <w:sz w:val="24"/>
        </w:rPr>
      </w:pPr>
      <w:r>
        <w:t>104AB</w:t>
      </w:r>
      <w:r>
        <w:rPr>
          <w:snapToGrid w:val="0"/>
        </w:rPr>
        <w:t>.</w:t>
      </w:r>
      <w:r>
        <w:rPr>
          <w:snapToGrid w:val="0"/>
        </w:rPr>
        <w:tab/>
        <w:t>Exclusion of interested member</w:t>
      </w:r>
      <w:r>
        <w:tab/>
      </w:r>
      <w:r>
        <w:fldChar w:fldCharType="begin"/>
      </w:r>
      <w:r>
        <w:instrText xml:space="preserve"> PAGEREF _Toc122833865 \h </w:instrText>
      </w:r>
      <w:r>
        <w:fldChar w:fldCharType="separate"/>
      </w:r>
      <w:r>
        <w:t>154</w:t>
      </w:r>
      <w:r>
        <w:fldChar w:fldCharType="end"/>
      </w:r>
    </w:p>
    <w:p>
      <w:pPr>
        <w:pStyle w:val="TOC8"/>
        <w:rPr>
          <w:sz w:val="24"/>
        </w:rPr>
      </w:pPr>
      <w:r>
        <w:t>104AC</w:t>
      </w:r>
      <w:r>
        <w:rPr>
          <w:snapToGrid w:val="0"/>
        </w:rPr>
        <w:t>.</w:t>
      </w:r>
      <w:r>
        <w:rPr>
          <w:snapToGrid w:val="0"/>
        </w:rPr>
        <w:tab/>
        <w:t>Resolution that section 104AB inapplicable</w:t>
      </w:r>
      <w:r>
        <w:tab/>
      </w:r>
      <w:r>
        <w:fldChar w:fldCharType="begin"/>
      </w:r>
      <w:r>
        <w:instrText xml:space="preserve"> PAGEREF _Toc122833866 \h </w:instrText>
      </w:r>
      <w:r>
        <w:fldChar w:fldCharType="separate"/>
      </w:r>
      <w:r>
        <w:t>154</w:t>
      </w:r>
      <w:r>
        <w:fldChar w:fldCharType="end"/>
      </w:r>
    </w:p>
    <w:p>
      <w:pPr>
        <w:pStyle w:val="TOC8"/>
        <w:rPr>
          <w:sz w:val="24"/>
        </w:rPr>
      </w:pPr>
      <w:r>
        <w:t>104AD</w:t>
      </w:r>
      <w:r>
        <w:rPr>
          <w:snapToGrid w:val="0"/>
        </w:rPr>
        <w:t>.</w:t>
      </w:r>
      <w:r>
        <w:rPr>
          <w:snapToGrid w:val="0"/>
        </w:rPr>
        <w:tab/>
        <w:t>Quorum where section 104AB applies</w:t>
      </w:r>
      <w:r>
        <w:tab/>
      </w:r>
      <w:r>
        <w:fldChar w:fldCharType="begin"/>
      </w:r>
      <w:r>
        <w:instrText xml:space="preserve"> PAGEREF _Toc122833867 \h </w:instrText>
      </w:r>
      <w:r>
        <w:fldChar w:fldCharType="separate"/>
      </w:r>
      <w:r>
        <w:t>155</w:t>
      </w:r>
      <w:r>
        <w:fldChar w:fldCharType="end"/>
      </w:r>
    </w:p>
    <w:p>
      <w:pPr>
        <w:pStyle w:val="TOC8"/>
        <w:rPr>
          <w:sz w:val="24"/>
        </w:rPr>
      </w:pPr>
      <w:r>
        <w:t>104AE</w:t>
      </w:r>
      <w:r>
        <w:rPr>
          <w:snapToGrid w:val="0"/>
        </w:rPr>
        <w:t>.</w:t>
      </w:r>
      <w:r>
        <w:rPr>
          <w:snapToGrid w:val="0"/>
        </w:rPr>
        <w:tab/>
        <w:t>Minister may declare sections 104AB and 104AD inapplicable</w:t>
      </w:r>
      <w:r>
        <w:tab/>
      </w:r>
      <w:r>
        <w:fldChar w:fldCharType="begin"/>
      </w:r>
      <w:r>
        <w:instrText xml:space="preserve"> PAGEREF _Toc122833868 \h </w:instrText>
      </w:r>
      <w:r>
        <w:fldChar w:fldCharType="separate"/>
      </w:r>
      <w:r>
        <w:t>155</w:t>
      </w:r>
      <w:r>
        <w:fldChar w:fldCharType="end"/>
      </w:r>
    </w:p>
    <w:p>
      <w:pPr>
        <w:pStyle w:val="TOC4"/>
        <w:tabs>
          <w:tab w:val="right" w:leader="dot" w:pos="7078"/>
        </w:tabs>
        <w:rPr>
          <w:b w:val="0"/>
          <w:sz w:val="24"/>
        </w:rPr>
      </w:pPr>
      <w:r>
        <w:t>Division 2</w:t>
      </w:r>
      <w:r>
        <w:rPr>
          <w:snapToGrid w:val="0"/>
        </w:rPr>
        <w:t> — </w:t>
      </w:r>
      <w:r>
        <w:t>Accounts and audit</w:t>
      </w:r>
    </w:p>
    <w:p>
      <w:pPr>
        <w:pStyle w:val="TOC8"/>
        <w:rPr>
          <w:sz w:val="24"/>
        </w:rPr>
      </w:pPr>
      <w:r>
        <w:t>105</w:t>
      </w:r>
      <w:r>
        <w:rPr>
          <w:snapToGrid w:val="0"/>
        </w:rPr>
        <w:t>.</w:t>
      </w:r>
      <w:r>
        <w:tab/>
      </w:r>
      <w:r>
        <w:rPr>
          <w:snapToGrid w:val="0"/>
        </w:rPr>
        <w:t xml:space="preserve">Application of </w:t>
      </w:r>
      <w:r>
        <w:rPr>
          <w:i/>
          <w:snapToGrid w:val="0"/>
        </w:rPr>
        <w:t>Financial Administration and Audit Act 1985</w:t>
      </w:r>
      <w:r>
        <w:tab/>
      </w:r>
      <w:r>
        <w:fldChar w:fldCharType="begin"/>
      </w:r>
      <w:r>
        <w:instrText xml:space="preserve"> PAGEREF _Toc122833870 \h </w:instrText>
      </w:r>
      <w:r>
        <w:fldChar w:fldCharType="separate"/>
      </w:r>
      <w:r>
        <w:t>155</w:t>
      </w:r>
      <w:r>
        <w:fldChar w:fldCharType="end"/>
      </w:r>
    </w:p>
    <w:p>
      <w:pPr>
        <w:pStyle w:val="TOC4"/>
        <w:tabs>
          <w:tab w:val="right" w:leader="dot" w:pos="7078"/>
        </w:tabs>
        <w:rPr>
          <w:b w:val="0"/>
          <w:sz w:val="24"/>
        </w:rPr>
      </w:pPr>
      <w:r>
        <w:t>Division 3</w:t>
      </w:r>
      <w:r>
        <w:rPr>
          <w:snapToGrid w:val="0"/>
        </w:rPr>
        <w:t> — </w:t>
      </w:r>
      <w:r>
        <w:t>Workers’ Compensation and Injury Management General Fund</w:t>
      </w:r>
    </w:p>
    <w:p>
      <w:pPr>
        <w:pStyle w:val="TOC8"/>
        <w:rPr>
          <w:sz w:val="24"/>
        </w:rPr>
      </w:pPr>
      <w:r>
        <w:t>106</w:t>
      </w:r>
      <w:r>
        <w:rPr>
          <w:snapToGrid w:val="0"/>
        </w:rPr>
        <w:t>.</w:t>
      </w:r>
      <w:r>
        <w:rPr>
          <w:snapToGrid w:val="0"/>
        </w:rPr>
        <w:tab/>
        <w:t>General Fund</w:t>
      </w:r>
      <w:r>
        <w:tab/>
      </w:r>
      <w:r>
        <w:fldChar w:fldCharType="begin"/>
      </w:r>
      <w:r>
        <w:instrText xml:space="preserve"> PAGEREF _Toc122833872 \h </w:instrText>
      </w:r>
      <w:r>
        <w:fldChar w:fldCharType="separate"/>
      </w:r>
      <w:r>
        <w:t>156</w:t>
      </w:r>
      <w:r>
        <w:fldChar w:fldCharType="end"/>
      </w:r>
    </w:p>
    <w:p>
      <w:pPr>
        <w:pStyle w:val="TOC8"/>
        <w:rPr>
          <w:sz w:val="24"/>
        </w:rPr>
      </w:pPr>
      <w:r>
        <w:t>107</w:t>
      </w:r>
      <w:r>
        <w:rPr>
          <w:snapToGrid w:val="0"/>
        </w:rPr>
        <w:t>.</w:t>
      </w:r>
      <w:r>
        <w:rPr>
          <w:snapToGrid w:val="0"/>
        </w:rPr>
        <w:tab/>
        <w:t>Estimates</w:t>
      </w:r>
      <w:r>
        <w:tab/>
      </w:r>
      <w:r>
        <w:fldChar w:fldCharType="begin"/>
      </w:r>
      <w:r>
        <w:instrText xml:space="preserve"> PAGEREF _Toc122833873 \h </w:instrText>
      </w:r>
      <w:r>
        <w:fldChar w:fldCharType="separate"/>
      </w:r>
      <w:r>
        <w:t>157</w:t>
      </w:r>
      <w:r>
        <w:fldChar w:fldCharType="end"/>
      </w:r>
    </w:p>
    <w:p>
      <w:pPr>
        <w:pStyle w:val="TOC8"/>
        <w:rPr>
          <w:sz w:val="24"/>
        </w:rPr>
      </w:pPr>
      <w:r>
        <w:t>108</w:t>
      </w:r>
      <w:r>
        <w:rPr>
          <w:snapToGrid w:val="0"/>
        </w:rPr>
        <w:t>.</w:t>
      </w:r>
      <w:r>
        <w:rPr>
          <w:snapToGrid w:val="0"/>
        </w:rPr>
        <w:tab/>
        <w:t>Total contributions</w:t>
      </w:r>
      <w:r>
        <w:tab/>
      </w:r>
      <w:r>
        <w:fldChar w:fldCharType="begin"/>
      </w:r>
      <w:r>
        <w:instrText xml:space="preserve"> PAGEREF _Toc122833874 \h </w:instrText>
      </w:r>
      <w:r>
        <w:fldChar w:fldCharType="separate"/>
      </w:r>
      <w:r>
        <w:t>158</w:t>
      </w:r>
      <w:r>
        <w:fldChar w:fldCharType="end"/>
      </w:r>
    </w:p>
    <w:p>
      <w:pPr>
        <w:pStyle w:val="TOC8"/>
        <w:rPr>
          <w:sz w:val="24"/>
        </w:rPr>
      </w:pPr>
      <w:r>
        <w:t>109</w:t>
      </w:r>
      <w:r>
        <w:rPr>
          <w:snapToGrid w:val="0"/>
        </w:rPr>
        <w:t>.</w:t>
      </w:r>
      <w:r>
        <w:rPr>
          <w:snapToGrid w:val="0"/>
        </w:rPr>
        <w:tab/>
        <w:t>Contributions to General Fund by insurers</w:t>
      </w:r>
      <w:r>
        <w:tab/>
      </w:r>
      <w:r>
        <w:fldChar w:fldCharType="begin"/>
      </w:r>
      <w:r>
        <w:instrText xml:space="preserve"> PAGEREF _Toc122833875 \h </w:instrText>
      </w:r>
      <w:r>
        <w:fldChar w:fldCharType="separate"/>
      </w:r>
      <w:r>
        <w:t>158</w:t>
      </w:r>
      <w:r>
        <w:fldChar w:fldCharType="end"/>
      </w:r>
    </w:p>
    <w:p>
      <w:pPr>
        <w:pStyle w:val="TOC4"/>
        <w:tabs>
          <w:tab w:val="right" w:leader="dot" w:pos="7078"/>
        </w:tabs>
        <w:rPr>
          <w:b w:val="0"/>
          <w:sz w:val="24"/>
        </w:rPr>
      </w:pPr>
      <w:r>
        <w:t>Division 4</w:t>
      </w:r>
      <w:r>
        <w:rPr>
          <w:snapToGrid w:val="0"/>
        </w:rPr>
        <w:t> — </w:t>
      </w:r>
      <w:r>
        <w:t>Workers’ Compensation and Injury Management Trust Fund</w:t>
      </w:r>
    </w:p>
    <w:p>
      <w:pPr>
        <w:pStyle w:val="TOC8"/>
        <w:rPr>
          <w:sz w:val="24"/>
        </w:rPr>
      </w:pPr>
      <w:r>
        <w:t>110</w:t>
      </w:r>
      <w:r>
        <w:rPr>
          <w:snapToGrid w:val="0"/>
        </w:rPr>
        <w:t>.</w:t>
      </w:r>
      <w:r>
        <w:rPr>
          <w:snapToGrid w:val="0"/>
        </w:rPr>
        <w:tab/>
        <w:t>Trust Fund</w:t>
      </w:r>
      <w:r>
        <w:tab/>
      </w:r>
      <w:r>
        <w:fldChar w:fldCharType="begin"/>
      </w:r>
      <w:r>
        <w:instrText xml:space="preserve"> PAGEREF _Toc122833877 \h </w:instrText>
      </w:r>
      <w:r>
        <w:fldChar w:fldCharType="separate"/>
      </w:r>
      <w:r>
        <w:t>161</w:t>
      </w:r>
      <w:r>
        <w:fldChar w:fldCharType="end"/>
      </w:r>
    </w:p>
    <w:p>
      <w:pPr>
        <w:pStyle w:val="TOC4"/>
        <w:tabs>
          <w:tab w:val="right" w:leader="dot" w:pos="7078"/>
        </w:tabs>
        <w:rPr>
          <w:b w:val="0"/>
          <w:sz w:val="24"/>
        </w:rPr>
      </w:pPr>
      <w:r>
        <w:t>Division 5</w:t>
      </w:r>
      <w:r>
        <w:rPr>
          <w:snapToGrid w:val="0"/>
        </w:rPr>
        <w:t> — </w:t>
      </w:r>
      <w:r>
        <w:t>Ministerial control</w:t>
      </w:r>
    </w:p>
    <w:p>
      <w:pPr>
        <w:pStyle w:val="TOC8"/>
        <w:rPr>
          <w:sz w:val="24"/>
        </w:rPr>
      </w:pPr>
      <w:r>
        <w:t>111</w:t>
      </w:r>
      <w:r>
        <w:rPr>
          <w:snapToGrid w:val="0"/>
        </w:rPr>
        <w:t>.</w:t>
      </w:r>
      <w:r>
        <w:rPr>
          <w:snapToGrid w:val="0"/>
        </w:rPr>
        <w:tab/>
        <w:t>Minister may give directions</w:t>
      </w:r>
      <w:r>
        <w:tab/>
      </w:r>
      <w:r>
        <w:fldChar w:fldCharType="begin"/>
      </w:r>
      <w:r>
        <w:instrText xml:space="preserve"> PAGEREF _Toc122833879 \h </w:instrText>
      </w:r>
      <w:r>
        <w:fldChar w:fldCharType="separate"/>
      </w:r>
      <w:r>
        <w:t>163</w:t>
      </w:r>
      <w:r>
        <w:fldChar w:fldCharType="end"/>
      </w:r>
    </w:p>
    <w:p>
      <w:pPr>
        <w:pStyle w:val="TOC8"/>
        <w:rPr>
          <w:sz w:val="24"/>
        </w:rPr>
      </w:pPr>
      <w:r>
        <w:t>111A</w:t>
      </w:r>
      <w:r>
        <w:rPr>
          <w:snapToGrid w:val="0"/>
        </w:rPr>
        <w:t>.</w:t>
      </w:r>
      <w:r>
        <w:rPr>
          <w:snapToGrid w:val="0"/>
        </w:rPr>
        <w:tab/>
        <w:t>Minister to have access to information</w:t>
      </w:r>
      <w:r>
        <w:tab/>
      </w:r>
      <w:r>
        <w:fldChar w:fldCharType="begin"/>
      </w:r>
      <w:r>
        <w:instrText xml:space="preserve"> PAGEREF _Toc122833880 \h </w:instrText>
      </w:r>
      <w:r>
        <w:fldChar w:fldCharType="separate"/>
      </w:r>
      <w:r>
        <w:t>163</w:t>
      </w:r>
      <w:r>
        <w:fldChar w:fldCharType="end"/>
      </w:r>
    </w:p>
    <w:p>
      <w:pPr>
        <w:pStyle w:val="TOC2"/>
        <w:tabs>
          <w:tab w:val="right" w:leader="dot" w:pos="7078"/>
        </w:tabs>
        <w:rPr>
          <w:b w:val="0"/>
          <w:sz w:val="24"/>
        </w:rPr>
      </w:pPr>
      <w:r>
        <w:t>Part VII</w:t>
      </w:r>
      <w:r>
        <w:rPr>
          <w:b w:val="0"/>
        </w:rPr>
        <w:t> </w:t>
      </w:r>
      <w:r>
        <w:t>—</w:t>
      </w:r>
      <w:r>
        <w:rPr>
          <w:b w:val="0"/>
        </w:rPr>
        <w:t> </w:t>
      </w:r>
      <w:r>
        <w:t>Medical assessment and assessment for specialised retraining programs</w:t>
      </w:r>
    </w:p>
    <w:p>
      <w:pPr>
        <w:pStyle w:val="TOC4"/>
        <w:tabs>
          <w:tab w:val="right" w:leader="dot" w:pos="7078"/>
        </w:tabs>
        <w:rPr>
          <w:b w:val="0"/>
          <w:sz w:val="24"/>
        </w:rPr>
      </w:pPr>
      <w:r>
        <w:t>Division 1 — Medical assessment panels</w:t>
      </w:r>
    </w:p>
    <w:p>
      <w:pPr>
        <w:pStyle w:val="TOC8"/>
        <w:rPr>
          <w:sz w:val="24"/>
        </w:rPr>
      </w:pPr>
      <w:r>
        <w:t>145</w:t>
      </w:r>
      <w:r>
        <w:rPr>
          <w:snapToGrid w:val="0"/>
        </w:rPr>
        <w:t>.</w:t>
      </w:r>
      <w:r>
        <w:rPr>
          <w:snapToGrid w:val="0"/>
        </w:rPr>
        <w:tab/>
        <w:t>Exclusion</w:t>
      </w:r>
      <w:r>
        <w:tab/>
      </w:r>
      <w:r>
        <w:fldChar w:fldCharType="begin"/>
      </w:r>
      <w:r>
        <w:instrText xml:space="preserve"> PAGEREF _Toc122833883 \h </w:instrText>
      </w:r>
      <w:r>
        <w:fldChar w:fldCharType="separate"/>
      </w:r>
      <w:r>
        <w:t>165</w:t>
      </w:r>
      <w:r>
        <w:fldChar w:fldCharType="end"/>
      </w:r>
    </w:p>
    <w:p>
      <w:pPr>
        <w:pStyle w:val="TOC8"/>
        <w:rPr>
          <w:sz w:val="24"/>
        </w:rPr>
      </w:pPr>
      <w:r>
        <w:t>145A.</w:t>
      </w:r>
      <w:r>
        <w:tab/>
        <w:t>Questions that have to be referred</w:t>
      </w:r>
      <w:r>
        <w:tab/>
      </w:r>
      <w:r>
        <w:fldChar w:fldCharType="begin"/>
      </w:r>
      <w:r>
        <w:instrText xml:space="preserve"> PAGEREF _Toc122833884 \h </w:instrText>
      </w:r>
      <w:r>
        <w:fldChar w:fldCharType="separate"/>
      </w:r>
      <w:r>
        <w:t>165</w:t>
      </w:r>
      <w:r>
        <w:fldChar w:fldCharType="end"/>
      </w:r>
    </w:p>
    <w:p>
      <w:pPr>
        <w:pStyle w:val="TOC8"/>
        <w:rPr>
          <w:sz w:val="24"/>
        </w:rPr>
      </w:pPr>
      <w:r>
        <w:t>145B</w:t>
      </w:r>
      <w:r>
        <w:rPr>
          <w:snapToGrid w:val="0"/>
        </w:rPr>
        <w:t>.</w:t>
      </w:r>
      <w:r>
        <w:rPr>
          <w:snapToGrid w:val="0"/>
        </w:rPr>
        <w:tab/>
        <w:t>Register for panel membership</w:t>
      </w:r>
      <w:r>
        <w:tab/>
      </w:r>
      <w:r>
        <w:fldChar w:fldCharType="begin"/>
      </w:r>
      <w:r>
        <w:instrText xml:space="preserve"> PAGEREF _Toc122833885 \h </w:instrText>
      </w:r>
      <w:r>
        <w:fldChar w:fldCharType="separate"/>
      </w:r>
      <w:r>
        <w:t>166</w:t>
      </w:r>
      <w:r>
        <w:fldChar w:fldCharType="end"/>
      </w:r>
    </w:p>
    <w:p>
      <w:pPr>
        <w:pStyle w:val="TOC8"/>
        <w:rPr>
          <w:sz w:val="24"/>
        </w:rPr>
      </w:pPr>
      <w:r>
        <w:t>145C</w:t>
      </w:r>
      <w:r>
        <w:rPr>
          <w:snapToGrid w:val="0"/>
        </w:rPr>
        <w:t>.</w:t>
      </w:r>
      <w:r>
        <w:rPr>
          <w:snapToGrid w:val="0"/>
        </w:rPr>
        <w:tab/>
        <w:t>Panel to be constituted</w:t>
      </w:r>
      <w:r>
        <w:tab/>
      </w:r>
      <w:r>
        <w:fldChar w:fldCharType="begin"/>
      </w:r>
      <w:r>
        <w:instrText xml:space="preserve"> PAGEREF _Toc122833886 \h </w:instrText>
      </w:r>
      <w:r>
        <w:fldChar w:fldCharType="separate"/>
      </w:r>
      <w:r>
        <w:t>166</w:t>
      </w:r>
      <w:r>
        <w:fldChar w:fldCharType="end"/>
      </w:r>
    </w:p>
    <w:p>
      <w:pPr>
        <w:pStyle w:val="TOC8"/>
        <w:rPr>
          <w:sz w:val="24"/>
        </w:rPr>
      </w:pPr>
      <w:r>
        <w:t>145D</w:t>
      </w:r>
      <w:r>
        <w:rPr>
          <w:snapToGrid w:val="0"/>
        </w:rPr>
        <w:t>.</w:t>
      </w:r>
      <w:r>
        <w:rPr>
          <w:snapToGrid w:val="0"/>
        </w:rPr>
        <w:tab/>
        <w:t>Procedures</w:t>
      </w:r>
      <w:r>
        <w:tab/>
      </w:r>
      <w:r>
        <w:fldChar w:fldCharType="begin"/>
      </w:r>
      <w:r>
        <w:instrText xml:space="preserve"> PAGEREF _Toc122833887 \h </w:instrText>
      </w:r>
      <w:r>
        <w:fldChar w:fldCharType="separate"/>
      </w:r>
      <w:r>
        <w:t>167</w:t>
      </w:r>
      <w:r>
        <w:fldChar w:fldCharType="end"/>
      </w:r>
    </w:p>
    <w:p>
      <w:pPr>
        <w:pStyle w:val="TOC8"/>
        <w:rPr>
          <w:sz w:val="24"/>
        </w:rPr>
      </w:pPr>
      <w:r>
        <w:t>145E</w:t>
      </w:r>
      <w:r>
        <w:rPr>
          <w:snapToGrid w:val="0"/>
        </w:rPr>
        <w:t>.</w:t>
      </w:r>
      <w:r>
        <w:rPr>
          <w:snapToGrid w:val="0"/>
        </w:rPr>
        <w:tab/>
        <w:t>Determinations</w:t>
      </w:r>
      <w:r>
        <w:tab/>
      </w:r>
      <w:r>
        <w:fldChar w:fldCharType="begin"/>
      </w:r>
      <w:r>
        <w:instrText xml:space="preserve"> PAGEREF _Toc122833888 \h </w:instrText>
      </w:r>
      <w:r>
        <w:fldChar w:fldCharType="separate"/>
      </w:r>
      <w:r>
        <w:t>168</w:t>
      </w:r>
      <w:r>
        <w:fldChar w:fldCharType="end"/>
      </w:r>
    </w:p>
    <w:p>
      <w:pPr>
        <w:pStyle w:val="TOC8"/>
        <w:rPr>
          <w:sz w:val="24"/>
        </w:rPr>
      </w:pPr>
      <w:r>
        <w:t>145F</w:t>
      </w:r>
      <w:r>
        <w:rPr>
          <w:snapToGrid w:val="0"/>
        </w:rPr>
        <w:t>.</w:t>
      </w:r>
      <w:r>
        <w:rPr>
          <w:snapToGrid w:val="0"/>
        </w:rPr>
        <w:tab/>
        <w:t>Review</w:t>
      </w:r>
      <w:r>
        <w:tab/>
      </w:r>
      <w:r>
        <w:fldChar w:fldCharType="begin"/>
      </w:r>
      <w:r>
        <w:instrText xml:space="preserve"> PAGEREF _Toc122833889 \h </w:instrText>
      </w:r>
      <w:r>
        <w:fldChar w:fldCharType="separate"/>
      </w:r>
      <w:r>
        <w:t>170</w:t>
      </w:r>
      <w:r>
        <w:fldChar w:fldCharType="end"/>
      </w:r>
    </w:p>
    <w:p>
      <w:pPr>
        <w:pStyle w:val="TOC8"/>
        <w:rPr>
          <w:sz w:val="24"/>
        </w:rPr>
      </w:pPr>
      <w:r>
        <w:t>145G</w:t>
      </w:r>
      <w:r>
        <w:rPr>
          <w:snapToGrid w:val="0"/>
        </w:rPr>
        <w:t>.</w:t>
      </w:r>
      <w:r>
        <w:rPr>
          <w:snapToGrid w:val="0"/>
        </w:rPr>
        <w:tab/>
        <w:t>Remuneration</w:t>
      </w:r>
      <w:r>
        <w:tab/>
      </w:r>
      <w:r>
        <w:fldChar w:fldCharType="begin"/>
      </w:r>
      <w:r>
        <w:instrText xml:space="preserve"> PAGEREF _Toc122833890 \h </w:instrText>
      </w:r>
      <w:r>
        <w:fldChar w:fldCharType="separate"/>
      </w:r>
      <w:r>
        <w:t>170</w:t>
      </w:r>
      <w:r>
        <w:fldChar w:fldCharType="end"/>
      </w:r>
    </w:p>
    <w:p>
      <w:pPr>
        <w:pStyle w:val="TOC4"/>
        <w:tabs>
          <w:tab w:val="right" w:leader="dot" w:pos="7078"/>
        </w:tabs>
        <w:rPr>
          <w:b w:val="0"/>
          <w:sz w:val="24"/>
        </w:rPr>
      </w:pPr>
      <w:r>
        <w:t>Division 2 — Assessing degree of impairment</w:t>
      </w:r>
    </w:p>
    <w:p>
      <w:pPr>
        <w:pStyle w:val="TOC8"/>
        <w:rPr>
          <w:sz w:val="24"/>
        </w:rPr>
      </w:pPr>
      <w:r>
        <w:t>146.</w:t>
      </w:r>
      <w:r>
        <w:tab/>
        <w:t>Degree of impairment</w:t>
      </w:r>
      <w:r>
        <w:tab/>
      </w:r>
      <w:r>
        <w:fldChar w:fldCharType="begin"/>
      </w:r>
      <w:r>
        <w:instrText xml:space="preserve"> PAGEREF _Toc122833892 \h </w:instrText>
      </w:r>
      <w:r>
        <w:fldChar w:fldCharType="separate"/>
      </w:r>
      <w:r>
        <w:t>170</w:t>
      </w:r>
      <w:r>
        <w:fldChar w:fldCharType="end"/>
      </w:r>
    </w:p>
    <w:p>
      <w:pPr>
        <w:pStyle w:val="TOC8"/>
        <w:rPr>
          <w:sz w:val="24"/>
        </w:rPr>
      </w:pPr>
      <w:r>
        <w:t>146A.</w:t>
      </w:r>
      <w:r>
        <w:tab/>
        <w:t>Evaluation of impairment generally</w:t>
      </w:r>
      <w:r>
        <w:tab/>
      </w:r>
      <w:r>
        <w:fldChar w:fldCharType="begin"/>
      </w:r>
      <w:r>
        <w:instrText xml:space="preserve"> PAGEREF _Toc122833893 \h </w:instrText>
      </w:r>
      <w:r>
        <w:fldChar w:fldCharType="separate"/>
      </w:r>
      <w:r>
        <w:t>171</w:t>
      </w:r>
      <w:r>
        <w:fldChar w:fldCharType="end"/>
      </w:r>
    </w:p>
    <w:p>
      <w:pPr>
        <w:pStyle w:val="TOC8"/>
        <w:rPr>
          <w:sz w:val="24"/>
        </w:rPr>
      </w:pPr>
      <w:r>
        <w:t>146B.</w:t>
      </w:r>
      <w:r>
        <w:tab/>
        <w:t>Evaluation for the purposes of Part III Division 2A</w:t>
      </w:r>
      <w:r>
        <w:tab/>
      </w:r>
      <w:r>
        <w:fldChar w:fldCharType="begin"/>
      </w:r>
      <w:r>
        <w:instrText xml:space="preserve"> PAGEREF _Toc122833894 \h </w:instrText>
      </w:r>
      <w:r>
        <w:fldChar w:fldCharType="separate"/>
      </w:r>
      <w:r>
        <w:t>172</w:t>
      </w:r>
      <w:r>
        <w:fldChar w:fldCharType="end"/>
      </w:r>
    </w:p>
    <w:p>
      <w:pPr>
        <w:pStyle w:val="TOC8"/>
        <w:rPr>
          <w:sz w:val="24"/>
        </w:rPr>
      </w:pPr>
      <w:r>
        <w:t>146C.</w:t>
      </w:r>
      <w:r>
        <w:tab/>
        <w:t>Evaluation for purposes of Part IV Division 2 Subdivision 3</w:t>
      </w:r>
      <w:r>
        <w:tab/>
      </w:r>
      <w:r>
        <w:fldChar w:fldCharType="begin"/>
      </w:r>
      <w:r>
        <w:instrText xml:space="preserve"> PAGEREF _Toc122833895 \h </w:instrText>
      </w:r>
      <w:r>
        <w:fldChar w:fldCharType="separate"/>
      </w:r>
      <w:r>
        <w:t>172</w:t>
      </w:r>
      <w:r>
        <w:fldChar w:fldCharType="end"/>
      </w:r>
    </w:p>
    <w:p>
      <w:pPr>
        <w:pStyle w:val="TOC8"/>
        <w:rPr>
          <w:sz w:val="24"/>
        </w:rPr>
      </w:pPr>
      <w:r>
        <w:t>146D.</w:t>
      </w:r>
      <w:r>
        <w:tab/>
        <w:t>Evaluation for the purposes of Part IXA</w:t>
      </w:r>
      <w:r>
        <w:tab/>
      </w:r>
      <w:r>
        <w:fldChar w:fldCharType="begin"/>
      </w:r>
      <w:r>
        <w:instrText xml:space="preserve"> PAGEREF _Toc122833896 \h </w:instrText>
      </w:r>
      <w:r>
        <w:fldChar w:fldCharType="separate"/>
      </w:r>
      <w:r>
        <w:t>173</w:t>
      </w:r>
      <w:r>
        <w:fldChar w:fldCharType="end"/>
      </w:r>
    </w:p>
    <w:p>
      <w:pPr>
        <w:pStyle w:val="TOC8"/>
        <w:rPr>
          <w:sz w:val="24"/>
        </w:rPr>
      </w:pPr>
      <w:r>
        <w:t>146E.</w:t>
      </w:r>
      <w:r>
        <w:tab/>
        <w:t>Evaluation for the purposes of clause 18A</w:t>
      </w:r>
      <w:r>
        <w:tab/>
      </w:r>
      <w:r>
        <w:fldChar w:fldCharType="begin"/>
      </w:r>
      <w:r>
        <w:instrText xml:space="preserve"> PAGEREF _Toc122833897 \h </w:instrText>
      </w:r>
      <w:r>
        <w:fldChar w:fldCharType="separate"/>
      </w:r>
      <w:r>
        <w:t>173</w:t>
      </w:r>
      <w:r>
        <w:fldChar w:fldCharType="end"/>
      </w:r>
    </w:p>
    <w:p>
      <w:pPr>
        <w:pStyle w:val="TOC8"/>
        <w:rPr>
          <w:sz w:val="24"/>
        </w:rPr>
      </w:pPr>
      <w:r>
        <w:t>146F.</w:t>
      </w:r>
      <w:r>
        <w:tab/>
        <w:t>Approved medical specialist</w:t>
      </w:r>
      <w:r>
        <w:tab/>
      </w:r>
      <w:r>
        <w:fldChar w:fldCharType="begin"/>
      </w:r>
      <w:r>
        <w:instrText xml:space="preserve"> PAGEREF _Toc122833898 \h </w:instrText>
      </w:r>
      <w:r>
        <w:fldChar w:fldCharType="separate"/>
      </w:r>
      <w:r>
        <w:t>174</w:t>
      </w:r>
      <w:r>
        <w:fldChar w:fldCharType="end"/>
      </w:r>
    </w:p>
    <w:p>
      <w:pPr>
        <w:pStyle w:val="TOC8"/>
        <w:rPr>
          <w:sz w:val="24"/>
        </w:rPr>
      </w:pPr>
      <w:r>
        <w:t>146G.</w:t>
      </w:r>
      <w:r>
        <w:tab/>
        <w:t>Powers of approved medical specialist</w:t>
      </w:r>
      <w:r>
        <w:tab/>
      </w:r>
      <w:r>
        <w:fldChar w:fldCharType="begin"/>
      </w:r>
      <w:r>
        <w:instrText xml:space="preserve"> PAGEREF _Toc122833899 \h </w:instrText>
      </w:r>
      <w:r>
        <w:fldChar w:fldCharType="separate"/>
      </w:r>
      <w:r>
        <w:t>175</w:t>
      </w:r>
      <w:r>
        <w:fldChar w:fldCharType="end"/>
      </w:r>
    </w:p>
    <w:p>
      <w:pPr>
        <w:pStyle w:val="TOC8"/>
        <w:rPr>
          <w:sz w:val="24"/>
        </w:rPr>
      </w:pPr>
      <w:r>
        <w:t>146H.</w:t>
      </w:r>
      <w:r>
        <w:tab/>
        <w:t>Outcome of assessment</w:t>
      </w:r>
      <w:r>
        <w:tab/>
      </w:r>
      <w:r>
        <w:fldChar w:fldCharType="begin"/>
      </w:r>
      <w:r>
        <w:instrText xml:space="preserve"> PAGEREF _Toc122833900 \h </w:instrText>
      </w:r>
      <w:r>
        <w:fldChar w:fldCharType="separate"/>
      </w:r>
      <w:r>
        <w:t>176</w:t>
      </w:r>
      <w:r>
        <w:fldChar w:fldCharType="end"/>
      </w:r>
    </w:p>
    <w:p>
      <w:pPr>
        <w:pStyle w:val="TOC8"/>
        <w:rPr>
          <w:sz w:val="24"/>
        </w:rPr>
      </w:pPr>
      <w:r>
        <w:t>146I.</w:t>
      </w:r>
      <w:r>
        <w:tab/>
        <w:t>Release of information relevant to assessment</w:t>
      </w:r>
      <w:r>
        <w:tab/>
      </w:r>
      <w:r>
        <w:fldChar w:fldCharType="begin"/>
      </w:r>
      <w:r>
        <w:instrText xml:space="preserve"> PAGEREF _Toc122833901 \h </w:instrText>
      </w:r>
      <w:r>
        <w:fldChar w:fldCharType="separate"/>
      </w:r>
      <w:r>
        <w:t>178</w:t>
      </w:r>
      <w:r>
        <w:fldChar w:fldCharType="end"/>
      </w:r>
    </w:p>
    <w:p>
      <w:pPr>
        <w:pStyle w:val="TOC8"/>
        <w:rPr>
          <w:sz w:val="24"/>
        </w:rPr>
      </w:pPr>
      <w:r>
        <w:t>146J.</w:t>
      </w:r>
      <w:r>
        <w:tab/>
        <w:t>Decisions of approved medical specialist</w:t>
      </w:r>
      <w:r>
        <w:tab/>
      </w:r>
      <w:r>
        <w:fldChar w:fldCharType="begin"/>
      </w:r>
      <w:r>
        <w:instrText xml:space="preserve"> PAGEREF _Toc122833902 \h </w:instrText>
      </w:r>
      <w:r>
        <w:fldChar w:fldCharType="separate"/>
      </w:r>
      <w:r>
        <w:t>178</w:t>
      </w:r>
      <w:r>
        <w:fldChar w:fldCharType="end"/>
      </w:r>
    </w:p>
    <w:p>
      <w:pPr>
        <w:pStyle w:val="TOC4"/>
        <w:tabs>
          <w:tab w:val="right" w:leader="dot" w:pos="7078"/>
        </w:tabs>
        <w:rPr>
          <w:b w:val="0"/>
          <w:sz w:val="24"/>
        </w:rPr>
      </w:pPr>
      <w:r>
        <w:t>Division 3 — Approved medical specialist panels</w:t>
      </w:r>
    </w:p>
    <w:p>
      <w:pPr>
        <w:pStyle w:val="TOC8"/>
        <w:rPr>
          <w:sz w:val="24"/>
        </w:rPr>
      </w:pPr>
      <w:r>
        <w:t>146K.</w:t>
      </w:r>
      <w:r>
        <w:tab/>
        <w:t>Panel to be constituted</w:t>
      </w:r>
      <w:r>
        <w:tab/>
      </w:r>
      <w:r>
        <w:fldChar w:fldCharType="begin"/>
      </w:r>
      <w:r>
        <w:instrText xml:space="preserve"> PAGEREF _Toc122833904 \h </w:instrText>
      </w:r>
      <w:r>
        <w:fldChar w:fldCharType="separate"/>
      </w:r>
      <w:r>
        <w:t>178</w:t>
      </w:r>
      <w:r>
        <w:fldChar w:fldCharType="end"/>
      </w:r>
    </w:p>
    <w:p>
      <w:pPr>
        <w:pStyle w:val="TOC8"/>
        <w:rPr>
          <w:sz w:val="24"/>
        </w:rPr>
      </w:pPr>
      <w:r>
        <w:t>146L.</w:t>
      </w:r>
      <w:r>
        <w:tab/>
        <w:t>Procedures</w:t>
      </w:r>
      <w:r>
        <w:tab/>
      </w:r>
      <w:r>
        <w:fldChar w:fldCharType="begin"/>
      </w:r>
      <w:r>
        <w:instrText xml:space="preserve"> PAGEREF _Toc122833905 \h </w:instrText>
      </w:r>
      <w:r>
        <w:fldChar w:fldCharType="separate"/>
      </w:r>
      <w:r>
        <w:t>179</w:t>
      </w:r>
      <w:r>
        <w:fldChar w:fldCharType="end"/>
      </w:r>
    </w:p>
    <w:p>
      <w:pPr>
        <w:pStyle w:val="TOC8"/>
        <w:rPr>
          <w:sz w:val="24"/>
        </w:rPr>
      </w:pPr>
      <w:r>
        <w:t>146M.</w:t>
      </w:r>
      <w:r>
        <w:tab/>
        <w:t>Failure to comply with requirement of approved medical specialist panel</w:t>
      </w:r>
      <w:r>
        <w:tab/>
      </w:r>
      <w:r>
        <w:fldChar w:fldCharType="begin"/>
      </w:r>
      <w:r>
        <w:instrText xml:space="preserve"> PAGEREF _Toc122833906 \h </w:instrText>
      </w:r>
      <w:r>
        <w:fldChar w:fldCharType="separate"/>
      </w:r>
      <w:r>
        <w:t>180</w:t>
      </w:r>
      <w:r>
        <w:fldChar w:fldCharType="end"/>
      </w:r>
    </w:p>
    <w:p>
      <w:pPr>
        <w:pStyle w:val="TOC8"/>
        <w:rPr>
          <w:sz w:val="24"/>
        </w:rPr>
      </w:pPr>
      <w:r>
        <w:t>146N.</w:t>
      </w:r>
      <w:r>
        <w:tab/>
        <w:t>Assessment of impairment by approved medical specialist panel</w:t>
      </w:r>
      <w:r>
        <w:tab/>
      </w:r>
      <w:r>
        <w:fldChar w:fldCharType="begin"/>
      </w:r>
      <w:r>
        <w:instrText xml:space="preserve"> PAGEREF _Toc122833907 \h </w:instrText>
      </w:r>
      <w:r>
        <w:fldChar w:fldCharType="separate"/>
      </w:r>
      <w:r>
        <w:t>181</w:t>
      </w:r>
      <w:r>
        <w:fldChar w:fldCharType="end"/>
      </w:r>
    </w:p>
    <w:p>
      <w:pPr>
        <w:pStyle w:val="TOC8"/>
        <w:rPr>
          <w:sz w:val="24"/>
        </w:rPr>
      </w:pPr>
      <w:r>
        <w:t>146O.</w:t>
      </w:r>
      <w:r>
        <w:tab/>
        <w:t>Outcome of assessment by approved medical specialist panel</w:t>
      </w:r>
      <w:r>
        <w:tab/>
      </w:r>
      <w:r>
        <w:fldChar w:fldCharType="begin"/>
      </w:r>
      <w:r>
        <w:instrText xml:space="preserve"> PAGEREF _Toc122833908 \h </w:instrText>
      </w:r>
      <w:r>
        <w:fldChar w:fldCharType="separate"/>
      </w:r>
      <w:r>
        <w:t>181</w:t>
      </w:r>
      <w:r>
        <w:fldChar w:fldCharType="end"/>
      </w:r>
    </w:p>
    <w:p>
      <w:pPr>
        <w:pStyle w:val="TOC8"/>
        <w:rPr>
          <w:sz w:val="24"/>
        </w:rPr>
      </w:pPr>
      <w:r>
        <w:t>146P.</w:t>
      </w:r>
      <w:r>
        <w:tab/>
        <w:t>No assessment without unanimous agreement</w:t>
      </w:r>
      <w:r>
        <w:tab/>
      </w:r>
      <w:r>
        <w:fldChar w:fldCharType="begin"/>
      </w:r>
      <w:r>
        <w:instrText xml:space="preserve"> PAGEREF _Toc122833909 \h </w:instrText>
      </w:r>
      <w:r>
        <w:fldChar w:fldCharType="separate"/>
      </w:r>
      <w:r>
        <w:t>183</w:t>
      </w:r>
      <w:r>
        <w:fldChar w:fldCharType="end"/>
      </w:r>
    </w:p>
    <w:p>
      <w:pPr>
        <w:pStyle w:val="TOC8"/>
        <w:rPr>
          <w:sz w:val="24"/>
        </w:rPr>
      </w:pPr>
      <w:r>
        <w:t>146Q.</w:t>
      </w:r>
      <w:r>
        <w:tab/>
        <w:t>Remuneration</w:t>
      </w:r>
      <w:r>
        <w:tab/>
      </w:r>
      <w:r>
        <w:fldChar w:fldCharType="begin"/>
      </w:r>
      <w:r>
        <w:instrText xml:space="preserve"> PAGEREF _Toc122833910 \h </w:instrText>
      </w:r>
      <w:r>
        <w:fldChar w:fldCharType="separate"/>
      </w:r>
      <w:r>
        <w:t>183</w:t>
      </w:r>
      <w:r>
        <w:fldChar w:fldCharType="end"/>
      </w:r>
    </w:p>
    <w:p>
      <w:pPr>
        <w:pStyle w:val="TOC4"/>
        <w:tabs>
          <w:tab w:val="right" w:leader="dot" w:pos="7078"/>
        </w:tabs>
        <w:rPr>
          <w:b w:val="0"/>
          <w:sz w:val="24"/>
        </w:rPr>
      </w:pPr>
      <w:r>
        <w:t>Division 4 — WorkCover Guides</w:t>
      </w:r>
    </w:p>
    <w:p>
      <w:pPr>
        <w:pStyle w:val="TOC8"/>
        <w:rPr>
          <w:sz w:val="24"/>
        </w:rPr>
      </w:pPr>
      <w:r>
        <w:t>146R.</w:t>
      </w:r>
      <w:r>
        <w:tab/>
        <w:t>WorkCover Guides</w:t>
      </w:r>
      <w:r>
        <w:tab/>
      </w:r>
      <w:r>
        <w:fldChar w:fldCharType="begin"/>
      </w:r>
      <w:r>
        <w:instrText xml:space="preserve"> PAGEREF _Toc122833912 \h </w:instrText>
      </w:r>
      <w:r>
        <w:fldChar w:fldCharType="separate"/>
      </w:r>
      <w:r>
        <w:t>184</w:t>
      </w:r>
      <w:r>
        <w:fldChar w:fldCharType="end"/>
      </w:r>
    </w:p>
    <w:p>
      <w:pPr>
        <w:pStyle w:val="TOC4"/>
        <w:tabs>
          <w:tab w:val="right" w:leader="dot" w:pos="7078"/>
        </w:tabs>
        <w:rPr>
          <w:b w:val="0"/>
          <w:sz w:val="24"/>
        </w:rPr>
      </w:pPr>
      <w:r>
        <w:t>Division 5 — Assessment for specialised retraining programs</w:t>
      </w:r>
    </w:p>
    <w:p>
      <w:pPr>
        <w:pStyle w:val="TOC8"/>
        <w:rPr>
          <w:sz w:val="24"/>
        </w:rPr>
      </w:pPr>
      <w:r>
        <w:t>146S.</w:t>
      </w:r>
      <w:r>
        <w:tab/>
        <w:t>Register for panel membership</w:t>
      </w:r>
      <w:r>
        <w:tab/>
      </w:r>
      <w:r>
        <w:fldChar w:fldCharType="begin"/>
      </w:r>
      <w:r>
        <w:instrText xml:space="preserve"> PAGEREF _Toc122833914 \h </w:instrText>
      </w:r>
      <w:r>
        <w:fldChar w:fldCharType="separate"/>
      </w:r>
      <w:r>
        <w:t>184</w:t>
      </w:r>
      <w:r>
        <w:fldChar w:fldCharType="end"/>
      </w:r>
    </w:p>
    <w:p>
      <w:pPr>
        <w:pStyle w:val="TOC8"/>
        <w:rPr>
          <w:sz w:val="24"/>
        </w:rPr>
      </w:pPr>
      <w:r>
        <w:t>146T.</w:t>
      </w:r>
      <w:r>
        <w:tab/>
        <w:t>Panel to be constituted</w:t>
      </w:r>
      <w:r>
        <w:tab/>
      </w:r>
      <w:r>
        <w:fldChar w:fldCharType="begin"/>
      </w:r>
      <w:r>
        <w:instrText xml:space="preserve"> PAGEREF _Toc122833915 \h </w:instrText>
      </w:r>
      <w:r>
        <w:fldChar w:fldCharType="separate"/>
      </w:r>
      <w:r>
        <w:t>184</w:t>
      </w:r>
      <w:r>
        <w:fldChar w:fldCharType="end"/>
      </w:r>
    </w:p>
    <w:p>
      <w:pPr>
        <w:pStyle w:val="TOC8"/>
        <w:rPr>
          <w:sz w:val="24"/>
        </w:rPr>
      </w:pPr>
      <w:r>
        <w:t>146U.</w:t>
      </w:r>
      <w:r>
        <w:tab/>
        <w:t>Procedures</w:t>
      </w:r>
      <w:r>
        <w:tab/>
      </w:r>
      <w:r>
        <w:fldChar w:fldCharType="begin"/>
      </w:r>
      <w:r>
        <w:instrText xml:space="preserve"> PAGEREF _Toc122833916 \h </w:instrText>
      </w:r>
      <w:r>
        <w:fldChar w:fldCharType="separate"/>
      </w:r>
      <w:r>
        <w:t>185</w:t>
      </w:r>
      <w:r>
        <w:fldChar w:fldCharType="end"/>
      </w:r>
    </w:p>
    <w:p>
      <w:pPr>
        <w:pStyle w:val="TOC8"/>
        <w:rPr>
          <w:sz w:val="24"/>
        </w:rPr>
      </w:pPr>
      <w:r>
        <w:t>146V.</w:t>
      </w:r>
      <w:r>
        <w:tab/>
        <w:t>Assessments</w:t>
      </w:r>
      <w:r>
        <w:tab/>
      </w:r>
      <w:r>
        <w:fldChar w:fldCharType="begin"/>
      </w:r>
      <w:r>
        <w:instrText xml:space="preserve"> PAGEREF _Toc122833917 \h </w:instrText>
      </w:r>
      <w:r>
        <w:fldChar w:fldCharType="separate"/>
      </w:r>
      <w:r>
        <w:t>186</w:t>
      </w:r>
      <w:r>
        <w:fldChar w:fldCharType="end"/>
      </w:r>
    </w:p>
    <w:p>
      <w:pPr>
        <w:pStyle w:val="TOC8"/>
        <w:rPr>
          <w:sz w:val="24"/>
        </w:rPr>
      </w:pPr>
      <w:r>
        <w:t>146W.</w:t>
      </w:r>
      <w:r>
        <w:tab/>
        <w:t>Remuneration</w:t>
      </w:r>
      <w:r>
        <w:tab/>
      </w:r>
      <w:r>
        <w:fldChar w:fldCharType="begin"/>
      </w:r>
      <w:r>
        <w:instrText xml:space="preserve"> PAGEREF _Toc122833918 \h </w:instrText>
      </w:r>
      <w:r>
        <w:fldChar w:fldCharType="separate"/>
      </w:r>
      <w:r>
        <w:t>188</w:t>
      </w:r>
      <w:r>
        <w:fldChar w:fldCharType="end"/>
      </w:r>
    </w:p>
    <w:p>
      <w:pPr>
        <w:pStyle w:val="TOC2"/>
        <w:tabs>
          <w:tab w:val="right" w:leader="dot" w:pos="7078"/>
        </w:tabs>
        <w:outlineLvl w:val="0"/>
        <w:rPr>
          <w:b w:val="0"/>
          <w:sz w:val="24"/>
        </w:rPr>
      </w:pPr>
      <w:r>
        <w:t>Part VIII — Premium Rates</w:t>
      </w:r>
    </w:p>
    <w:p>
      <w:pPr>
        <w:pStyle w:val="TOC8"/>
        <w:rPr>
          <w:sz w:val="24"/>
        </w:rPr>
      </w:pPr>
      <w:r>
        <w:t>151</w:t>
      </w:r>
      <w:r>
        <w:rPr>
          <w:snapToGrid w:val="0"/>
        </w:rPr>
        <w:t>.</w:t>
      </w:r>
      <w:r>
        <w:rPr>
          <w:snapToGrid w:val="0"/>
        </w:rPr>
        <w:tab/>
        <w:t>Fixing premiums</w:t>
      </w:r>
      <w:r>
        <w:tab/>
      </w:r>
      <w:r>
        <w:fldChar w:fldCharType="begin"/>
      </w:r>
      <w:r>
        <w:instrText xml:space="preserve"> PAGEREF _Toc122833920 \h </w:instrText>
      </w:r>
      <w:r>
        <w:fldChar w:fldCharType="separate"/>
      </w:r>
      <w:r>
        <w:t>189</w:t>
      </w:r>
      <w:r>
        <w:fldChar w:fldCharType="end"/>
      </w:r>
    </w:p>
    <w:p>
      <w:pPr>
        <w:pStyle w:val="TOC8"/>
        <w:rPr>
          <w:sz w:val="24"/>
        </w:rPr>
      </w:pPr>
      <w:r>
        <w:t>151A</w:t>
      </w:r>
      <w:r>
        <w:rPr>
          <w:snapToGrid w:val="0"/>
        </w:rPr>
        <w:t>.</w:t>
      </w:r>
      <w:r>
        <w:rPr>
          <w:snapToGrid w:val="0"/>
        </w:rPr>
        <w:tab/>
        <w:t>Report as to rates</w:t>
      </w:r>
      <w:r>
        <w:tab/>
      </w:r>
      <w:r>
        <w:fldChar w:fldCharType="begin"/>
      </w:r>
      <w:r>
        <w:instrText xml:space="preserve"> PAGEREF _Toc122833921 \h </w:instrText>
      </w:r>
      <w:r>
        <w:fldChar w:fldCharType="separate"/>
      </w:r>
      <w:r>
        <w:t>190</w:t>
      </w:r>
      <w:r>
        <w:fldChar w:fldCharType="end"/>
      </w:r>
    </w:p>
    <w:p>
      <w:pPr>
        <w:pStyle w:val="TOC8"/>
        <w:rPr>
          <w:sz w:val="24"/>
        </w:rPr>
      </w:pPr>
      <w:r>
        <w:t>152.</w:t>
      </w:r>
      <w:r>
        <w:tab/>
        <w:t>Loading not to exceed 100% unless permitted by WorkCover WA</w:t>
      </w:r>
      <w:r>
        <w:tab/>
      </w:r>
      <w:r>
        <w:fldChar w:fldCharType="begin"/>
      </w:r>
      <w:r>
        <w:instrText xml:space="preserve"> PAGEREF _Toc122833922 \h </w:instrText>
      </w:r>
      <w:r>
        <w:fldChar w:fldCharType="separate"/>
      </w:r>
      <w:r>
        <w:t>190</w:t>
      </w:r>
      <w:r>
        <w:fldChar w:fldCharType="end"/>
      </w:r>
    </w:p>
    <w:p>
      <w:pPr>
        <w:pStyle w:val="TOC8"/>
        <w:rPr>
          <w:sz w:val="24"/>
        </w:rPr>
      </w:pPr>
      <w:r>
        <w:t>153.</w:t>
      </w:r>
      <w:r>
        <w:tab/>
      </w:r>
      <w:r>
        <w:rPr>
          <w:snapToGrid w:val="0"/>
        </w:rPr>
        <w:t>Fixing maximum loading or discount</w:t>
      </w:r>
      <w:r>
        <w:tab/>
      </w:r>
      <w:r>
        <w:fldChar w:fldCharType="begin"/>
      </w:r>
      <w:r>
        <w:instrText xml:space="preserve"> PAGEREF _Toc122833923 \h </w:instrText>
      </w:r>
      <w:r>
        <w:fldChar w:fldCharType="separate"/>
      </w:r>
      <w:r>
        <w:t>190</w:t>
      </w:r>
      <w:r>
        <w:fldChar w:fldCharType="end"/>
      </w:r>
    </w:p>
    <w:p>
      <w:pPr>
        <w:pStyle w:val="TOC8"/>
        <w:rPr>
          <w:sz w:val="24"/>
        </w:rPr>
      </w:pPr>
      <w:r>
        <w:t>153A</w:t>
      </w:r>
      <w:r>
        <w:rPr>
          <w:snapToGrid w:val="0"/>
        </w:rPr>
        <w:t>.</w:t>
      </w:r>
      <w:r>
        <w:rPr>
          <w:snapToGrid w:val="0"/>
        </w:rPr>
        <w:tab/>
        <w:t>Minimum premiums</w:t>
      </w:r>
      <w:r>
        <w:tab/>
      </w:r>
      <w:r>
        <w:fldChar w:fldCharType="begin"/>
      </w:r>
      <w:r>
        <w:instrText xml:space="preserve"> PAGEREF _Toc122833924 \h </w:instrText>
      </w:r>
      <w:r>
        <w:fldChar w:fldCharType="separate"/>
      </w:r>
      <w:r>
        <w:t>191</w:t>
      </w:r>
      <w:r>
        <w:fldChar w:fldCharType="end"/>
      </w:r>
    </w:p>
    <w:p>
      <w:pPr>
        <w:pStyle w:val="TOC8"/>
        <w:rPr>
          <w:sz w:val="24"/>
        </w:rPr>
      </w:pPr>
      <w:r>
        <w:t>154</w:t>
      </w:r>
      <w:r>
        <w:rPr>
          <w:snapToGrid w:val="0"/>
        </w:rPr>
        <w:t>.</w:t>
      </w:r>
      <w:r>
        <w:rPr>
          <w:snapToGrid w:val="0"/>
        </w:rPr>
        <w:tab/>
        <w:t>Appeals</w:t>
      </w:r>
      <w:r>
        <w:tab/>
      </w:r>
      <w:r>
        <w:fldChar w:fldCharType="begin"/>
      </w:r>
      <w:r>
        <w:instrText xml:space="preserve"> PAGEREF _Toc122833925 \h </w:instrText>
      </w:r>
      <w:r>
        <w:fldChar w:fldCharType="separate"/>
      </w:r>
      <w:r>
        <w:t>191</w:t>
      </w:r>
      <w:r>
        <w:fldChar w:fldCharType="end"/>
      </w:r>
    </w:p>
    <w:p>
      <w:pPr>
        <w:pStyle w:val="TOC8"/>
        <w:rPr>
          <w:sz w:val="24"/>
        </w:rPr>
      </w:pPr>
      <w:r>
        <w:t>154A.</w:t>
      </w:r>
      <w:r>
        <w:tab/>
        <w:t>Regulations for provision of information</w:t>
      </w:r>
      <w:r>
        <w:tab/>
      </w:r>
      <w:r>
        <w:fldChar w:fldCharType="begin"/>
      </w:r>
      <w:r>
        <w:instrText xml:space="preserve"> PAGEREF _Toc122833926 \h </w:instrText>
      </w:r>
      <w:r>
        <w:fldChar w:fldCharType="separate"/>
      </w:r>
      <w:r>
        <w:t>192</w:t>
      </w:r>
      <w:r>
        <w:fldChar w:fldCharType="end"/>
      </w:r>
    </w:p>
    <w:p>
      <w:pPr>
        <w:pStyle w:val="TOC8"/>
        <w:rPr>
          <w:sz w:val="24"/>
        </w:rPr>
      </w:pPr>
      <w:r>
        <w:t>154AB.</w:t>
      </w:r>
      <w:r>
        <w:tab/>
        <w:t>Special directions by Minister</w:t>
      </w:r>
      <w:r>
        <w:tab/>
      </w:r>
      <w:r>
        <w:fldChar w:fldCharType="begin"/>
      </w:r>
      <w:r>
        <w:instrText xml:space="preserve"> PAGEREF _Toc122833927 \h </w:instrText>
      </w:r>
      <w:r>
        <w:fldChar w:fldCharType="separate"/>
      </w:r>
      <w:r>
        <w:t>193</w:t>
      </w:r>
      <w:r>
        <w:fldChar w:fldCharType="end"/>
      </w:r>
    </w:p>
    <w:p>
      <w:pPr>
        <w:pStyle w:val="TOC8"/>
        <w:rPr>
          <w:sz w:val="24"/>
        </w:rPr>
      </w:pPr>
      <w:r>
        <w:t>154AC.</w:t>
      </w:r>
      <w:r>
        <w:tab/>
        <w:t>Regulations for subsidy from Supplementation Fund</w:t>
      </w:r>
      <w:r>
        <w:tab/>
      </w:r>
      <w:r>
        <w:fldChar w:fldCharType="begin"/>
      </w:r>
      <w:r>
        <w:instrText xml:space="preserve"> PAGEREF _Toc122833928 \h </w:instrText>
      </w:r>
      <w:r>
        <w:fldChar w:fldCharType="separate"/>
      </w:r>
      <w:r>
        <w:t>193</w:t>
      </w:r>
      <w:r>
        <w:fldChar w:fldCharType="end"/>
      </w:r>
    </w:p>
    <w:p>
      <w:pPr>
        <w:pStyle w:val="TOC2"/>
        <w:tabs>
          <w:tab w:val="right" w:leader="dot" w:pos="7078"/>
        </w:tabs>
        <w:outlineLvl w:val="0"/>
        <w:rPr>
          <w:b w:val="0"/>
          <w:sz w:val="24"/>
        </w:rPr>
      </w:pPr>
      <w:r>
        <w:t>Part IX</w:t>
      </w:r>
      <w:r>
        <w:rPr>
          <w:b w:val="0"/>
        </w:rPr>
        <w:t> </w:t>
      </w:r>
      <w:r>
        <w:t>—</w:t>
      </w:r>
      <w:r>
        <w:rPr>
          <w:b w:val="0"/>
        </w:rPr>
        <w:t> </w:t>
      </w:r>
      <w:r>
        <w:t>Injury management</w:t>
      </w:r>
    </w:p>
    <w:p>
      <w:pPr>
        <w:pStyle w:val="TOC8"/>
        <w:rPr>
          <w:sz w:val="24"/>
        </w:rPr>
      </w:pPr>
      <w:r>
        <w:t>155.</w:t>
      </w:r>
      <w:r>
        <w:tab/>
        <w:t>Terms used in this Part</w:t>
      </w:r>
      <w:r>
        <w:tab/>
      </w:r>
      <w:r>
        <w:fldChar w:fldCharType="begin"/>
      </w:r>
      <w:r>
        <w:instrText xml:space="preserve"> PAGEREF _Toc122833930 \h </w:instrText>
      </w:r>
      <w:r>
        <w:fldChar w:fldCharType="separate"/>
      </w:r>
      <w:r>
        <w:t>194</w:t>
      </w:r>
      <w:r>
        <w:fldChar w:fldCharType="end"/>
      </w:r>
    </w:p>
    <w:p>
      <w:pPr>
        <w:pStyle w:val="TOC8"/>
        <w:rPr>
          <w:sz w:val="24"/>
        </w:rPr>
      </w:pPr>
      <w:r>
        <w:t>155A.</w:t>
      </w:r>
      <w:r>
        <w:tab/>
        <w:t>Code of practice (injury management)</w:t>
      </w:r>
      <w:r>
        <w:tab/>
      </w:r>
      <w:r>
        <w:fldChar w:fldCharType="begin"/>
      </w:r>
      <w:r>
        <w:instrText xml:space="preserve"> PAGEREF _Toc122833931 \h </w:instrText>
      </w:r>
      <w:r>
        <w:fldChar w:fldCharType="separate"/>
      </w:r>
      <w:r>
        <w:t>194</w:t>
      </w:r>
      <w:r>
        <w:fldChar w:fldCharType="end"/>
      </w:r>
    </w:p>
    <w:p>
      <w:pPr>
        <w:pStyle w:val="TOC8"/>
        <w:rPr>
          <w:sz w:val="24"/>
        </w:rPr>
      </w:pPr>
      <w:r>
        <w:t>155B.</w:t>
      </w:r>
      <w:r>
        <w:tab/>
        <w:t>Establishment of injury management systems for employer’s workers</w:t>
      </w:r>
      <w:r>
        <w:tab/>
      </w:r>
      <w:r>
        <w:fldChar w:fldCharType="begin"/>
      </w:r>
      <w:r>
        <w:instrText xml:space="preserve"> PAGEREF _Toc122833932 \h </w:instrText>
      </w:r>
      <w:r>
        <w:fldChar w:fldCharType="separate"/>
      </w:r>
      <w:r>
        <w:t>195</w:t>
      </w:r>
      <w:r>
        <w:fldChar w:fldCharType="end"/>
      </w:r>
    </w:p>
    <w:p>
      <w:pPr>
        <w:pStyle w:val="TOC8"/>
        <w:rPr>
          <w:sz w:val="24"/>
        </w:rPr>
      </w:pPr>
      <w:r>
        <w:t>155C.</w:t>
      </w:r>
      <w:r>
        <w:tab/>
        <w:t>Establishment of return to work programs for individual workers</w:t>
      </w:r>
      <w:r>
        <w:tab/>
      </w:r>
      <w:r>
        <w:fldChar w:fldCharType="begin"/>
      </w:r>
      <w:r>
        <w:instrText xml:space="preserve"> PAGEREF _Toc122833933 \h </w:instrText>
      </w:r>
      <w:r>
        <w:fldChar w:fldCharType="separate"/>
      </w:r>
      <w:r>
        <w:t>195</w:t>
      </w:r>
      <w:r>
        <w:fldChar w:fldCharType="end"/>
      </w:r>
    </w:p>
    <w:p>
      <w:pPr>
        <w:pStyle w:val="TOC8"/>
        <w:rPr>
          <w:sz w:val="24"/>
        </w:rPr>
      </w:pPr>
      <w:r>
        <w:t>155D.</w:t>
      </w:r>
      <w:r>
        <w:tab/>
        <w:t>Injury management: insurers’ obligations</w:t>
      </w:r>
      <w:r>
        <w:tab/>
      </w:r>
      <w:r>
        <w:fldChar w:fldCharType="begin"/>
      </w:r>
      <w:r>
        <w:instrText xml:space="preserve"> PAGEREF _Toc122833934 \h </w:instrText>
      </w:r>
      <w:r>
        <w:fldChar w:fldCharType="separate"/>
      </w:r>
      <w:r>
        <w:t>196</w:t>
      </w:r>
      <w:r>
        <w:fldChar w:fldCharType="end"/>
      </w:r>
    </w:p>
    <w:p>
      <w:pPr>
        <w:pStyle w:val="TOC8"/>
        <w:rPr>
          <w:sz w:val="24"/>
        </w:rPr>
      </w:pPr>
      <w:r>
        <w:t>156</w:t>
      </w:r>
      <w:r>
        <w:rPr>
          <w:snapToGrid w:val="0"/>
        </w:rPr>
        <w:t>.</w:t>
      </w:r>
      <w:r>
        <w:rPr>
          <w:snapToGrid w:val="0"/>
        </w:rPr>
        <w:tab/>
        <w:t>Approval of vocational rehabilitation providers</w:t>
      </w:r>
      <w:r>
        <w:tab/>
      </w:r>
      <w:r>
        <w:fldChar w:fldCharType="begin"/>
      </w:r>
      <w:r>
        <w:instrText xml:space="preserve"> PAGEREF _Toc122833935 \h </w:instrText>
      </w:r>
      <w:r>
        <w:fldChar w:fldCharType="separate"/>
      </w:r>
      <w:r>
        <w:t>197</w:t>
      </w:r>
      <w:r>
        <w:fldChar w:fldCharType="end"/>
      </w:r>
    </w:p>
    <w:p>
      <w:pPr>
        <w:pStyle w:val="TOC8"/>
        <w:rPr>
          <w:sz w:val="24"/>
        </w:rPr>
      </w:pPr>
      <w:r>
        <w:t>156A.</w:t>
      </w:r>
      <w:r>
        <w:tab/>
        <w:t>Vocational rehabilitation services</w:t>
      </w:r>
      <w:r>
        <w:tab/>
      </w:r>
      <w:r>
        <w:fldChar w:fldCharType="begin"/>
      </w:r>
      <w:r>
        <w:instrText xml:space="preserve"> PAGEREF _Toc122833936 \h </w:instrText>
      </w:r>
      <w:r>
        <w:fldChar w:fldCharType="separate"/>
      </w:r>
      <w:r>
        <w:t>198</w:t>
      </w:r>
      <w:r>
        <w:fldChar w:fldCharType="end"/>
      </w:r>
    </w:p>
    <w:p>
      <w:pPr>
        <w:pStyle w:val="TOC8"/>
        <w:rPr>
          <w:sz w:val="24"/>
        </w:rPr>
      </w:pPr>
      <w:r>
        <w:t>156B</w:t>
      </w:r>
      <w:r>
        <w:rPr>
          <w:snapToGrid w:val="0"/>
        </w:rPr>
        <w:t>.</w:t>
      </w:r>
      <w:r>
        <w:rPr>
          <w:snapToGrid w:val="0"/>
        </w:rPr>
        <w:tab/>
        <w:t>Arbitrators’ powers in relation to return to work programs</w:t>
      </w:r>
      <w:r>
        <w:tab/>
      </w:r>
      <w:r>
        <w:fldChar w:fldCharType="begin"/>
      </w:r>
      <w:r>
        <w:instrText xml:space="preserve"> PAGEREF _Toc122833937 \h </w:instrText>
      </w:r>
      <w:r>
        <w:fldChar w:fldCharType="separate"/>
      </w:r>
      <w:r>
        <w:t>198</w:t>
      </w:r>
      <w:r>
        <w:fldChar w:fldCharType="end"/>
      </w:r>
    </w:p>
    <w:p>
      <w:pPr>
        <w:pStyle w:val="TOC8"/>
        <w:rPr>
          <w:sz w:val="24"/>
        </w:rPr>
      </w:pPr>
      <w:r>
        <w:t>157</w:t>
      </w:r>
      <w:r>
        <w:rPr>
          <w:snapToGrid w:val="0"/>
        </w:rPr>
        <w:t>.</w:t>
      </w:r>
      <w:r>
        <w:rPr>
          <w:snapToGrid w:val="0"/>
        </w:rPr>
        <w:tab/>
        <w:t>Information about injury management matters</w:t>
      </w:r>
      <w:r>
        <w:tab/>
      </w:r>
      <w:r>
        <w:fldChar w:fldCharType="begin"/>
      </w:r>
      <w:r>
        <w:instrText xml:space="preserve"> PAGEREF _Toc122833938 \h </w:instrText>
      </w:r>
      <w:r>
        <w:fldChar w:fldCharType="separate"/>
      </w:r>
      <w:r>
        <w:t>199</w:t>
      </w:r>
      <w:r>
        <w:fldChar w:fldCharType="end"/>
      </w:r>
    </w:p>
    <w:p>
      <w:pPr>
        <w:pStyle w:val="TOC8"/>
        <w:rPr>
          <w:sz w:val="24"/>
        </w:rPr>
      </w:pPr>
      <w:r>
        <w:t>157A.</w:t>
      </w:r>
      <w:r>
        <w:tab/>
        <w:t>Early identification of injuries that require, or may require, management</w:t>
      </w:r>
      <w:r>
        <w:tab/>
      </w:r>
      <w:r>
        <w:fldChar w:fldCharType="begin"/>
      </w:r>
      <w:r>
        <w:instrText xml:space="preserve"> PAGEREF _Toc122833939 \h </w:instrText>
      </w:r>
      <w:r>
        <w:fldChar w:fldCharType="separate"/>
      </w:r>
      <w:r>
        <w:t>199</w:t>
      </w:r>
      <w:r>
        <w:fldChar w:fldCharType="end"/>
      </w:r>
    </w:p>
    <w:p>
      <w:pPr>
        <w:pStyle w:val="TOC8"/>
        <w:rPr>
          <w:sz w:val="24"/>
        </w:rPr>
      </w:pPr>
      <w:r>
        <w:t>157B.</w:t>
      </w:r>
      <w:r>
        <w:tab/>
        <w:t>Mediation and assistance</w:t>
      </w:r>
      <w:r>
        <w:tab/>
      </w:r>
      <w:r>
        <w:fldChar w:fldCharType="begin"/>
      </w:r>
      <w:r>
        <w:instrText xml:space="preserve"> PAGEREF _Toc122833940 \h </w:instrText>
      </w:r>
      <w:r>
        <w:fldChar w:fldCharType="separate"/>
      </w:r>
      <w:r>
        <w:t>201</w:t>
      </w:r>
      <w:r>
        <w:fldChar w:fldCharType="end"/>
      </w:r>
    </w:p>
    <w:p>
      <w:pPr>
        <w:pStyle w:val="TOC2"/>
        <w:tabs>
          <w:tab w:val="right" w:leader="dot" w:pos="7078"/>
        </w:tabs>
        <w:rPr>
          <w:b w:val="0"/>
          <w:sz w:val="24"/>
        </w:rPr>
      </w:pPr>
      <w:r>
        <w:t>Part IXA</w:t>
      </w:r>
      <w:r>
        <w:rPr>
          <w:b w:val="0"/>
        </w:rPr>
        <w:t> </w:t>
      </w:r>
      <w:r>
        <w:t>—</w:t>
      </w:r>
      <w:r>
        <w:rPr>
          <w:b w:val="0"/>
        </w:rPr>
        <w:t> </w:t>
      </w:r>
      <w:r>
        <w:t>Specialised retraining programs</w:t>
      </w:r>
    </w:p>
    <w:p>
      <w:pPr>
        <w:pStyle w:val="TOC8"/>
        <w:rPr>
          <w:sz w:val="24"/>
        </w:rPr>
      </w:pPr>
      <w:r>
        <w:t>158.</w:t>
      </w:r>
      <w:r>
        <w:tab/>
        <w:t>Meaning of “retraining criteria”</w:t>
      </w:r>
      <w:r>
        <w:tab/>
      </w:r>
      <w:r>
        <w:fldChar w:fldCharType="begin"/>
      </w:r>
      <w:r>
        <w:instrText xml:space="preserve"> PAGEREF _Toc122833942 \h </w:instrText>
      </w:r>
      <w:r>
        <w:fldChar w:fldCharType="separate"/>
      </w:r>
      <w:r>
        <w:t>202</w:t>
      </w:r>
      <w:r>
        <w:fldChar w:fldCharType="end"/>
      </w:r>
    </w:p>
    <w:p>
      <w:pPr>
        <w:pStyle w:val="TOC8"/>
        <w:rPr>
          <w:sz w:val="24"/>
        </w:rPr>
      </w:pPr>
      <w:r>
        <w:t>158A.</w:t>
      </w:r>
      <w:r>
        <w:tab/>
        <w:t>Eligibility to participate in specialised retraining programs</w:t>
      </w:r>
      <w:r>
        <w:tab/>
      </w:r>
      <w:r>
        <w:fldChar w:fldCharType="begin"/>
      </w:r>
      <w:r>
        <w:instrText xml:space="preserve"> PAGEREF _Toc122833943 \h </w:instrText>
      </w:r>
      <w:r>
        <w:fldChar w:fldCharType="separate"/>
      </w:r>
      <w:r>
        <w:t>203</w:t>
      </w:r>
      <w:r>
        <w:fldChar w:fldCharType="end"/>
      </w:r>
    </w:p>
    <w:p>
      <w:pPr>
        <w:pStyle w:val="TOC8"/>
        <w:rPr>
          <w:sz w:val="24"/>
        </w:rPr>
      </w:pPr>
      <w:r>
        <w:t>158B.</w:t>
      </w:r>
      <w:r>
        <w:tab/>
        <w:t>Final day for recording agreed matters, referring disputed matters for determination</w:t>
      </w:r>
      <w:r>
        <w:tab/>
      </w:r>
      <w:r>
        <w:fldChar w:fldCharType="begin"/>
      </w:r>
      <w:r>
        <w:instrText xml:space="preserve"> PAGEREF _Toc122833944 \h </w:instrText>
      </w:r>
      <w:r>
        <w:fldChar w:fldCharType="separate"/>
      </w:r>
      <w:r>
        <w:t>204</w:t>
      </w:r>
      <w:r>
        <w:fldChar w:fldCharType="end"/>
      </w:r>
    </w:p>
    <w:p>
      <w:pPr>
        <w:pStyle w:val="TOC8"/>
        <w:rPr>
          <w:sz w:val="24"/>
        </w:rPr>
      </w:pPr>
      <w:r>
        <w:t>158C.</w:t>
      </w:r>
      <w:r>
        <w:tab/>
        <w:t>Disputes as to degree of permanent whole of person impairment</w:t>
      </w:r>
      <w:r>
        <w:tab/>
      </w:r>
      <w:r>
        <w:fldChar w:fldCharType="begin"/>
      </w:r>
      <w:r>
        <w:instrText xml:space="preserve"> PAGEREF _Toc122833945 \h </w:instrText>
      </w:r>
      <w:r>
        <w:fldChar w:fldCharType="separate"/>
      </w:r>
      <w:r>
        <w:t>206</w:t>
      </w:r>
      <w:r>
        <w:fldChar w:fldCharType="end"/>
      </w:r>
    </w:p>
    <w:p>
      <w:pPr>
        <w:pStyle w:val="TOC8"/>
        <w:rPr>
          <w:sz w:val="24"/>
        </w:rPr>
      </w:pPr>
      <w:r>
        <w:t>158D.</w:t>
      </w:r>
      <w:r>
        <w:tab/>
        <w:t>Disputes as to retraining criteria</w:t>
      </w:r>
      <w:r>
        <w:tab/>
      </w:r>
      <w:r>
        <w:fldChar w:fldCharType="begin"/>
      </w:r>
      <w:r>
        <w:instrText xml:space="preserve"> PAGEREF _Toc122833946 \h </w:instrText>
      </w:r>
      <w:r>
        <w:fldChar w:fldCharType="separate"/>
      </w:r>
      <w:r>
        <w:t>207</w:t>
      </w:r>
      <w:r>
        <w:fldChar w:fldCharType="end"/>
      </w:r>
    </w:p>
    <w:p>
      <w:pPr>
        <w:pStyle w:val="TOC8"/>
        <w:rPr>
          <w:sz w:val="24"/>
        </w:rPr>
      </w:pPr>
      <w:r>
        <w:t>158E.</w:t>
      </w:r>
      <w:r>
        <w:tab/>
        <w:t>Specialised retraining program agreements</w:t>
      </w:r>
      <w:r>
        <w:tab/>
      </w:r>
      <w:r>
        <w:fldChar w:fldCharType="begin"/>
      </w:r>
      <w:r>
        <w:instrText xml:space="preserve"> PAGEREF _Toc122833947 \h </w:instrText>
      </w:r>
      <w:r>
        <w:fldChar w:fldCharType="separate"/>
      </w:r>
      <w:r>
        <w:t>208</w:t>
      </w:r>
      <w:r>
        <w:fldChar w:fldCharType="end"/>
      </w:r>
    </w:p>
    <w:p>
      <w:pPr>
        <w:pStyle w:val="TOC8"/>
        <w:rPr>
          <w:sz w:val="24"/>
        </w:rPr>
      </w:pPr>
      <w:r>
        <w:t>158F.</w:t>
      </w:r>
      <w:r>
        <w:tab/>
        <w:t>WorkCover WA to direct payments in relation to specialised retraining programs</w:t>
      </w:r>
      <w:r>
        <w:tab/>
      </w:r>
      <w:r>
        <w:fldChar w:fldCharType="begin"/>
      </w:r>
      <w:r>
        <w:instrText xml:space="preserve"> PAGEREF _Toc122833948 \h </w:instrText>
      </w:r>
      <w:r>
        <w:fldChar w:fldCharType="separate"/>
      </w:r>
      <w:r>
        <w:t>209</w:t>
      </w:r>
      <w:r>
        <w:fldChar w:fldCharType="end"/>
      </w:r>
    </w:p>
    <w:p>
      <w:pPr>
        <w:pStyle w:val="TOC8"/>
        <w:rPr>
          <w:sz w:val="24"/>
        </w:rPr>
      </w:pPr>
      <w:r>
        <w:t>158G.</w:t>
      </w:r>
      <w:r>
        <w:tab/>
        <w:t>Obligations of employers, insurers</w:t>
      </w:r>
      <w:r>
        <w:tab/>
      </w:r>
      <w:r>
        <w:fldChar w:fldCharType="begin"/>
      </w:r>
      <w:r>
        <w:instrText xml:space="preserve"> PAGEREF _Toc122833949 \h </w:instrText>
      </w:r>
      <w:r>
        <w:fldChar w:fldCharType="separate"/>
      </w:r>
      <w:r>
        <w:t>211</w:t>
      </w:r>
      <w:r>
        <w:fldChar w:fldCharType="end"/>
      </w:r>
    </w:p>
    <w:p>
      <w:pPr>
        <w:pStyle w:val="TOC8"/>
        <w:rPr>
          <w:sz w:val="24"/>
        </w:rPr>
      </w:pPr>
      <w:r>
        <w:t>158H.</w:t>
      </w:r>
      <w:r>
        <w:tab/>
        <w:t>3 monthly reviews of performance, payments under specialised retraining programs</w:t>
      </w:r>
      <w:r>
        <w:tab/>
      </w:r>
      <w:r>
        <w:fldChar w:fldCharType="begin"/>
      </w:r>
      <w:r>
        <w:instrText xml:space="preserve"> PAGEREF _Toc122833950 \h </w:instrText>
      </w:r>
      <w:r>
        <w:fldChar w:fldCharType="separate"/>
      </w:r>
      <w:r>
        <w:t>212</w:t>
      </w:r>
      <w:r>
        <w:fldChar w:fldCharType="end"/>
      </w:r>
    </w:p>
    <w:p>
      <w:pPr>
        <w:pStyle w:val="TOC8"/>
        <w:rPr>
          <w:sz w:val="24"/>
        </w:rPr>
      </w:pPr>
      <w:r>
        <w:t>158I.</w:t>
      </w:r>
      <w:r>
        <w:tab/>
        <w:t>WorkCover WA may direct modification, suspension, cessation of payments under specialised retraining programs</w:t>
      </w:r>
      <w:r>
        <w:tab/>
      </w:r>
      <w:r>
        <w:fldChar w:fldCharType="begin"/>
      </w:r>
      <w:r>
        <w:instrText xml:space="preserve"> PAGEREF _Toc122833951 \h </w:instrText>
      </w:r>
      <w:r>
        <w:fldChar w:fldCharType="separate"/>
      </w:r>
      <w:r>
        <w:t>212</w:t>
      </w:r>
      <w:r>
        <w:fldChar w:fldCharType="end"/>
      </w:r>
    </w:p>
    <w:p>
      <w:pPr>
        <w:pStyle w:val="TOC8"/>
        <w:rPr>
          <w:sz w:val="24"/>
        </w:rPr>
      </w:pPr>
      <w:r>
        <w:t>158J.</w:t>
      </w:r>
      <w:r>
        <w:tab/>
        <w:t>Cessation of payments</w:t>
      </w:r>
      <w:r>
        <w:tab/>
      </w:r>
      <w:r>
        <w:fldChar w:fldCharType="begin"/>
      </w:r>
      <w:r>
        <w:instrText xml:space="preserve"> PAGEREF _Toc122833952 \h </w:instrText>
      </w:r>
      <w:r>
        <w:fldChar w:fldCharType="separate"/>
      </w:r>
      <w:r>
        <w:t>213</w:t>
      </w:r>
      <w:r>
        <w:fldChar w:fldCharType="end"/>
      </w:r>
    </w:p>
    <w:p>
      <w:pPr>
        <w:pStyle w:val="TOC8"/>
        <w:rPr>
          <w:sz w:val="24"/>
        </w:rPr>
      </w:pPr>
      <w:r>
        <w:t>158K.</w:t>
      </w:r>
      <w:r>
        <w:tab/>
        <w:t>Directions not open to challenge etc.</w:t>
      </w:r>
      <w:r>
        <w:tab/>
      </w:r>
      <w:r>
        <w:fldChar w:fldCharType="begin"/>
      </w:r>
      <w:r>
        <w:instrText xml:space="preserve"> PAGEREF _Toc122833953 \h </w:instrText>
      </w:r>
      <w:r>
        <w:fldChar w:fldCharType="separate"/>
      </w:r>
      <w:r>
        <w:t>213</w:t>
      </w:r>
      <w:r>
        <w:fldChar w:fldCharType="end"/>
      </w:r>
    </w:p>
    <w:p>
      <w:pPr>
        <w:pStyle w:val="TOC8"/>
        <w:rPr>
          <w:sz w:val="24"/>
        </w:rPr>
      </w:pPr>
      <w:r>
        <w:t>158L.</w:t>
      </w:r>
      <w:r>
        <w:tab/>
        <w:t>Other effects of participation in specialised retraining program</w:t>
      </w:r>
      <w:r>
        <w:tab/>
      </w:r>
      <w:r>
        <w:fldChar w:fldCharType="begin"/>
      </w:r>
      <w:r>
        <w:instrText xml:space="preserve"> PAGEREF _Toc122833954 \h </w:instrText>
      </w:r>
      <w:r>
        <w:fldChar w:fldCharType="separate"/>
      </w:r>
      <w:r>
        <w:t>213</w:t>
      </w:r>
      <w:r>
        <w:fldChar w:fldCharType="end"/>
      </w:r>
    </w:p>
    <w:p>
      <w:pPr>
        <w:pStyle w:val="TOC2"/>
        <w:tabs>
          <w:tab w:val="right" w:leader="dot" w:pos="7078"/>
        </w:tabs>
        <w:outlineLvl w:val="0"/>
        <w:rPr>
          <w:b w:val="0"/>
          <w:sz w:val="24"/>
        </w:rPr>
      </w:pPr>
      <w:r>
        <w:t>Part X — Insurance</w:t>
      </w:r>
    </w:p>
    <w:p>
      <w:pPr>
        <w:pStyle w:val="TOC4"/>
        <w:tabs>
          <w:tab w:val="right" w:leader="dot" w:pos="7078"/>
        </w:tabs>
        <w:rPr>
          <w:b w:val="0"/>
          <w:sz w:val="24"/>
        </w:rPr>
      </w:pPr>
      <w:r>
        <w:t>Division 1</w:t>
      </w:r>
      <w:r>
        <w:rPr>
          <w:snapToGrid w:val="0"/>
        </w:rPr>
        <w:t> — </w:t>
      </w:r>
      <w:r>
        <w:t>Liability of employers and insurers</w:t>
      </w:r>
    </w:p>
    <w:p>
      <w:pPr>
        <w:pStyle w:val="TOC8"/>
        <w:rPr>
          <w:sz w:val="24"/>
        </w:rPr>
      </w:pPr>
      <w:r>
        <w:t>160</w:t>
      </w:r>
      <w:r>
        <w:rPr>
          <w:snapToGrid w:val="0"/>
        </w:rPr>
        <w:t>.</w:t>
      </w:r>
      <w:r>
        <w:rPr>
          <w:snapToGrid w:val="0"/>
        </w:rPr>
        <w:tab/>
        <w:t>Employer to obtain insurance</w:t>
      </w:r>
      <w:r>
        <w:tab/>
      </w:r>
      <w:r>
        <w:fldChar w:fldCharType="begin"/>
      </w:r>
      <w:r>
        <w:instrText xml:space="preserve"> PAGEREF _Toc122833957 \h </w:instrText>
      </w:r>
      <w:r>
        <w:fldChar w:fldCharType="separate"/>
      </w:r>
      <w:r>
        <w:t>215</w:t>
      </w:r>
      <w:r>
        <w:fldChar w:fldCharType="end"/>
      </w:r>
    </w:p>
    <w:p>
      <w:pPr>
        <w:pStyle w:val="TOC8"/>
        <w:rPr>
          <w:sz w:val="24"/>
        </w:rPr>
      </w:pPr>
      <w:r>
        <w:t>160A.</w:t>
      </w:r>
      <w:r>
        <w:tab/>
        <w:t>Insurance in respect of working directors</w:t>
      </w:r>
      <w:r>
        <w:tab/>
      </w:r>
      <w:r>
        <w:fldChar w:fldCharType="begin"/>
      </w:r>
      <w:r>
        <w:instrText xml:space="preserve"> PAGEREF _Toc122833958 \h </w:instrText>
      </w:r>
      <w:r>
        <w:fldChar w:fldCharType="separate"/>
      </w:r>
      <w:r>
        <w:t>218</w:t>
      </w:r>
      <w:r>
        <w:fldChar w:fldCharType="end"/>
      </w:r>
    </w:p>
    <w:p>
      <w:pPr>
        <w:pStyle w:val="TOC8"/>
        <w:rPr>
          <w:sz w:val="24"/>
        </w:rPr>
      </w:pPr>
      <w:r>
        <w:t>161A</w:t>
      </w:r>
      <w:r>
        <w:rPr>
          <w:snapToGrid w:val="0"/>
        </w:rPr>
        <w:t>.</w:t>
      </w:r>
      <w:r>
        <w:rPr>
          <w:snapToGrid w:val="0"/>
        </w:rPr>
        <w:tab/>
        <w:t>Penalty — issue or renewal of policy without approval</w:t>
      </w:r>
      <w:r>
        <w:tab/>
      </w:r>
      <w:r>
        <w:fldChar w:fldCharType="begin"/>
      </w:r>
      <w:r>
        <w:instrText xml:space="preserve"> PAGEREF _Toc122833959 \h </w:instrText>
      </w:r>
      <w:r>
        <w:fldChar w:fldCharType="separate"/>
      </w:r>
      <w:r>
        <w:t>218</w:t>
      </w:r>
      <w:r>
        <w:fldChar w:fldCharType="end"/>
      </w:r>
    </w:p>
    <w:p>
      <w:pPr>
        <w:pStyle w:val="TOC8"/>
        <w:rPr>
          <w:sz w:val="24"/>
        </w:rPr>
      </w:pPr>
      <w:r>
        <w:t>161</w:t>
      </w:r>
      <w:r>
        <w:rPr>
          <w:snapToGrid w:val="0"/>
        </w:rPr>
        <w:t>.</w:t>
      </w:r>
      <w:r>
        <w:rPr>
          <w:snapToGrid w:val="0"/>
        </w:rPr>
        <w:tab/>
        <w:t>Approvals</w:t>
      </w:r>
      <w:r>
        <w:tab/>
      </w:r>
      <w:r>
        <w:fldChar w:fldCharType="begin"/>
      </w:r>
      <w:r>
        <w:instrText xml:space="preserve"> PAGEREF _Toc122833960 \h </w:instrText>
      </w:r>
      <w:r>
        <w:fldChar w:fldCharType="separate"/>
      </w:r>
      <w:r>
        <w:t>219</w:t>
      </w:r>
      <w:r>
        <w:fldChar w:fldCharType="end"/>
      </w:r>
    </w:p>
    <w:p>
      <w:pPr>
        <w:pStyle w:val="TOC8"/>
        <w:rPr>
          <w:sz w:val="24"/>
        </w:rPr>
      </w:pPr>
      <w:r>
        <w:t>162</w:t>
      </w:r>
      <w:r>
        <w:rPr>
          <w:snapToGrid w:val="0"/>
        </w:rPr>
        <w:t>.</w:t>
      </w:r>
      <w:r>
        <w:rPr>
          <w:snapToGrid w:val="0"/>
        </w:rPr>
        <w:tab/>
        <w:t>The State Government Insurance Commission sole insurer against certain industrial diseases</w:t>
      </w:r>
      <w:r>
        <w:tab/>
      </w:r>
      <w:r>
        <w:fldChar w:fldCharType="begin"/>
      </w:r>
      <w:r>
        <w:instrText xml:space="preserve"> PAGEREF _Toc122833961 \h </w:instrText>
      </w:r>
      <w:r>
        <w:fldChar w:fldCharType="separate"/>
      </w:r>
      <w:r>
        <w:t>220</w:t>
      </w:r>
      <w:r>
        <w:fldChar w:fldCharType="end"/>
      </w:r>
    </w:p>
    <w:p>
      <w:pPr>
        <w:pStyle w:val="TOC8"/>
        <w:rPr>
          <w:sz w:val="24"/>
        </w:rPr>
      </w:pPr>
      <w:r>
        <w:t>163</w:t>
      </w:r>
      <w:r>
        <w:rPr>
          <w:snapToGrid w:val="0"/>
        </w:rPr>
        <w:t>.</w:t>
      </w:r>
      <w:r>
        <w:rPr>
          <w:snapToGrid w:val="0"/>
        </w:rPr>
        <w:tab/>
        <w:t>Payment of industrial disease premium and issue of policy</w:t>
      </w:r>
      <w:r>
        <w:tab/>
      </w:r>
      <w:r>
        <w:fldChar w:fldCharType="begin"/>
      </w:r>
      <w:r>
        <w:instrText xml:space="preserve"> PAGEREF _Toc122833962 \h </w:instrText>
      </w:r>
      <w:r>
        <w:fldChar w:fldCharType="separate"/>
      </w:r>
      <w:r>
        <w:t>221</w:t>
      </w:r>
      <w:r>
        <w:fldChar w:fldCharType="end"/>
      </w:r>
    </w:p>
    <w:p>
      <w:pPr>
        <w:pStyle w:val="TOC8"/>
        <w:rPr>
          <w:sz w:val="24"/>
        </w:rPr>
      </w:pPr>
      <w:r>
        <w:t>164</w:t>
      </w:r>
      <w:r>
        <w:rPr>
          <w:snapToGrid w:val="0"/>
        </w:rPr>
        <w:t>.</w:t>
      </w:r>
      <w:r>
        <w:rPr>
          <w:snapToGrid w:val="0"/>
        </w:rPr>
        <w:tab/>
        <w:t>Exempt employer</w:t>
      </w:r>
      <w:r>
        <w:tab/>
      </w:r>
      <w:r>
        <w:fldChar w:fldCharType="begin"/>
      </w:r>
      <w:r>
        <w:instrText xml:space="preserve"> PAGEREF _Toc122833963 \h </w:instrText>
      </w:r>
      <w:r>
        <w:fldChar w:fldCharType="separate"/>
      </w:r>
      <w:r>
        <w:t>221</w:t>
      </w:r>
      <w:r>
        <w:fldChar w:fldCharType="end"/>
      </w:r>
    </w:p>
    <w:p>
      <w:pPr>
        <w:pStyle w:val="TOC8"/>
        <w:rPr>
          <w:sz w:val="24"/>
        </w:rPr>
      </w:pPr>
      <w:r>
        <w:t>165</w:t>
      </w:r>
      <w:r>
        <w:rPr>
          <w:snapToGrid w:val="0"/>
        </w:rPr>
        <w:t>.</w:t>
      </w:r>
      <w:r>
        <w:rPr>
          <w:snapToGrid w:val="0"/>
        </w:rPr>
        <w:tab/>
        <w:t>Review of exemptions</w:t>
      </w:r>
      <w:r>
        <w:tab/>
      </w:r>
      <w:r>
        <w:fldChar w:fldCharType="begin"/>
      </w:r>
      <w:r>
        <w:instrText xml:space="preserve"> PAGEREF _Toc122833964 \h </w:instrText>
      </w:r>
      <w:r>
        <w:fldChar w:fldCharType="separate"/>
      </w:r>
      <w:r>
        <w:t>222</w:t>
      </w:r>
      <w:r>
        <w:fldChar w:fldCharType="end"/>
      </w:r>
    </w:p>
    <w:p>
      <w:pPr>
        <w:pStyle w:val="TOC8"/>
        <w:rPr>
          <w:sz w:val="24"/>
        </w:rPr>
      </w:pPr>
      <w:r>
        <w:t>166</w:t>
      </w:r>
      <w:r>
        <w:rPr>
          <w:snapToGrid w:val="0"/>
        </w:rPr>
        <w:t>.</w:t>
      </w:r>
      <w:r>
        <w:rPr>
          <w:snapToGrid w:val="0"/>
        </w:rPr>
        <w:tab/>
        <w:t>Other cancellations</w:t>
      </w:r>
      <w:r>
        <w:tab/>
      </w:r>
      <w:r>
        <w:fldChar w:fldCharType="begin"/>
      </w:r>
      <w:r>
        <w:instrText xml:space="preserve"> PAGEREF _Toc122833965 \h </w:instrText>
      </w:r>
      <w:r>
        <w:fldChar w:fldCharType="separate"/>
      </w:r>
      <w:r>
        <w:t>224</w:t>
      </w:r>
      <w:r>
        <w:fldChar w:fldCharType="end"/>
      </w:r>
    </w:p>
    <w:p>
      <w:pPr>
        <w:pStyle w:val="TOC8"/>
        <w:rPr>
          <w:sz w:val="24"/>
        </w:rPr>
      </w:pPr>
      <w:r>
        <w:t>167</w:t>
      </w:r>
      <w:r>
        <w:rPr>
          <w:snapToGrid w:val="0"/>
        </w:rPr>
        <w:t>.</w:t>
      </w:r>
      <w:r>
        <w:rPr>
          <w:snapToGrid w:val="0"/>
        </w:rPr>
        <w:tab/>
        <w:t>Effect of cessation of exemption</w:t>
      </w:r>
      <w:r>
        <w:tab/>
      </w:r>
      <w:r>
        <w:fldChar w:fldCharType="begin"/>
      </w:r>
      <w:r>
        <w:instrText xml:space="preserve"> PAGEREF _Toc122833966 \h </w:instrText>
      </w:r>
      <w:r>
        <w:fldChar w:fldCharType="separate"/>
      </w:r>
      <w:r>
        <w:t>224</w:t>
      </w:r>
      <w:r>
        <w:fldChar w:fldCharType="end"/>
      </w:r>
    </w:p>
    <w:p>
      <w:pPr>
        <w:pStyle w:val="TOC8"/>
        <w:rPr>
          <w:sz w:val="24"/>
        </w:rPr>
      </w:pPr>
      <w:r>
        <w:t>168</w:t>
      </w:r>
      <w:r>
        <w:rPr>
          <w:snapToGrid w:val="0"/>
        </w:rPr>
        <w:t>.</w:t>
      </w:r>
      <w:r>
        <w:rPr>
          <w:snapToGrid w:val="0"/>
        </w:rPr>
        <w:tab/>
        <w:t>Cessation of exemption</w:t>
      </w:r>
      <w:r>
        <w:tab/>
      </w:r>
      <w:r>
        <w:fldChar w:fldCharType="begin"/>
      </w:r>
      <w:r>
        <w:instrText xml:space="preserve"> PAGEREF _Toc122833967 \h </w:instrText>
      </w:r>
      <w:r>
        <w:fldChar w:fldCharType="separate"/>
      </w:r>
      <w:r>
        <w:t>224</w:t>
      </w:r>
      <w:r>
        <w:fldChar w:fldCharType="end"/>
      </w:r>
    </w:p>
    <w:p>
      <w:pPr>
        <w:pStyle w:val="TOC8"/>
        <w:rPr>
          <w:sz w:val="24"/>
        </w:rPr>
      </w:pPr>
      <w:r>
        <w:t>169</w:t>
      </w:r>
      <w:r>
        <w:rPr>
          <w:snapToGrid w:val="0"/>
        </w:rPr>
        <w:t>.</w:t>
      </w:r>
      <w:r>
        <w:rPr>
          <w:snapToGrid w:val="0"/>
        </w:rPr>
        <w:tab/>
        <w:t>Forms of policy</w:t>
      </w:r>
      <w:r>
        <w:tab/>
      </w:r>
      <w:r>
        <w:fldChar w:fldCharType="begin"/>
      </w:r>
      <w:r>
        <w:instrText xml:space="preserve"> PAGEREF _Toc122833968 \h </w:instrText>
      </w:r>
      <w:r>
        <w:fldChar w:fldCharType="separate"/>
      </w:r>
      <w:r>
        <w:t>225</w:t>
      </w:r>
      <w:r>
        <w:fldChar w:fldCharType="end"/>
      </w:r>
    </w:p>
    <w:p>
      <w:pPr>
        <w:pStyle w:val="TOC8"/>
        <w:rPr>
          <w:sz w:val="24"/>
        </w:rPr>
      </w:pPr>
      <w:r>
        <w:t>170</w:t>
      </w:r>
      <w:r>
        <w:rPr>
          <w:snapToGrid w:val="0"/>
        </w:rPr>
        <w:t>.</w:t>
      </w:r>
      <w:r>
        <w:rPr>
          <w:snapToGrid w:val="0"/>
        </w:rPr>
        <w:tab/>
        <w:t>Penalty — uninsured worker</w:t>
      </w:r>
      <w:r>
        <w:tab/>
      </w:r>
      <w:r>
        <w:fldChar w:fldCharType="begin"/>
      </w:r>
      <w:r>
        <w:instrText xml:space="preserve"> PAGEREF _Toc122833969 \h </w:instrText>
      </w:r>
      <w:r>
        <w:fldChar w:fldCharType="separate"/>
      </w:r>
      <w:r>
        <w:t>225</w:t>
      </w:r>
      <w:r>
        <w:fldChar w:fldCharType="end"/>
      </w:r>
    </w:p>
    <w:p>
      <w:pPr>
        <w:pStyle w:val="TOC8"/>
        <w:rPr>
          <w:sz w:val="24"/>
        </w:rPr>
      </w:pPr>
      <w:r>
        <w:t>171</w:t>
      </w:r>
      <w:r>
        <w:rPr>
          <w:snapToGrid w:val="0"/>
        </w:rPr>
        <w:t>.</w:t>
      </w:r>
      <w:r>
        <w:rPr>
          <w:snapToGrid w:val="0"/>
        </w:rPr>
        <w:tab/>
        <w:t>Insurance offices to furnish certain statements</w:t>
      </w:r>
      <w:r>
        <w:tab/>
      </w:r>
      <w:r>
        <w:fldChar w:fldCharType="begin"/>
      </w:r>
      <w:r>
        <w:instrText xml:space="preserve"> PAGEREF _Toc122833970 \h </w:instrText>
      </w:r>
      <w:r>
        <w:fldChar w:fldCharType="separate"/>
      </w:r>
      <w:r>
        <w:t>228</w:t>
      </w:r>
      <w:r>
        <w:fldChar w:fldCharType="end"/>
      </w:r>
    </w:p>
    <w:p>
      <w:pPr>
        <w:pStyle w:val="TOC8"/>
        <w:rPr>
          <w:sz w:val="24"/>
        </w:rPr>
      </w:pPr>
      <w:r>
        <w:t>172.</w:t>
      </w:r>
      <w:r>
        <w:tab/>
        <w:t>WorkCover WA may pass on certain information to insurer</w:t>
      </w:r>
      <w:r>
        <w:tab/>
      </w:r>
      <w:r>
        <w:fldChar w:fldCharType="begin"/>
      </w:r>
      <w:r>
        <w:instrText xml:space="preserve"> PAGEREF _Toc122833971 \h </w:instrText>
      </w:r>
      <w:r>
        <w:fldChar w:fldCharType="separate"/>
      </w:r>
      <w:r>
        <w:t>230</w:t>
      </w:r>
      <w:r>
        <w:fldChar w:fldCharType="end"/>
      </w:r>
    </w:p>
    <w:p>
      <w:pPr>
        <w:pStyle w:val="TOC8"/>
        <w:rPr>
          <w:sz w:val="24"/>
        </w:rPr>
      </w:pPr>
      <w:r>
        <w:t>173</w:t>
      </w:r>
      <w:r>
        <w:rPr>
          <w:snapToGrid w:val="0"/>
        </w:rPr>
        <w:t>.</w:t>
      </w:r>
      <w:r>
        <w:rPr>
          <w:snapToGrid w:val="0"/>
        </w:rPr>
        <w:tab/>
        <w:t>Worker’s rights against insurer</w:t>
      </w:r>
      <w:r>
        <w:tab/>
      </w:r>
      <w:r>
        <w:fldChar w:fldCharType="begin"/>
      </w:r>
      <w:r>
        <w:instrText xml:space="preserve"> PAGEREF _Toc122833972 \h </w:instrText>
      </w:r>
      <w:r>
        <w:fldChar w:fldCharType="separate"/>
      </w:r>
      <w:r>
        <w:t>230</w:t>
      </w:r>
      <w:r>
        <w:fldChar w:fldCharType="end"/>
      </w:r>
    </w:p>
    <w:p>
      <w:pPr>
        <w:pStyle w:val="TOC8"/>
        <w:rPr>
          <w:sz w:val="24"/>
        </w:rPr>
      </w:pPr>
      <w:r>
        <w:t>174</w:t>
      </w:r>
      <w:r>
        <w:rPr>
          <w:snapToGrid w:val="0"/>
        </w:rPr>
        <w:t>.</w:t>
      </w:r>
      <w:r>
        <w:rPr>
          <w:snapToGrid w:val="0"/>
        </w:rPr>
        <w:tab/>
        <w:t>Payment to worker from General Fund</w:t>
      </w:r>
      <w:r>
        <w:tab/>
      </w:r>
      <w:r>
        <w:fldChar w:fldCharType="begin"/>
      </w:r>
      <w:r>
        <w:instrText xml:space="preserve"> PAGEREF _Toc122833973 \h </w:instrText>
      </w:r>
      <w:r>
        <w:fldChar w:fldCharType="separate"/>
      </w:r>
      <w:r>
        <w:t>231</w:t>
      </w:r>
      <w:r>
        <w:fldChar w:fldCharType="end"/>
      </w:r>
    </w:p>
    <w:p>
      <w:pPr>
        <w:pStyle w:val="TOC8"/>
        <w:rPr>
          <w:sz w:val="24"/>
        </w:rPr>
      </w:pPr>
      <w:r>
        <w:t>174AA.</w:t>
      </w:r>
      <w:r>
        <w:tab/>
        <w:t>Recovery from responsible officers of body corporate</w:t>
      </w:r>
      <w:r>
        <w:tab/>
      </w:r>
      <w:r>
        <w:fldChar w:fldCharType="begin"/>
      </w:r>
      <w:r>
        <w:instrText xml:space="preserve"> PAGEREF _Toc122833974 \h </w:instrText>
      </w:r>
      <w:r>
        <w:fldChar w:fldCharType="separate"/>
      </w:r>
      <w:r>
        <w:t>233</w:t>
      </w:r>
      <w:r>
        <w:fldChar w:fldCharType="end"/>
      </w:r>
    </w:p>
    <w:p>
      <w:pPr>
        <w:pStyle w:val="TOC8"/>
        <w:rPr>
          <w:sz w:val="24"/>
        </w:rPr>
      </w:pPr>
      <w:r>
        <w:t>174AB.</w:t>
      </w:r>
      <w:r>
        <w:tab/>
        <w:t>WorkCover WA may exercise rights of employer</w:t>
      </w:r>
      <w:r>
        <w:tab/>
      </w:r>
      <w:r>
        <w:fldChar w:fldCharType="begin"/>
      </w:r>
      <w:r>
        <w:instrText xml:space="preserve"> PAGEREF _Toc122833975 \h </w:instrText>
      </w:r>
      <w:r>
        <w:fldChar w:fldCharType="separate"/>
      </w:r>
      <w:r>
        <w:t>234</w:t>
      </w:r>
      <w:r>
        <w:fldChar w:fldCharType="end"/>
      </w:r>
    </w:p>
    <w:p>
      <w:pPr>
        <w:pStyle w:val="TOC8"/>
        <w:rPr>
          <w:sz w:val="24"/>
        </w:rPr>
      </w:pPr>
      <w:r>
        <w:t>174AC.</w:t>
      </w:r>
      <w:r>
        <w:tab/>
        <w:t>WorkCover WA’s right of subrogation</w:t>
      </w:r>
      <w:r>
        <w:tab/>
      </w:r>
      <w:r>
        <w:fldChar w:fldCharType="begin"/>
      </w:r>
      <w:r>
        <w:instrText xml:space="preserve"> PAGEREF _Toc122833976 \h </w:instrText>
      </w:r>
      <w:r>
        <w:fldChar w:fldCharType="separate"/>
      </w:r>
      <w:r>
        <w:t>235</w:t>
      </w:r>
      <w:r>
        <w:fldChar w:fldCharType="end"/>
      </w:r>
    </w:p>
    <w:p>
      <w:pPr>
        <w:pStyle w:val="TOC8"/>
        <w:rPr>
          <w:sz w:val="24"/>
        </w:rPr>
      </w:pPr>
      <w:r>
        <w:t>174A</w:t>
      </w:r>
      <w:r>
        <w:rPr>
          <w:snapToGrid w:val="0"/>
        </w:rPr>
        <w:t>.</w:t>
      </w:r>
      <w:r>
        <w:rPr>
          <w:snapToGrid w:val="0"/>
        </w:rPr>
        <w:tab/>
        <w:t>Insurer may not refuse to indemnify in certain circumstances</w:t>
      </w:r>
      <w:r>
        <w:tab/>
      </w:r>
      <w:r>
        <w:fldChar w:fldCharType="begin"/>
      </w:r>
      <w:r>
        <w:instrText xml:space="preserve"> PAGEREF _Toc122833977 \h </w:instrText>
      </w:r>
      <w:r>
        <w:fldChar w:fldCharType="separate"/>
      </w:r>
      <w:r>
        <w:t>236</w:t>
      </w:r>
      <w:r>
        <w:fldChar w:fldCharType="end"/>
      </w:r>
    </w:p>
    <w:p>
      <w:pPr>
        <w:pStyle w:val="TOC4"/>
        <w:tabs>
          <w:tab w:val="right" w:leader="dot" w:pos="7078"/>
        </w:tabs>
        <w:rPr>
          <w:b w:val="0"/>
          <w:sz w:val="24"/>
        </w:rPr>
      </w:pPr>
      <w:r>
        <w:t>Division 2</w:t>
      </w:r>
      <w:r>
        <w:rPr>
          <w:snapToGrid w:val="0"/>
        </w:rPr>
        <w:t> — </w:t>
      </w:r>
      <w:r>
        <w:t>Insurance by principals, contractors, and sub</w:t>
      </w:r>
      <w:r>
        <w:noBreakHyphen/>
        <w:t>contractors</w:t>
      </w:r>
    </w:p>
    <w:p>
      <w:pPr>
        <w:pStyle w:val="TOC8"/>
        <w:rPr>
          <w:sz w:val="24"/>
        </w:rPr>
      </w:pPr>
      <w:r>
        <w:t>175</w:t>
      </w:r>
      <w:r>
        <w:rPr>
          <w:snapToGrid w:val="0"/>
        </w:rPr>
        <w:t>.</w:t>
      </w:r>
      <w:r>
        <w:rPr>
          <w:snapToGrid w:val="0"/>
        </w:rPr>
        <w:tab/>
        <w:t>Principal contractor and sub</w:t>
      </w:r>
      <w:r>
        <w:rPr>
          <w:snapToGrid w:val="0"/>
        </w:rPr>
        <w:noBreakHyphen/>
        <w:t>contractor deemed employers</w:t>
      </w:r>
      <w:r>
        <w:tab/>
      </w:r>
      <w:r>
        <w:fldChar w:fldCharType="begin"/>
      </w:r>
      <w:r>
        <w:instrText xml:space="preserve"> PAGEREF _Toc122833979 \h </w:instrText>
      </w:r>
      <w:r>
        <w:fldChar w:fldCharType="separate"/>
      </w:r>
      <w:r>
        <w:t>236</w:t>
      </w:r>
      <w:r>
        <w:fldChar w:fldCharType="end"/>
      </w:r>
    </w:p>
    <w:p>
      <w:pPr>
        <w:pStyle w:val="TOC8"/>
        <w:rPr>
          <w:sz w:val="24"/>
        </w:rPr>
      </w:pPr>
      <w:r>
        <w:t>175AA.</w:t>
      </w:r>
      <w:r>
        <w:tab/>
        <w:t>Certain persons deemed workers</w:t>
      </w:r>
      <w:r>
        <w:tab/>
      </w:r>
      <w:r>
        <w:fldChar w:fldCharType="begin"/>
      </w:r>
      <w:r>
        <w:instrText xml:space="preserve"> PAGEREF _Toc122833980 \h </w:instrText>
      </w:r>
      <w:r>
        <w:fldChar w:fldCharType="separate"/>
      </w:r>
      <w:r>
        <w:t>238</w:t>
      </w:r>
      <w:r>
        <w:fldChar w:fldCharType="end"/>
      </w:r>
    </w:p>
    <w:p>
      <w:pPr>
        <w:pStyle w:val="TOC4"/>
        <w:tabs>
          <w:tab w:val="right" w:leader="dot" w:pos="7078"/>
        </w:tabs>
        <w:rPr>
          <w:b w:val="0"/>
          <w:sz w:val="24"/>
        </w:rPr>
      </w:pPr>
      <w:r>
        <w:t>Division 3</w:t>
      </w:r>
      <w:r>
        <w:rPr>
          <w:snapToGrid w:val="0"/>
        </w:rPr>
        <w:t> — </w:t>
      </w:r>
      <w:r>
        <w:t>Inspectors</w:t>
      </w:r>
    </w:p>
    <w:p>
      <w:pPr>
        <w:pStyle w:val="TOC8"/>
        <w:rPr>
          <w:sz w:val="24"/>
        </w:rPr>
      </w:pPr>
      <w:r>
        <w:t>175A</w:t>
      </w:r>
      <w:r>
        <w:rPr>
          <w:snapToGrid w:val="0"/>
        </w:rPr>
        <w:t>.</w:t>
      </w:r>
      <w:r>
        <w:rPr>
          <w:snapToGrid w:val="0"/>
        </w:rPr>
        <w:tab/>
        <w:t>Authorisation</w:t>
      </w:r>
      <w:r>
        <w:tab/>
      </w:r>
      <w:r>
        <w:fldChar w:fldCharType="begin"/>
      </w:r>
      <w:r>
        <w:instrText xml:space="preserve"> PAGEREF _Toc122833982 \h </w:instrText>
      </w:r>
      <w:r>
        <w:fldChar w:fldCharType="separate"/>
      </w:r>
      <w:r>
        <w:t>240</w:t>
      </w:r>
      <w:r>
        <w:fldChar w:fldCharType="end"/>
      </w:r>
    </w:p>
    <w:p>
      <w:pPr>
        <w:pStyle w:val="TOC8"/>
        <w:rPr>
          <w:sz w:val="24"/>
        </w:rPr>
      </w:pPr>
      <w:r>
        <w:t>175B</w:t>
      </w:r>
      <w:r>
        <w:rPr>
          <w:snapToGrid w:val="0"/>
        </w:rPr>
        <w:t>.</w:t>
      </w:r>
      <w:r>
        <w:rPr>
          <w:snapToGrid w:val="0"/>
        </w:rPr>
        <w:tab/>
        <w:t>Powers</w:t>
      </w:r>
      <w:r>
        <w:tab/>
      </w:r>
      <w:r>
        <w:fldChar w:fldCharType="begin"/>
      </w:r>
      <w:r>
        <w:instrText xml:space="preserve"> PAGEREF _Toc122833983 \h </w:instrText>
      </w:r>
      <w:r>
        <w:fldChar w:fldCharType="separate"/>
      </w:r>
      <w:r>
        <w:t>241</w:t>
      </w:r>
      <w:r>
        <w:fldChar w:fldCharType="end"/>
      </w:r>
    </w:p>
    <w:p>
      <w:pPr>
        <w:pStyle w:val="TOC8"/>
        <w:rPr>
          <w:sz w:val="24"/>
        </w:rPr>
      </w:pPr>
      <w:r>
        <w:t>175C</w:t>
      </w:r>
      <w:r>
        <w:rPr>
          <w:snapToGrid w:val="0"/>
        </w:rPr>
        <w:t>.</w:t>
      </w:r>
      <w:r>
        <w:rPr>
          <w:snapToGrid w:val="0"/>
        </w:rPr>
        <w:tab/>
        <w:t>Interpreters</w:t>
      </w:r>
      <w:r>
        <w:tab/>
      </w:r>
      <w:r>
        <w:fldChar w:fldCharType="begin"/>
      </w:r>
      <w:r>
        <w:instrText xml:space="preserve"> PAGEREF _Toc122833984 \h </w:instrText>
      </w:r>
      <w:r>
        <w:fldChar w:fldCharType="separate"/>
      </w:r>
      <w:r>
        <w:t>242</w:t>
      </w:r>
      <w:r>
        <w:fldChar w:fldCharType="end"/>
      </w:r>
    </w:p>
    <w:p>
      <w:pPr>
        <w:pStyle w:val="TOC8"/>
        <w:rPr>
          <w:sz w:val="24"/>
        </w:rPr>
      </w:pPr>
      <w:r>
        <w:t>175D</w:t>
      </w:r>
      <w:r>
        <w:rPr>
          <w:snapToGrid w:val="0"/>
        </w:rPr>
        <w:t>.</w:t>
      </w:r>
      <w:r>
        <w:rPr>
          <w:snapToGrid w:val="0"/>
        </w:rPr>
        <w:tab/>
        <w:t>Offences</w:t>
      </w:r>
      <w:r>
        <w:tab/>
      </w:r>
      <w:r>
        <w:fldChar w:fldCharType="begin"/>
      </w:r>
      <w:r>
        <w:instrText xml:space="preserve"> PAGEREF _Toc122833985 \h </w:instrText>
      </w:r>
      <w:r>
        <w:fldChar w:fldCharType="separate"/>
      </w:r>
      <w:r>
        <w:t>243</w:t>
      </w:r>
      <w:r>
        <w:fldChar w:fldCharType="end"/>
      </w:r>
    </w:p>
    <w:p>
      <w:pPr>
        <w:pStyle w:val="TOC2"/>
        <w:tabs>
          <w:tab w:val="right" w:leader="dot" w:pos="7078"/>
        </w:tabs>
        <w:rPr>
          <w:b w:val="0"/>
          <w:sz w:val="24"/>
        </w:rPr>
      </w:pPr>
      <w:r>
        <w:t>Part XA</w:t>
      </w:r>
      <w:r>
        <w:rPr>
          <w:b w:val="0"/>
        </w:rPr>
        <w:t> </w:t>
      </w:r>
      <w:r>
        <w:t>—</w:t>
      </w:r>
      <w:r>
        <w:rPr>
          <w:b w:val="0"/>
        </w:rPr>
        <w:t> </w:t>
      </w:r>
      <w:r>
        <w:t>Infringement notices and modified penalties</w:t>
      </w:r>
    </w:p>
    <w:p>
      <w:pPr>
        <w:pStyle w:val="TOC8"/>
        <w:rPr>
          <w:sz w:val="24"/>
        </w:rPr>
      </w:pPr>
      <w:r>
        <w:t>175E.</w:t>
      </w:r>
      <w:r>
        <w:tab/>
        <w:t>Definitions</w:t>
      </w:r>
      <w:r>
        <w:tab/>
      </w:r>
      <w:r>
        <w:fldChar w:fldCharType="begin"/>
      </w:r>
      <w:r>
        <w:instrText xml:space="preserve"> PAGEREF _Toc122833987 \h </w:instrText>
      </w:r>
      <w:r>
        <w:fldChar w:fldCharType="separate"/>
      </w:r>
      <w:r>
        <w:t>244</w:t>
      </w:r>
      <w:r>
        <w:fldChar w:fldCharType="end"/>
      </w:r>
    </w:p>
    <w:p>
      <w:pPr>
        <w:pStyle w:val="TOC8"/>
        <w:rPr>
          <w:sz w:val="24"/>
        </w:rPr>
      </w:pPr>
      <w:r>
        <w:t>175F.</w:t>
      </w:r>
      <w:r>
        <w:tab/>
        <w:t>Authorised officers</w:t>
      </w:r>
      <w:r>
        <w:tab/>
      </w:r>
      <w:r>
        <w:fldChar w:fldCharType="begin"/>
      </w:r>
      <w:r>
        <w:instrText xml:space="preserve"> PAGEREF _Toc122833988 \h </w:instrText>
      </w:r>
      <w:r>
        <w:fldChar w:fldCharType="separate"/>
      </w:r>
      <w:r>
        <w:t>244</w:t>
      </w:r>
      <w:r>
        <w:fldChar w:fldCharType="end"/>
      </w:r>
    </w:p>
    <w:p>
      <w:pPr>
        <w:pStyle w:val="TOC8"/>
        <w:rPr>
          <w:sz w:val="24"/>
        </w:rPr>
      </w:pPr>
      <w:r>
        <w:t>175G.</w:t>
      </w:r>
      <w:r>
        <w:tab/>
        <w:t>Giving of notice</w:t>
      </w:r>
      <w:r>
        <w:tab/>
      </w:r>
      <w:r>
        <w:fldChar w:fldCharType="begin"/>
      </w:r>
      <w:r>
        <w:instrText xml:space="preserve"> PAGEREF _Toc122833989 \h </w:instrText>
      </w:r>
      <w:r>
        <w:fldChar w:fldCharType="separate"/>
      </w:r>
      <w:r>
        <w:t>245</w:t>
      </w:r>
      <w:r>
        <w:fldChar w:fldCharType="end"/>
      </w:r>
    </w:p>
    <w:p>
      <w:pPr>
        <w:pStyle w:val="TOC8"/>
        <w:rPr>
          <w:sz w:val="24"/>
        </w:rPr>
      </w:pPr>
      <w:r>
        <w:t>175H.</w:t>
      </w:r>
      <w:r>
        <w:tab/>
        <w:t>Content of notice</w:t>
      </w:r>
      <w:r>
        <w:tab/>
      </w:r>
      <w:r>
        <w:fldChar w:fldCharType="begin"/>
      </w:r>
      <w:r>
        <w:instrText xml:space="preserve"> PAGEREF _Toc122833990 \h </w:instrText>
      </w:r>
      <w:r>
        <w:fldChar w:fldCharType="separate"/>
      </w:r>
      <w:r>
        <w:t>245</w:t>
      </w:r>
      <w:r>
        <w:fldChar w:fldCharType="end"/>
      </w:r>
    </w:p>
    <w:p>
      <w:pPr>
        <w:pStyle w:val="TOC8"/>
        <w:rPr>
          <w:sz w:val="24"/>
        </w:rPr>
      </w:pPr>
      <w:r>
        <w:t>175I.</w:t>
      </w:r>
      <w:r>
        <w:tab/>
        <w:t>Extension of time</w:t>
      </w:r>
      <w:r>
        <w:tab/>
      </w:r>
      <w:r>
        <w:fldChar w:fldCharType="begin"/>
      </w:r>
      <w:r>
        <w:instrText xml:space="preserve"> PAGEREF _Toc122833991 \h </w:instrText>
      </w:r>
      <w:r>
        <w:fldChar w:fldCharType="separate"/>
      </w:r>
      <w:r>
        <w:t>246</w:t>
      </w:r>
      <w:r>
        <w:fldChar w:fldCharType="end"/>
      </w:r>
    </w:p>
    <w:p>
      <w:pPr>
        <w:pStyle w:val="TOC8"/>
        <w:rPr>
          <w:sz w:val="24"/>
        </w:rPr>
      </w:pPr>
      <w:r>
        <w:t>175J.</w:t>
      </w:r>
      <w:r>
        <w:tab/>
        <w:t>Withdrawal of notice</w:t>
      </w:r>
      <w:r>
        <w:tab/>
      </w:r>
      <w:r>
        <w:fldChar w:fldCharType="begin"/>
      </w:r>
      <w:r>
        <w:instrText xml:space="preserve"> PAGEREF _Toc122833992 \h </w:instrText>
      </w:r>
      <w:r>
        <w:fldChar w:fldCharType="separate"/>
      </w:r>
      <w:r>
        <w:t>246</w:t>
      </w:r>
      <w:r>
        <w:fldChar w:fldCharType="end"/>
      </w:r>
    </w:p>
    <w:p>
      <w:pPr>
        <w:pStyle w:val="TOC8"/>
        <w:rPr>
          <w:sz w:val="24"/>
        </w:rPr>
      </w:pPr>
      <w:r>
        <w:t>175K.</w:t>
      </w:r>
      <w:r>
        <w:tab/>
        <w:t>Benefit of paying modified penalty</w:t>
      </w:r>
      <w:r>
        <w:tab/>
      </w:r>
      <w:r>
        <w:fldChar w:fldCharType="begin"/>
      </w:r>
      <w:r>
        <w:instrText xml:space="preserve"> PAGEREF _Toc122833993 \h </w:instrText>
      </w:r>
      <w:r>
        <w:fldChar w:fldCharType="separate"/>
      </w:r>
      <w:r>
        <w:t>246</w:t>
      </w:r>
      <w:r>
        <w:fldChar w:fldCharType="end"/>
      </w:r>
    </w:p>
    <w:p>
      <w:pPr>
        <w:pStyle w:val="TOC8"/>
        <w:rPr>
          <w:sz w:val="24"/>
        </w:rPr>
      </w:pPr>
      <w:r>
        <w:t>175L.</w:t>
      </w:r>
      <w:r>
        <w:tab/>
        <w:t>No admission implied by payment</w:t>
      </w:r>
      <w:r>
        <w:tab/>
      </w:r>
      <w:r>
        <w:fldChar w:fldCharType="begin"/>
      </w:r>
      <w:r>
        <w:instrText xml:space="preserve"> PAGEREF _Toc122833994 \h </w:instrText>
      </w:r>
      <w:r>
        <w:fldChar w:fldCharType="separate"/>
      </w:r>
      <w:r>
        <w:t>246</w:t>
      </w:r>
      <w:r>
        <w:fldChar w:fldCharType="end"/>
      </w:r>
    </w:p>
    <w:p>
      <w:pPr>
        <w:pStyle w:val="TOC8"/>
        <w:rPr>
          <w:sz w:val="24"/>
        </w:rPr>
      </w:pPr>
      <w:r>
        <w:t>175M.</w:t>
      </w:r>
      <w:r>
        <w:tab/>
        <w:t>Application of penalties collected</w:t>
      </w:r>
      <w:r>
        <w:tab/>
      </w:r>
      <w:r>
        <w:fldChar w:fldCharType="begin"/>
      </w:r>
      <w:r>
        <w:instrText xml:space="preserve"> PAGEREF _Toc122833995 \h </w:instrText>
      </w:r>
      <w:r>
        <w:fldChar w:fldCharType="separate"/>
      </w:r>
      <w:r>
        <w:t>247</w:t>
      </w:r>
      <w:r>
        <w:fldChar w:fldCharType="end"/>
      </w:r>
    </w:p>
    <w:p>
      <w:pPr>
        <w:pStyle w:val="TOC2"/>
        <w:tabs>
          <w:tab w:val="right" w:leader="dot" w:pos="7078"/>
        </w:tabs>
        <w:outlineLvl w:val="0"/>
        <w:rPr>
          <w:b w:val="0"/>
          <w:sz w:val="24"/>
        </w:rPr>
      </w:pPr>
      <w:r>
        <w:t>Part XI</w:t>
      </w:r>
      <w:r>
        <w:rPr>
          <w:b w:val="0"/>
        </w:rPr>
        <w:t> </w:t>
      </w:r>
      <w:r>
        <w:t>—</w:t>
      </w:r>
      <w:r>
        <w:rPr>
          <w:b w:val="0"/>
        </w:rPr>
        <w:t> </w:t>
      </w:r>
      <w:r>
        <w:t>Dispute resolution</w:t>
      </w:r>
    </w:p>
    <w:p>
      <w:pPr>
        <w:pStyle w:val="TOC4"/>
        <w:tabs>
          <w:tab w:val="right" w:leader="dot" w:pos="7078"/>
        </w:tabs>
        <w:rPr>
          <w:b w:val="0"/>
          <w:sz w:val="24"/>
        </w:rPr>
      </w:pPr>
      <w:r>
        <w:t>Division 1 — General</w:t>
      </w:r>
    </w:p>
    <w:p>
      <w:pPr>
        <w:pStyle w:val="TOC8"/>
        <w:rPr>
          <w:sz w:val="24"/>
        </w:rPr>
      </w:pPr>
      <w:r>
        <w:t>176.</w:t>
      </w:r>
      <w:r>
        <w:tab/>
        <w:t>Exclusive jurisdiction</w:t>
      </w:r>
      <w:r>
        <w:tab/>
      </w:r>
      <w:r>
        <w:fldChar w:fldCharType="begin"/>
      </w:r>
      <w:r>
        <w:instrText xml:space="preserve"> PAGEREF _Toc122833998 \h </w:instrText>
      </w:r>
      <w:r>
        <w:fldChar w:fldCharType="separate"/>
      </w:r>
      <w:r>
        <w:t>248</w:t>
      </w:r>
      <w:r>
        <w:fldChar w:fldCharType="end"/>
      </w:r>
    </w:p>
    <w:p>
      <w:pPr>
        <w:pStyle w:val="TOC8"/>
        <w:rPr>
          <w:sz w:val="24"/>
        </w:rPr>
      </w:pPr>
      <w:r>
        <w:t>177.</w:t>
      </w:r>
      <w:r>
        <w:tab/>
        <w:t>Evidence of communication between worker and injury management officer</w:t>
      </w:r>
      <w:r>
        <w:tab/>
      </w:r>
      <w:r>
        <w:fldChar w:fldCharType="begin"/>
      </w:r>
      <w:r>
        <w:instrText xml:space="preserve"> PAGEREF _Toc122833999 \h </w:instrText>
      </w:r>
      <w:r>
        <w:fldChar w:fldCharType="separate"/>
      </w:r>
      <w:r>
        <w:t>248</w:t>
      </w:r>
      <w:r>
        <w:fldChar w:fldCharType="end"/>
      </w:r>
    </w:p>
    <w:p>
      <w:pPr>
        <w:pStyle w:val="TOC4"/>
        <w:tabs>
          <w:tab w:val="right" w:leader="dot" w:pos="7078"/>
        </w:tabs>
        <w:rPr>
          <w:b w:val="0"/>
          <w:sz w:val="24"/>
        </w:rPr>
      </w:pPr>
      <w:r>
        <w:t>Division 2 — Requirements before commencing proceeding</w:t>
      </w:r>
    </w:p>
    <w:p>
      <w:pPr>
        <w:pStyle w:val="TOC8"/>
        <w:rPr>
          <w:sz w:val="24"/>
        </w:rPr>
      </w:pPr>
      <w:r>
        <w:t>178.</w:t>
      </w:r>
      <w:r>
        <w:tab/>
        <w:t>Notice of injury and claim</w:t>
      </w:r>
      <w:r>
        <w:tab/>
      </w:r>
      <w:r>
        <w:fldChar w:fldCharType="begin"/>
      </w:r>
      <w:r>
        <w:instrText xml:space="preserve"> PAGEREF _Toc122834001 \h </w:instrText>
      </w:r>
      <w:r>
        <w:fldChar w:fldCharType="separate"/>
      </w:r>
      <w:r>
        <w:t>249</w:t>
      </w:r>
      <w:r>
        <w:fldChar w:fldCharType="end"/>
      </w:r>
    </w:p>
    <w:p>
      <w:pPr>
        <w:pStyle w:val="TOC8"/>
        <w:rPr>
          <w:sz w:val="24"/>
        </w:rPr>
      </w:pPr>
      <w:r>
        <w:t>179.</w:t>
      </w:r>
      <w:r>
        <w:tab/>
        <w:t>Service of notice of injury</w:t>
      </w:r>
      <w:r>
        <w:tab/>
      </w:r>
      <w:r>
        <w:fldChar w:fldCharType="begin"/>
      </w:r>
      <w:r>
        <w:instrText xml:space="preserve"> PAGEREF _Toc122834002 \h </w:instrText>
      </w:r>
      <w:r>
        <w:fldChar w:fldCharType="separate"/>
      </w:r>
      <w:r>
        <w:t>250</w:t>
      </w:r>
      <w:r>
        <w:fldChar w:fldCharType="end"/>
      </w:r>
    </w:p>
    <w:p>
      <w:pPr>
        <w:pStyle w:val="TOC8"/>
        <w:rPr>
          <w:sz w:val="24"/>
        </w:rPr>
      </w:pPr>
      <w:r>
        <w:t>180.</w:t>
      </w:r>
      <w:r>
        <w:tab/>
        <w:t>Provision of certain documents before commencement of proceeding</w:t>
      </w:r>
      <w:r>
        <w:tab/>
      </w:r>
      <w:r>
        <w:fldChar w:fldCharType="begin"/>
      </w:r>
      <w:r>
        <w:instrText xml:space="preserve"> PAGEREF _Toc122834003 \h </w:instrText>
      </w:r>
      <w:r>
        <w:fldChar w:fldCharType="separate"/>
      </w:r>
      <w:r>
        <w:t>251</w:t>
      </w:r>
      <w:r>
        <w:fldChar w:fldCharType="end"/>
      </w:r>
    </w:p>
    <w:p>
      <w:pPr>
        <w:pStyle w:val="TOC4"/>
        <w:tabs>
          <w:tab w:val="right" w:leader="dot" w:pos="7078"/>
        </w:tabs>
        <w:rPr>
          <w:b w:val="0"/>
          <w:sz w:val="24"/>
        </w:rPr>
      </w:pPr>
      <w:r>
        <w:t>Division 3 — Proceedings before an arbitrator</w:t>
      </w:r>
    </w:p>
    <w:p>
      <w:pPr>
        <w:pStyle w:val="TOC8"/>
        <w:rPr>
          <w:sz w:val="24"/>
        </w:rPr>
      </w:pPr>
      <w:r>
        <w:t>181.</w:t>
      </w:r>
      <w:r>
        <w:tab/>
        <w:t>Arbitrators to determine disputes</w:t>
      </w:r>
      <w:r>
        <w:tab/>
      </w:r>
      <w:r>
        <w:fldChar w:fldCharType="begin"/>
      </w:r>
      <w:r>
        <w:instrText xml:space="preserve"> PAGEREF _Toc122834005 \h </w:instrText>
      </w:r>
      <w:r>
        <w:fldChar w:fldCharType="separate"/>
      </w:r>
      <w:r>
        <w:t>253</w:t>
      </w:r>
      <w:r>
        <w:fldChar w:fldCharType="end"/>
      </w:r>
    </w:p>
    <w:p>
      <w:pPr>
        <w:pStyle w:val="TOC8"/>
        <w:rPr>
          <w:sz w:val="24"/>
        </w:rPr>
      </w:pPr>
      <w:r>
        <w:t>182.</w:t>
      </w:r>
      <w:r>
        <w:tab/>
        <w:t>Who is to be given a copy of an application</w:t>
      </w:r>
      <w:r>
        <w:tab/>
      </w:r>
      <w:r>
        <w:fldChar w:fldCharType="begin"/>
      </w:r>
      <w:r>
        <w:instrText xml:space="preserve"> PAGEREF _Toc122834006 \h </w:instrText>
      </w:r>
      <w:r>
        <w:fldChar w:fldCharType="separate"/>
      </w:r>
      <w:r>
        <w:t>254</w:t>
      </w:r>
      <w:r>
        <w:fldChar w:fldCharType="end"/>
      </w:r>
    </w:p>
    <w:p>
      <w:pPr>
        <w:pStyle w:val="TOC8"/>
        <w:rPr>
          <w:sz w:val="24"/>
        </w:rPr>
      </w:pPr>
      <w:r>
        <w:t>183.</w:t>
      </w:r>
      <w:r>
        <w:tab/>
        <w:t>Information exchange between parties</w:t>
      </w:r>
      <w:r>
        <w:tab/>
      </w:r>
      <w:r>
        <w:fldChar w:fldCharType="begin"/>
      </w:r>
      <w:r>
        <w:instrText xml:space="preserve"> PAGEREF _Toc122834007 \h </w:instrText>
      </w:r>
      <w:r>
        <w:fldChar w:fldCharType="separate"/>
      </w:r>
      <w:r>
        <w:t>254</w:t>
      </w:r>
      <w:r>
        <w:fldChar w:fldCharType="end"/>
      </w:r>
    </w:p>
    <w:p>
      <w:pPr>
        <w:pStyle w:val="TOC8"/>
        <w:rPr>
          <w:sz w:val="24"/>
        </w:rPr>
      </w:pPr>
      <w:r>
        <w:t>184.</w:t>
      </w:r>
      <w:r>
        <w:tab/>
        <w:t>Interim assessment and minor claims</w:t>
      </w:r>
      <w:r>
        <w:tab/>
      </w:r>
      <w:r>
        <w:fldChar w:fldCharType="begin"/>
      </w:r>
      <w:r>
        <w:instrText xml:space="preserve"> PAGEREF _Toc122834008 \h </w:instrText>
      </w:r>
      <w:r>
        <w:fldChar w:fldCharType="separate"/>
      </w:r>
      <w:r>
        <w:t>256</w:t>
      </w:r>
      <w:r>
        <w:fldChar w:fldCharType="end"/>
      </w:r>
    </w:p>
    <w:p>
      <w:pPr>
        <w:pStyle w:val="TOC8"/>
        <w:rPr>
          <w:sz w:val="24"/>
        </w:rPr>
      </w:pPr>
      <w:r>
        <w:t>185.</w:t>
      </w:r>
      <w:r>
        <w:tab/>
        <w:t>Arbitrator to attempt conciliation</w:t>
      </w:r>
      <w:r>
        <w:tab/>
      </w:r>
      <w:r>
        <w:fldChar w:fldCharType="begin"/>
      </w:r>
      <w:r>
        <w:instrText xml:space="preserve"> PAGEREF _Toc122834009 \h </w:instrText>
      </w:r>
      <w:r>
        <w:fldChar w:fldCharType="separate"/>
      </w:r>
      <w:r>
        <w:t>256</w:t>
      </w:r>
      <w:r>
        <w:fldChar w:fldCharType="end"/>
      </w:r>
    </w:p>
    <w:p>
      <w:pPr>
        <w:pStyle w:val="TOC8"/>
        <w:rPr>
          <w:sz w:val="24"/>
        </w:rPr>
      </w:pPr>
      <w:r>
        <w:t>186.</w:t>
      </w:r>
      <w:r>
        <w:tab/>
        <w:t>Arbitrator may review decision</w:t>
      </w:r>
      <w:r>
        <w:tab/>
      </w:r>
      <w:r>
        <w:fldChar w:fldCharType="begin"/>
      </w:r>
      <w:r>
        <w:instrText xml:space="preserve"> PAGEREF _Toc122834010 \h </w:instrText>
      </w:r>
      <w:r>
        <w:fldChar w:fldCharType="separate"/>
      </w:r>
      <w:r>
        <w:t>257</w:t>
      </w:r>
      <w:r>
        <w:fldChar w:fldCharType="end"/>
      </w:r>
    </w:p>
    <w:p>
      <w:pPr>
        <w:pStyle w:val="TOC8"/>
        <w:rPr>
          <w:sz w:val="24"/>
        </w:rPr>
      </w:pPr>
      <w:r>
        <w:t>187.</w:t>
      </w:r>
      <w:r>
        <w:tab/>
        <w:t>Decisions of arbitrator</w:t>
      </w:r>
      <w:r>
        <w:tab/>
      </w:r>
      <w:r>
        <w:fldChar w:fldCharType="begin"/>
      </w:r>
      <w:r>
        <w:instrText xml:space="preserve"> PAGEREF _Toc122834011 \h </w:instrText>
      </w:r>
      <w:r>
        <w:fldChar w:fldCharType="separate"/>
      </w:r>
      <w:r>
        <w:t>257</w:t>
      </w:r>
      <w:r>
        <w:fldChar w:fldCharType="end"/>
      </w:r>
    </w:p>
    <w:p>
      <w:pPr>
        <w:pStyle w:val="TOC4"/>
        <w:tabs>
          <w:tab w:val="right" w:leader="dot" w:pos="7078"/>
        </w:tabs>
        <w:rPr>
          <w:b w:val="0"/>
          <w:sz w:val="24"/>
        </w:rPr>
      </w:pPr>
      <w:r>
        <w:t>Division 4 — Practice and procedure</w:t>
      </w:r>
    </w:p>
    <w:p>
      <w:pPr>
        <w:pStyle w:val="TOC8"/>
        <w:rPr>
          <w:sz w:val="24"/>
        </w:rPr>
      </w:pPr>
      <w:r>
        <w:t>188.</w:t>
      </w:r>
      <w:r>
        <w:tab/>
        <w:t>Practice and procedure, generally</w:t>
      </w:r>
      <w:r>
        <w:tab/>
      </w:r>
      <w:r>
        <w:fldChar w:fldCharType="begin"/>
      </w:r>
      <w:r>
        <w:instrText xml:space="preserve"> PAGEREF _Toc122834013 \h </w:instrText>
      </w:r>
      <w:r>
        <w:fldChar w:fldCharType="separate"/>
      </w:r>
      <w:r>
        <w:t>258</w:t>
      </w:r>
      <w:r>
        <w:fldChar w:fldCharType="end"/>
      </w:r>
    </w:p>
    <w:p>
      <w:pPr>
        <w:pStyle w:val="TOC8"/>
        <w:rPr>
          <w:sz w:val="24"/>
        </w:rPr>
      </w:pPr>
      <w:r>
        <w:t>189.</w:t>
      </w:r>
      <w:r>
        <w:tab/>
        <w:t>Relief or redress not restricted to claim</w:t>
      </w:r>
      <w:r>
        <w:tab/>
      </w:r>
      <w:r>
        <w:fldChar w:fldCharType="begin"/>
      </w:r>
      <w:r>
        <w:instrText xml:space="preserve"> PAGEREF _Toc122834014 \h </w:instrText>
      </w:r>
      <w:r>
        <w:fldChar w:fldCharType="separate"/>
      </w:r>
      <w:r>
        <w:t>259</w:t>
      </w:r>
      <w:r>
        <w:fldChar w:fldCharType="end"/>
      </w:r>
    </w:p>
    <w:p>
      <w:pPr>
        <w:pStyle w:val="TOC8"/>
        <w:rPr>
          <w:sz w:val="24"/>
        </w:rPr>
      </w:pPr>
      <w:r>
        <w:t>190.</w:t>
      </w:r>
      <w:r>
        <w:tab/>
        <w:t>Directions</w:t>
      </w:r>
      <w:r>
        <w:tab/>
      </w:r>
      <w:r>
        <w:fldChar w:fldCharType="begin"/>
      </w:r>
      <w:r>
        <w:instrText xml:space="preserve"> PAGEREF _Toc122834015 \h </w:instrText>
      </w:r>
      <w:r>
        <w:fldChar w:fldCharType="separate"/>
      </w:r>
      <w:r>
        <w:t>259</w:t>
      </w:r>
      <w:r>
        <w:fldChar w:fldCharType="end"/>
      </w:r>
    </w:p>
    <w:p>
      <w:pPr>
        <w:pStyle w:val="TOC8"/>
        <w:rPr>
          <w:sz w:val="24"/>
        </w:rPr>
      </w:pPr>
      <w:r>
        <w:t>191.</w:t>
      </w:r>
      <w:r>
        <w:tab/>
        <w:t>Dependants</w:t>
      </w:r>
      <w:r>
        <w:tab/>
      </w:r>
      <w:r>
        <w:fldChar w:fldCharType="begin"/>
      </w:r>
      <w:r>
        <w:instrText xml:space="preserve"> PAGEREF _Toc122834016 \h </w:instrText>
      </w:r>
      <w:r>
        <w:fldChar w:fldCharType="separate"/>
      </w:r>
      <w:r>
        <w:t>259</w:t>
      </w:r>
      <w:r>
        <w:fldChar w:fldCharType="end"/>
      </w:r>
    </w:p>
    <w:p>
      <w:pPr>
        <w:pStyle w:val="TOC8"/>
        <w:rPr>
          <w:sz w:val="24"/>
        </w:rPr>
      </w:pPr>
      <w:r>
        <w:t>192.</w:t>
      </w:r>
      <w:r>
        <w:tab/>
        <w:t>Arbitrator may regard illegal contracts of employment as valid</w:t>
      </w:r>
      <w:r>
        <w:tab/>
      </w:r>
      <w:r>
        <w:fldChar w:fldCharType="begin"/>
      </w:r>
      <w:r>
        <w:instrText xml:space="preserve"> PAGEREF _Toc122834017 \h </w:instrText>
      </w:r>
      <w:r>
        <w:fldChar w:fldCharType="separate"/>
      </w:r>
      <w:r>
        <w:t>259</w:t>
      </w:r>
      <w:r>
        <w:fldChar w:fldCharType="end"/>
      </w:r>
    </w:p>
    <w:p>
      <w:pPr>
        <w:pStyle w:val="TOC8"/>
        <w:rPr>
          <w:sz w:val="24"/>
        </w:rPr>
      </w:pPr>
      <w:r>
        <w:t>193.</w:t>
      </w:r>
      <w:r>
        <w:tab/>
        <w:t>Power of arbitrator to require information</w:t>
      </w:r>
      <w:r>
        <w:tab/>
      </w:r>
      <w:r>
        <w:fldChar w:fldCharType="begin"/>
      </w:r>
      <w:r>
        <w:instrText xml:space="preserve"> PAGEREF _Toc122834018 \h </w:instrText>
      </w:r>
      <w:r>
        <w:fldChar w:fldCharType="separate"/>
      </w:r>
      <w:r>
        <w:t>260</w:t>
      </w:r>
      <w:r>
        <w:fldChar w:fldCharType="end"/>
      </w:r>
    </w:p>
    <w:p>
      <w:pPr>
        <w:pStyle w:val="TOC8"/>
        <w:rPr>
          <w:sz w:val="24"/>
        </w:rPr>
      </w:pPr>
      <w:r>
        <w:t>194.</w:t>
      </w:r>
      <w:r>
        <w:tab/>
        <w:t>Arbitrator may provide documents, material and information to party</w:t>
      </w:r>
      <w:r>
        <w:tab/>
      </w:r>
      <w:r>
        <w:fldChar w:fldCharType="begin"/>
      </w:r>
      <w:r>
        <w:instrText xml:space="preserve"> PAGEREF _Toc122834019 \h </w:instrText>
      </w:r>
      <w:r>
        <w:fldChar w:fldCharType="separate"/>
      </w:r>
      <w:r>
        <w:t>261</w:t>
      </w:r>
      <w:r>
        <w:fldChar w:fldCharType="end"/>
      </w:r>
    </w:p>
    <w:p>
      <w:pPr>
        <w:pStyle w:val="TOC8"/>
        <w:rPr>
          <w:sz w:val="24"/>
        </w:rPr>
      </w:pPr>
      <w:r>
        <w:t>195.</w:t>
      </w:r>
      <w:r>
        <w:tab/>
        <w:t>Representation</w:t>
      </w:r>
      <w:r>
        <w:tab/>
      </w:r>
      <w:r>
        <w:fldChar w:fldCharType="begin"/>
      </w:r>
      <w:r>
        <w:instrText xml:space="preserve"> PAGEREF _Toc122834020 \h </w:instrText>
      </w:r>
      <w:r>
        <w:fldChar w:fldCharType="separate"/>
      </w:r>
      <w:r>
        <w:t>262</w:t>
      </w:r>
      <w:r>
        <w:fldChar w:fldCharType="end"/>
      </w:r>
    </w:p>
    <w:p>
      <w:pPr>
        <w:pStyle w:val="TOC8"/>
        <w:rPr>
          <w:sz w:val="24"/>
        </w:rPr>
      </w:pPr>
      <w:r>
        <w:t>196.</w:t>
      </w:r>
      <w:r>
        <w:tab/>
        <w:t>Arbitrator may appoint guardian</w:t>
      </w:r>
      <w:r>
        <w:tab/>
      </w:r>
      <w:r>
        <w:fldChar w:fldCharType="begin"/>
      </w:r>
      <w:r>
        <w:instrText xml:space="preserve"> PAGEREF _Toc122834021 \h </w:instrText>
      </w:r>
      <w:r>
        <w:fldChar w:fldCharType="separate"/>
      </w:r>
      <w:r>
        <w:t>262</w:t>
      </w:r>
      <w:r>
        <w:fldChar w:fldCharType="end"/>
      </w:r>
    </w:p>
    <w:p>
      <w:pPr>
        <w:pStyle w:val="TOC8"/>
        <w:rPr>
          <w:sz w:val="24"/>
        </w:rPr>
      </w:pPr>
      <w:r>
        <w:t>197.</w:t>
      </w:r>
      <w:r>
        <w:tab/>
        <w:t>Interpreters and assistants</w:t>
      </w:r>
      <w:r>
        <w:tab/>
      </w:r>
      <w:r>
        <w:fldChar w:fldCharType="begin"/>
      </w:r>
      <w:r>
        <w:instrText xml:space="preserve"> PAGEREF _Toc122834022 \h </w:instrText>
      </w:r>
      <w:r>
        <w:fldChar w:fldCharType="separate"/>
      </w:r>
      <w:r>
        <w:t>263</w:t>
      </w:r>
      <w:r>
        <w:fldChar w:fldCharType="end"/>
      </w:r>
    </w:p>
    <w:p>
      <w:pPr>
        <w:pStyle w:val="TOC8"/>
        <w:rPr>
          <w:sz w:val="24"/>
        </w:rPr>
      </w:pPr>
      <w:r>
        <w:t>198.</w:t>
      </w:r>
      <w:r>
        <w:tab/>
        <w:t>Electronic hearings and proceedings without hearings</w:t>
      </w:r>
      <w:r>
        <w:tab/>
      </w:r>
      <w:r>
        <w:fldChar w:fldCharType="begin"/>
      </w:r>
      <w:r>
        <w:instrText xml:space="preserve"> PAGEREF _Toc122834023 \h </w:instrText>
      </w:r>
      <w:r>
        <w:fldChar w:fldCharType="separate"/>
      </w:r>
      <w:r>
        <w:t>263</w:t>
      </w:r>
      <w:r>
        <w:fldChar w:fldCharType="end"/>
      </w:r>
    </w:p>
    <w:p>
      <w:pPr>
        <w:pStyle w:val="TOC8"/>
        <w:rPr>
          <w:sz w:val="24"/>
        </w:rPr>
      </w:pPr>
      <w:r>
        <w:t>199.</w:t>
      </w:r>
      <w:r>
        <w:tab/>
        <w:t>Hearings to be held in private</w:t>
      </w:r>
      <w:r>
        <w:tab/>
      </w:r>
      <w:r>
        <w:fldChar w:fldCharType="begin"/>
      </w:r>
      <w:r>
        <w:instrText xml:space="preserve"> PAGEREF _Toc122834024 \h </w:instrText>
      </w:r>
      <w:r>
        <w:fldChar w:fldCharType="separate"/>
      </w:r>
      <w:r>
        <w:t>264</w:t>
      </w:r>
      <w:r>
        <w:fldChar w:fldCharType="end"/>
      </w:r>
    </w:p>
    <w:p>
      <w:pPr>
        <w:pStyle w:val="TOC8"/>
        <w:rPr>
          <w:sz w:val="24"/>
        </w:rPr>
      </w:pPr>
      <w:r>
        <w:t>200.</w:t>
      </w:r>
      <w:r>
        <w:tab/>
        <w:t>Notice of hearings</w:t>
      </w:r>
      <w:r>
        <w:tab/>
      </w:r>
      <w:r>
        <w:fldChar w:fldCharType="begin"/>
      </w:r>
      <w:r>
        <w:instrText xml:space="preserve"> PAGEREF _Toc122834025 \h </w:instrText>
      </w:r>
      <w:r>
        <w:fldChar w:fldCharType="separate"/>
      </w:r>
      <w:r>
        <w:t>264</w:t>
      </w:r>
      <w:r>
        <w:fldChar w:fldCharType="end"/>
      </w:r>
    </w:p>
    <w:p>
      <w:pPr>
        <w:pStyle w:val="TOC8"/>
        <w:rPr>
          <w:sz w:val="24"/>
        </w:rPr>
      </w:pPr>
      <w:r>
        <w:t>201.</w:t>
      </w:r>
      <w:r>
        <w:tab/>
        <w:t>Expert or professional assistance</w:t>
      </w:r>
      <w:r>
        <w:tab/>
      </w:r>
      <w:r>
        <w:fldChar w:fldCharType="begin"/>
      </w:r>
      <w:r>
        <w:instrText xml:space="preserve"> PAGEREF _Toc122834026 \h </w:instrText>
      </w:r>
      <w:r>
        <w:fldChar w:fldCharType="separate"/>
      </w:r>
      <w:r>
        <w:t>265</w:t>
      </w:r>
      <w:r>
        <w:fldChar w:fldCharType="end"/>
      </w:r>
    </w:p>
    <w:p>
      <w:pPr>
        <w:pStyle w:val="TOC8"/>
        <w:rPr>
          <w:sz w:val="24"/>
        </w:rPr>
      </w:pPr>
      <w:r>
        <w:t>202.</w:t>
      </w:r>
      <w:r>
        <w:tab/>
        <w:t>Summoning witnesses</w:t>
      </w:r>
      <w:r>
        <w:tab/>
      </w:r>
      <w:r>
        <w:fldChar w:fldCharType="begin"/>
      </w:r>
      <w:r>
        <w:instrText xml:space="preserve"> PAGEREF _Toc122834027 \h </w:instrText>
      </w:r>
      <w:r>
        <w:fldChar w:fldCharType="separate"/>
      </w:r>
      <w:r>
        <w:t>265</w:t>
      </w:r>
      <w:r>
        <w:fldChar w:fldCharType="end"/>
      </w:r>
    </w:p>
    <w:p>
      <w:pPr>
        <w:pStyle w:val="TOC8"/>
        <w:rPr>
          <w:sz w:val="24"/>
        </w:rPr>
      </w:pPr>
      <w:r>
        <w:t>203.</w:t>
      </w:r>
      <w:r>
        <w:tab/>
        <w:t>Powers relating to witnesses</w:t>
      </w:r>
      <w:r>
        <w:tab/>
      </w:r>
      <w:r>
        <w:fldChar w:fldCharType="begin"/>
      </w:r>
      <w:r>
        <w:instrText xml:space="preserve"> PAGEREF _Toc122834028 \h </w:instrText>
      </w:r>
      <w:r>
        <w:fldChar w:fldCharType="separate"/>
      </w:r>
      <w:r>
        <w:t>265</w:t>
      </w:r>
      <w:r>
        <w:fldChar w:fldCharType="end"/>
      </w:r>
    </w:p>
    <w:p>
      <w:pPr>
        <w:pStyle w:val="TOC8"/>
        <w:rPr>
          <w:sz w:val="24"/>
        </w:rPr>
      </w:pPr>
      <w:r>
        <w:t>204.</w:t>
      </w:r>
      <w:r>
        <w:tab/>
        <w:t>Privilege against self</w:t>
      </w:r>
      <w:r>
        <w:noBreakHyphen/>
        <w:t>incrimination</w:t>
      </w:r>
      <w:r>
        <w:tab/>
      </w:r>
      <w:r>
        <w:fldChar w:fldCharType="begin"/>
      </w:r>
      <w:r>
        <w:instrText xml:space="preserve"> PAGEREF _Toc122834029 \h </w:instrText>
      </w:r>
      <w:r>
        <w:fldChar w:fldCharType="separate"/>
      </w:r>
      <w:r>
        <w:t>266</w:t>
      </w:r>
      <w:r>
        <w:fldChar w:fldCharType="end"/>
      </w:r>
    </w:p>
    <w:p>
      <w:pPr>
        <w:pStyle w:val="TOC8"/>
        <w:rPr>
          <w:sz w:val="24"/>
        </w:rPr>
      </w:pPr>
      <w:r>
        <w:t>205.</w:t>
      </w:r>
      <w:r>
        <w:tab/>
        <w:t>Legal professional privilege in relation to medical reports</w:t>
      </w:r>
      <w:r>
        <w:tab/>
      </w:r>
      <w:r>
        <w:fldChar w:fldCharType="begin"/>
      </w:r>
      <w:r>
        <w:instrText xml:space="preserve"> PAGEREF _Toc122834030 \h </w:instrText>
      </w:r>
      <w:r>
        <w:fldChar w:fldCharType="separate"/>
      </w:r>
      <w:r>
        <w:t>266</w:t>
      </w:r>
      <w:r>
        <w:fldChar w:fldCharType="end"/>
      </w:r>
    </w:p>
    <w:p>
      <w:pPr>
        <w:pStyle w:val="TOC8"/>
        <w:rPr>
          <w:sz w:val="24"/>
        </w:rPr>
      </w:pPr>
      <w:r>
        <w:t>206.</w:t>
      </w:r>
      <w:r>
        <w:tab/>
        <w:t>Other claims of privilege</w:t>
      </w:r>
      <w:r>
        <w:tab/>
      </w:r>
      <w:r>
        <w:fldChar w:fldCharType="begin"/>
      </w:r>
      <w:r>
        <w:instrText xml:space="preserve"> PAGEREF _Toc122834031 \h </w:instrText>
      </w:r>
      <w:r>
        <w:fldChar w:fldCharType="separate"/>
      </w:r>
      <w:r>
        <w:t>267</w:t>
      </w:r>
      <w:r>
        <w:fldChar w:fldCharType="end"/>
      </w:r>
    </w:p>
    <w:p>
      <w:pPr>
        <w:pStyle w:val="TOC8"/>
        <w:rPr>
          <w:sz w:val="24"/>
        </w:rPr>
      </w:pPr>
      <w:r>
        <w:t>207.</w:t>
      </w:r>
      <w:r>
        <w:tab/>
        <w:t>Oaths and affirmations</w:t>
      </w:r>
      <w:r>
        <w:tab/>
      </w:r>
      <w:r>
        <w:fldChar w:fldCharType="begin"/>
      </w:r>
      <w:r>
        <w:instrText xml:space="preserve"> PAGEREF _Toc122834032 \h </w:instrText>
      </w:r>
      <w:r>
        <w:fldChar w:fldCharType="separate"/>
      </w:r>
      <w:r>
        <w:t>267</w:t>
      </w:r>
      <w:r>
        <w:fldChar w:fldCharType="end"/>
      </w:r>
    </w:p>
    <w:p>
      <w:pPr>
        <w:pStyle w:val="TOC8"/>
        <w:rPr>
          <w:sz w:val="24"/>
        </w:rPr>
      </w:pPr>
      <w:r>
        <w:t>208.</w:t>
      </w:r>
      <w:r>
        <w:tab/>
        <w:t>Authorising person to take evidence</w:t>
      </w:r>
      <w:r>
        <w:tab/>
      </w:r>
      <w:r>
        <w:fldChar w:fldCharType="begin"/>
      </w:r>
      <w:r>
        <w:instrText xml:space="preserve"> PAGEREF _Toc122834033 \h </w:instrText>
      </w:r>
      <w:r>
        <w:fldChar w:fldCharType="separate"/>
      </w:r>
      <w:r>
        <w:t>267</w:t>
      </w:r>
      <w:r>
        <w:fldChar w:fldCharType="end"/>
      </w:r>
    </w:p>
    <w:p>
      <w:pPr>
        <w:pStyle w:val="TOC8"/>
        <w:rPr>
          <w:sz w:val="24"/>
        </w:rPr>
      </w:pPr>
      <w:r>
        <w:t>209.</w:t>
      </w:r>
      <w:r>
        <w:tab/>
        <w:t>Dealing with things produced</w:t>
      </w:r>
      <w:r>
        <w:tab/>
      </w:r>
      <w:r>
        <w:fldChar w:fldCharType="begin"/>
      </w:r>
      <w:r>
        <w:instrText xml:space="preserve"> PAGEREF _Toc122834034 \h </w:instrText>
      </w:r>
      <w:r>
        <w:fldChar w:fldCharType="separate"/>
      </w:r>
      <w:r>
        <w:t>268</w:t>
      </w:r>
      <w:r>
        <w:fldChar w:fldCharType="end"/>
      </w:r>
    </w:p>
    <w:p>
      <w:pPr>
        <w:pStyle w:val="TOC8"/>
        <w:rPr>
          <w:sz w:val="24"/>
        </w:rPr>
      </w:pPr>
      <w:r>
        <w:t>210.</w:t>
      </w:r>
      <w:r>
        <w:tab/>
        <w:t>Referral of medical dispute for assessment</w:t>
      </w:r>
      <w:r>
        <w:tab/>
      </w:r>
      <w:r>
        <w:fldChar w:fldCharType="begin"/>
      </w:r>
      <w:r>
        <w:instrText xml:space="preserve"> PAGEREF _Toc122834035 \h </w:instrText>
      </w:r>
      <w:r>
        <w:fldChar w:fldCharType="separate"/>
      </w:r>
      <w:r>
        <w:t>268</w:t>
      </w:r>
      <w:r>
        <w:fldChar w:fldCharType="end"/>
      </w:r>
    </w:p>
    <w:p>
      <w:pPr>
        <w:pStyle w:val="TOC4"/>
        <w:tabs>
          <w:tab w:val="right" w:leader="dot" w:pos="7078"/>
        </w:tabs>
        <w:rPr>
          <w:b w:val="0"/>
          <w:sz w:val="24"/>
        </w:rPr>
      </w:pPr>
      <w:r>
        <w:t>Division 5 — Decisions</w:t>
      </w:r>
    </w:p>
    <w:p>
      <w:pPr>
        <w:pStyle w:val="TOC6"/>
        <w:tabs>
          <w:tab w:val="right" w:leader="dot" w:pos="7078"/>
        </w:tabs>
        <w:rPr>
          <w:b w:val="0"/>
          <w:sz w:val="24"/>
        </w:rPr>
      </w:pPr>
      <w:r>
        <w:t>Subdivision 1 — General provisions</w:t>
      </w:r>
    </w:p>
    <w:p>
      <w:pPr>
        <w:pStyle w:val="TOC8"/>
        <w:rPr>
          <w:sz w:val="24"/>
        </w:rPr>
      </w:pPr>
      <w:r>
        <w:t>211.</w:t>
      </w:r>
      <w:r>
        <w:tab/>
        <w:t>Decisions generally</w:t>
      </w:r>
      <w:r>
        <w:tab/>
      </w:r>
      <w:r>
        <w:fldChar w:fldCharType="begin"/>
      </w:r>
      <w:r>
        <w:instrText xml:space="preserve"> PAGEREF _Toc122834038 \h </w:instrText>
      </w:r>
      <w:r>
        <w:fldChar w:fldCharType="separate"/>
      </w:r>
      <w:r>
        <w:t>269</w:t>
      </w:r>
      <w:r>
        <w:fldChar w:fldCharType="end"/>
      </w:r>
    </w:p>
    <w:p>
      <w:pPr>
        <w:pStyle w:val="TOC8"/>
        <w:rPr>
          <w:sz w:val="24"/>
        </w:rPr>
      </w:pPr>
      <w:r>
        <w:t>212.</w:t>
      </w:r>
      <w:r>
        <w:tab/>
        <w:t>Conditional and ancillary orders and directions</w:t>
      </w:r>
      <w:r>
        <w:tab/>
      </w:r>
      <w:r>
        <w:fldChar w:fldCharType="begin"/>
      </w:r>
      <w:r>
        <w:instrText xml:space="preserve"> PAGEREF _Toc122834039 \h </w:instrText>
      </w:r>
      <w:r>
        <w:fldChar w:fldCharType="separate"/>
      </w:r>
      <w:r>
        <w:t>269</w:t>
      </w:r>
      <w:r>
        <w:fldChar w:fldCharType="end"/>
      </w:r>
    </w:p>
    <w:p>
      <w:pPr>
        <w:pStyle w:val="TOC8"/>
        <w:rPr>
          <w:sz w:val="24"/>
        </w:rPr>
      </w:pPr>
      <w:r>
        <w:t>213.</w:t>
      </w:r>
      <w:r>
        <w:tab/>
        <w:t>Form and content of decision and reasons</w:t>
      </w:r>
      <w:r>
        <w:tab/>
      </w:r>
      <w:r>
        <w:fldChar w:fldCharType="begin"/>
      </w:r>
      <w:r>
        <w:instrText xml:space="preserve"> PAGEREF _Toc122834040 \h </w:instrText>
      </w:r>
      <w:r>
        <w:fldChar w:fldCharType="separate"/>
      </w:r>
      <w:r>
        <w:t>270</w:t>
      </w:r>
      <w:r>
        <w:fldChar w:fldCharType="end"/>
      </w:r>
    </w:p>
    <w:p>
      <w:pPr>
        <w:pStyle w:val="TOC8"/>
        <w:rPr>
          <w:sz w:val="24"/>
        </w:rPr>
      </w:pPr>
      <w:r>
        <w:t>214.</w:t>
      </w:r>
      <w:r>
        <w:tab/>
        <w:t>Validity of decision</w:t>
      </w:r>
      <w:r>
        <w:tab/>
      </w:r>
      <w:r>
        <w:fldChar w:fldCharType="begin"/>
      </w:r>
      <w:r>
        <w:instrText xml:space="preserve"> PAGEREF _Toc122834041 \h </w:instrText>
      </w:r>
      <w:r>
        <w:fldChar w:fldCharType="separate"/>
      </w:r>
      <w:r>
        <w:t>271</w:t>
      </w:r>
      <w:r>
        <w:fldChar w:fldCharType="end"/>
      </w:r>
    </w:p>
    <w:p>
      <w:pPr>
        <w:pStyle w:val="TOC8"/>
        <w:rPr>
          <w:sz w:val="24"/>
        </w:rPr>
      </w:pPr>
      <w:r>
        <w:t>215.</w:t>
      </w:r>
      <w:r>
        <w:tab/>
        <w:t>When decision has effect</w:t>
      </w:r>
      <w:r>
        <w:tab/>
      </w:r>
      <w:r>
        <w:fldChar w:fldCharType="begin"/>
      </w:r>
      <w:r>
        <w:instrText xml:space="preserve"> PAGEREF _Toc122834042 \h </w:instrText>
      </w:r>
      <w:r>
        <w:fldChar w:fldCharType="separate"/>
      </w:r>
      <w:r>
        <w:t>271</w:t>
      </w:r>
      <w:r>
        <w:fldChar w:fldCharType="end"/>
      </w:r>
    </w:p>
    <w:p>
      <w:pPr>
        <w:pStyle w:val="TOC8"/>
        <w:rPr>
          <w:sz w:val="24"/>
        </w:rPr>
      </w:pPr>
      <w:r>
        <w:t>216.</w:t>
      </w:r>
      <w:r>
        <w:tab/>
        <w:t>Correcting mistakes</w:t>
      </w:r>
      <w:r>
        <w:tab/>
      </w:r>
      <w:r>
        <w:fldChar w:fldCharType="begin"/>
      </w:r>
      <w:r>
        <w:instrText xml:space="preserve"> PAGEREF _Toc122834043 \h </w:instrText>
      </w:r>
      <w:r>
        <w:fldChar w:fldCharType="separate"/>
      </w:r>
      <w:r>
        <w:t>271</w:t>
      </w:r>
      <w:r>
        <w:fldChar w:fldCharType="end"/>
      </w:r>
    </w:p>
    <w:p>
      <w:pPr>
        <w:pStyle w:val="TOC6"/>
        <w:tabs>
          <w:tab w:val="right" w:leader="dot" w:pos="7078"/>
        </w:tabs>
        <w:rPr>
          <w:b w:val="0"/>
          <w:sz w:val="24"/>
        </w:rPr>
      </w:pPr>
      <w:r>
        <w:t>Subdivision 2 — Particular orders</w:t>
      </w:r>
    </w:p>
    <w:p>
      <w:pPr>
        <w:pStyle w:val="TOC8"/>
        <w:rPr>
          <w:sz w:val="24"/>
        </w:rPr>
      </w:pPr>
      <w:r>
        <w:t>217.</w:t>
      </w:r>
      <w:r>
        <w:tab/>
        <w:t>Order as to total liability</w:t>
      </w:r>
      <w:r>
        <w:tab/>
      </w:r>
      <w:r>
        <w:fldChar w:fldCharType="begin"/>
      </w:r>
      <w:r>
        <w:instrText xml:space="preserve"> PAGEREF _Toc122834045 \h </w:instrText>
      </w:r>
      <w:r>
        <w:fldChar w:fldCharType="separate"/>
      </w:r>
      <w:r>
        <w:t>272</w:t>
      </w:r>
      <w:r>
        <w:fldChar w:fldCharType="end"/>
      </w:r>
    </w:p>
    <w:p>
      <w:pPr>
        <w:pStyle w:val="TOC8"/>
        <w:rPr>
          <w:sz w:val="24"/>
        </w:rPr>
      </w:pPr>
      <w:r>
        <w:t>218.</w:t>
      </w:r>
      <w:r>
        <w:tab/>
        <w:t>Order relating to payment of compensation in respect of persons under legal disability or who are dependants</w:t>
      </w:r>
      <w:r>
        <w:tab/>
      </w:r>
      <w:r>
        <w:fldChar w:fldCharType="begin"/>
      </w:r>
      <w:r>
        <w:instrText xml:space="preserve"> PAGEREF _Toc122834046 \h </w:instrText>
      </w:r>
      <w:r>
        <w:fldChar w:fldCharType="separate"/>
      </w:r>
      <w:r>
        <w:t>273</w:t>
      </w:r>
      <w:r>
        <w:fldChar w:fldCharType="end"/>
      </w:r>
    </w:p>
    <w:p>
      <w:pPr>
        <w:pStyle w:val="TOC6"/>
        <w:tabs>
          <w:tab w:val="right" w:leader="dot" w:pos="7078"/>
        </w:tabs>
        <w:rPr>
          <w:b w:val="0"/>
          <w:sz w:val="24"/>
        </w:rPr>
      </w:pPr>
      <w:r>
        <w:t>Subdivision 3 — Enforcement of decisions</w:t>
      </w:r>
    </w:p>
    <w:p>
      <w:pPr>
        <w:pStyle w:val="TOC8"/>
        <w:rPr>
          <w:sz w:val="24"/>
        </w:rPr>
      </w:pPr>
      <w:r>
        <w:t>219.</w:t>
      </w:r>
      <w:r>
        <w:tab/>
        <w:t>Enforcement of decisions</w:t>
      </w:r>
      <w:r>
        <w:tab/>
      </w:r>
      <w:r>
        <w:fldChar w:fldCharType="begin"/>
      </w:r>
      <w:r>
        <w:instrText xml:space="preserve"> PAGEREF _Toc122834048 \h </w:instrText>
      </w:r>
      <w:r>
        <w:fldChar w:fldCharType="separate"/>
      </w:r>
      <w:r>
        <w:t>274</w:t>
      </w:r>
      <w:r>
        <w:fldChar w:fldCharType="end"/>
      </w:r>
    </w:p>
    <w:p>
      <w:pPr>
        <w:pStyle w:val="TOC4"/>
        <w:tabs>
          <w:tab w:val="right" w:leader="dot" w:pos="7078"/>
        </w:tabs>
        <w:rPr>
          <w:b w:val="0"/>
          <w:sz w:val="24"/>
        </w:rPr>
      </w:pPr>
      <w:r>
        <w:t>Division 6 — Miscellaneous</w:t>
      </w:r>
    </w:p>
    <w:p>
      <w:pPr>
        <w:pStyle w:val="TOC8"/>
        <w:rPr>
          <w:sz w:val="24"/>
        </w:rPr>
      </w:pPr>
      <w:r>
        <w:t>220.</w:t>
      </w:r>
      <w:r>
        <w:tab/>
        <w:t>Evidence not admissible in common law proceedings</w:t>
      </w:r>
      <w:r>
        <w:tab/>
      </w:r>
      <w:r>
        <w:fldChar w:fldCharType="begin"/>
      </w:r>
      <w:r>
        <w:instrText xml:space="preserve"> PAGEREF _Toc122834050 \h </w:instrText>
      </w:r>
      <w:r>
        <w:fldChar w:fldCharType="separate"/>
      </w:r>
      <w:r>
        <w:t>275</w:t>
      </w:r>
      <w:r>
        <w:fldChar w:fldCharType="end"/>
      </w:r>
    </w:p>
    <w:p>
      <w:pPr>
        <w:pStyle w:val="TOC8"/>
        <w:rPr>
          <w:sz w:val="24"/>
        </w:rPr>
      </w:pPr>
      <w:r>
        <w:t>221</w:t>
      </w:r>
      <w:r>
        <w:rPr>
          <w:snapToGrid w:val="0"/>
        </w:rPr>
        <w:t>.</w:t>
      </w:r>
      <w:r>
        <w:rPr>
          <w:snapToGrid w:val="0"/>
        </w:rPr>
        <w:tab/>
        <w:t>Payment of compensation awarded</w:t>
      </w:r>
      <w:r>
        <w:tab/>
      </w:r>
      <w:r>
        <w:fldChar w:fldCharType="begin"/>
      </w:r>
      <w:r>
        <w:instrText xml:space="preserve"> PAGEREF _Toc122834051 \h </w:instrText>
      </w:r>
      <w:r>
        <w:fldChar w:fldCharType="separate"/>
      </w:r>
      <w:r>
        <w:t>275</w:t>
      </w:r>
      <w:r>
        <w:fldChar w:fldCharType="end"/>
      </w:r>
    </w:p>
    <w:p>
      <w:pPr>
        <w:pStyle w:val="TOC8"/>
        <w:rPr>
          <w:sz w:val="24"/>
        </w:rPr>
      </w:pPr>
      <w:r>
        <w:t>222.</w:t>
      </w:r>
      <w:r>
        <w:tab/>
        <w:t>Interest before order for payment</w:t>
      </w:r>
      <w:r>
        <w:tab/>
      </w:r>
      <w:r>
        <w:fldChar w:fldCharType="begin"/>
      </w:r>
      <w:r>
        <w:instrText xml:space="preserve"> PAGEREF _Toc122834052 \h </w:instrText>
      </w:r>
      <w:r>
        <w:fldChar w:fldCharType="separate"/>
      </w:r>
      <w:r>
        <w:t>275</w:t>
      </w:r>
      <w:r>
        <w:fldChar w:fldCharType="end"/>
      </w:r>
    </w:p>
    <w:p>
      <w:pPr>
        <w:pStyle w:val="TOC8"/>
        <w:rPr>
          <w:sz w:val="24"/>
        </w:rPr>
      </w:pPr>
      <w:r>
        <w:t>223.</w:t>
      </w:r>
      <w:r>
        <w:tab/>
        <w:t>Interest after order for payment</w:t>
      </w:r>
      <w:r>
        <w:tab/>
      </w:r>
      <w:r>
        <w:fldChar w:fldCharType="begin"/>
      </w:r>
      <w:r>
        <w:instrText xml:space="preserve"> PAGEREF _Toc122834053 \h </w:instrText>
      </w:r>
      <w:r>
        <w:fldChar w:fldCharType="separate"/>
      </w:r>
      <w:r>
        <w:t>276</w:t>
      </w:r>
      <w:r>
        <w:fldChar w:fldCharType="end"/>
      </w:r>
    </w:p>
    <w:p>
      <w:pPr>
        <w:pStyle w:val="TOC8"/>
        <w:rPr>
          <w:sz w:val="24"/>
        </w:rPr>
      </w:pPr>
      <w:r>
        <w:t>224.</w:t>
      </w:r>
      <w:r>
        <w:tab/>
        <w:t>Interest on agreed payment of lump sum compensation</w:t>
      </w:r>
      <w:r>
        <w:tab/>
      </w:r>
      <w:r>
        <w:fldChar w:fldCharType="begin"/>
      </w:r>
      <w:r>
        <w:instrText xml:space="preserve"> PAGEREF _Toc122834054 \h </w:instrText>
      </w:r>
      <w:r>
        <w:fldChar w:fldCharType="separate"/>
      </w:r>
      <w:r>
        <w:t>276</w:t>
      </w:r>
      <w:r>
        <w:fldChar w:fldCharType="end"/>
      </w:r>
    </w:p>
    <w:p>
      <w:pPr>
        <w:pStyle w:val="TOC8"/>
        <w:rPr>
          <w:sz w:val="24"/>
        </w:rPr>
      </w:pPr>
      <w:r>
        <w:t>225.</w:t>
      </w:r>
      <w:r>
        <w:tab/>
        <w:t>Regulations may exclude interest</w:t>
      </w:r>
      <w:r>
        <w:tab/>
      </w:r>
      <w:r>
        <w:fldChar w:fldCharType="begin"/>
      </w:r>
      <w:r>
        <w:instrText xml:space="preserve"> PAGEREF _Toc122834055 \h </w:instrText>
      </w:r>
      <w:r>
        <w:fldChar w:fldCharType="separate"/>
      </w:r>
      <w:r>
        <w:t>277</w:t>
      </w:r>
      <w:r>
        <w:fldChar w:fldCharType="end"/>
      </w:r>
    </w:p>
    <w:p>
      <w:pPr>
        <w:pStyle w:val="TOC2"/>
        <w:tabs>
          <w:tab w:val="right" w:leader="dot" w:pos="7078"/>
        </w:tabs>
        <w:rPr>
          <w:b w:val="0"/>
          <w:sz w:val="24"/>
        </w:rPr>
      </w:pPr>
      <w:r>
        <w:t>Part XII</w:t>
      </w:r>
      <w:r>
        <w:rPr>
          <w:b w:val="0"/>
        </w:rPr>
        <w:t> </w:t>
      </w:r>
      <w:r>
        <w:t>—</w:t>
      </w:r>
      <w:r>
        <w:rPr>
          <w:b w:val="0"/>
        </w:rPr>
        <w:t> </w:t>
      </w:r>
      <w:r>
        <w:t>Interim orders and minor claims</w:t>
      </w:r>
    </w:p>
    <w:p>
      <w:pPr>
        <w:pStyle w:val="TOC4"/>
        <w:tabs>
          <w:tab w:val="right" w:leader="dot" w:pos="7078"/>
        </w:tabs>
        <w:rPr>
          <w:b w:val="0"/>
          <w:sz w:val="24"/>
        </w:rPr>
      </w:pPr>
      <w:r>
        <w:t>Division 1 — Preliminary</w:t>
      </w:r>
    </w:p>
    <w:p>
      <w:pPr>
        <w:pStyle w:val="TOC8"/>
        <w:rPr>
          <w:sz w:val="24"/>
        </w:rPr>
      </w:pPr>
      <w:r>
        <w:t>226.</w:t>
      </w:r>
      <w:r>
        <w:tab/>
        <w:t>Interpretation</w:t>
      </w:r>
      <w:r>
        <w:tab/>
      </w:r>
      <w:r>
        <w:fldChar w:fldCharType="begin"/>
      </w:r>
      <w:r>
        <w:instrText xml:space="preserve"> PAGEREF _Toc122834058 \h </w:instrText>
      </w:r>
      <w:r>
        <w:fldChar w:fldCharType="separate"/>
      </w:r>
      <w:r>
        <w:t>278</w:t>
      </w:r>
      <w:r>
        <w:fldChar w:fldCharType="end"/>
      </w:r>
    </w:p>
    <w:p>
      <w:pPr>
        <w:pStyle w:val="TOC8"/>
        <w:rPr>
          <w:sz w:val="24"/>
        </w:rPr>
      </w:pPr>
      <w:r>
        <w:t>227.</w:t>
      </w:r>
      <w:r>
        <w:tab/>
        <w:t>Exercise of functions under this Part</w:t>
      </w:r>
      <w:r>
        <w:tab/>
      </w:r>
      <w:r>
        <w:fldChar w:fldCharType="begin"/>
      </w:r>
      <w:r>
        <w:instrText xml:space="preserve"> PAGEREF _Toc122834059 \h </w:instrText>
      </w:r>
      <w:r>
        <w:fldChar w:fldCharType="separate"/>
      </w:r>
      <w:r>
        <w:t>278</w:t>
      </w:r>
      <w:r>
        <w:fldChar w:fldCharType="end"/>
      </w:r>
    </w:p>
    <w:p>
      <w:pPr>
        <w:pStyle w:val="TOC8"/>
        <w:rPr>
          <w:sz w:val="24"/>
        </w:rPr>
      </w:pPr>
      <w:r>
        <w:t>228.</w:t>
      </w:r>
      <w:r>
        <w:tab/>
        <w:t>Provisions of Part XI apply</w:t>
      </w:r>
      <w:r>
        <w:tab/>
      </w:r>
      <w:r>
        <w:fldChar w:fldCharType="begin"/>
      </w:r>
      <w:r>
        <w:instrText xml:space="preserve"> PAGEREF _Toc122834060 \h </w:instrText>
      </w:r>
      <w:r>
        <w:fldChar w:fldCharType="separate"/>
      </w:r>
      <w:r>
        <w:t>278</w:t>
      </w:r>
      <w:r>
        <w:fldChar w:fldCharType="end"/>
      </w:r>
    </w:p>
    <w:p>
      <w:pPr>
        <w:pStyle w:val="TOC8"/>
        <w:rPr>
          <w:sz w:val="24"/>
        </w:rPr>
      </w:pPr>
      <w:r>
        <w:t>229.</w:t>
      </w:r>
      <w:r>
        <w:tab/>
        <w:t>Arbitrator may direct that matter be dealt with under Part XI</w:t>
      </w:r>
      <w:r>
        <w:tab/>
      </w:r>
      <w:r>
        <w:fldChar w:fldCharType="begin"/>
      </w:r>
      <w:r>
        <w:instrText xml:space="preserve"> PAGEREF _Toc122834061 \h </w:instrText>
      </w:r>
      <w:r>
        <w:fldChar w:fldCharType="separate"/>
      </w:r>
      <w:r>
        <w:t>279</w:t>
      </w:r>
      <w:r>
        <w:fldChar w:fldCharType="end"/>
      </w:r>
    </w:p>
    <w:p>
      <w:pPr>
        <w:pStyle w:val="TOC8"/>
        <w:rPr>
          <w:sz w:val="24"/>
        </w:rPr>
      </w:pPr>
      <w:r>
        <w:t>230.</w:t>
      </w:r>
      <w:r>
        <w:tab/>
        <w:t>DRD Rules apply</w:t>
      </w:r>
      <w:r>
        <w:tab/>
      </w:r>
      <w:r>
        <w:fldChar w:fldCharType="begin"/>
      </w:r>
      <w:r>
        <w:instrText xml:space="preserve"> PAGEREF _Toc122834062 \h </w:instrText>
      </w:r>
      <w:r>
        <w:fldChar w:fldCharType="separate"/>
      </w:r>
      <w:r>
        <w:t>279</w:t>
      </w:r>
      <w:r>
        <w:fldChar w:fldCharType="end"/>
      </w:r>
    </w:p>
    <w:p>
      <w:pPr>
        <w:pStyle w:val="TOC4"/>
        <w:tabs>
          <w:tab w:val="right" w:leader="dot" w:pos="7078"/>
        </w:tabs>
        <w:rPr>
          <w:b w:val="0"/>
          <w:sz w:val="24"/>
        </w:rPr>
      </w:pPr>
      <w:r>
        <w:t>Division 2 — Interim payment orders</w:t>
      </w:r>
    </w:p>
    <w:p>
      <w:pPr>
        <w:pStyle w:val="TOC8"/>
        <w:rPr>
          <w:sz w:val="24"/>
        </w:rPr>
      </w:pPr>
      <w:r>
        <w:t>231.</w:t>
      </w:r>
      <w:r>
        <w:tab/>
        <w:t>Application for interim payment order</w:t>
      </w:r>
      <w:r>
        <w:tab/>
      </w:r>
      <w:r>
        <w:fldChar w:fldCharType="begin"/>
      </w:r>
      <w:r>
        <w:instrText xml:space="preserve"> PAGEREF _Toc122834064 \h </w:instrText>
      </w:r>
      <w:r>
        <w:fldChar w:fldCharType="separate"/>
      </w:r>
      <w:r>
        <w:t>279</w:t>
      </w:r>
      <w:r>
        <w:fldChar w:fldCharType="end"/>
      </w:r>
    </w:p>
    <w:p>
      <w:pPr>
        <w:pStyle w:val="TOC8"/>
        <w:rPr>
          <w:sz w:val="24"/>
        </w:rPr>
      </w:pPr>
      <w:r>
        <w:t>232.</w:t>
      </w:r>
      <w:r>
        <w:tab/>
        <w:t>Orders for interim weekly payments</w:t>
      </w:r>
      <w:r>
        <w:tab/>
      </w:r>
      <w:r>
        <w:fldChar w:fldCharType="begin"/>
      </w:r>
      <w:r>
        <w:instrText xml:space="preserve"> PAGEREF _Toc122834065 \h </w:instrText>
      </w:r>
      <w:r>
        <w:fldChar w:fldCharType="separate"/>
      </w:r>
      <w:r>
        <w:t>280</w:t>
      </w:r>
      <w:r>
        <w:fldChar w:fldCharType="end"/>
      </w:r>
    </w:p>
    <w:p>
      <w:pPr>
        <w:pStyle w:val="TOC8"/>
        <w:rPr>
          <w:sz w:val="24"/>
        </w:rPr>
      </w:pPr>
      <w:r>
        <w:t>233.</w:t>
      </w:r>
      <w:r>
        <w:tab/>
        <w:t>Orders for interim payment of statutory expenses</w:t>
      </w:r>
      <w:r>
        <w:tab/>
      </w:r>
      <w:r>
        <w:fldChar w:fldCharType="begin"/>
      </w:r>
      <w:r>
        <w:instrText xml:space="preserve"> PAGEREF _Toc122834066 \h </w:instrText>
      </w:r>
      <w:r>
        <w:fldChar w:fldCharType="separate"/>
      </w:r>
      <w:r>
        <w:t>281</w:t>
      </w:r>
      <w:r>
        <w:fldChar w:fldCharType="end"/>
      </w:r>
    </w:p>
    <w:p>
      <w:pPr>
        <w:pStyle w:val="TOC8"/>
        <w:rPr>
          <w:sz w:val="24"/>
        </w:rPr>
      </w:pPr>
      <w:r>
        <w:t>234.</w:t>
      </w:r>
      <w:r>
        <w:tab/>
        <w:t>Limits on interim payment orders</w:t>
      </w:r>
      <w:r>
        <w:tab/>
      </w:r>
      <w:r>
        <w:fldChar w:fldCharType="begin"/>
      </w:r>
      <w:r>
        <w:instrText xml:space="preserve"> PAGEREF _Toc122834067 \h </w:instrText>
      </w:r>
      <w:r>
        <w:fldChar w:fldCharType="separate"/>
      </w:r>
      <w:r>
        <w:t>282</w:t>
      </w:r>
      <w:r>
        <w:fldChar w:fldCharType="end"/>
      </w:r>
    </w:p>
    <w:p>
      <w:pPr>
        <w:pStyle w:val="TOC8"/>
        <w:rPr>
          <w:sz w:val="24"/>
        </w:rPr>
      </w:pPr>
      <w:r>
        <w:t>235.</w:t>
      </w:r>
      <w:r>
        <w:tab/>
        <w:t>Effect of interim payment order</w:t>
      </w:r>
      <w:r>
        <w:tab/>
      </w:r>
      <w:r>
        <w:fldChar w:fldCharType="begin"/>
      </w:r>
      <w:r>
        <w:instrText xml:space="preserve"> PAGEREF _Toc122834068 \h </w:instrText>
      </w:r>
      <w:r>
        <w:fldChar w:fldCharType="separate"/>
      </w:r>
      <w:r>
        <w:t>282</w:t>
      </w:r>
      <w:r>
        <w:fldChar w:fldCharType="end"/>
      </w:r>
    </w:p>
    <w:p>
      <w:pPr>
        <w:pStyle w:val="TOC8"/>
        <w:rPr>
          <w:sz w:val="24"/>
        </w:rPr>
      </w:pPr>
      <w:r>
        <w:t>236.</w:t>
      </w:r>
      <w:r>
        <w:tab/>
        <w:t>Recovery of payments</w:t>
      </w:r>
      <w:r>
        <w:tab/>
      </w:r>
      <w:r>
        <w:fldChar w:fldCharType="begin"/>
      </w:r>
      <w:r>
        <w:instrText xml:space="preserve"> PAGEREF _Toc122834069 \h </w:instrText>
      </w:r>
      <w:r>
        <w:fldChar w:fldCharType="separate"/>
      </w:r>
      <w:r>
        <w:t>283</w:t>
      </w:r>
      <w:r>
        <w:fldChar w:fldCharType="end"/>
      </w:r>
    </w:p>
    <w:p>
      <w:pPr>
        <w:pStyle w:val="TOC8"/>
        <w:rPr>
          <w:sz w:val="24"/>
        </w:rPr>
      </w:pPr>
      <w:r>
        <w:t>237.</w:t>
      </w:r>
      <w:r>
        <w:tab/>
        <w:t>Revocation of interim payment order</w:t>
      </w:r>
      <w:r>
        <w:tab/>
      </w:r>
      <w:r>
        <w:fldChar w:fldCharType="begin"/>
      </w:r>
      <w:r>
        <w:instrText xml:space="preserve"> PAGEREF _Toc122834070 \h </w:instrText>
      </w:r>
      <w:r>
        <w:fldChar w:fldCharType="separate"/>
      </w:r>
      <w:r>
        <w:t>283</w:t>
      </w:r>
      <w:r>
        <w:fldChar w:fldCharType="end"/>
      </w:r>
    </w:p>
    <w:p>
      <w:pPr>
        <w:pStyle w:val="TOC4"/>
        <w:tabs>
          <w:tab w:val="right" w:leader="dot" w:pos="7078"/>
        </w:tabs>
        <w:rPr>
          <w:b w:val="0"/>
          <w:sz w:val="24"/>
        </w:rPr>
      </w:pPr>
      <w:r>
        <w:t>Division 3 — Interim suspension or reduction orders</w:t>
      </w:r>
    </w:p>
    <w:p>
      <w:pPr>
        <w:pStyle w:val="TOC8"/>
        <w:rPr>
          <w:sz w:val="24"/>
        </w:rPr>
      </w:pPr>
      <w:r>
        <w:t>238.</w:t>
      </w:r>
      <w:r>
        <w:tab/>
        <w:t>Interim suspension or reduction order</w:t>
      </w:r>
      <w:r>
        <w:tab/>
      </w:r>
      <w:r>
        <w:fldChar w:fldCharType="begin"/>
      </w:r>
      <w:r>
        <w:instrText xml:space="preserve"> PAGEREF _Toc122834072 \h </w:instrText>
      </w:r>
      <w:r>
        <w:fldChar w:fldCharType="separate"/>
      </w:r>
      <w:r>
        <w:t>284</w:t>
      </w:r>
      <w:r>
        <w:fldChar w:fldCharType="end"/>
      </w:r>
    </w:p>
    <w:p>
      <w:pPr>
        <w:pStyle w:val="TOC8"/>
        <w:rPr>
          <w:sz w:val="24"/>
        </w:rPr>
      </w:pPr>
      <w:r>
        <w:t>239.</w:t>
      </w:r>
      <w:r>
        <w:tab/>
        <w:t>Effect of Part XI determination on the same matter as a matter determined under this Division</w:t>
      </w:r>
      <w:r>
        <w:tab/>
      </w:r>
      <w:r>
        <w:fldChar w:fldCharType="begin"/>
      </w:r>
      <w:r>
        <w:instrText xml:space="preserve"> PAGEREF _Toc122834073 \h </w:instrText>
      </w:r>
      <w:r>
        <w:fldChar w:fldCharType="separate"/>
      </w:r>
      <w:r>
        <w:t>285</w:t>
      </w:r>
      <w:r>
        <w:fldChar w:fldCharType="end"/>
      </w:r>
    </w:p>
    <w:p>
      <w:pPr>
        <w:pStyle w:val="TOC8"/>
        <w:rPr>
          <w:sz w:val="24"/>
        </w:rPr>
      </w:pPr>
      <w:r>
        <w:t>240.</w:t>
      </w:r>
      <w:r>
        <w:tab/>
        <w:t>Revocation of interim suspension or reduction order</w:t>
      </w:r>
      <w:r>
        <w:tab/>
      </w:r>
      <w:r>
        <w:fldChar w:fldCharType="begin"/>
      </w:r>
      <w:r>
        <w:instrText xml:space="preserve"> PAGEREF _Toc122834074 \h </w:instrText>
      </w:r>
      <w:r>
        <w:fldChar w:fldCharType="separate"/>
      </w:r>
      <w:r>
        <w:t>286</w:t>
      </w:r>
      <w:r>
        <w:fldChar w:fldCharType="end"/>
      </w:r>
    </w:p>
    <w:p>
      <w:pPr>
        <w:pStyle w:val="TOC4"/>
        <w:tabs>
          <w:tab w:val="right" w:leader="dot" w:pos="7078"/>
        </w:tabs>
        <w:rPr>
          <w:b w:val="0"/>
          <w:sz w:val="24"/>
        </w:rPr>
      </w:pPr>
      <w:r>
        <w:t>Division 4 — Expedited determination of minor claims</w:t>
      </w:r>
    </w:p>
    <w:p>
      <w:pPr>
        <w:pStyle w:val="TOC8"/>
        <w:rPr>
          <w:sz w:val="24"/>
        </w:rPr>
      </w:pPr>
      <w:r>
        <w:t>241.</w:t>
      </w:r>
      <w:r>
        <w:tab/>
        <w:t>Application for determination of minor claim</w:t>
      </w:r>
      <w:r>
        <w:tab/>
      </w:r>
      <w:r>
        <w:fldChar w:fldCharType="begin"/>
      </w:r>
      <w:r>
        <w:instrText xml:space="preserve"> PAGEREF _Toc122834076 \h </w:instrText>
      </w:r>
      <w:r>
        <w:fldChar w:fldCharType="separate"/>
      </w:r>
      <w:r>
        <w:t>286</w:t>
      </w:r>
      <w:r>
        <w:fldChar w:fldCharType="end"/>
      </w:r>
    </w:p>
    <w:p>
      <w:pPr>
        <w:pStyle w:val="TOC8"/>
        <w:rPr>
          <w:sz w:val="24"/>
        </w:rPr>
      </w:pPr>
      <w:r>
        <w:t>242.</w:t>
      </w:r>
      <w:r>
        <w:tab/>
        <w:t>Limits on minor claims orders</w:t>
      </w:r>
      <w:r>
        <w:tab/>
      </w:r>
      <w:r>
        <w:fldChar w:fldCharType="begin"/>
      </w:r>
      <w:r>
        <w:instrText xml:space="preserve"> PAGEREF _Toc122834077 \h </w:instrText>
      </w:r>
      <w:r>
        <w:fldChar w:fldCharType="separate"/>
      </w:r>
      <w:r>
        <w:t>288</w:t>
      </w:r>
      <w:r>
        <w:fldChar w:fldCharType="end"/>
      </w:r>
    </w:p>
    <w:p>
      <w:pPr>
        <w:pStyle w:val="TOC8"/>
        <w:rPr>
          <w:sz w:val="24"/>
        </w:rPr>
      </w:pPr>
      <w:r>
        <w:t>243.</w:t>
      </w:r>
      <w:r>
        <w:tab/>
        <w:t>No recovery of compensation</w:t>
      </w:r>
      <w:r>
        <w:tab/>
      </w:r>
      <w:r>
        <w:fldChar w:fldCharType="begin"/>
      </w:r>
      <w:r>
        <w:instrText xml:space="preserve"> PAGEREF _Toc122834078 \h </w:instrText>
      </w:r>
      <w:r>
        <w:fldChar w:fldCharType="separate"/>
      </w:r>
      <w:r>
        <w:t>289</w:t>
      </w:r>
      <w:r>
        <w:fldChar w:fldCharType="end"/>
      </w:r>
    </w:p>
    <w:p>
      <w:pPr>
        <w:pStyle w:val="TOC8"/>
        <w:rPr>
          <w:sz w:val="24"/>
        </w:rPr>
      </w:pPr>
      <w:r>
        <w:t>244.</w:t>
      </w:r>
      <w:r>
        <w:tab/>
        <w:t>Production of documents</w:t>
      </w:r>
      <w:r>
        <w:tab/>
      </w:r>
      <w:r>
        <w:fldChar w:fldCharType="begin"/>
      </w:r>
      <w:r>
        <w:instrText xml:space="preserve"> PAGEREF _Toc122834079 \h </w:instrText>
      </w:r>
      <w:r>
        <w:fldChar w:fldCharType="separate"/>
      </w:r>
      <w:r>
        <w:t>289</w:t>
      </w:r>
      <w:r>
        <w:fldChar w:fldCharType="end"/>
      </w:r>
    </w:p>
    <w:p>
      <w:pPr>
        <w:pStyle w:val="TOC2"/>
        <w:tabs>
          <w:tab w:val="right" w:leader="dot" w:pos="7078"/>
        </w:tabs>
        <w:rPr>
          <w:b w:val="0"/>
          <w:sz w:val="24"/>
        </w:rPr>
      </w:pPr>
      <w:r>
        <w:t>Part XIII</w:t>
      </w:r>
      <w:r>
        <w:rPr>
          <w:b w:val="0"/>
        </w:rPr>
        <w:t> </w:t>
      </w:r>
      <w:r>
        <w:t>—</w:t>
      </w:r>
      <w:r>
        <w:rPr>
          <w:b w:val="0"/>
        </w:rPr>
        <w:t> </w:t>
      </w:r>
      <w:r>
        <w:t>Questions of law and appeals</w:t>
      </w:r>
    </w:p>
    <w:p>
      <w:pPr>
        <w:pStyle w:val="TOC8"/>
        <w:rPr>
          <w:sz w:val="24"/>
        </w:rPr>
      </w:pPr>
      <w:r>
        <w:t>245.</w:t>
      </w:r>
      <w:r>
        <w:tab/>
        <w:t>Application of Part XI</w:t>
      </w:r>
      <w:r>
        <w:tab/>
      </w:r>
      <w:r>
        <w:fldChar w:fldCharType="begin"/>
      </w:r>
      <w:r>
        <w:instrText xml:space="preserve"> PAGEREF _Toc122834081 \h </w:instrText>
      </w:r>
      <w:r>
        <w:fldChar w:fldCharType="separate"/>
      </w:r>
      <w:r>
        <w:t>290</w:t>
      </w:r>
      <w:r>
        <w:fldChar w:fldCharType="end"/>
      </w:r>
    </w:p>
    <w:p>
      <w:pPr>
        <w:pStyle w:val="TOC8"/>
        <w:rPr>
          <w:sz w:val="24"/>
        </w:rPr>
      </w:pPr>
      <w:r>
        <w:t>246.</w:t>
      </w:r>
      <w:r>
        <w:tab/>
        <w:t>Reference of question of law to Commissioner</w:t>
      </w:r>
      <w:r>
        <w:tab/>
      </w:r>
      <w:r>
        <w:fldChar w:fldCharType="begin"/>
      </w:r>
      <w:r>
        <w:instrText xml:space="preserve"> PAGEREF _Toc122834082 \h </w:instrText>
      </w:r>
      <w:r>
        <w:fldChar w:fldCharType="separate"/>
      </w:r>
      <w:r>
        <w:t>290</w:t>
      </w:r>
      <w:r>
        <w:fldChar w:fldCharType="end"/>
      </w:r>
    </w:p>
    <w:p>
      <w:pPr>
        <w:pStyle w:val="TOC8"/>
        <w:rPr>
          <w:sz w:val="24"/>
        </w:rPr>
      </w:pPr>
      <w:r>
        <w:t>247.</w:t>
      </w:r>
      <w:r>
        <w:tab/>
        <w:t>Appeal against decision of arbitrator</w:t>
      </w:r>
      <w:r>
        <w:tab/>
      </w:r>
      <w:r>
        <w:fldChar w:fldCharType="begin"/>
      </w:r>
      <w:r>
        <w:instrText xml:space="preserve"> PAGEREF _Toc122834083 \h </w:instrText>
      </w:r>
      <w:r>
        <w:fldChar w:fldCharType="separate"/>
      </w:r>
      <w:r>
        <w:t>291</w:t>
      </w:r>
      <w:r>
        <w:fldChar w:fldCharType="end"/>
      </w:r>
    </w:p>
    <w:p>
      <w:pPr>
        <w:pStyle w:val="TOC8"/>
        <w:rPr>
          <w:sz w:val="24"/>
        </w:rPr>
      </w:pPr>
      <w:r>
        <w:t>248.</w:t>
      </w:r>
      <w:r>
        <w:tab/>
        <w:t>Commencing appeal</w:t>
      </w:r>
      <w:r>
        <w:tab/>
      </w:r>
      <w:r>
        <w:fldChar w:fldCharType="begin"/>
      </w:r>
      <w:r>
        <w:instrText xml:space="preserve"> PAGEREF _Toc122834084 \h </w:instrText>
      </w:r>
      <w:r>
        <w:fldChar w:fldCharType="separate"/>
      </w:r>
      <w:r>
        <w:t>292</w:t>
      </w:r>
      <w:r>
        <w:fldChar w:fldCharType="end"/>
      </w:r>
    </w:p>
    <w:p>
      <w:pPr>
        <w:pStyle w:val="TOC8"/>
        <w:rPr>
          <w:sz w:val="24"/>
        </w:rPr>
      </w:pPr>
      <w:r>
        <w:t>249.</w:t>
      </w:r>
      <w:r>
        <w:tab/>
        <w:t>Commissioner hearing to be held in public</w:t>
      </w:r>
      <w:r>
        <w:tab/>
      </w:r>
      <w:r>
        <w:fldChar w:fldCharType="begin"/>
      </w:r>
      <w:r>
        <w:instrText xml:space="preserve"> PAGEREF _Toc122834085 \h </w:instrText>
      </w:r>
      <w:r>
        <w:fldChar w:fldCharType="separate"/>
      </w:r>
      <w:r>
        <w:t>292</w:t>
      </w:r>
      <w:r>
        <w:fldChar w:fldCharType="end"/>
      </w:r>
    </w:p>
    <w:p>
      <w:pPr>
        <w:pStyle w:val="TOC8"/>
        <w:rPr>
          <w:sz w:val="24"/>
        </w:rPr>
      </w:pPr>
      <w:r>
        <w:t>250.</w:t>
      </w:r>
      <w:r>
        <w:tab/>
        <w:t>Effect of decision against which appeal made</w:t>
      </w:r>
      <w:r>
        <w:tab/>
      </w:r>
      <w:r>
        <w:fldChar w:fldCharType="begin"/>
      </w:r>
      <w:r>
        <w:instrText xml:space="preserve"> PAGEREF _Toc122834086 \h </w:instrText>
      </w:r>
      <w:r>
        <w:fldChar w:fldCharType="separate"/>
      </w:r>
      <w:r>
        <w:t>293</w:t>
      </w:r>
      <w:r>
        <w:fldChar w:fldCharType="end"/>
      </w:r>
    </w:p>
    <w:p>
      <w:pPr>
        <w:pStyle w:val="TOC8"/>
        <w:rPr>
          <w:sz w:val="24"/>
        </w:rPr>
      </w:pPr>
      <w:r>
        <w:t>251.</w:t>
      </w:r>
      <w:r>
        <w:tab/>
        <w:t>Commissioner may state case</w:t>
      </w:r>
      <w:r>
        <w:tab/>
      </w:r>
      <w:r>
        <w:fldChar w:fldCharType="begin"/>
      </w:r>
      <w:r>
        <w:instrText xml:space="preserve"> PAGEREF _Toc122834087 \h </w:instrText>
      </w:r>
      <w:r>
        <w:fldChar w:fldCharType="separate"/>
      </w:r>
      <w:r>
        <w:t>293</w:t>
      </w:r>
      <w:r>
        <w:fldChar w:fldCharType="end"/>
      </w:r>
    </w:p>
    <w:p>
      <w:pPr>
        <w:pStyle w:val="TOC8"/>
        <w:rPr>
          <w:sz w:val="24"/>
        </w:rPr>
      </w:pPr>
      <w:r>
        <w:t>252.</w:t>
      </w:r>
      <w:r>
        <w:tab/>
        <w:t>Indemnity as to costs</w:t>
      </w:r>
      <w:r>
        <w:tab/>
      </w:r>
      <w:r>
        <w:fldChar w:fldCharType="begin"/>
      </w:r>
      <w:r>
        <w:instrText xml:space="preserve"> PAGEREF _Toc122834088 \h </w:instrText>
      </w:r>
      <w:r>
        <w:fldChar w:fldCharType="separate"/>
      </w:r>
      <w:r>
        <w:t>294</w:t>
      </w:r>
      <w:r>
        <w:fldChar w:fldCharType="end"/>
      </w:r>
    </w:p>
    <w:p>
      <w:pPr>
        <w:pStyle w:val="TOC8"/>
        <w:rPr>
          <w:sz w:val="24"/>
        </w:rPr>
      </w:pPr>
      <w:r>
        <w:t>253.</w:t>
      </w:r>
      <w:r>
        <w:tab/>
        <w:t>Decisions of Commissioner</w:t>
      </w:r>
      <w:r>
        <w:tab/>
      </w:r>
      <w:r>
        <w:fldChar w:fldCharType="begin"/>
      </w:r>
      <w:r>
        <w:instrText xml:space="preserve"> PAGEREF _Toc122834089 \h </w:instrText>
      </w:r>
      <w:r>
        <w:fldChar w:fldCharType="separate"/>
      </w:r>
      <w:r>
        <w:t>294</w:t>
      </w:r>
      <w:r>
        <w:fldChar w:fldCharType="end"/>
      </w:r>
    </w:p>
    <w:p>
      <w:pPr>
        <w:pStyle w:val="TOC8"/>
        <w:rPr>
          <w:sz w:val="24"/>
        </w:rPr>
      </w:pPr>
      <w:r>
        <w:t>254.</w:t>
      </w:r>
      <w:r>
        <w:tab/>
        <w:t>Appeal against decision of Commissioner</w:t>
      </w:r>
      <w:r>
        <w:tab/>
      </w:r>
      <w:r>
        <w:fldChar w:fldCharType="begin"/>
      </w:r>
      <w:r>
        <w:instrText xml:space="preserve"> PAGEREF _Toc122834090 \h </w:instrText>
      </w:r>
      <w:r>
        <w:fldChar w:fldCharType="separate"/>
      </w:r>
      <w:r>
        <w:t>295</w:t>
      </w:r>
      <w:r>
        <w:fldChar w:fldCharType="end"/>
      </w:r>
    </w:p>
    <w:p>
      <w:pPr>
        <w:pStyle w:val="TOC2"/>
        <w:tabs>
          <w:tab w:val="right" w:leader="dot" w:pos="7078"/>
        </w:tabs>
        <w:outlineLvl w:val="0"/>
        <w:rPr>
          <w:b w:val="0"/>
          <w:sz w:val="24"/>
        </w:rPr>
      </w:pPr>
      <w:r>
        <w:t>Part XIV</w:t>
      </w:r>
      <w:r>
        <w:rPr>
          <w:b w:val="0"/>
        </w:rPr>
        <w:t> </w:t>
      </w:r>
      <w:r>
        <w:t>—</w:t>
      </w:r>
      <w:r>
        <w:rPr>
          <w:b w:val="0"/>
        </w:rPr>
        <w:t> </w:t>
      </w:r>
      <w:r>
        <w:t>Offences</w:t>
      </w:r>
    </w:p>
    <w:p>
      <w:pPr>
        <w:pStyle w:val="TOC8"/>
        <w:rPr>
          <w:sz w:val="24"/>
        </w:rPr>
      </w:pPr>
      <w:r>
        <w:t>255.</w:t>
      </w:r>
      <w:r>
        <w:tab/>
        <w:t>Failing to comply with decision</w:t>
      </w:r>
      <w:r>
        <w:tab/>
      </w:r>
      <w:r>
        <w:fldChar w:fldCharType="begin"/>
      </w:r>
      <w:r>
        <w:instrText xml:space="preserve"> PAGEREF _Toc122834092 \h </w:instrText>
      </w:r>
      <w:r>
        <w:fldChar w:fldCharType="separate"/>
      </w:r>
      <w:r>
        <w:t>297</w:t>
      </w:r>
      <w:r>
        <w:fldChar w:fldCharType="end"/>
      </w:r>
    </w:p>
    <w:p>
      <w:pPr>
        <w:pStyle w:val="TOC8"/>
        <w:rPr>
          <w:sz w:val="24"/>
        </w:rPr>
      </w:pPr>
      <w:r>
        <w:t>256.</w:t>
      </w:r>
      <w:r>
        <w:tab/>
        <w:t>Failing to comply with summons</w:t>
      </w:r>
      <w:r>
        <w:tab/>
      </w:r>
      <w:r>
        <w:fldChar w:fldCharType="begin"/>
      </w:r>
      <w:r>
        <w:instrText xml:space="preserve"> PAGEREF _Toc122834093 \h </w:instrText>
      </w:r>
      <w:r>
        <w:fldChar w:fldCharType="separate"/>
      </w:r>
      <w:r>
        <w:t>298</w:t>
      </w:r>
      <w:r>
        <w:fldChar w:fldCharType="end"/>
      </w:r>
    </w:p>
    <w:p>
      <w:pPr>
        <w:pStyle w:val="TOC8"/>
        <w:rPr>
          <w:sz w:val="24"/>
        </w:rPr>
      </w:pPr>
      <w:r>
        <w:t>257.</w:t>
      </w:r>
      <w:r>
        <w:tab/>
        <w:t>Failing to give evidence as required</w:t>
      </w:r>
      <w:r>
        <w:tab/>
      </w:r>
      <w:r>
        <w:fldChar w:fldCharType="begin"/>
      </w:r>
      <w:r>
        <w:instrText xml:space="preserve"> PAGEREF _Toc122834094 \h </w:instrText>
      </w:r>
      <w:r>
        <w:fldChar w:fldCharType="separate"/>
      </w:r>
      <w:r>
        <w:t>298</w:t>
      </w:r>
      <w:r>
        <w:fldChar w:fldCharType="end"/>
      </w:r>
    </w:p>
    <w:p>
      <w:pPr>
        <w:pStyle w:val="TOC8"/>
        <w:rPr>
          <w:sz w:val="24"/>
        </w:rPr>
      </w:pPr>
      <w:r>
        <w:t>258.</w:t>
      </w:r>
      <w:r>
        <w:tab/>
        <w:t>Giving false or misleading information</w:t>
      </w:r>
      <w:r>
        <w:tab/>
      </w:r>
      <w:r>
        <w:fldChar w:fldCharType="begin"/>
      </w:r>
      <w:r>
        <w:instrText xml:space="preserve"> PAGEREF _Toc122834095 \h </w:instrText>
      </w:r>
      <w:r>
        <w:fldChar w:fldCharType="separate"/>
      </w:r>
      <w:r>
        <w:t>298</w:t>
      </w:r>
      <w:r>
        <w:fldChar w:fldCharType="end"/>
      </w:r>
    </w:p>
    <w:p>
      <w:pPr>
        <w:pStyle w:val="TOC8"/>
        <w:rPr>
          <w:sz w:val="24"/>
        </w:rPr>
      </w:pPr>
      <w:r>
        <w:t>259.</w:t>
      </w:r>
      <w:r>
        <w:tab/>
        <w:t>Misbehaviour and other conduct</w:t>
      </w:r>
      <w:r>
        <w:tab/>
      </w:r>
      <w:r>
        <w:fldChar w:fldCharType="begin"/>
      </w:r>
      <w:r>
        <w:instrText xml:space="preserve"> PAGEREF _Toc122834096 \h </w:instrText>
      </w:r>
      <w:r>
        <w:fldChar w:fldCharType="separate"/>
      </w:r>
      <w:r>
        <w:t>298</w:t>
      </w:r>
      <w:r>
        <w:fldChar w:fldCharType="end"/>
      </w:r>
    </w:p>
    <w:p>
      <w:pPr>
        <w:pStyle w:val="TOC8"/>
        <w:rPr>
          <w:sz w:val="24"/>
        </w:rPr>
      </w:pPr>
      <w:r>
        <w:t>260.</w:t>
      </w:r>
      <w:r>
        <w:tab/>
        <w:t>Contempt of Commissioner</w:t>
      </w:r>
      <w:r>
        <w:tab/>
      </w:r>
      <w:r>
        <w:fldChar w:fldCharType="begin"/>
      </w:r>
      <w:r>
        <w:instrText xml:space="preserve"> PAGEREF _Toc122834097 \h </w:instrText>
      </w:r>
      <w:r>
        <w:fldChar w:fldCharType="separate"/>
      </w:r>
      <w:r>
        <w:t>299</w:t>
      </w:r>
      <w:r>
        <w:fldChar w:fldCharType="end"/>
      </w:r>
    </w:p>
    <w:p>
      <w:pPr>
        <w:pStyle w:val="TOC2"/>
        <w:tabs>
          <w:tab w:val="right" w:leader="dot" w:pos="7078"/>
        </w:tabs>
        <w:outlineLvl w:val="0"/>
        <w:rPr>
          <w:b w:val="0"/>
          <w:sz w:val="24"/>
        </w:rPr>
      </w:pPr>
      <w:r>
        <w:t>Part XV</w:t>
      </w:r>
      <w:r>
        <w:rPr>
          <w:b w:val="0"/>
        </w:rPr>
        <w:t> </w:t>
      </w:r>
      <w:r>
        <w:t>—</w:t>
      </w:r>
      <w:r>
        <w:rPr>
          <w:b w:val="0"/>
        </w:rPr>
        <w:t> </w:t>
      </w:r>
      <w:r>
        <w:t>Costs</w:t>
      </w:r>
    </w:p>
    <w:p>
      <w:pPr>
        <w:pStyle w:val="TOC4"/>
        <w:tabs>
          <w:tab w:val="right" w:leader="dot" w:pos="7078"/>
        </w:tabs>
        <w:rPr>
          <w:b w:val="0"/>
          <w:sz w:val="24"/>
        </w:rPr>
      </w:pPr>
      <w:r>
        <w:t>Division 1 — General</w:t>
      </w:r>
    </w:p>
    <w:p>
      <w:pPr>
        <w:pStyle w:val="TOC8"/>
        <w:rPr>
          <w:sz w:val="24"/>
        </w:rPr>
      </w:pPr>
      <w:r>
        <w:t>261.</w:t>
      </w:r>
      <w:r>
        <w:tab/>
        <w:t>Terms used in this Part</w:t>
      </w:r>
      <w:r>
        <w:tab/>
      </w:r>
      <w:r>
        <w:fldChar w:fldCharType="begin"/>
      </w:r>
      <w:r>
        <w:instrText xml:space="preserve"> PAGEREF _Toc122834100 \h </w:instrText>
      </w:r>
      <w:r>
        <w:fldChar w:fldCharType="separate"/>
      </w:r>
      <w:r>
        <w:t>300</w:t>
      </w:r>
      <w:r>
        <w:fldChar w:fldCharType="end"/>
      </w:r>
    </w:p>
    <w:p>
      <w:pPr>
        <w:pStyle w:val="TOC8"/>
        <w:rPr>
          <w:sz w:val="24"/>
        </w:rPr>
      </w:pPr>
      <w:r>
        <w:t>262.</w:t>
      </w:r>
      <w:r>
        <w:tab/>
        <w:t>Costs to which this Part applies</w:t>
      </w:r>
      <w:r>
        <w:tab/>
      </w:r>
      <w:r>
        <w:fldChar w:fldCharType="begin"/>
      </w:r>
      <w:r>
        <w:instrText xml:space="preserve"> PAGEREF _Toc122834101 \h </w:instrText>
      </w:r>
      <w:r>
        <w:fldChar w:fldCharType="separate"/>
      </w:r>
      <w:r>
        <w:t>301</w:t>
      </w:r>
      <w:r>
        <w:fldChar w:fldCharType="end"/>
      </w:r>
    </w:p>
    <w:p>
      <w:pPr>
        <w:pStyle w:val="TOC8"/>
        <w:rPr>
          <w:sz w:val="24"/>
        </w:rPr>
      </w:pPr>
      <w:r>
        <w:t>263.</w:t>
      </w:r>
      <w:r>
        <w:tab/>
        <w:t xml:space="preserve">This Part prevails over </w:t>
      </w:r>
      <w:r>
        <w:rPr>
          <w:i/>
        </w:rPr>
        <w:t>Legal Practice Act 2003</w:t>
      </w:r>
      <w:r>
        <w:tab/>
      </w:r>
      <w:r>
        <w:fldChar w:fldCharType="begin"/>
      </w:r>
      <w:r>
        <w:instrText xml:space="preserve"> PAGEREF _Toc122834102 \h </w:instrText>
      </w:r>
      <w:r>
        <w:fldChar w:fldCharType="separate"/>
      </w:r>
      <w:r>
        <w:t>301</w:t>
      </w:r>
      <w:r>
        <w:fldChar w:fldCharType="end"/>
      </w:r>
    </w:p>
    <w:p>
      <w:pPr>
        <w:pStyle w:val="TOC4"/>
        <w:tabs>
          <w:tab w:val="right" w:leader="dot" w:pos="7078"/>
        </w:tabs>
        <w:rPr>
          <w:b w:val="0"/>
          <w:sz w:val="24"/>
        </w:rPr>
      </w:pPr>
      <w:r>
        <w:t>Division 2 — Costs of parties in proceedings and costs of proceedings</w:t>
      </w:r>
    </w:p>
    <w:p>
      <w:pPr>
        <w:pStyle w:val="TOC8"/>
        <w:rPr>
          <w:sz w:val="24"/>
        </w:rPr>
      </w:pPr>
      <w:r>
        <w:t>264.</w:t>
      </w:r>
      <w:r>
        <w:tab/>
        <w:t>Costs to be determined by dispute resolution authority</w:t>
      </w:r>
      <w:r>
        <w:tab/>
      </w:r>
      <w:r>
        <w:fldChar w:fldCharType="begin"/>
      </w:r>
      <w:r>
        <w:instrText xml:space="preserve"> PAGEREF _Toc122834104 \h </w:instrText>
      </w:r>
      <w:r>
        <w:fldChar w:fldCharType="separate"/>
      </w:r>
      <w:r>
        <w:t>301</w:t>
      </w:r>
      <w:r>
        <w:fldChar w:fldCharType="end"/>
      </w:r>
    </w:p>
    <w:p>
      <w:pPr>
        <w:pStyle w:val="TOC8"/>
        <w:rPr>
          <w:sz w:val="24"/>
        </w:rPr>
      </w:pPr>
      <w:r>
        <w:t>265.</w:t>
      </w:r>
      <w:r>
        <w:tab/>
        <w:t>Costs unreasonably incurred by representative</w:t>
      </w:r>
      <w:r>
        <w:tab/>
      </w:r>
      <w:r>
        <w:fldChar w:fldCharType="begin"/>
      </w:r>
      <w:r>
        <w:instrText xml:space="preserve"> PAGEREF _Toc122834105 \h </w:instrText>
      </w:r>
      <w:r>
        <w:fldChar w:fldCharType="separate"/>
      </w:r>
      <w:r>
        <w:t>302</w:t>
      </w:r>
      <w:r>
        <w:fldChar w:fldCharType="end"/>
      </w:r>
    </w:p>
    <w:p>
      <w:pPr>
        <w:pStyle w:val="TOC8"/>
        <w:rPr>
          <w:sz w:val="24"/>
        </w:rPr>
      </w:pPr>
      <w:r>
        <w:t>266.</w:t>
      </w:r>
      <w:r>
        <w:tab/>
        <w:t>Agent’s costs</w:t>
      </w:r>
      <w:r>
        <w:tab/>
      </w:r>
      <w:r>
        <w:fldChar w:fldCharType="begin"/>
      </w:r>
      <w:r>
        <w:instrText xml:space="preserve"> PAGEREF _Toc122834106 \h </w:instrText>
      </w:r>
      <w:r>
        <w:fldChar w:fldCharType="separate"/>
      </w:r>
      <w:r>
        <w:t>303</w:t>
      </w:r>
      <w:r>
        <w:fldChar w:fldCharType="end"/>
      </w:r>
    </w:p>
    <w:p>
      <w:pPr>
        <w:pStyle w:val="TOC8"/>
        <w:rPr>
          <w:sz w:val="24"/>
        </w:rPr>
      </w:pPr>
      <w:r>
        <w:t>267.</w:t>
      </w:r>
      <w:r>
        <w:tab/>
        <w:t>Appeal costs</w:t>
      </w:r>
      <w:r>
        <w:tab/>
      </w:r>
      <w:r>
        <w:fldChar w:fldCharType="begin"/>
      </w:r>
      <w:r>
        <w:instrText xml:space="preserve"> PAGEREF _Toc122834107 \h </w:instrText>
      </w:r>
      <w:r>
        <w:fldChar w:fldCharType="separate"/>
      </w:r>
      <w:r>
        <w:t>303</w:t>
      </w:r>
      <w:r>
        <w:fldChar w:fldCharType="end"/>
      </w:r>
    </w:p>
    <w:p>
      <w:pPr>
        <w:pStyle w:val="TOC8"/>
        <w:rPr>
          <w:sz w:val="24"/>
        </w:rPr>
      </w:pPr>
      <w:r>
        <w:t>268.</w:t>
      </w:r>
      <w:r>
        <w:tab/>
        <w:t>Regulations for assessment of costs</w:t>
      </w:r>
      <w:r>
        <w:tab/>
      </w:r>
      <w:r>
        <w:fldChar w:fldCharType="begin"/>
      </w:r>
      <w:r>
        <w:instrText xml:space="preserve"> PAGEREF _Toc122834108 \h </w:instrText>
      </w:r>
      <w:r>
        <w:fldChar w:fldCharType="separate"/>
      </w:r>
      <w:r>
        <w:t>303</w:t>
      </w:r>
      <w:r>
        <w:fldChar w:fldCharType="end"/>
      </w:r>
    </w:p>
    <w:p>
      <w:pPr>
        <w:pStyle w:val="TOC4"/>
        <w:tabs>
          <w:tab w:val="right" w:leader="dot" w:pos="7078"/>
        </w:tabs>
        <w:rPr>
          <w:b w:val="0"/>
          <w:sz w:val="24"/>
        </w:rPr>
      </w:pPr>
      <w:r>
        <w:t>Division 3 — Maximum costs</w:t>
      </w:r>
    </w:p>
    <w:p>
      <w:pPr>
        <w:pStyle w:val="TOC8"/>
        <w:rPr>
          <w:sz w:val="24"/>
        </w:rPr>
      </w:pPr>
      <w:r>
        <w:t>269.</w:t>
      </w:r>
      <w:r>
        <w:tab/>
        <w:t>Costs Committee</w:t>
      </w:r>
      <w:r>
        <w:tab/>
      </w:r>
      <w:r>
        <w:fldChar w:fldCharType="begin"/>
      </w:r>
      <w:r>
        <w:instrText xml:space="preserve"> PAGEREF _Toc122834110 \h </w:instrText>
      </w:r>
      <w:r>
        <w:fldChar w:fldCharType="separate"/>
      </w:r>
      <w:r>
        <w:t>304</w:t>
      </w:r>
      <w:r>
        <w:fldChar w:fldCharType="end"/>
      </w:r>
    </w:p>
    <w:p>
      <w:pPr>
        <w:pStyle w:val="TOC8"/>
        <w:rPr>
          <w:sz w:val="24"/>
        </w:rPr>
      </w:pPr>
      <w:r>
        <w:t>270.</w:t>
      </w:r>
      <w:r>
        <w:tab/>
        <w:t>Constitution and procedure of Costs Committee</w:t>
      </w:r>
      <w:r>
        <w:tab/>
      </w:r>
      <w:r>
        <w:fldChar w:fldCharType="begin"/>
      </w:r>
      <w:r>
        <w:instrText xml:space="preserve"> PAGEREF _Toc122834111 \h </w:instrText>
      </w:r>
      <w:r>
        <w:fldChar w:fldCharType="separate"/>
      </w:r>
      <w:r>
        <w:t>305</w:t>
      </w:r>
      <w:r>
        <w:fldChar w:fldCharType="end"/>
      </w:r>
    </w:p>
    <w:p>
      <w:pPr>
        <w:pStyle w:val="TOC8"/>
        <w:rPr>
          <w:sz w:val="24"/>
        </w:rPr>
      </w:pPr>
      <w:r>
        <w:t>271.</w:t>
      </w:r>
      <w:r>
        <w:tab/>
        <w:t>Costs determination</w:t>
      </w:r>
      <w:r>
        <w:tab/>
      </w:r>
      <w:r>
        <w:fldChar w:fldCharType="begin"/>
      </w:r>
      <w:r>
        <w:instrText xml:space="preserve"> PAGEREF _Toc122834112 \h </w:instrText>
      </w:r>
      <w:r>
        <w:fldChar w:fldCharType="separate"/>
      </w:r>
      <w:r>
        <w:t>305</w:t>
      </w:r>
      <w:r>
        <w:fldChar w:fldCharType="end"/>
      </w:r>
    </w:p>
    <w:p>
      <w:pPr>
        <w:pStyle w:val="TOC8"/>
        <w:rPr>
          <w:sz w:val="24"/>
        </w:rPr>
      </w:pPr>
      <w:r>
        <w:t>272.</w:t>
      </w:r>
      <w:r>
        <w:tab/>
        <w:t>Consultation</w:t>
      </w:r>
      <w:r>
        <w:tab/>
      </w:r>
      <w:r>
        <w:fldChar w:fldCharType="begin"/>
      </w:r>
      <w:r>
        <w:instrText xml:space="preserve"> PAGEREF _Toc122834113 \h </w:instrText>
      </w:r>
      <w:r>
        <w:fldChar w:fldCharType="separate"/>
      </w:r>
      <w:r>
        <w:t>306</w:t>
      </w:r>
      <w:r>
        <w:fldChar w:fldCharType="end"/>
      </w:r>
    </w:p>
    <w:p>
      <w:pPr>
        <w:pStyle w:val="TOC8"/>
        <w:rPr>
          <w:sz w:val="24"/>
        </w:rPr>
      </w:pPr>
      <w:r>
        <w:t>273.</w:t>
      </w:r>
      <w:r>
        <w:tab/>
        <w:t>Approval and publication of determination</w:t>
      </w:r>
      <w:r>
        <w:tab/>
      </w:r>
      <w:r>
        <w:fldChar w:fldCharType="begin"/>
      </w:r>
      <w:r>
        <w:instrText xml:space="preserve"> PAGEREF _Toc122834114 \h </w:instrText>
      </w:r>
      <w:r>
        <w:fldChar w:fldCharType="separate"/>
      </w:r>
      <w:r>
        <w:t>306</w:t>
      </w:r>
      <w:r>
        <w:fldChar w:fldCharType="end"/>
      </w:r>
    </w:p>
    <w:p>
      <w:pPr>
        <w:pStyle w:val="TOC8"/>
        <w:rPr>
          <w:sz w:val="24"/>
        </w:rPr>
      </w:pPr>
      <w:r>
        <w:t>274.</w:t>
      </w:r>
      <w:r>
        <w:tab/>
        <w:t>Effect of costs determination</w:t>
      </w:r>
      <w:r>
        <w:tab/>
      </w:r>
      <w:r>
        <w:fldChar w:fldCharType="begin"/>
      </w:r>
      <w:r>
        <w:instrText xml:space="preserve"> PAGEREF _Toc122834115 \h </w:instrText>
      </w:r>
      <w:r>
        <w:fldChar w:fldCharType="separate"/>
      </w:r>
      <w:r>
        <w:t>307</w:t>
      </w:r>
      <w:r>
        <w:fldChar w:fldCharType="end"/>
      </w:r>
    </w:p>
    <w:p>
      <w:pPr>
        <w:pStyle w:val="TOC8"/>
        <w:rPr>
          <w:sz w:val="24"/>
        </w:rPr>
      </w:pPr>
      <w:r>
        <w:t>275.</w:t>
      </w:r>
      <w:r>
        <w:tab/>
        <w:t>Agreement as to costs</w:t>
      </w:r>
      <w:r>
        <w:tab/>
      </w:r>
      <w:r>
        <w:fldChar w:fldCharType="begin"/>
      </w:r>
      <w:r>
        <w:instrText xml:space="preserve"> PAGEREF _Toc122834116 \h </w:instrText>
      </w:r>
      <w:r>
        <w:fldChar w:fldCharType="separate"/>
      </w:r>
      <w:r>
        <w:t>307</w:t>
      </w:r>
      <w:r>
        <w:fldChar w:fldCharType="end"/>
      </w:r>
    </w:p>
    <w:p>
      <w:pPr>
        <w:pStyle w:val="TOC8"/>
        <w:rPr>
          <w:sz w:val="24"/>
        </w:rPr>
      </w:pPr>
      <w:r>
        <w:t>276.</w:t>
      </w:r>
      <w:r>
        <w:tab/>
        <w:t>Division does not apply to Part IV proceedings</w:t>
      </w:r>
      <w:r>
        <w:tab/>
      </w:r>
      <w:r>
        <w:fldChar w:fldCharType="begin"/>
      </w:r>
      <w:r>
        <w:instrText xml:space="preserve"> PAGEREF _Toc122834117 \h </w:instrText>
      </w:r>
      <w:r>
        <w:fldChar w:fldCharType="separate"/>
      </w:r>
      <w:r>
        <w:t>307</w:t>
      </w:r>
      <w:r>
        <w:fldChar w:fldCharType="end"/>
      </w:r>
    </w:p>
    <w:p>
      <w:pPr>
        <w:pStyle w:val="TOC2"/>
        <w:tabs>
          <w:tab w:val="right" w:leader="dot" w:pos="7078"/>
        </w:tabs>
        <w:outlineLvl w:val="0"/>
        <w:rPr>
          <w:b w:val="0"/>
          <w:sz w:val="24"/>
        </w:rPr>
      </w:pPr>
      <w:r>
        <w:t>Part XVI</w:t>
      </w:r>
      <w:r>
        <w:rPr>
          <w:b w:val="0"/>
        </w:rPr>
        <w:t> </w:t>
      </w:r>
      <w:r>
        <w:t>—</w:t>
      </w:r>
      <w:r>
        <w:rPr>
          <w:b w:val="0"/>
        </w:rPr>
        <w:t> </w:t>
      </w:r>
      <w:r>
        <w:t>Registered agents</w:t>
      </w:r>
    </w:p>
    <w:p>
      <w:pPr>
        <w:pStyle w:val="TOC8"/>
        <w:rPr>
          <w:sz w:val="24"/>
        </w:rPr>
      </w:pPr>
      <w:r>
        <w:t>277.</w:t>
      </w:r>
      <w:r>
        <w:tab/>
        <w:t>Who may register as an agent</w:t>
      </w:r>
      <w:r>
        <w:tab/>
      </w:r>
      <w:r>
        <w:fldChar w:fldCharType="begin"/>
      </w:r>
      <w:r>
        <w:instrText xml:space="preserve"> PAGEREF _Toc122834119 \h </w:instrText>
      </w:r>
      <w:r>
        <w:fldChar w:fldCharType="separate"/>
      </w:r>
      <w:r>
        <w:t>308</w:t>
      </w:r>
      <w:r>
        <w:fldChar w:fldCharType="end"/>
      </w:r>
    </w:p>
    <w:p>
      <w:pPr>
        <w:pStyle w:val="TOC2"/>
        <w:tabs>
          <w:tab w:val="right" w:leader="dot" w:pos="7078"/>
        </w:tabs>
        <w:rPr>
          <w:b w:val="0"/>
          <w:sz w:val="24"/>
        </w:rPr>
      </w:pPr>
      <w:r>
        <w:t>Part XVII</w:t>
      </w:r>
      <w:r>
        <w:rPr>
          <w:b w:val="0"/>
        </w:rPr>
        <w:t> </w:t>
      </w:r>
      <w:r>
        <w:t>—</w:t>
      </w:r>
      <w:r>
        <w:rPr>
          <w:b w:val="0"/>
        </w:rPr>
        <w:t> </w:t>
      </w:r>
      <w:r>
        <w:t>The Dispute Resolution Directorate</w:t>
      </w:r>
    </w:p>
    <w:p>
      <w:pPr>
        <w:pStyle w:val="TOC4"/>
        <w:tabs>
          <w:tab w:val="right" w:leader="dot" w:pos="7078"/>
        </w:tabs>
        <w:rPr>
          <w:b w:val="0"/>
          <w:sz w:val="24"/>
        </w:rPr>
      </w:pPr>
      <w:r>
        <w:t>Division 1 — Establishment and objectives</w:t>
      </w:r>
    </w:p>
    <w:p>
      <w:pPr>
        <w:pStyle w:val="TOC8"/>
        <w:rPr>
          <w:sz w:val="24"/>
        </w:rPr>
      </w:pPr>
      <w:r>
        <w:t>278.</w:t>
      </w:r>
      <w:r>
        <w:tab/>
        <w:t>DRD established</w:t>
      </w:r>
      <w:r>
        <w:tab/>
      </w:r>
      <w:r>
        <w:fldChar w:fldCharType="begin"/>
      </w:r>
      <w:r>
        <w:instrText xml:space="preserve"> PAGEREF _Toc122834122 \h </w:instrText>
      </w:r>
      <w:r>
        <w:fldChar w:fldCharType="separate"/>
      </w:r>
      <w:r>
        <w:t>310</w:t>
      </w:r>
      <w:r>
        <w:fldChar w:fldCharType="end"/>
      </w:r>
    </w:p>
    <w:p>
      <w:pPr>
        <w:pStyle w:val="TOC8"/>
        <w:rPr>
          <w:sz w:val="24"/>
        </w:rPr>
      </w:pPr>
      <w:r>
        <w:t>279.</w:t>
      </w:r>
      <w:r>
        <w:tab/>
        <w:t>Main objectives of the DRD</w:t>
      </w:r>
      <w:r>
        <w:tab/>
      </w:r>
      <w:r>
        <w:fldChar w:fldCharType="begin"/>
      </w:r>
      <w:r>
        <w:instrText xml:space="preserve"> PAGEREF _Toc122834123 \h </w:instrText>
      </w:r>
      <w:r>
        <w:fldChar w:fldCharType="separate"/>
      </w:r>
      <w:r>
        <w:t>310</w:t>
      </w:r>
      <w:r>
        <w:fldChar w:fldCharType="end"/>
      </w:r>
    </w:p>
    <w:p>
      <w:pPr>
        <w:pStyle w:val="TOC8"/>
        <w:rPr>
          <w:sz w:val="24"/>
        </w:rPr>
      </w:pPr>
      <w:r>
        <w:t>280.</w:t>
      </w:r>
      <w:r>
        <w:tab/>
        <w:t>DRD’s constitution</w:t>
      </w:r>
      <w:r>
        <w:tab/>
      </w:r>
      <w:r>
        <w:fldChar w:fldCharType="begin"/>
      </w:r>
      <w:r>
        <w:instrText xml:space="preserve"> PAGEREF _Toc122834124 \h </w:instrText>
      </w:r>
      <w:r>
        <w:fldChar w:fldCharType="separate"/>
      </w:r>
      <w:r>
        <w:t>311</w:t>
      </w:r>
      <w:r>
        <w:fldChar w:fldCharType="end"/>
      </w:r>
    </w:p>
    <w:p>
      <w:pPr>
        <w:pStyle w:val="TOC4"/>
        <w:tabs>
          <w:tab w:val="right" w:leader="dot" w:pos="7078"/>
        </w:tabs>
        <w:rPr>
          <w:b w:val="0"/>
          <w:sz w:val="24"/>
        </w:rPr>
      </w:pPr>
      <w:r>
        <w:t>Division 2 — Commissioner</w:t>
      </w:r>
    </w:p>
    <w:p>
      <w:pPr>
        <w:pStyle w:val="TOC8"/>
        <w:rPr>
          <w:sz w:val="24"/>
        </w:rPr>
      </w:pPr>
      <w:r>
        <w:t>281.</w:t>
      </w:r>
      <w:r>
        <w:tab/>
        <w:t>Appointment of Commissioner</w:t>
      </w:r>
      <w:r>
        <w:tab/>
      </w:r>
      <w:r>
        <w:fldChar w:fldCharType="begin"/>
      </w:r>
      <w:r>
        <w:instrText xml:space="preserve"> PAGEREF _Toc122834126 \h </w:instrText>
      </w:r>
      <w:r>
        <w:fldChar w:fldCharType="separate"/>
      </w:r>
      <w:r>
        <w:t>311</w:t>
      </w:r>
      <w:r>
        <w:fldChar w:fldCharType="end"/>
      </w:r>
    </w:p>
    <w:p>
      <w:pPr>
        <w:pStyle w:val="TOC8"/>
        <w:rPr>
          <w:sz w:val="24"/>
        </w:rPr>
      </w:pPr>
      <w:r>
        <w:t>282.</w:t>
      </w:r>
      <w:r>
        <w:tab/>
        <w:t>Terms and conditions of service</w:t>
      </w:r>
      <w:r>
        <w:tab/>
      </w:r>
      <w:r>
        <w:fldChar w:fldCharType="begin"/>
      </w:r>
      <w:r>
        <w:instrText xml:space="preserve"> PAGEREF _Toc122834127 \h </w:instrText>
      </w:r>
      <w:r>
        <w:fldChar w:fldCharType="separate"/>
      </w:r>
      <w:r>
        <w:t>311</w:t>
      </w:r>
      <w:r>
        <w:fldChar w:fldCharType="end"/>
      </w:r>
    </w:p>
    <w:p>
      <w:pPr>
        <w:pStyle w:val="TOC8"/>
        <w:rPr>
          <w:sz w:val="24"/>
        </w:rPr>
      </w:pPr>
      <w:r>
        <w:t>283.</w:t>
      </w:r>
      <w:r>
        <w:tab/>
        <w:t>Declaration of inability to act</w:t>
      </w:r>
      <w:r>
        <w:tab/>
      </w:r>
      <w:r>
        <w:fldChar w:fldCharType="begin"/>
      </w:r>
      <w:r>
        <w:instrText xml:space="preserve"> PAGEREF _Toc122834128 \h </w:instrText>
      </w:r>
      <w:r>
        <w:fldChar w:fldCharType="separate"/>
      </w:r>
      <w:r>
        <w:t>311</w:t>
      </w:r>
      <w:r>
        <w:fldChar w:fldCharType="end"/>
      </w:r>
    </w:p>
    <w:p>
      <w:pPr>
        <w:pStyle w:val="TOC8"/>
        <w:rPr>
          <w:sz w:val="24"/>
        </w:rPr>
      </w:pPr>
      <w:r>
        <w:t>284.</w:t>
      </w:r>
      <w:r>
        <w:tab/>
        <w:t>Acting appointment</w:t>
      </w:r>
      <w:r>
        <w:tab/>
      </w:r>
      <w:r>
        <w:fldChar w:fldCharType="begin"/>
      </w:r>
      <w:r>
        <w:instrText xml:space="preserve"> PAGEREF _Toc122834129 \h </w:instrText>
      </w:r>
      <w:r>
        <w:fldChar w:fldCharType="separate"/>
      </w:r>
      <w:r>
        <w:t>312</w:t>
      </w:r>
      <w:r>
        <w:fldChar w:fldCharType="end"/>
      </w:r>
    </w:p>
    <w:p>
      <w:pPr>
        <w:pStyle w:val="TOC8"/>
        <w:rPr>
          <w:sz w:val="24"/>
        </w:rPr>
      </w:pPr>
      <w:r>
        <w:t>285.</w:t>
      </w:r>
      <w:r>
        <w:tab/>
        <w:t>Functions of Commissioner</w:t>
      </w:r>
      <w:r>
        <w:tab/>
      </w:r>
      <w:r>
        <w:fldChar w:fldCharType="begin"/>
      </w:r>
      <w:r>
        <w:instrText xml:space="preserve"> PAGEREF _Toc122834130 \h </w:instrText>
      </w:r>
      <w:r>
        <w:fldChar w:fldCharType="separate"/>
      </w:r>
      <w:r>
        <w:t>313</w:t>
      </w:r>
      <w:r>
        <w:fldChar w:fldCharType="end"/>
      </w:r>
    </w:p>
    <w:p>
      <w:pPr>
        <w:pStyle w:val="TOC4"/>
        <w:tabs>
          <w:tab w:val="right" w:leader="dot" w:pos="7078"/>
        </w:tabs>
        <w:rPr>
          <w:b w:val="0"/>
          <w:sz w:val="24"/>
        </w:rPr>
      </w:pPr>
      <w:r>
        <w:t>Division 3 — Arbitrators</w:t>
      </w:r>
    </w:p>
    <w:p>
      <w:pPr>
        <w:pStyle w:val="TOC8"/>
        <w:rPr>
          <w:sz w:val="24"/>
        </w:rPr>
      </w:pPr>
      <w:r>
        <w:t>286.</w:t>
      </w:r>
      <w:r>
        <w:tab/>
        <w:t>Arbitrators</w:t>
      </w:r>
      <w:r>
        <w:tab/>
      </w:r>
      <w:r>
        <w:fldChar w:fldCharType="begin"/>
      </w:r>
      <w:r>
        <w:instrText xml:space="preserve"> PAGEREF _Toc122834132 \h </w:instrText>
      </w:r>
      <w:r>
        <w:fldChar w:fldCharType="separate"/>
      </w:r>
      <w:r>
        <w:t>313</w:t>
      </w:r>
      <w:r>
        <w:fldChar w:fldCharType="end"/>
      </w:r>
    </w:p>
    <w:p>
      <w:pPr>
        <w:pStyle w:val="TOC8"/>
        <w:rPr>
          <w:sz w:val="24"/>
        </w:rPr>
      </w:pPr>
      <w:r>
        <w:t>287.</w:t>
      </w:r>
      <w:r>
        <w:tab/>
        <w:t>Control and direction of arbitrators</w:t>
      </w:r>
      <w:r>
        <w:tab/>
      </w:r>
      <w:r>
        <w:fldChar w:fldCharType="begin"/>
      </w:r>
      <w:r>
        <w:instrText xml:space="preserve"> PAGEREF _Toc122834133 \h </w:instrText>
      </w:r>
      <w:r>
        <w:fldChar w:fldCharType="separate"/>
      </w:r>
      <w:r>
        <w:t>314</w:t>
      </w:r>
      <w:r>
        <w:fldChar w:fldCharType="end"/>
      </w:r>
    </w:p>
    <w:p>
      <w:pPr>
        <w:pStyle w:val="TOC4"/>
        <w:tabs>
          <w:tab w:val="right" w:leader="dot" w:pos="7078"/>
        </w:tabs>
        <w:rPr>
          <w:b w:val="0"/>
          <w:sz w:val="24"/>
        </w:rPr>
      </w:pPr>
      <w:r>
        <w:t>Division 4 — Director Dispute Resolution and staff</w:t>
      </w:r>
    </w:p>
    <w:p>
      <w:pPr>
        <w:pStyle w:val="TOC8"/>
        <w:rPr>
          <w:sz w:val="24"/>
        </w:rPr>
      </w:pPr>
      <w:r>
        <w:t>288.</w:t>
      </w:r>
      <w:r>
        <w:tab/>
        <w:t>Director Dispute Resolution</w:t>
      </w:r>
      <w:r>
        <w:tab/>
      </w:r>
      <w:r>
        <w:fldChar w:fldCharType="begin"/>
      </w:r>
      <w:r>
        <w:instrText xml:space="preserve"> PAGEREF _Toc122834135 \h </w:instrText>
      </w:r>
      <w:r>
        <w:fldChar w:fldCharType="separate"/>
      </w:r>
      <w:r>
        <w:t>314</w:t>
      </w:r>
      <w:r>
        <w:fldChar w:fldCharType="end"/>
      </w:r>
    </w:p>
    <w:p>
      <w:pPr>
        <w:pStyle w:val="TOC8"/>
        <w:rPr>
          <w:sz w:val="24"/>
        </w:rPr>
      </w:pPr>
      <w:r>
        <w:t>289.</w:t>
      </w:r>
      <w:r>
        <w:tab/>
        <w:t>Functions and responsibilities of Director</w:t>
      </w:r>
      <w:r>
        <w:tab/>
      </w:r>
      <w:r>
        <w:fldChar w:fldCharType="begin"/>
      </w:r>
      <w:r>
        <w:instrText xml:space="preserve"> PAGEREF _Toc122834136 \h </w:instrText>
      </w:r>
      <w:r>
        <w:fldChar w:fldCharType="separate"/>
      </w:r>
      <w:r>
        <w:t>314</w:t>
      </w:r>
      <w:r>
        <w:fldChar w:fldCharType="end"/>
      </w:r>
    </w:p>
    <w:p>
      <w:pPr>
        <w:pStyle w:val="TOC8"/>
        <w:rPr>
          <w:sz w:val="24"/>
        </w:rPr>
      </w:pPr>
      <w:r>
        <w:t>290.</w:t>
      </w:r>
      <w:r>
        <w:tab/>
        <w:t>Delegation by Director</w:t>
      </w:r>
      <w:r>
        <w:tab/>
      </w:r>
      <w:r>
        <w:fldChar w:fldCharType="begin"/>
      </w:r>
      <w:r>
        <w:instrText xml:space="preserve"> PAGEREF _Toc122834137 \h </w:instrText>
      </w:r>
      <w:r>
        <w:fldChar w:fldCharType="separate"/>
      </w:r>
      <w:r>
        <w:t>315</w:t>
      </w:r>
      <w:r>
        <w:fldChar w:fldCharType="end"/>
      </w:r>
    </w:p>
    <w:p>
      <w:pPr>
        <w:pStyle w:val="TOC8"/>
        <w:rPr>
          <w:sz w:val="24"/>
        </w:rPr>
      </w:pPr>
      <w:r>
        <w:t>291.</w:t>
      </w:r>
      <w:r>
        <w:tab/>
        <w:t>Staff of DRD</w:t>
      </w:r>
      <w:r>
        <w:tab/>
      </w:r>
      <w:r>
        <w:fldChar w:fldCharType="begin"/>
      </w:r>
      <w:r>
        <w:instrText xml:space="preserve"> PAGEREF _Toc122834138 \h </w:instrText>
      </w:r>
      <w:r>
        <w:fldChar w:fldCharType="separate"/>
      </w:r>
      <w:r>
        <w:t>315</w:t>
      </w:r>
      <w:r>
        <w:fldChar w:fldCharType="end"/>
      </w:r>
    </w:p>
    <w:p>
      <w:pPr>
        <w:pStyle w:val="TOC2"/>
        <w:tabs>
          <w:tab w:val="right" w:leader="dot" w:pos="7078"/>
        </w:tabs>
        <w:rPr>
          <w:b w:val="0"/>
          <w:sz w:val="24"/>
        </w:rPr>
      </w:pPr>
      <w:r>
        <w:t>Part XVIII —</w:t>
      </w:r>
      <w:r>
        <w:rPr>
          <w:b w:val="0"/>
          <w:sz w:val="24"/>
        </w:rPr>
        <w:t> </w:t>
      </w:r>
      <w:r>
        <w:t>Regulations, rules and practice notes</w:t>
      </w:r>
    </w:p>
    <w:p>
      <w:pPr>
        <w:pStyle w:val="TOC8"/>
        <w:rPr>
          <w:sz w:val="24"/>
        </w:rPr>
      </w:pPr>
      <w:r>
        <w:t>292.</w:t>
      </w:r>
      <w:r>
        <w:tab/>
        <w:t>Regulations</w:t>
      </w:r>
      <w:r>
        <w:tab/>
      </w:r>
      <w:r>
        <w:fldChar w:fldCharType="begin"/>
      </w:r>
      <w:r>
        <w:instrText xml:space="preserve"> PAGEREF _Toc122834140 \h </w:instrText>
      </w:r>
      <w:r>
        <w:fldChar w:fldCharType="separate"/>
      </w:r>
      <w:r>
        <w:t>316</w:t>
      </w:r>
      <w:r>
        <w:fldChar w:fldCharType="end"/>
      </w:r>
    </w:p>
    <w:p>
      <w:pPr>
        <w:pStyle w:val="TOC8"/>
        <w:rPr>
          <w:sz w:val="24"/>
        </w:rPr>
      </w:pPr>
      <w:r>
        <w:t>293.</w:t>
      </w:r>
      <w:r>
        <w:tab/>
        <w:t>DRD Rules</w:t>
      </w:r>
      <w:r>
        <w:tab/>
      </w:r>
      <w:r>
        <w:fldChar w:fldCharType="begin"/>
      </w:r>
      <w:r>
        <w:instrText xml:space="preserve"> PAGEREF _Toc122834141 \h </w:instrText>
      </w:r>
      <w:r>
        <w:fldChar w:fldCharType="separate"/>
      </w:r>
      <w:r>
        <w:t>318</w:t>
      </w:r>
      <w:r>
        <w:fldChar w:fldCharType="end"/>
      </w:r>
    </w:p>
    <w:p>
      <w:pPr>
        <w:pStyle w:val="TOC8"/>
        <w:rPr>
          <w:sz w:val="24"/>
        </w:rPr>
      </w:pPr>
      <w:r>
        <w:t>294.</w:t>
      </w:r>
      <w:r>
        <w:tab/>
        <w:t>Practice notes</w:t>
      </w:r>
      <w:r>
        <w:tab/>
      </w:r>
      <w:r>
        <w:fldChar w:fldCharType="begin"/>
      </w:r>
      <w:r>
        <w:instrText xml:space="preserve"> PAGEREF _Toc122834142 \h </w:instrText>
      </w:r>
      <w:r>
        <w:fldChar w:fldCharType="separate"/>
      </w:r>
      <w:r>
        <w:t>320</w:t>
      </w:r>
      <w:r>
        <w:fldChar w:fldCharType="end"/>
      </w:r>
    </w:p>
    <w:p>
      <w:pPr>
        <w:pStyle w:val="TOC2"/>
        <w:tabs>
          <w:tab w:val="right" w:leader="dot" w:pos="7078"/>
        </w:tabs>
        <w:outlineLvl w:val="0"/>
        <w:rPr>
          <w:b w:val="0"/>
          <w:sz w:val="24"/>
        </w:rPr>
      </w:pPr>
      <w:r>
        <w:t>Part XIX — Miscellaneous</w:t>
      </w:r>
    </w:p>
    <w:p>
      <w:pPr>
        <w:pStyle w:val="TOC8"/>
        <w:rPr>
          <w:sz w:val="24"/>
        </w:rPr>
      </w:pPr>
      <w:r>
        <w:t>295</w:t>
      </w:r>
      <w:r>
        <w:rPr>
          <w:snapToGrid w:val="0"/>
        </w:rPr>
        <w:t>.</w:t>
      </w:r>
      <w:r>
        <w:rPr>
          <w:snapToGrid w:val="0"/>
        </w:rPr>
        <w:tab/>
        <w:t>Public Service</w:t>
      </w:r>
      <w:r>
        <w:tab/>
      </w:r>
      <w:r>
        <w:fldChar w:fldCharType="begin"/>
      </w:r>
      <w:r>
        <w:instrText xml:space="preserve"> PAGEREF _Toc122834144 \h </w:instrText>
      </w:r>
      <w:r>
        <w:fldChar w:fldCharType="separate"/>
      </w:r>
      <w:r>
        <w:t>321</w:t>
      </w:r>
      <w:r>
        <w:fldChar w:fldCharType="end"/>
      </w:r>
    </w:p>
    <w:p>
      <w:pPr>
        <w:pStyle w:val="TOC8"/>
        <w:rPr>
          <w:sz w:val="24"/>
        </w:rPr>
      </w:pPr>
      <w:r>
        <w:t>296.</w:t>
      </w:r>
      <w:r>
        <w:tab/>
        <w:t>Delegation by chief executive officer</w:t>
      </w:r>
      <w:r>
        <w:tab/>
      </w:r>
      <w:r>
        <w:fldChar w:fldCharType="begin"/>
      </w:r>
      <w:r>
        <w:instrText xml:space="preserve"> PAGEREF _Toc122834145 \h </w:instrText>
      </w:r>
      <w:r>
        <w:fldChar w:fldCharType="separate"/>
      </w:r>
      <w:r>
        <w:t>321</w:t>
      </w:r>
      <w:r>
        <w:fldChar w:fldCharType="end"/>
      </w:r>
    </w:p>
    <w:p>
      <w:pPr>
        <w:pStyle w:val="TOC8"/>
        <w:rPr>
          <w:sz w:val="24"/>
        </w:rPr>
      </w:pPr>
      <w:r>
        <w:t>297</w:t>
      </w:r>
      <w:r>
        <w:rPr>
          <w:snapToGrid w:val="0"/>
        </w:rPr>
        <w:t>.</w:t>
      </w:r>
      <w:r>
        <w:rPr>
          <w:snapToGrid w:val="0"/>
        </w:rPr>
        <w:tab/>
        <w:t>Agreements and receipts under this Act exempt from stamp duty</w:t>
      </w:r>
      <w:r>
        <w:tab/>
      </w:r>
      <w:r>
        <w:fldChar w:fldCharType="begin"/>
      </w:r>
      <w:r>
        <w:instrText xml:space="preserve"> PAGEREF _Toc122834146 \h </w:instrText>
      </w:r>
      <w:r>
        <w:fldChar w:fldCharType="separate"/>
      </w:r>
      <w:r>
        <w:t>322</w:t>
      </w:r>
      <w:r>
        <w:fldChar w:fldCharType="end"/>
      </w:r>
    </w:p>
    <w:p>
      <w:pPr>
        <w:pStyle w:val="TOC8"/>
        <w:rPr>
          <w:sz w:val="24"/>
        </w:rPr>
      </w:pPr>
      <w:r>
        <w:t>298</w:t>
      </w:r>
      <w:r>
        <w:rPr>
          <w:snapToGrid w:val="0"/>
        </w:rPr>
        <w:t>.</w:t>
      </w:r>
      <w:r>
        <w:rPr>
          <w:snapToGrid w:val="0"/>
        </w:rPr>
        <w:tab/>
        <w:t>Order for detention of ship</w:t>
      </w:r>
      <w:r>
        <w:tab/>
      </w:r>
      <w:r>
        <w:fldChar w:fldCharType="begin"/>
      </w:r>
      <w:r>
        <w:instrText xml:space="preserve"> PAGEREF _Toc122834147 \h </w:instrText>
      </w:r>
      <w:r>
        <w:fldChar w:fldCharType="separate"/>
      </w:r>
      <w:r>
        <w:t>322</w:t>
      </w:r>
      <w:r>
        <w:fldChar w:fldCharType="end"/>
      </w:r>
    </w:p>
    <w:p>
      <w:pPr>
        <w:pStyle w:val="TOC8"/>
        <w:rPr>
          <w:sz w:val="24"/>
        </w:rPr>
      </w:pPr>
      <w:r>
        <w:t>299</w:t>
      </w:r>
      <w:r>
        <w:rPr>
          <w:snapToGrid w:val="0"/>
        </w:rPr>
        <w:t>.</w:t>
      </w:r>
      <w:r>
        <w:rPr>
          <w:snapToGrid w:val="0"/>
        </w:rPr>
        <w:tab/>
        <w:t>Judicial notice</w:t>
      </w:r>
      <w:r>
        <w:tab/>
      </w:r>
      <w:r>
        <w:fldChar w:fldCharType="begin"/>
      </w:r>
      <w:r>
        <w:instrText xml:space="preserve"> PAGEREF _Toc122834148 \h </w:instrText>
      </w:r>
      <w:r>
        <w:fldChar w:fldCharType="separate"/>
      </w:r>
      <w:r>
        <w:t>323</w:t>
      </w:r>
      <w:r>
        <w:fldChar w:fldCharType="end"/>
      </w:r>
    </w:p>
    <w:p>
      <w:pPr>
        <w:pStyle w:val="TOC8"/>
        <w:rPr>
          <w:sz w:val="24"/>
        </w:rPr>
      </w:pPr>
      <w:r>
        <w:t>300.</w:t>
      </w:r>
      <w:r>
        <w:tab/>
        <w:t>District Court to provide information to WorkCover WA</w:t>
      </w:r>
      <w:r>
        <w:tab/>
      </w:r>
      <w:r>
        <w:fldChar w:fldCharType="begin"/>
      </w:r>
      <w:r>
        <w:instrText xml:space="preserve"> PAGEREF _Toc122834149 \h </w:instrText>
      </w:r>
      <w:r>
        <w:fldChar w:fldCharType="separate"/>
      </w:r>
      <w:r>
        <w:t>324</w:t>
      </w:r>
      <w:r>
        <w:fldChar w:fldCharType="end"/>
      </w:r>
    </w:p>
    <w:p>
      <w:pPr>
        <w:pStyle w:val="TOC8"/>
        <w:rPr>
          <w:sz w:val="24"/>
        </w:rPr>
      </w:pPr>
      <w:r>
        <w:t>301</w:t>
      </w:r>
      <w:r>
        <w:rPr>
          <w:snapToGrid w:val="0"/>
        </w:rPr>
        <w:t>.</w:t>
      </w:r>
      <w:r>
        <w:rPr>
          <w:snapToGrid w:val="0"/>
        </w:rPr>
        <w:tab/>
        <w:t>Prohibition of contracting out</w:t>
      </w:r>
      <w:r>
        <w:tab/>
      </w:r>
      <w:r>
        <w:fldChar w:fldCharType="begin"/>
      </w:r>
      <w:r>
        <w:instrText xml:space="preserve"> PAGEREF _Toc122834150 \h </w:instrText>
      </w:r>
      <w:r>
        <w:fldChar w:fldCharType="separate"/>
      </w:r>
      <w:r>
        <w:t>324</w:t>
      </w:r>
      <w:r>
        <w:fldChar w:fldCharType="end"/>
      </w:r>
    </w:p>
    <w:p>
      <w:pPr>
        <w:pStyle w:val="TOC8"/>
        <w:rPr>
          <w:sz w:val="24"/>
        </w:rPr>
      </w:pPr>
      <w:r>
        <w:t>302</w:t>
      </w:r>
      <w:r>
        <w:rPr>
          <w:snapToGrid w:val="0"/>
        </w:rPr>
        <w:t>.</w:t>
      </w:r>
      <w:r>
        <w:rPr>
          <w:snapToGrid w:val="0"/>
        </w:rPr>
        <w:tab/>
        <w:t>Deductions towards compensation not lawful</w:t>
      </w:r>
      <w:r>
        <w:tab/>
      </w:r>
      <w:r>
        <w:fldChar w:fldCharType="begin"/>
      </w:r>
      <w:r>
        <w:instrText xml:space="preserve"> PAGEREF _Toc122834151 \h </w:instrText>
      </w:r>
      <w:r>
        <w:fldChar w:fldCharType="separate"/>
      </w:r>
      <w:r>
        <w:t>324</w:t>
      </w:r>
      <w:r>
        <w:fldChar w:fldCharType="end"/>
      </w:r>
    </w:p>
    <w:p>
      <w:pPr>
        <w:pStyle w:val="TOC8"/>
        <w:rPr>
          <w:sz w:val="24"/>
        </w:rPr>
      </w:pPr>
      <w:r>
        <w:t>303</w:t>
      </w:r>
      <w:r>
        <w:rPr>
          <w:snapToGrid w:val="0"/>
        </w:rPr>
        <w:t>.</w:t>
      </w:r>
      <w:r>
        <w:rPr>
          <w:snapToGrid w:val="0"/>
        </w:rPr>
        <w:tab/>
        <w:t>Payments not assignable</w:t>
      </w:r>
      <w:r>
        <w:tab/>
      </w:r>
      <w:r>
        <w:fldChar w:fldCharType="begin"/>
      </w:r>
      <w:r>
        <w:instrText xml:space="preserve"> PAGEREF _Toc122834152 \h </w:instrText>
      </w:r>
      <w:r>
        <w:fldChar w:fldCharType="separate"/>
      </w:r>
      <w:r>
        <w:t>325</w:t>
      </w:r>
      <w:r>
        <w:fldChar w:fldCharType="end"/>
      </w:r>
    </w:p>
    <w:p>
      <w:pPr>
        <w:pStyle w:val="TOC8"/>
        <w:rPr>
          <w:sz w:val="24"/>
        </w:rPr>
      </w:pPr>
      <w:r>
        <w:t>303A.</w:t>
      </w:r>
      <w:r>
        <w:tab/>
        <w:t>Making employment conditional on avoidance arrangement</w:t>
      </w:r>
      <w:r>
        <w:tab/>
      </w:r>
      <w:r>
        <w:fldChar w:fldCharType="begin"/>
      </w:r>
      <w:r>
        <w:instrText xml:space="preserve"> PAGEREF _Toc122834153 \h </w:instrText>
      </w:r>
      <w:r>
        <w:fldChar w:fldCharType="separate"/>
      </w:r>
      <w:r>
        <w:t>325</w:t>
      </w:r>
      <w:r>
        <w:fldChar w:fldCharType="end"/>
      </w:r>
    </w:p>
    <w:p>
      <w:pPr>
        <w:pStyle w:val="TOC8"/>
        <w:rPr>
          <w:sz w:val="24"/>
        </w:rPr>
      </w:pPr>
      <w:r>
        <w:t>304.</w:t>
      </w:r>
      <w:r>
        <w:tab/>
        <w:t>Protection from liability</w:t>
      </w:r>
      <w:r>
        <w:tab/>
      </w:r>
      <w:r>
        <w:fldChar w:fldCharType="begin"/>
      </w:r>
      <w:r>
        <w:instrText xml:space="preserve"> PAGEREF _Toc122834154 \h </w:instrText>
      </w:r>
      <w:r>
        <w:fldChar w:fldCharType="separate"/>
      </w:r>
      <w:r>
        <w:t>326</w:t>
      </w:r>
      <w:r>
        <w:fldChar w:fldCharType="end"/>
      </w:r>
    </w:p>
    <w:p>
      <w:pPr>
        <w:pStyle w:val="TOC8"/>
        <w:rPr>
          <w:sz w:val="24"/>
        </w:rPr>
      </w:pPr>
      <w:r>
        <w:t>305.</w:t>
      </w:r>
      <w:r>
        <w:tab/>
        <w:t>Immunity</w:t>
      </w:r>
      <w:r>
        <w:tab/>
      </w:r>
      <w:r>
        <w:fldChar w:fldCharType="begin"/>
      </w:r>
      <w:r>
        <w:instrText xml:space="preserve"> PAGEREF _Toc122834155 \h </w:instrText>
      </w:r>
      <w:r>
        <w:fldChar w:fldCharType="separate"/>
      </w:r>
      <w:r>
        <w:t>326</w:t>
      </w:r>
      <w:r>
        <w:fldChar w:fldCharType="end"/>
      </w:r>
    </w:p>
    <w:p>
      <w:pPr>
        <w:pStyle w:val="TOC8"/>
        <w:rPr>
          <w:sz w:val="24"/>
        </w:rPr>
      </w:pPr>
      <w:r>
        <w:t>306.</w:t>
      </w:r>
      <w:r>
        <w:tab/>
        <w:t>Protection for compliance with this Act</w:t>
      </w:r>
      <w:r>
        <w:tab/>
      </w:r>
      <w:r>
        <w:fldChar w:fldCharType="begin"/>
      </w:r>
      <w:r>
        <w:instrText xml:space="preserve"> PAGEREF _Toc122834156 \h </w:instrText>
      </w:r>
      <w:r>
        <w:fldChar w:fldCharType="separate"/>
      </w:r>
      <w:r>
        <w:t>327</w:t>
      </w:r>
      <w:r>
        <w:fldChar w:fldCharType="end"/>
      </w:r>
    </w:p>
    <w:p>
      <w:pPr>
        <w:pStyle w:val="TOC8"/>
        <w:rPr>
          <w:sz w:val="24"/>
        </w:rPr>
      </w:pPr>
      <w:r>
        <w:t>307.</w:t>
      </w:r>
      <w:r>
        <w:tab/>
        <w:t>Proceedings for defamation not to lie</w:t>
      </w:r>
      <w:r>
        <w:tab/>
      </w:r>
      <w:r>
        <w:fldChar w:fldCharType="begin"/>
      </w:r>
      <w:r>
        <w:instrText xml:space="preserve"> PAGEREF _Toc122834157 \h </w:instrText>
      </w:r>
      <w:r>
        <w:fldChar w:fldCharType="separate"/>
      </w:r>
      <w:r>
        <w:t>328</w:t>
      </w:r>
      <w:r>
        <w:fldChar w:fldCharType="end"/>
      </w:r>
    </w:p>
    <w:p>
      <w:pPr>
        <w:pStyle w:val="TOC8"/>
        <w:rPr>
          <w:sz w:val="24"/>
        </w:rPr>
      </w:pPr>
      <w:r>
        <w:t>308</w:t>
      </w:r>
      <w:r>
        <w:rPr>
          <w:snapToGrid w:val="0"/>
        </w:rPr>
        <w:t>.</w:t>
      </w:r>
      <w:r>
        <w:rPr>
          <w:snapToGrid w:val="0"/>
        </w:rPr>
        <w:tab/>
        <w:t>Fraud</w:t>
      </w:r>
      <w:r>
        <w:tab/>
      </w:r>
      <w:r>
        <w:fldChar w:fldCharType="begin"/>
      </w:r>
      <w:r>
        <w:instrText xml:space="preserve"> PAGEREF _Toc122834158 \h </w:instrText>
      </w:r>
      <w:r>
        <w:fldChar w:fldCharType="separate"/>
      </w:r>
      <w:r>
        <w:t>328</w:t>
      </w:r>
      <w:r>
        <w:fldChar w:fldCharType="end"/>
      </w:r>
    </w:p>
    <w:p>
      <w:pPr>
        <w:pStyle w:val="TOC8"/>
        <w:rPr>
          <w:sz w:val="24"/>
        </w:rPr>
      </w:pPr>
      <w:r>
        <w:t>309.</w:t>
      </w:r>
      <w:r>
        <w:tab/>
        <w:t>Who can take proceedings for offences</w:t>
      </w:r>
      <w:r>
        <w:tab/>
      </w:r>
      <w:r>
        <w:fldChar w:fldCharType="begin"/>
      </w:r>
      <w:r>
        <w:instrText xml:space="preserve"> PAGEREF _Toc122834159 \h </w:instrText>
      </w:r>
      <w:r>
        <w:fldChar w:fldCharType="separate"/>
      </w:r>
      <w:r>
        <w:t>328</w:t>
      </w:r>
      <w:r>
        <w:fldChar w:fldCharType="end"/>
      </w:r>
    </w:p>
    <w:p>
      <w:pPr>
        <w:pStyle w:val="TOC8"/>
        <w:rPr>
          <w:sz w:val="24"/>
        </w:rPr>
      </w:pPr>
      <w:r>
        <w:t>310.</w:t>
      </w:r>
      <w:r>
        <w:tab/>
        <w:t>Time limit for taking proceedings</w:t>
      </w:r>
      <w:r>
        <w:tab/>
      </w:r>
      <w:r>
        <w:fldChar w:fldCharType="begin"/>
      </w:r>
      <w:r>
        <w:instrText xml:space="preserve"> PAGEREF _Toc122834160 \h </w:instrText>
      </w:r>
      <w:r>
        <w:fldChar w:fldCharType="separate"/>
      </w:r>
      <w:r>
        <w:t>329</w:t>
      </w:r>
      <w:r>
        <w:fldChar w:fldCharType="end"/>
      </w:r>
    </w:p>
    <w:p>
      <w:pPr>
        <w:pStyle w:val="TOC8"/>
        <w:rPr>
          <w:sz w:val="24"/>
        </w:rPr>
      </w:pPr>
      <w:r>
        <w:t>311</w:t>
      </w:r>
      <w:r>
        <w:rPr>
          <w:snapToGrid w:val="0"/>
        </w:rPr>
        <w:t>.</w:t>
      </w:r>
      <w:r>
        <w:rPr>
          <w:snapToGrid w:val="0"/>
        </w:rPr>
        <w:tab/>
        <w:t>General penalty</w:t>
      </w:r>
      <w:r>
        <w:tab/>
      </w:r>
      <w:r>
        <w:fldChar w:fldCharType="begin"/>
      </w:r>
      <w:r>
        <w:instrText xml:space="preserve"> PAGEREF _Toc122834161 \h </w:instrText>
      </w:r>
      <w:r>
        <w:fldChar w:fldCharType="separate"/>
      </w:r>
      <w:r>
        <w:t>329</w:t>
      </w:r>
      <w:r>
        <w:fldChar w:fldCharType="end"/>
      </w:r>
    </w:p>
    <w:p>
      <w:pPr>
        <w:pStyle w:val="TOC8"/>
        <w:rPr>
          <w:sz w:val="24"/>
        </w:rPr>
      </w:pPr>
      <w:r>
        <w:t>312</w:t>
      </w:r>
      <w:r>
        <w:rPr>
          <w:snapToGrid w:val="0"/>
        </w:rPr>
        <w:t>.</w:t>
      </w:r>
      <w:r>
        <w:rPr>
          <w:snapToGrid w:val="0"/>
        </w:rPr>
        <w:tab/>
        <w:t>Fines</w:t>
      </w:r>
      <w:r>
        <w:tab/>
      </w:r>
      <w:r>
        <w:fldChar w:fldCharType="begin"/>
      </w:r>
      <w:r>
        <w:instrText xml:space="preserve"> PAGEREF _Toc122834162 \h </w:instrText>
      </w:r>
      <w:r>
        <w:fldChar w:fldCharType="separate"/>
      </w:r>
      <w:r>
        <w:t>329</w:t>
      </w:r>
      <w:r>
        <w:fldChar w:fldCharType="end"/>
      </w:r>
    </w:p>
    <w:p>
      <w:pPr>
        <w:pStyle w:val="TOC8"/>
        <w:rPr>
          <w:sz w:val="24"/>
        </w:rPr>
      </w:pPr>
      <w:r>
        <w:t>313</w:t>
      </w:r>
      <w:r>
        <w:rPr>
          <w:snapToGrid w:val="0"/>
        </w:rPr>
        <w:t>.</w:t>
      </w:r>
      <w:r>
        <w:rPr>
          <w:snapToGrid w:val="0"/>
        </w:rPr>
        <w:tab/>
        <w:t>Penalties not affected</w:t>
      </w:r>
      <w:r>
        <w:tab/>
      </w:r>
      <w:r>
        <w:fldChar w:fldCharType="begin"/>
      </w:r>
      <w:r>
        <w:instrText xml:space="preserve"> PAGEREF _Toc122834163 \h </w:instrText>
      </w:r>
      <w:r>
        <w:fldChar w:fldCharType="separate"/>
      </w:r>
      <w:r>
        <w:t>329</w:t>
      </w:r>
      <w:r>
        <w:fldChar w:fldCharType="end"/>
      </w:r>
    </w:p>
    <w:p>
      <w:pPr>
        <w:pStyle w:val="TOC8"/>
        <w:rPr>
          <w:sz w:val="24"/>
        </w:rPr>
      </w:pPr>
      <w:r>
        <w:t>314.</w:t>
      </w:r>
      <w:r>
        <w:tab/>
        <w:t>WorkCover WA may specify alternative form of sending information</w:t>
      </w:r>
      <w:r>
        <w:tab/>
      </w:r>
      <w:r>
        <w:fldChar w:fldCharType="begin"/>
      </w:r>
      <w:r>
        <w:instrText xml:space="preserve"> PAGEREF _Toc122834164 \h </w:instrText>
      </w:r>
      <w:r>
        <w:fldChar w:fldCharType="separate"/>
      </w:r>
      <w:r>
        <w:t>330</w:t>
      </w:r>
      <w:r>
        <w:fldChar w:fldCharType="end"/>
      </w:r>
    </w:p>
    <w:p>
      <w:pPr>
        <w:pStyle w:val="TOC8"/>
        <w:rPr>
          <w:sz w:val="24"/>
        </w:rPr>
      </w:pPr>
      <w:r>
        <w:t>315.</w:t>
      </w:r>
      <w:r>
        <w:tab/>
        <w:t>Publication of prescribed amount and average weekly earnings</w:t>
      </w:r>
      <w:r>
        <w:tab/>
      </w:r>
      <w:r>
        <w:fldChar w:fldCharType="begin"/>
      </w:r>
      <w:r>
        <w:instrText xml:space="preserve"> PAGEREF _Toc122834165 \h </w:instrText>
      </w:r>
      <w:r>
        <w:fldChar w:fldCharType="separate"/>
      </w:r>
      <w:r>
        <w:t>330</w:t>
      </w:r>
      <w:r>
        <w:fldChar w:fldCharType="end"/>
      </w:r>
    </w:p>
    <w:p>
      <w:pPr>
        <w:pStyle w:val="TOC2"/>
        <w:tabs>
          <w:tab w:val="right" w:leader="dot" w:pos="7078"/>
        </w:tabs>
        <w:rPr>
          <w:b w:val="0"/>
          <w:sz w:val="24"/>
        </w:rPr>
      </w:pPr>
      <w:r>
        <w:t>Part XX — Repeal, savings, and transitional</w:t>
      </w:r>
    </w:p>
    <w:p>
      <w:pPr>
        <w:pStyle w:val="TOC8"/>
        <w:rPr>
          <w:sz w:val="24"/>
        </w:rPr>
      </w:pPr>
      <w:r>
        <w:t>316</w:t>
      </w:r>
      <w:r>
        <w:rPr>
          <w:snapToGrid w:val="0"/>
        </w:rPr>
        <w:t>.</w:t>
      </w:r>
      <w:r>
        <w:rPr>
          <w:snapToGrid w:val="0"/>
        </w:rPr>
        <w:tab/>
        <w:t>Definitions</w:t>
      </w:r>
      <w:r>
        <w:tab/>
      </w:r>
      <w:r>
        <w:fldChar w:fldCharType="begin"/>
      </w:r>
      <w:r>
        <w:instrText xml:space="preserve"> PAGEREF _Toc122834167 \h </w:instrText>
      </w:r>
      <w:r>
        <w:fldChar w:fldCharType="separate"/>
      </w:r>
      <w:r>
        <w:t>331</w:t>
      </w:r>
      <w:r>
        <w:fldChar w:fldCharType="end"/>
      </w:r>
    </w:p>
    <w:p>
      <w:pPr>
        <w:pStyle w:val="TOC8"/>
        <w:rPr>
          <w:sz w:val="24"/>
        </w:rPr>
      </w:pPr>
      <w:r>
        <w:t>317.</w:t>
      </w:r>
      <w:r>
        <w:tab/>
        <w:t>Repeal</w:t>
      </w:r>
      <w:r>
        <w:tab/>
      </w:r>
      <w:r>
        <w:fldChar w:fldCharType="begin"/>
      </w:r>
      <w:r>
        <w:instrText xml:space="preserve"> PAGEREF _Toc122834168 \h </w:instrText>
      </w:r>
      <w:r>
        <w:fldChar w:fldCharType="separate"/>
      </w:r>
      <w:r>
        <w:t>331</w:t>
      </w:r>
      <w:r>
        <w:fldChar w:fldCharType="end"/>
      </w:r>
    </w:p>
    <w:p>
      <w:pPr>
        <w:pStyle w:val="TOC8"/>
        <w:rPr>
          <w:sz w:val="24"/>
        </w:rPr>
      </w:pPr>
      <w:r>
        <w:t>318</w:t>
      </w:r>
      <w:r>
        <w:rPr>
          <w:snapToGrid w:val="0"/>
        </w:rPr>
        <w:t>.</w:t>
      </w:r>
      <w:r>
        <w:rPr>
          <w:snapToGrid w:val="0"/>
        </w:rPr>
        <w:tab/>
        <w:t xml:space="preserve">Operation of </w:t>
      </w:r>
      <w:r>
        <w:rPr>
          <w:i/>
          <w:snapToGrid w:val="0"/>
        </w:rPr>
        <w:t>Interpretation Act 1918</w:t>
      </w:r>
      <w:r>
        <w:tab/>
      </w:r>
      <w:r>
        <w:fldChar w:fldCharType="begin"/>
      </w:r>
      <w:r>
        <w:instrText xml:space="preserve"> PAGEREF _Toc122834169 \h </w:instrText>
      </w:r>
      <w:r>
        <w:fldChar w:fldCharType="separate"/>
      </w:r>
      <w:r>
        <w:t>331</w:t>
      </w:r>
      <w:r>
        <w:fldChar w:fldCharType="end"/>
      </w:r>
    </w:p>
    <w:p>
      <w:pPr>
        <w:pStyle w:val="TOC8"/>
        <w:rPr>
          <w:sz w:val="24"/>
        </w:rPr>
      </w:pPr>
      <w:r>
        <w:t>319</w:t>
      </w:r>
      <w:r>
        <w:rPr>
          <w:snapToGrid w:val="0"/>
        </w:rPr>
        <w:t>.</w:t>
      </w:r>
      <w:r>
        <w:rPr>
          <w:snapToGrid w:val="0"/>
        </w:rPr>
        <w:tab/>
        <w:t>No renewal of liability or entitlement</w:t>
      </w:r>
      <w:r>
        <w:tab/>
      </w:r>
      <w:r>
        <w:fldChar w:fldCharType="begin"/>
      </w:r>
      <w:r>
        <w:instrText xml:space="preserve"> PAGEREF _Toc122834170 \h </w:instrText>
      </w:r>
      <w:r>
        <w:fldChar w:fldCharType="separate"/>
      </w:r>
      <w:r>
        <w:t>332</w:t>
      </w:r>
      <w:r>
        <w:fldChar w:fldCharType="end"/>
      </w:r>
    </w:p>
    <w:p>
      <w:pPr>
        <w:pStyle w:val="TOC8"/>
        <w:rPr>
          <w:sz w:val="24"/>
        </w:rPr>
      </w:pPr>
      <w:r>
        <w:t>320</w:t>
      </w:r>
      <w:r>
        <w:rPr>
          <w:snapToGrid w:val="0"/>
        </w:rPr>
        <w:t>.</w:t>
      </w:r>
      <w:r>
        <w:rPr>
          <w:snapToGrid w:val="0"/>
        </w:rPr>
        <w:tab/>
        <w:t>Moneys paid under repealed Act taken into account</w:t>
      </w:r>
      <w:r>
        <w:tab/>
      </w:r>
      <w:r>
        <w:fldChar w:fldCharType="begin"/>
      </w:r>
      <w:r>
        <w:instrText xml:space="preserve"> PAGEREF _Toc122834171 \h </w:instrText>
      </w:r>
      <w:r>
        <w:fldChar w:fldCharType="separate"/>
      </w:r>
      <w:r>
        <w:t>332</w:t>
      </w:r>
      <w:r>
        <w:fldChar w:fldCharType="end"/>
      </w:r>
    </w:p>
    <w:p>
      <w:pPr>
        <w:pStyle w:val="TOC8"/>
        <w:rPr>
          <w:sz w:val="24"/>
        </w:rPr>
      </w:pPr>
      <w:r>
        <w:t>321</w:t>
      </w:r>
      <w:r>
        <w:rPr>
          <w:snapToGrid w:val="0"/>
        </w:rPr>
        <w:t>.</w:t>
      </w:r>
      <w:r>
        <w:rPr>
          <w:snapToGrid w:val="0"/>
        </w:rPr>
        <w:tab/>
        <w:t>Compensation for injuries mentioned in Schedule 2</w:t>
      </w:r>
      <w:r>
        <w:tab/>
      </w:r>
      <w:r>
        <w:fldChar w:fldCharType="begin"/>
      </w:r>
      <w:r>
        <w:instrText xml:space="preserve"> PAGEREF _Toc122834172 \h </w:instrText>
      </w:r>
      <w:r>
        <w:fldChar w:fldCharType="separate"/>
      </w:r>
      <w:r>
        <w:t>332</w:t>
      </w:r>
      <w:r>
        <w:fldChar w:fldCharType="end"/>
      </w:r>
    </w:p>
    <w:p>
      <w:pPr>
        <w:pStyle w:val="TOC8"/>
        <w:rPr>
          <w:sz w:val="24"/>
        </w:rPr>
      </w:pPr>
      <w:r>
        <w:t>322</w:t>
      </w:r>
      <w:r>
        <w:rPr>
          <w:snapToGrid w:val="0"/>
        </w:rPr>
        <w:t>.</w:t>
      </w:r>
      <w:r>
        <w:rPr>
          <w:snapToGrid w:val="0"/>
        </w:rPr>
        <w:tab/>
        <w:t>Child’s allowance</w:t>
      </w:r>
      <w:r>
        <w:tab/>
      </w:r>
      <w:r>
        <w:fldChar w:fldCharType="begin"/>
      </w:r>
      <w:r>
        <w:instrText xml:space="preserve"> PAGEREF _Toc122834173 \h </w:instrText>
      </w:r>
      <w:r>
        <w:fldChar w:fldCharType="separate"/>
      </w:r>
      <w:r>
        <w:t>333</w:t>
      </w:r>
      <w:r>
        <w:fldChar w:fldCharType="end"/>
      </w:r>
    </w:p>
    <w:p>
      <w:pPr>
        <w:pStyle w:val="TOC8"/>
        <w:rPr>
          <w:sz w:val="24"/>
        </w:rPr>
      </w:pPr>
      <w:r>
        <w:t>323</w:t>
      </w:r>
      <w:r>
        <w:rPr>
          <w:snapToGrid w:val="0"/>
        </w:rPr>
        <w:t>.</w:t>
      </w:r>
      <w:r>
        <w:rPr>
          <w:snapToGrid w:val="0"/>
        </w:rPr>
        <w:tab/>
        <w:t>Continuation</w:t>
      </w:r>
      <w:r>
        <w:tab/>
      </w:r>
      <w:r>
        <w:fldChar w:fldCharType="begin"/>
      </w:r>
      <w:r>
        <w:instrText xml:space="preserve"> PAGEREF _Toc122834174 \h </w:instrText>
      </w:r>
      <w:r>
        <w:fldChar w:fldCharType="separate"/>
      </w:r>
      <w:r>
        <w:t>333</w:t>
      </w:r>
      <w:r>
        <w:fldChar w:fldCharType="end"/>
      </w:r>
    </w:p>
    <w:p>
      <w:pPr>
        <w:pStyle w:val="TOC8"/>
        <w:rPr>
          <w:sz w:val="24"/>
        </w:rPr>
      </w:pPr>
      <w:r>
        <w:t>324</w:t>
      </w:r>
      <w:r>
        <w:rPr>
          <w:snapToGrid w:val="0"/>
        </w:rPr>
        <w:t>.</w:t>
      </w:r>
      <w:r>
        <w:rPr>
          <w:snapToGrid w:val="0"/>
        </w:rPr>
        <w:tab/>
        <w:t>References to the Board, the Supplementary Board or officers</w:t>
      </w:r>
      <w:r>
        <w:tab/>
      </w:r>
      <w:r>
        <w:fldChar w:fldCharType="begin"/>
      </w:r>
      <w:r>
        <w:instrText xml:space="preserve"> PAGEREF _Toc122834175 \h </w:instrText>
      </w:r>
      <w:r>
        <w:fldChar w:fldCharType="separate"/>
      </w:r>
      <w:r>
        <w:t>335</w:t>
      </w:r>
      <w:r>
        <w:fldChar w:fldCharType="end"/>
      </w:r>
    </w:p>
    <w:p>
      <w:pPr>
        <w:pStyle w:val="TOC2"/>
        <w:tabs>
          <w:tab w:val="right" w:leader="dot" w:pos="7078"/>
        </w:tabs>
        <w:outlineLvl w:val="0"/>
        <w:rPr>
          <w:b w:val="0"/>
          <w:sz w:val="24"/>
        </w:rPr>
      </w:pPr>
      <w:r>
        <w:t>Schedules</w:t>
      </w:r>
    </w:p>
    <w:p>
      <w:pPr>
        <w:pStyle w:val="TOC2"/>
        <w:tabs>
          <w:tab w:val="right" w:leader="dot" w:pos="7078"/>
        </w:tabs>
        <w:rPr>
          <w:b w:val="0"/>
          <w:sz w:val="24"/>
        </w:rPr>
      </w:pPr>
      <w:r>
        <w:t>Schedule 1</w:t>
      </w:r>
      <w:r>
        <w:rPr>
          <w:sz w:val="24"/>
        </w:rPr>
        <w:t> </w:t>
      </w:r>
      <w:r>
        <w:t>—</w:t>
      </w:r>
      <w:r>
        <w:rPr>
          <w:sz w:val="24"/>
        </w:rPr>
        <w:t> </w:t>
      </w:r>
      <w:r>
        <w:t>Compensation entitlements</w:t>
      </w:r>
    </w:p>
    <w:p>
      <w:pPr>
        <w:pStyle w:val="TOC8"/>
        <w:rPr>
          <w:sz w:val="24"/>
        </w:rPr>
      </w:pPr>
      <w:r>
        <w:t>1.</w:t>
      </w:r>
      <w:r>
        <w:tab/>
        <w:t>Death — dependants wholly dependent — notional residual entitlement</w:t>
      </w:r>
      <w:r>
        <w:tab/>
      </w:r>
      <w:r>
        <w:fldChar w:fldCharType="begin"/>
      </w:r>
      <w:r>
        <w:instrText xml:space="preserve"> PAGEREF _Toc122834178 \h </w:instrText>
      </w:r>
      <w:r>
        <w:fldChar w:fldCharType="separate"/>
      </w:r>
      <w:r>
        <w:t>338</w:t>
      </w:r>
      <w:r>
        <w:fldChar w:fldCharType="end"/>
      </w:r>
    </w:p>
    <w:p>
      <w:pPr>
        <w:pStyle w:val="TOC8"/>
        <w:rPr>
          <w:sz w:val="24"/>
        </w:rPr>
      </w:pPr>
      <w:r>
        <w:t>1A.</w:t>
      </w:r>
      <w:r>
        <w:tab/>
        <w:t>Death — dependants wholly dependent — child’s allowance</w:t>
      </w:r>
      <w:r>
        <w:tab/>
      </w:r>
      <w:r>
        <w:fldChar w:fldCharType="begin"/>
      </w:r>
      <w:r>
        <w:instrText xml:space="preserve"> PAGEREF _Toc122834179 \h </w:instrText>
      </w:r>
      <w:r>
        <w:fldChar w:fldCharType="separate"/>
      </w:r>
      <w:r>
        <w:t>339</w:t>
      </w:r>
      <w:r>
        <w:fldChar w:fldCharType="end"/>
      </w:r>
    </w:p>
    <w:p>
      <w:pPr>
        <w:pStyle w:val="TOC8"/>
        <w:rPr>
          <w:sz w:val="24"/>
        </w:rPr>
      </w:pPr>
      <w:r>
        <w:t>1B.</w:t>
      </w:r>
      <w:r>
        <w:tab/>
        <w:t>Death — dependants wholly dependent — notional residual entitlement or child’s allowance</w:t>
      </w:r>
      <w:r>
        <w:tab/>
      </w:r>
      <w:r>
        <w:fldChar w:fldCharType="begin"/>
      </w:r>
      <w:r>
        <w:instrText xml:space="preserve"> PAGEREF _Toc122834180 \h </w:instrText>
      </w:r>
      <w:r>
        <w:fldChar w:fldCharType="separate"/>
      </w:r>
      <w:r>
        <w:t>339</w:t>
      </w:r>
      <w:r>
        <w:fldChar w:fldCharType="end"/>
      </w:r>
    </w:p>
    <w:p>
      <w:pPr>
        <w:pStyle w:val="TOC8"/>
        <w:rPr>
          <w:sz w:val="24"/>
        </w:rPr>
      </w:pPr>
      <w:r>
        <w:t>1C.</w:t>
      </w:r>
      <w:r>
        <w:tab/>
        <w:t>Determination of entitlement under clause 1B</w:t>
      </w:r>
      <w:r>
        <w:tab/>
      </w:r>
      <w:r>
        <w:fldChar w:fldCharType="begin"/>
      </w:r>
      <w:r>
        <w:instrText xml:space="preserve"> PAGEREF _Toc122834181 \h </w:instrText>
      </w:r>
      <w:r>
        <w:fldChar w:fldCharType="separate"/>
      </w:r>
      <w:r>
        <w:t>341</w:t>
      </w:r>
      <w:r>
        <w:fldChar w:fldCharType="end"/>
      </w:r>
    </w:p>
    <w:p>
      <w:pPr>
        <w:pStyle w:val="TOC8"/>
        <w:rPr>
          <w:sz w:val="24"/>
        </w:rPr>
      </w:pPr>
      <w:r>
        <w:t>2</w:t>
      </w:r>
      <w:r>
        <w:rPr>
          <w:snapToGrid w:val="0"/>
        </w:rPr>
        <w:t>.</w:t>
      </w:r>
      <w:r>
        <w:rPr>
          <w:snapToGrid w:val="0"/>
        </w:rPr>
        <w:tab/>
        <w:t>Death — partial dependants who are not children</w:t>
      </w:r>
      <w:r>
        <w:tab/>
      </w:r>
      <w:r>
        <w:fldChar w:fldCharType="begin"/>
      </w:r>
      <w:r>
        <w:instrText xml:space="preserve"> PAGEREF _Toc122834182 \h </w:instrText>
      </w:r>
      <w:r>
        <w:fldChar w:fldCharType="separate"/>
      </w:r>
      <w:r>
        <w:t>342</w:t>
      </w:r>
      <w:r>
        <w:fldChar w:fldCharType="end"/>
      </w:r>
    </w:p>
    <w:p>
      <w:pPr>
        <w:pStyle w:val="TOC8"/>
        <w:rPr>
          <w:sz w:val="24"/>
        </w:rPr>
      </w:pPr>
      <w:r>
        <w:t>3</w:t>
      </w:r>
      <w:r>
        <w:rPr>
          <w:snapToGrid w:val="0"/>
        </w:rPr>
        <w:t>.</w:t>
      </w:r>
      <w:r>
        <w:rPr>
          <w:snapToGrid w:val="0"/>
        </w:rPr>
        <w:tab/>
        <w:t>Death — partial dependants who are children</w:t>
      </w:r>
      <w:r>
        <w:tab/>
      </w:r>
      <w:r>
        <w:fldChar w:fldCharType="begin"/>
      </w:r>
      <w:r>
        <w:instrText xml:space="preserve"> PAGEREF _Toc122834183 \h </w:instrText>
      </w:r>
      <w:r>
        <w:fldChar w:fldCharType="separate"/>
      </w:r>
      <w:r>
        <w:t>342</w:t>
      </w:r>
      <w:r>
        <w:fldChar w:fldCharType="end"/>
      </w:r>
    </w:p>
    <w:p>
      <w:pPr>
        <w:pStyle w:val="TOC8"/>
        <w:rPr>
          <w:sz w:val="24"/>
        </w:rPr>
      </w:pPr>
      <w:r>
        <w:t>4</w:t>
      </w:r>
      <w:r>
        <w:rPr>
          <w:snapToGrid w:val="0"/>
        </w:rPr>
        <w:t>.</w:t>
      </w:r>
      <w:r>
        <w:rPr>
          <w:snapToGrid w:val="0"/>
        </w:rPr>
        <w:tab/>
        <w:t>Death — no dependant</w:t>
      </w:r>
      <w:r>
        <w:tab/>
      </w:r>
      <w:r>
        <w:fldChar w:fldCharType="begin"/>
      </w:r>
      <w:r>
        <w:instrText xml:space="preserve"> PAGEREF _Toc122834184 \h </w:instrText>
      </w:r>
      <w:r>
        <w:fldChar w:fldCharType="separate"/>
      </w:r>
      <w:r>
        <w:t>343</w:t>
      </w:r>
      <w:r>
        <w:fldChar w:fldCharType="end"/>
      </w:r>
    </w:p>
    <w:p>
      <w:pPr>
        <w:pStyle w:val="TOC8"/>
        <w:rPr>
          <w:sz w:val="24"/>
        </w:rPr>
      </w:pPr>
      <w:r>
        <w:t>5</w:t>
      </w:r>
      <w:r>
        <w:rPr>
          <w:snapToGrid w:val="0"/>
        </w:rPr>
        <w:t>.</w:t>
      </w:r>
      <w:r>
        <w:rPr>
          <w:snapToGrid w:val="0"/>
        </w:rPr>
        <w:tab/>
        <w:t>Death — where not resulting from the injury but weekly payments had been made</w:t>
      </w:r>
      <w:r>
        <w:tab/>
      </w:r>
      <w:r>
        <w:fldChar w:fldCharType="begin"/>
      </w:r>
      <w:r>
        <w:instrText xml:space="preserve"> PAGEREF _Toc122834185 \h </w:instrText>
      </w:r>
      <w:r>
        <w:fldChar w:fldCharType="separate"/>
      </w:r>
      <w:r>
        <w:t>343</w:t>
      </w:r>
      <w:r>
        <w:fldChar w:fldCharType="end"/>
      </w:r>
    </w:p>
    <w:p>
      <w:pPr>
        <w:pStyle w:val="TOC8"/>
        <w:rPr>
          <w:sz w:val="24"/>
        </w:rPr>
      </w:pPr>
      <w:r>
        <w:t>7</w:t>
      </w:r>
      <w:r>
        <w:rPr>
          <w:snapToGrid w:val="0"/>
        </w:rPr>
        <w:t>.</w:t>
      </w:r>
      <w:r>
        <w:rPr>
          <w:snapToGrid w:val="0"/>
        </w:rPr>
        <w:tab/>
        <w:t>Amount of compensation in case of total or partial incapacity</w:t>
      </w:r>
      <w:r>
        <w:tab/>
      </w:r>
      <w:r>
        <w:fldChar w:fldCharType="begin"/>
      </w:r>
      <w:r>
        <w:instrText xml:space="preserve"> PAGEREF _Toc122834186 \h </w:instrText>
      </w:r>
      <w:r>
        <w:fldChar w:fldCharType="separate"/>
      </w:r>
      <w:r>
        <w:t>344</w:t>
      </w:r>
      <w:r>
        <w:fldChar w:fldCharType="end"/>
      </w:r>
    </w:p>
    <w:p>
      <w:pPr>
        <w:pStyle w:val="TOC8"/>
        <w:rPr>
          <w:sz w:val="24"/>
        </w:rPr>
      </w:pPr>
      <w:r>
        <w:t>8</w:t>
      </w:r>
      <w:r>
        <w:rPr>
          <w:snapToGrid w:val="0"/>
        </w:rPr>
        <w:t>.</w:t>
      </w:r>
      <w:r>
        <w:rPr>
          <w:snapToGrid w:val="0"/>
        </w:rPr>
        <w:tab/>
        <w:t>Deemed total incapacity</w:t>
      </w:r>
      <w:r>
        <w:tab/>
      </w:r>
      <w:r>
        <w:fldChar w:fldCharType="begin"/>
      </w:r>
      <w:r>
        <w:instrText xml:space="preserve"> PAGEREF _Toc122834187 \h </w:instrText>
      </w:r>
      <w:r>
        <w:fldChar w:fldCharType="separate"/>
      </w:r>
      <w:r>
        <w:t>345</w:t>
      </w:r>
      <w:r>
        <w:fldChar w:fldCharType="end"/>
      </w:r>
    </w:p>
    <w:p>
      <w:pPr>
        <w:pStyle w:val="TOC8"/>
        <w:rPr>
          <w:sz w:val="24"/>
        </w:rPr>
      </w:pPr>
      <w:r>
        <w:t>9</w:t>
      </w:r>
      <w:r>
        <w:rPr>
          <w:snapToGrid w:val="0"/>
        </w:rPr>
        <w:t>.</w:t>
      </w:r>
      <w:r>
        <w:rPr>
          <w:snapToGrid w:val="0"/>
        </w:rPr>
        <w:tab/>
        <w:t>No incapacity — medical expenses</w:t>
      </w:r>
      <w:r>
        <w:tab/>
      </w:r>
      <w:r>
        <w:fldChar w:fldCharType="begin"/>
      </w:r>
      <w:r>
        <w:instrText xml:space="preserve"> PAGEREF _Toc122834188 \h </w:instrText>
      </w:r>
      <w:r>
        <w:fldChar w:fldCharType="separate"/>
      </w:r>
      <w:r>
        <w:t>346</w:t>
      </w:r>
      <w:r>
        <w:fldChar w:fldCharType="end"/>
      </w:r>
    </w:p>
    <w:p>
      <w:pPr>
        <w:pStyle w:val="TOC8"/>
        <w:rPr>
          <w:sz w:val="24"/>
        </w:rPr>
      </w:pPr>
      <w:r>
        <w:t>10</w:t>
      </w:r>
      <w:r>
        <w:rPr>
          <w:snapToGrid w:val="0"/>
        </w:rPr>
        <w:t>.</w:t>
      </w:r>
      <w:r>
        <w:rPr>
          <w:snapToGrid w:val="0"/>
        </w:rPr>
        <w:tab/>
        <w:t>Absence from work for medical attendance</w:t>
      </w:r>
      <w:r>
        <w:tab/>
      </w:r>
      <w:r>
        <w:fldChar w:fldCharType="begin"/>
      </w:r>
      <w:r>
        <w:instrText xml:space="preserve"> PAGEREF _Toc122834189 \h </w:instrText>
      </w:r>
      <w:r>
        <w:fldChar w:fldCharType="separate"/>
      </w:r>
      <w:r>
        <w:t>346</w:t>
      </w:r>
      <w:r>
        <w:fldChar w:fldCharType="end"/>
      </w:r>
    </w:p>
    <w:p>
      <w:pPr>
        <w:pStyle w:val="TOC8"/>
        <w:rPr>
          <w:sz w:val="24"/>
        </w:rPr>
      </w:pPr>
      <w:r>
        <w:t>11</w:t>
      </w:r>
      <w:r>
        <w:rPr>
          <w:snapToGrid w:val="0"/>
        </w:rPr>
        <w:t>.</w:t>
      </w:r>
      <w:r>
        <w:rPr>
          <w:snapToGrid w:val="0"/>
        </w:rPr>
        <w:tab/>
        <w:t>Weekly earnings</w:t>
      </w:r>
      <w:r>
        <w:tab/>
      </w:r>
      <w:r>
        <w:fldChar w:fldCharType="begin"/>
      </w:r>
      <w:r>
        <w:instrText xml:space="preserve"> PAGEREF _Toc122834190 \h </w:instrText>
      </w:r>
      <w:r>
        <w:fldChar w:fldCharType="separate"/>
      </w:r>
      <w:r>
        <w:t>346</w:t>
      </w:r>
      <w:r>
        <w:fldChar w:fldCharType="end"/>
      </w:r>
    </w:p>
    <w:p>
      <w:pPr>
        <w:pStyle w:val="TOC8"/>
        <w:rPr>
          <w:sz w:val="24"/>
        </w:rPr>
      </w:pPr>
      <w:r>
        <w:t>12</w:t>
      </w:r>
      <w:r>
        <w:rPr>
          <w:snapToGrid w:val="0"/>
        </w:rPr>
        <w:t>.</w:t>
      </w:r>
      <w:r>
        <w:rPr>
          <w:snapToGrid w:val="0"/>
        </w:rPr>
        <w:tab/>
        <w:t>Part</w:t>
      </w:r>
      <w:r>
        <w:rPr>
          <w:snapToGrid w:val="0"/>
        </w:rPr>
        <w:noBreakHyphen/>
        <w:t>time worker</w:t>
      </w:r>
      <w:r>
        <w:tab/>
      </w:r>
      <w:r>
        <w:fldChar w:fldCharType="begin"/>
      </w:r>
      <w:r>
        <w:instrText xml:space="preserve"> PAGEREF _Toc122834191 \h </w:instrText>
      </w:r>
      <w:r>
        <w:fldChar w:fldCharType="separate"/>
      </w:r>
      <w:r>
        <w:t>350</w:t>
      </w:r>
      <w:r>
        <w:fldChar w:fldCharType="end"/>
      </w:r>
    </w:p>
    <w:p>
      <w:pPr>
        <w:pStyle w:val="TOC8"/>
        <w:rPr>
          <w:sz w:val="24"/>
        </w:rPr>
      </w:pPr>
      <w:r>
        <w:t>13</w:t>
      </w:r>
      <w:r>
        <w:rPr>
          <w:snapToGrid w:val="0"/>
        </w:rPr>
        <w:t>.</w:t>
      </w:r>
      <w:r>
        <w:rPr>
          <w:snapToGrid w:val="0"/>
        </w:rPr>
        <w:tab/>
        <w:t>Concurrent contracts</w:t>
      </w:r>
      <w:r>
        <w:tab/>
      </w:r>
      <w:r>
        <w:fldChar w:fldCharType="begin"/>
      </w:r>
      <w:r>
        <w:instrText xml:space="preserve"> PAGEREF _Toc122834192 \h </w:instrText>
      </w:r>
      <w:r>
        <w:fldChar w:fldCharType="separate"/>
      </w:r>
      <w:r>
        <w:t>350</w:t>
      </w:r>
      <w:r>
        <w:fldChar w:fldCharType="end"/>
      </w:r>
    </w:p>
    <w:p>
      <w:pPr>
        <w:pStyle w:val="TOC8"/>
        <w:rPr>
          <w:sz w:val="24"/>
        </w:rPr>
      </w:pPr>
      <w:r>
        <w:t>14</w:t>
      </w:r>
      <w:r>
        <w:rPr>
          <w:snapToGrid w:val="0"/>
        </w:rPr>
        <w:t>.</w:t>
      </w:r>
      <w:r>
        <w:rPr>
          <w:snapToGrid w:val="0"/>
        </w:rPr>
        <w:tab/>
        <w:t>Casual or seasonal worker</w:t>
      </w:r>
      <w:r>
        <w:tab/>
      </w:r>
      <w:r>
        <w:fldChar w:fldCharType="begin"/>
      </w:r>
      <w:r>
        <w:instrText xml:space="preserve"> PAGEREF _Toc122834193 \h </w:instrText>
      </w:r>
      <w:r>
        <w:fldChar w:fldCharType="separate"/>
      </w:r>
      <w:r>
        <w:t>351</w:t>
      </w:r>
      <w:r>
        <w:fldChar w:fldCharType="end"/>
      </w:r>
    </w:p>
    <w:p>
      <w:pPr>
        <w:pStyle w:val="TOC8"/>
        <w:rPr>
          <w:sz w:val="24"/>
        </w:rPr>
      </w:pPr>
      <w:r>
        <w:t>15</w:t>
      </w:r>
      <w:r>
        <w:rPr>
          <w:snapToGrid w:val="0"/>
        </w:rPr>
        <w:t>.</w:t>
      </w:r>
      <w:r>
        <w:rPr>
          <w:snapToGrid w:val="0"/>
        </w:rPr>
        <w:tab/>
        <w:t>Board and lodging</w:t>
      </w:r>
      <w:r>
        <w:tab/>
      </w:r>
      <w:r>
        <w:fldChar w:fldCharType="begin"/>
      </w:r>
      <w:r>
        <w:instrText xml:space="preserve"> PAGEREF _Toc122834194 \h </w:instrText>
      </w:r>
      <w:r>
        <w:fldChar w:fldCharType="separate"/>
      </w:r>
      <w:r>
        <w:t>351</w:t>
      </w:r>
      <w:r>
        <w:fldChar w:fldCharType="end"/>
      </w:r>
    </w:p>
    <w:p>
      <w:pPr>
        <w:pStyle w:val="TOC8"/>
        <w:rPr>
          <w:sz w:val="24"/>
        </w:rPr>
      </w:pPr>
      <w:r>
        <w:t>16</w:t>
      </w:r>
      <w:r>
        <w:rPr>
          <w:snapToGrid w:val="0"/>
        </w:rPr>
        <w:t>.</w:t>
      </w:r>
      <w:r>
        <w:rPr>
          <w:snapToGrid w:val="0"/>
        </w:rPr>
        <w:tab/>
        <w:t>Variation of weekly payments</w:t>
      </w:r>
      <w:r>
        <w:tab/>
      </w:r>
      <w:r>
        <w:fldChar w:fldCharType="begin"/>
      </w:r>
      <w:r>
        <w:instrText xml:space="preserve"> PAGEREF _Toc122834195 \h </w:instrText>
      </w:r>
      <w:r>
        <w:fldChar w:fldCharType="separate"/>
      </w:r>
      <w:r>
        <w:t>351</w:t>
      </w:r>
      <w:r>
        <w:fldChar w:fldCharType="end"/>
      </w:r>
    </w:p>
    <w:p>
      <w:pPr>
        <w:pStyle w:val="TOC8"/>
        <w:rPr>
          <w:sz w:val="24"/>
        </w:rPr>
      </w:pPr>
      <w:r>
        <w:t>17</w:t>
      </w:r>
      <w:r>
        <w:rPr>
          <w:snapToGrid w:val="0"/>
        </w:rPr>
        <w:t>.</w:t>
      </w:r>
      <w:r>
        <w:rPr>
          <w:snapToGrid w:val="0"/>
        </w:rPr>
        <w:tab/>
        <w:t>Payment of medical and other expenses</w:t>
      </w:r>
      <w:r>
        <w:tab/>
      </w:r>
      <w:r>
        <w:fldChar w:fldCharType="begin"/>
      </w:r>
      <w:r>
        <w:instrText xml:space="preserve"> PAGEREF _Toc122834196 \h </w:instrText>
      </w:r>
      <w:r>
        <w:fldChar w:fldCharType="separate"/>
      </w:r>
      <w:r>
        <w:t>352</w:t>
      </w:r>
      <w:r>
        <w:fldChar w:fldCharType="end"/>
      </w:r>
    </w:p>
    <w:p>
      <w:pPr>
        <w:pStyle w:val="TOC8"/>
        <w:rPr>
          <w:sz w:val="24"/>
        </w:rPr>
      </w:pPr>
      <w:r>
        <w:t>18</w:t>
      </w:r>
      <w:r>
        <w:rPr>
          <w:snapToGrid w:val="0"/>
        </w:rPr>
        <w:t>.</w:t>
      </w:r>
      <w:r>
        <w:rPr>
          <w:snapToGrid w:val="0"/>
        </w:rPr>
        <w:tab/>
        <w:t>Hospital charges</w:t>
      </w:r>
      <w:r>
        <w:tab/>
      </w:r>
      <w:r>
        <w:fldChar w:fldCharType="begin"/>
      </w:r>
      <w:r>
        <w:instrText xml:space="preserve"> PAGEREF _Toc122834197 \h </w:instrText>
      </w:r>
      <w:r>
        <w:fldChar w:fldCharType="separate"/>
      </w:r>
      <w:r>
        <w:t>354</w:t>
      </w:r>
      <w:r>
        <w:fldChar w:fldCharType="end"/>
      </w:r>
    </w:p>
    <w:p>
      <w:pPr>
        <w:pStyle w:val="TOC8"/>
        <w:rPr>
          <w:sz w:val="24"/>
        </w:rPr>
      </w:pPr>
      <w:r>
        <w:rPr>
          <w:snapToGrid w:val="0"/>
        </w:rPr>
        <w:t>18A.</w:t>
      </w:r>
      <w:r>
        <w:rPr>
          <w:snapToGrid w:val="0"/>
        </w:rPr>
        <w:tab/>
        <w:t>Payment of additional expenses</w:t>
      </w:r>
      <w:r>
        <w:tab/>
      </w:r>
      <w:r>
        <w:fldChar w:fldCharType="begin"/>
      </w:r>
      <w:r>
        <w:instrText xml:space="preserve"> PAGEREF _Toc122834198 \h </w:instrText>
      </w:r>
      <w:r>
        <w:fldChar w:fldCharType="separate"/>
      </w:r>
      <w:r>
        <w:t>354</w:t>
      </w:r>
      <w:r>
        <w:fldChar w:fldCharType="end"/>
      </w:r>
    </w:p>
    <w:p>
      <w:pPr>
        <w:pStyle w:val="TOC8"/>
        <w:rPr>
          <w:sz w:val="24"/>
        </w:rPr>
      </w:pPr>
      <w:r>
        <w:t>18B.</w:t>
      </w:r>
      <w:r>
        <w:tab/>
        <w:t>Final day for clause 18A(1b) application</w:t>
      </w:r>
      <w:r>
        <w:tab/>
      </w:r>
      <w:r>
        <w:fldChar w:fldCharType="begin"/>
      </w:r>
      <w:r>
        <w:instrText xml:space="preserve"> PAGEREF _Toc122834199 \h </w:instrText>
      </w:r>
      <w:r>
        <w:fldChar w:fldCharType="separate"/>
      </w:r>
      <w:r>
        <w:t>357</w:t>
      </w:r>
      <w:r>
        <w:fldChar w:fldCharType="end"/>
      </w:r>
    </w:p>
    <w:p>
      <w:pPr>
        <w:pStyle w:val="TOC8"/>
        <w:rPr>
          <w:sz w:val="24"/>
        </w:rPr>
      </w:pPr>
      <w:r>
        <w:t>18C.</w:t>
      </w:r>
      <w:r>
        <w:tab/>
        <w:t>Dispute as to degree of permanent whole of person impairment</w:t>
      </w:r>
      <w:r>
        <w:tab/>
      </w:r>
      <w:r>
        <w:fldChar w:fldCharType="begin"/>
      </w:r>
      <w:r>
        <w:instrText xml:space="preserve"> PAGEREF _Toc122834200 \h </w:instrText>
      </w:r>
      <w:r>
        <w:fldChar w:fldCharType="separate"/>
      </w:r>
      <w:r>
        <w:t>358</w:t>
      </w:r>
      <w:r>
        <w:fldChar w:fldCharType="end"/>
      </w:r>
    </w:p>
    <w:p>
      <w:pPr>
        <w:pStyle w:val="TOC8"/>
        <w:rPr>
          <w:sz w:val="24"/>
        </w:rPr>
      </w:pPr>
      <w:r>
        <w:t>18D.</w:t>
      </w:r>
      <w:r>
        <w:tab/>
        <w:t>Interim payment of additional expenses</w:t>
      </w:r>
      <w:r>
        <w:tab/>
      </w:r>
      <w:r>
        <w:fldChar w:fldCharType="begin"/>
      </w:r>
      <w:r>
        <w:instrText xml:space="preserve"> PAGEREF _Toc122834201 \h </w:instrText>
      </w:r>
      <w:r>
        <w:fldChar w:fldCharType="separate"/>
      </w:r>
      <w:r>
        <w:t>359</w:t>
      </w:r>
      <w:r>
        <w:fldChar w:fldCharType="end"/>
      </w:r>
    </w:p>
    <w:p>
      <w:pPr>
        <w:pStyle w:val="TOC8"/>
        <w:rPr>
          <w:sz w:val="24"/>
        </w:rPr>
      </w:pPr>
      <w:r>
        <w:t>19</w:t>
      </w:r>
      <w:r>
        <w:rPr>
          <w:snapToGrid w:val="0"/>
        </w:rPr>
        <w:t>.</w:t>
      </w:r>
      <w:r>
        <w:rPr>
          <w:snapToGrid w:val="0"/>
        </w:rPr>
        <w:tab/>
        <w:t>Travelling</w:t>
      </w:r>
      <w:r>
        <w:tab/>
      </w:r>
      <w:r>
        <w:fldChar w:fldCharType="begin"/>
      </w:r>
      <w:r>
        <w:instrText xml:space="preserve"> PAGEREF _Toc122834202 \h </w:instrText>
      </w:r>
      <w:r>
        <w:fldChar w:fldCharType="separate"/>
      </w:r>
      <w:r>
        <w:t>360</w:t>
      </w:r>
      <w:r>
        <w:fldChar w:fldCharType="end"/>
      </w:r>
    </w:p>
    <w:p>
      <w:pPr>
        <w:pStyle w:val="TOC2"/>
        <w:tabs>
          <w:tab w:val="right" w:leader="dot" w:pos="7078"/>
        </w:tabs>
        <w:rPr>
          <w:b w:val="0"/>
          <w:sz w:val="24"/>
        </w:rPr>
      </w:pPr>
      <w:r>
        <w:t>Schedule 2 — Table of compensation payable</w:t>
      </w:r>
    </w:p>
    <w:p>
      <w:pPr>
        <w:pStyle w:val="TOC2"/>
        <w:tabs>
          <w:tab w:val="right" w:leader="dot" w:pos="7078"/>
        </w:tabs>
        <w:rPr>
          <w:b w:val="0"/>
          <w:sz w:val="24"/>
        </w:rPr>
      </w:pPr>
      <w:r>
        <w:t>Schedule 3 — Specified industrial diseases</w:t>
      </w:r>
    </w:p>
    <w:p>
      <w:pPr>
        <w:pStyle w:val="TOC2"/>
        <w:tabs>
          <w:tab w:val="right" w:leader="dot" w:pos="7078"/>
        </w:tabs>
        <w:rPr>
          <w:b w:val="0"/>
          <w:sz w:val="24"/>
        </w:rPr>
      </w:pPr>
      <w:r>
        <w:t>Schedule 4 — Specified losses of functions</w:t>
      </w:r>
    </w:p>
    <w:p>
      <w:pPr>
        <w:pStyle w:val="TOC2"/>
        <w:tabs>
          <w:tab w:val="right" w:leader="dot" w:pos="7078"/>
        </w:tabs>
        <w:rPr>
          <w:b w:val="0"/>
          <w:sz w:val="24"/>
        </w:rPr>
      </w:pPr>
      <w:r>
        <w:t>Schedule 5 — Exceptions to cessation of weekly payments by reason of age</w:t>
      </w:r>
    </w:p>
    <w:p>
      <w:pPr>
        <w:pStyle w:val="TOC8"/>
        <w:rPr>
          <w:sz w:val="24"/>
        </w:rPr>
      </w:pPr>
      <w:r>
        <w:t>1</w:t>
      </w:r>
      <w:r>
        <w:rPr>
          <w:snapToGrid w:val="0"/>
        </w:rPr>
        <w:t>.</w:t>
      </w:r>
      <w:r>
        <w:rPr>
          <w:snapToGrid w:val="0"/>
        </w:rPr>
        <w:tab/>
        <w:t>Definitions</w:t>
      </w:r>
      <w:r>
        <w:tab/>
      </w:r>
      <w:r>
        <w:fldChar w:fldCharType="begin"/>
      </w:r>
      <w:r>
        <w:instrText xml:space="preserve"> PAGEREF _Toc122834209 \h </w:instrText>
      </w:r>
      <w:r>
        <w:fldChar w:fldCharType="separate"/>
      </w:r>
      <w:r>
        <w:t>371</w:t>
      </w:r>
      <w:r>
        <w:fldChar w:fldCharType="end"/>
      </w:r>
    </w:p>
    <w:p>
      <w:pPr>
        <w:pStyle w:val="TOC8"/>
        <w:rPr>
          <w:sz w:val="24"/>
        </w:rPr>
      </w:pPr>
      <w:r>
        <w:t>1A.</w:t>
      </w:r>
      <w:r>
        <w:tab/>
        <w:t>Successive lung diseases to be regarded as one</w:t>
      </w:r>
      <w:r>
        <w:tab/>
      </w:r>
      <w:r>
        <w:fldChar w:fldCharType="begin"/>
      </w:r>
      <w:r>
        <w:instrText xml:space="preserve"> PAGEREF _Toc122834210 \h </w:instrText>
      </w:r>
      <w:r>
        <w:fldChar w:fldCharType="separate"/>
      </w:r>
      <w:r>
        <w:t>372</w:t>
      </w:r>
      <w:r>
        <w:fldChar w:fldCharType="end"/>
      </w:r>
    </w:p>
    <w:p>
      <w:pPr>
        <w:pStyle w:val="TOC8"/>
        <w:rPr>
          <w:sz w:val="24"/>
        </w:rPr>
      </w:pPr>
      <w:r>
        <w:t>2</w:t>
      </w:r>
      <w:r>
        <w:rPr>
          <w:snapToGrid w:val="0"/>
        </w:rPr>
        <w:t>.</w:t>
      </w:r>
      <w:r>
        <w:rPr>
          <w:snapToGrid w:val="0"/>
        </w:rPr>
        <w:tab/>
        <w:t>Incapacity for work resulting from disabilities other than pneumoconiosis, mesothelioma and lung cancer</w:t>
      </w:r>
      <w:r>
        <w:tab/>
      </w:r>
      <w:r>
        <w:fldChar w:fldCharType="begin"/>
      </w:r>
      <w:r>
        <w:instrText xml:space="preserve"> PAGEREF _Toc122834211 \h </w:instrText>
      </w:r>
      <w:r>
        <w:fldChar w:fldCharType="separate"/>
      </w:r>
      <w:r>
        <w:t>372</w:t>
      </w:r>
      <w:r>
        <w:fldChar w:fldCharType="end"/>
      </w:r>
    </w:p>
    <w:p>
      <w:pPr>
        <w:pStyle w:val="TOC8"/>
        <w:rPr>
          <w:sz w:val="24"/>
        </w:rPr>
      </w:pPr>
      <w:r>
        <w:t>3</w:t>
      </w:r>
      <w:r>
        <w:rPr>
          <w:snapToGrid w:val="0"/>
        </w:rPr>
        <w:t>.</w:t>
      </w:r>
      <w:r>
        <w:rPr>
          <w:snapToGrid w:val="0"/>
        </w:rPr>
        <w:tab/>
        <w:t>Incapacity for work resulting from disabilities of pneumoconiosis, mesothelioma and lung cancer — weekly payments</w:t>
      </w:r>
      <w:r>
        <w:tab/>
      </w:r>
      <w:r>
        <w:fldChar w:fldCharType="begin"/>
      </w:r>
      <w:r>
        <w:instrText xml:space="preserve"> PAGEREF _Toc122834212 \h </w:instrText>
      </w:r>
      <w:r>
        <w:fldChar w:fldCharType="separate"/>
      </w:r>
      <w:r>
        <w:t>372</w:t>
      </w:r>
      <w:r>
        <w:fldChar w:fldCharType="end"/>
      </w:r>
    </w:p>
    <w:p>
      <w:pPr>
        <w:pStyle w:val="TOC8"/>
        <w:rPr>
          <w:sz w:val="24"/>
        </w:rPr>
      </w:pPr>
      <w:r>
        <w:t>4</w:t>
      </w:r>
      <w:r>
        <w:rPr>
          <w:snapToGrid w:val="0"/>
        </w:rPr>
        <w:t>.</w:t>
      </w:r>
      <w:r>
        <w:rPr>
          <w:snapToGrid w:val="0"/>
        </w:rPr>
        <w:tab/>
        <w:t>Election to take redemption amount as lump sum or supplementary amount weekly</w:t>
      </w:r>
      <w:r>
        <w:tab/>
      </w:r>
      <w:r>
        <w:fldChar w:fldCharType="begin"/>
      </w:r>
      <w:r>
        <w:instrText xml:space="preserve"> PAGEREF _Toc122834213 \h </w:instrText>
      </w:r>
      <w:r>
        <w:fldChar w:fldCharType="separate"/>
      </w:r>
      <w:r>
        <w:t>375</w:t>
      </w:r>
      <w:r>
        <w:fldChar w:fldCharType="end"/>
      </w:r>
    </w:p>
    <w:p>
      <w:pPr>
        <w:pStyle w:val="TOC8"/>
        <w:rPr>
          <w:sz w:val="24"/>
        </w:rPr>
      </w:pPr>
      <w:r>
        <w:t>5</w:t>
      </w:r>
      <w:r>
        <w:rPr>
          <w:snapToGrid w:val="0"/>
        </w:rPr>
        <w:t>.</w:t>
      </w:r>
      <w:r>
        <w:rPr>
          <w:snapToGrid w:val="0"/>
        </w:rPr>
        <w:tab/>
        <w:t>Requirements for election under clause 4</w:t>
      </w:r>
      <w:r>
        <w:tab/>
      </w:r>
      <w:r>
        <w:fldChar w:fldCharType="begin"/>
      </w:r>
      <w:r>
        <w:instrText xml:space="preserve"> PAGEREF _Toc122834214 \h </w:instrText>
      </w:r>
      <w:r>
        <w:fldChar w:fldCharType="separate"/>
      </w:r>
      <w:r>
        <w:t>376</w:t>
      </w:r>
      <w:r>
        <w:fldChar w:fldCharType="end"/>
      </w:r>
    </w:p>
    <w:p>
      <w:pPr>
        <w:pStyle w:val="TOC8"/>
        <w:rPr>
          <w:sz w:val="24"/>
        </w:rPr>
      </w:pPr>
      <w:r>
        <w:t>6</w:t>
      </w:r>
      <w:r>
        <w:rPr>
          <w:snapToGrid w:val="0"/>
        </w:rPr>
        <w:t>.</w:t>
      </w:r>
      <w:r>
        <w:rPr>
          <w:snapToGrid w:val="0"/>
        </w:rPr>
        <w:tab/>
        <w:t>Effect of receiving the redemption amount as a lump sum</w:t>
      </w:r>
      <w:r>
        <w:tab/>
      </w:r>
      <w:r>
        <w:fldChar w:fldCharType="begin"/>
      </w:r>
      <w:r>
        <w:instrText xml:space="preserve"> PAGEREF _Toc122834215 \h </w:instrText>
      </w:r>
      <w:r>
        <w:fldChar w:fldCharType="separate"/>
      </w:r>
      <w:r>
        <w:t>377</w:t>
      </w:r>
      <w:r>
        <w:fldChar w:fldCharType="end"/>
      </w:r>
    </w:p>
    <w:p>
      <w:pPr>
        <w:pStyle w:val="TOC8"/>
        <w:rPr>
          <w:sz w:val="24"/>
        </w:rPr>
      </w:pPr>
      <w:r>
        <w:t>7</w:t>
      </w:r>
      <w:r>
        <w:rPr>
          <w:snapToGrid w:val="0"/>
        </w:rPr>
        <w:t>.</w:t>
      </w:r>
      <w:r>
        <w:rPr>
          <w:snapToGrid w:val="0"/>
        </w:rPr>
        <w:tab/>
        <w:t>Effect of receiving supplementary amount</w:t>
      </w:r>
      <w:r>
        <w:tab/>
      </w:r>
      <w:r>
        <w:fldChar w:fldCharType="begin"/>
      </w:r>
      <w:r>
        <w:instrText xml:space="preserve"> PAGEREF _Toc122834216 \h </w:instrText>
      </w:r>
      <w:r>
        <w:fldChar w:fldCharType="separate"/>
      </w:r>
      <w:r>
        <w:t>377</w:t>
      </w:r>
      <w:r>
        <w:fldChar w:fldCharType="end"/>
      </w:r>
    </w:p>
    <w:p>
      <w:pPr>
        <w:pStyle w:val="TOC8"/>
        <w:rPr>
          <w:sz w:val="24"/>
        </w:rPr>
      </w:pPr>
      <w:r>
        <w:t>8</w:t>
      </w:r>
      <w:r>
        <w:rPr>
          <w:snapToGrid w:val="0"/>
        </w:rPr>
        <w:t>.</w:t>
      </w:r>
      <w:r>
        <w:rPr>
          <w:snapToGrid w:val="0"/>
        </w:rPr>
        <w:tab/>
        <w:t>Payment of supplementary amount</w:t>
      </w:r>
      <w:r>
        <w:tab/>
      </w:r>
      <w:r>
        <w:fldChar w:fldCharType="begin"/>
      </w:r>
      <w:r>
        <w:instrText xml:space="preserve"> PAGEREF _Toc122834217 \h </w:instrText>
      </w:r>
      <w:r>
        <w:fldChar w:fldCharType="separate"/>
      </w:r>
      <w:r>
        <w:t>378</w:t>
      </w:r>
      <w:r>
        <w:fldChar w:fldCharType="end"/>
      </w:r>
    </w:p>
    <w:p>
      <w:pPr>
        <w:pStyle w:val="TOC8"/>
        <w:rPr>
          <w:sz w:val="24"/>
        </w:rPr>
      </w:pPr>
      <w:r>
        <w:t>9</w:t>
      </w:r>
      <w:r>
        <w:rPr>
          <w:snapToGrid w:val="0"/>
        </w:rPr>
        <w:t>.</w:t>
      </w:r>
      <w:r>
        <w:rPr>
          <w:snapToGrid w:val="0"/>
        </w:rPr>
        <w:tab/>
        <w:t xml:space="preserve">Death of a worker prior to commencement of section 49 of </w:t>
      </w:r>
      <w:r>
        <w:rPr>
          <w:i/>
          <w:snapToGrid w:val="0"/>
        </w:rPr>
        <w:t>Workers’ Compensation and Assistance Amendment Act 1990</w:t>
      </w:r>
      <w:r>
        <w:tab/>
      </w:r>
      <w:r>
        <w:fldChar w:fldCharType="begin"/>
      </w:r>
      <w:r>
        <w:instrText xml:space="preserve"> PAGEREF _Toc122834218 \h </w:instrText>
      </w:r>
      <w:r>
        <w:fldChar w:fldCharType="separate"/>
      </w:r>
      <w:r>
        <w:t>379</w:t>
      </w:r>
      <w:r>
        <w:fldChar w:fldCharType="end"/>
      </w:r>
    </w:p>
    <w:p>
      <w:pPr>
        <w:pStyle w:val="TOC2"/>
        <w:tabs>
          <w:tab w:val="right" w:leader="dot" w:pos="7078"/>
        </w:tabs>
        <w:outlineLvl w:val="0"/>
        <w:rPr>
          <w:b w:val="0"/>
          <w:sz w:val="24"/>
        </w:rPr>
      </w:pPr>
      <w:r>
        <w:t>Schedule 6 — Adjacent areas</w:t>
      </w:r>
    </w:p>
    <w:p>
      <w:pPr>
        <w:pStyle w:val="TOC8"/>
        <w:rPr>
          <w:sz w:val="24"/>
        </w:rPr>
      </w:pPr>
      <w:r>
        <w:t>1.</w:t>
      </w:r>
      <w:r>
        <w:tab/>
        <w:t>Terms used in this Schedule</w:t>
      </w:r>
      <w:r>
        <w:tab/>
      </w:r>
      <w:r>
        <w:fldChar w:fldCharType="begin"/>
      </w:r>
      <w:r>
        <w:instrText xml:space="preserve"> PAGEREF _Toc122834220 \h </w:instrText>
      </w:r>
      <w:r>
        <w:fldChar w:fldCharType="separate"/>
      </w:r>
      <w:r>
        <w:t>380</w:t>
      </w:r>
      <w:r>
        <w:fldChar w:fldCharType="end"/>
      </w:r>
    </w:p>
    <w:p>
      <w:pPr>
        <w:pStyle w:val="TOC8"/>
        <w:rPr>
          <w:sz w:val="24"/>
        </w:rPr>
      </w:pPr>
      <w:r>
        <w:t>2.</w:t>
      </w:r>
      <w:r>
        <w:tab/>
        <w:t>Adjacent areas</w:t>
      </w:r>
      <w:r>
        <w:tab/>
      </w:r>
      <w:r>
        <w:fldChar w:fldCharType="begin"/>
      </w:r>
      <w:r>
        <w:instrText xml:space="preserve"> PAGEREF _Toc122834221 \h </w:instrText>
      </w:r>
      <w:r>
        <w:fldChar w:fldCharType="separate"/>
      </w:r>
      <w:r>
        <w:t>380</w:t>
      </w:r>
      <w:r>
        <w:fldChar w:fldCharType="end"/>
      </w:r>
    </w:p>
    <w:p>
      <w:pPr>
        <w:pStyle w:val="TOC2"/>
        <w:tabs>
          <w:tab w:val="right" w:leader="dot" w:pos="7078"/>
        </w:tabs>
        <w:rPr>
          <w:b w:val="0"/>
          <w:sz w:val="24"/>
        </w:rPr>
      </w:pPr>
      <w:r>
        <w:t>Schedule 7 — Noise induced hearing loss</w:t>
      </w:r>
    </w:p>
    <w:p>
      <w:pPr>
        <w:pStyle w:val="TOC8"/>
        <w:rPr>
          <w:sz w:val="24"/>
        </w:rPr>
      </w:pPr>
      <w:r>
        <w:t>1</w:t>
      </w:r>
      <w:r>
        <w:rPr>
          <w:snapToGrid w:val="0"/>
        </w:rPr>
        <w:t>.</w:t>
      </w:r>
      <w:r>
        <w:rPr>
          <w:snapToGrid w:val="0"/>
        </w:rPr>
        <w:tab/>
        <w:t>Definitions</w:t>
      </w:r>
      <w:r>
        <w:tab/>
      </w:r>
      <w:r>
        <w:fldChar w:fldCharType="begin"/>
      </w:r>
      <w:r>
        <w:instrText xml:space="preserve"> PAGEREF _Toc122834223 \h </w:instrText>
      </w:r>
      <w:r>
        <w:fldChar w:fldCharType="separate"/>
      </w:r>
      <w:r>
        <w:t>382</w:t>
      </w:r>
      <w:r>
        <w:fldChar w:fldCharType="end"/>
      </w:r>
    </w:p>
    <w:p>
      <w:pPr>
        <w:pStyle w:val="TOC8"/>
        <w:rPr>
          <w:sz w:val="24"/>
        </w:rPr>
      </w:pPr>
      <w:r>
        <w:t>2</w:t>
      </w:r>
      <w:r>
        <w:rPr>
          <w:snapToGrid w:val="0"/>
        </w:rPr>
        <w:t>.</w:t>
      </w:r>
      <w:r>
        <w:rPr>
          <w:snapToGrid w:val="0"/>
        </w:rPr>
        <w:tab/>
        <w:t>Audiometric tests</w:t>
      </w:r>
      <w:r>
        <w:tab/>
      </w:r>
      <w:r>
        <w:fldChar w:fldCharType="begin"/>
      </w:r>
      <w:r>
        <w:instrText xml:space="preserve"> PAGEREF _Toc122834224 \h </w:instrText>
      </w:r>
      <w:r>
        <w:fldChar w:fldCharType="separate"/>
      </w:r>
      <w:r>
        <w:t>382</w:t>
      </w:r>
      <w:r>
        <w:fldChar w:fldCharType="end"/>
      </w:r>
    </w:p>
    <w:p>
      <w:pPr>
        <w:pStyle w:val="TOC8"/>
        <w:rPr>
          <w:sz w:val="24"/>
        </w:rPr>
      </w:pPr>
      <w:r>
        <w:t>3</w:t>
      </w:r>
      <w:r>
        <w:rPr>
          <w:snapToGrid w:val="0"/>
        </w:rPr>
        <w:t>.</w:t>
      </w:r>
      <w:r>
        <w:rPr>
          <w:snapToGrid w:val="0"/>
        </w:rPr>
        <w:tab/>
        <w:t>Employer to arrange and pay for audiometric test</w:t>
      </w:r>
      <w:r>
        <w:tab/>
      </w:r>
      <w:r>
        <w:fldChar w:fldCharType="begin"/>
      </w:r>
      <w:r>
        <w:instrText xml:space="preserve"> PAGEREF _Toc122834225 \h </w:instrText>
      </w:r>
      <w:r>
        <w:fldChar w:fldCharType="separate"/>
      </w:r>
      <w:r>
        <w:t>383</w:t>
      </w:r>
      <w:r>
        <w:fldChar w:fldCharType="end"/>
      </w:r>
    </w:p>
    <w:p>
      <w:pPr>
        <w:pStyle w:val="TOC8"/>
        <w:rPr>
          <w:sz w:val="24"/>
        </w:rPr>
      </w:pPr>
      <w:r>
        <w:t>4</w:t>
      </w:r>
      <w:r>
        <w:rPr>
          <w:snapToGrid w:val="0"/>
        </w:rPr>
        <w:t>.</w:t>
      </w:r>
      <w:r>
        <w:rPr>
          <w:snapToGrid w:val="0"/>
        </w:rPr>
        <w:tab/>
        <w:t>Carrying out of audiometric tests</w:t>
      </w:r>
      <w:r>
        <w:tab/>
      </w:r>
      <w:r>
        <w:fldChar w:fldCharType="begin"/>
      </w:r>
      <w:r>
        <w:instrText xml:space="preserve"> PAGEREF _Toc122834226 \h </w:instrText>
      </w:r>
      <w:r>
        <w:fldChar w:fldCharType="separate"/>
      </w:r>
      <w:r>
        <w:t>383</w:t>
      </w:r>
      <w:r>
        <w:fldChar w:fldCharType="end"/>
      </w:r>
    </w:p>
    <w:p>
      <w:pPr>
        <w:pStyle w:val="TOC8"/>
        <w:rPr>
          <w:sz w:val="24"/>
        </w:rPr>
      </w:pPr>
      <w:r>
        <w:t>5</w:t>
      </w:r>
      <w:r>
        <w:rPr>
          <w:snapToGrid w:val="0"/>
        </w:rPr>
        <w:t>.</w:t>
      </w:r>
      <w:r>
        <w:rPr>
          <w:snapToGrid w:val="0"/>
        </w:rPr>
        <w:tab/>
        <w:t>Communication and storage of audiometric test results</w:t>
      </w:r>
      <w:r>
        <w:tab/>
      </w:r>
      <w:r>
        <w:fldChar w:fldCharType="begin"/>
      </w:r>
      <w:r>
        <w:instrText xml:space="preserve"> PAGEREF _Toc122834227 \h </w:instrText>
      </w:r>
      <w:r>
        <w:fldChar w:fldCharType="separate"/>
      </w:r>
      <w:r>
        <w:t>384</w:t>
      </w:r>
      <w:r>
        <w:fldChar w:fldCharType="end"/>
      </w:r>
    </w:p>
    <w:p>
      <w:pPr>
        <w:pStyle w:val="TOC8"/>
        <w:rPr>
          <w:sz w:val="24"/>
        </w:rPr>
      </w:pPr>
      <w:r>
        <w:t>6.</w:t>
      </w:r>
      <w:r>
        <w:tab/>
        <w:t>Reference to medical assessment panel</w:t>
      </w:r>
      <w:r>
        <w:tab/>
      </w:r>
      <w:r>
        <w:fldChar w:fldCharType="begin"/>
      </w:r>
      <w:r>
        <w:instrText xml:space="preserve"> PAGEREF _Toc122834228 \h </w:instrText>
      </w:r>
      <w:r>
        <w:fldChar w:fldCharType="separate"/>
      </w:r>
      <w:r>
        <w:t>384</w:t>
      </w:r>
      <w:r>
        <w:fldChar w:fldCharType="end"/>
      </w:r>
    </w:p>
    <w:p>
      <w:pPr>
        <w:pStyle w:val="TOC8"/>
        <w:rPr>
          <w:sz w:val="24"/>
        </w:rPr>
      </w:pPr>
      <w:r>
        <w:t>7</w:t>
      </w:r>
      <w:r>
        <w:rPr>
          <w:snapToGrid w:val="0"/>
        </w:rPr>
        <w:t>.</w:t>
      </w:r>
      <w:r>
        <w:rPr>
          <w:snapToGrid w:val="0"/>
        </w:rPr>
        <w:tab/>
        <w:t>Re</w:t>
      </w:r>
      <w:r>
        <w:rPr>
          <w:snapToGrid w:val="0"/>
        </w:rPr>
        <w:noBreakHyphen/>
        <w:t>test of person’s hearing</w:t>
      </w:r>
      <w:r>
        <w:tab/>
      </w:r>
      <w:r>
        <w:fldChar w:fldCharType="begin"/>
      </w:r>
      <w:r>
        <w:instrText xml:space="preserve"> PAGEREF _Toc122834229 \h </w:instrText>
      </w:r>
      <w:r>
        <w:fldChar w:fldCharType="separate"/>
      </w:r>
      <w:r>
        <w:t>385</w:t>
      </w:r>
      <w:r>
        <w:fldChar w:fldCharType="end"/>
      </w:r>
    </w:p>
    <w:p>
      <w:pPr>
        <w:pStyle w:val="TOC8"/>
        <w:rPr>
          <w:sz w:val="24"/>
        </w:rPr>
      </w:pPr>
      <w:r>
        <w:t>8</w:t>
      </w:r>
      <w:r>
        <w:rPr>
          <w:snapToGrid w:val="0"/>
        </w:rPr>
        <w:t>.</w:t>
      </w:r>
      <w:r>
        <w:rPr>
          <w:snapToGrid w:val="0"/>
        </w:rPr>
        <w:tab/>
        <w:t>Determination of hearing loss</w:t>
      </w:r>
      <w:r>
        <w:tab/>
      </w:r>
      <w:r>
        <w:fldChar w:fldCharType="begin"/>
      </w:r>
      <w:r>
        <w:instrText xml:space="preserve"> PAGEREF _Toc122834230 \h </w:instrText>
      </w:r>
      <w:r>
        <w:fldChar w:fldCharType="separate"/>
      </w:r>
      <w:r>
        <w:t>385</w:t>
      </w:r>
      <w:r>
        <w:fldChar w:fldCharType="end"/>
      </w:r>
    </w:p>
    <w:p>
      <w:pPr>
        <w:pStyle w:val="TOC8"/>
        <w:rPr>
          <w:sz w:val="24"/>
        </w:rPr>
      </w:pPr>
      <w:r>
        <w:t>9</w:t>
      </w:r>
      <w:r>
        <w:rPr>
          <w:snapToGrid w:val="0"/>
        </w:rPr>
        <w:t>.</w:t>
      </w:r>
      <w:r>
        <w:rPr>
          <w:snapToGrid w:val="0"/>
        </w:rPr>
        <w:tab/>
        <w:t>Audiometric test not conclusive proof that hearing loss is noise induced</w:t>
      </w:r>
      <w:r>
        <w:tab/>
      </w:r>
      <w:r>
        <w:fldChar w:fldCharType="begin"/>
      </w:r>
      <w:r>
        <w:instrText xml:space="preserve"> PAGEREF _Toc122834231 \h </w:instrText>
      </w:r>
      <w:r>
        <w:fldChar w:fldCharType="separate"/>
      </w:r>
      <w:r>
        <w:t>386</w:t>
      </w:r>
      <w:r>
        <w:fldChar w:fldCharType="end"/>
      </w:r>
    </w:p>
    <w:p>
      <w:pPr>
        <w:pStyle w:val="TOC8"/>
        <w:rPr>
          <w:sz w:val="24"/>
        </w:rPr>
      </w:pPr>
      <w:r>
        <w:t>10</w:t>
      </w:r>
      <w:r>
        <w:rPr>
          <w:snapToGrid w:val="0"/>
        </w:rPr>
        <w:t>.</w:t>
      </w:r>
      <w:r>
        <w:rPr>
          <w:snapToGrid w:val="0"/>
        </w:rPr>
        <w:tab/>
        <w:t>Prescribed workplaces</w:t>
      </w:r>
      <w:r>
        <w:tab/>
      </w:r>
      <w:r>
        <w:fldChar w:fldCharType="begin"/>
      </w:r>
      <w:r>
        <w:instrText xml:space="preserve"> PAGEREF _Toc122834232 \h </w:instrText>
      </w:r>
      <w:r>
        <w:fldChar w:fldCharType="separate"/>
      </w:r>
      <w:r>
        <w:t>386</w:t>
      </w:r>
      <w:r>
        <w:fldChar w:fldCharType="end"/>
      </w:r>
    </w:p>
    <w:p>
      <w:pPr>
        <w:pStyle w:val="TOC2"/>
        <w:tabs>
          <w:tab w:val="right" w:leader="dot" w:pos="7078"/>
        </w:tabs>
        <w:rPr>
          <w:b w:val="0"/>
          <w:sz w:val="24"/>
        </w:rPr>
      </w:pPr>
      <w:r>
        <w:t>Schedule 8 — Terms and conditions of service of Commissioner</w:t>
      </w:r>
    </w:p>
    <w:p>
      <w:pPr>
        <w:pStyle w:val="TOC8"/>
        <w:rPr>
          <w:sz w:val="24"/>
        </w:rPr>
      </w:pPr>
      <w:r>
        <w:t>1.</w:t>
      </w:r>
      <w:r>
        <w:tab/>
        <w:t>Tenure of Commissioner’s office</w:t>
      </w:r>
      <w:r>
        <w:tab/>
      </w:r>
      <w:r>
        <w:fldChar w:fldCharType="begin"/>
      </w:r>
      <w:r>
        <w:instrText xml:space="preserve"> PAGEREF _Toc122834234 \h </w:instrText>
      </w:r>
      <w:r>
        <w:fldChar w:fldCharType="separate"/>
      </w:r>
      <w:r>
        <w:t>387</w:t>
      </w:r>
      <w:r>
        <w:fldChar w:fldCharType="end"/>
      </w:r>
    </w:p>
    <w:p>
      <w:pPr>
        <w:pStyle w:val="TOC8"/>
        <w:rPr>
          <w:sz w:val="24"/>
        </w:rPr>
      </w:pPr>
      <w:r>
        <w:t>2.</w:t>
      </w:r>
      <w:r>
        <w:tab/>
        <w:t>Vacating office prematurely</w:t>
      </w:r>
      <w:r>
        <w:tab/>
      </w:r>
      <w:r>
        <w:fldChar w:fldCharType="begin"/>
      </w:r>
      <w:r>
        <w:instrText xml:space="preserve"> PAGEREF _Toc122834235 \h </w:instrText>
      </w:r>
      <w:r>
        <w:fldChar w:fldCharType="separate"/>
      </w:r>
      <w:r>
        <w:t>387</w:t>
      </w:r>
      <w:r>
        <w:fldChar w:fldCharType="end"/>
      </w:r>
    </w:p>
    <w:p>
      <w:pPr>
        <w:pStyle w:val="TOC8"/>
        <w:rPr>
          <w:sz w:val="24"/>
        </w:rPr>
      </w:pPr>
      <w:r>
        <w:t>3.</w:t>
      </w:r>
      <w:r>
        <w:tab/>
        <w:t>Commissioner’s status as District Court Judge</w:t>
      </w:r>
      <w:r>
        <w:tab/>
      </w:r>
      <w:r>
        <w:fldChar w:fldCharType="begin"/>
      </w:r>
      <w:r>
        <w:instrText xml:space="preserve"> PAGEREF _Toc122834236 \h </w:instrText>
      </w:r>
      <w:r>
        <w:fldChar w:fldCharType="separate"/>
      </w:r>
      <w:r>
        <w:t>387</w:t>
      </w:r>
      <w:r>
        <w:fldChar w:fldCharType="end"/>
      </w:r>
    </w:p>
    <w:p>
      <w:pPr>
        <w:pStyle w:val="TOC8"/>
        <w:rPr>
          <w:sz w:val="24"/>
        </w:rPr>
      </w:pPr>
      <w:r>
        <w:t>4.</w:t>
      </w:r>
      <w:r>
        <w:tab/>
        <w:t>Completion of matters</w:t>
      </w:r>
      <w:r>
        <w:tab/>
      </w:r>
      <w:r>
        <w:fldChar w:fldCharType="begin"/>
      </w:r>
      <w:r>
        <w:instrText xml:space="preserve"> PAGEREF _Toc122834237 \h </w:instrText>
      </w:r>
      <w:r>
        <w:fldChar w:fldCharType="separate"/>
      </w:r>
      <w:r>
        <w:t>388</w:t>
      </w:r>
      <w:r>
        <w:fldChar w:fldCharType="end"/>
      </w:r>
    </w:p>
    <w:p>
      <w:pPr>
        <w:pStyle w:val="TOC2"/>
        <w:tabs>
          <w:tab w:val="right" w:leader="dot" w:pos="7078"/>
        </w:tabs>
        <w:outlineLvl w:val="0"/>
        <w:rPr>
          <w:b w:val="0"/>
          <w:sz w:val="24"/>
        </w:rPr>
      </w:pPr>
      <w:r>
        <w:t>Notes</w:t>
      </w:r>
    </w:p>
    <w:p>
      <w:pPr>
        <w:pStyle w:val="TOC8"/>
        <w:rPr>
          <w:sz w:val="24"/>
        </w:rPr>
      </w:pPr>
      <w:r>
        <w:rPr>
          <w:snapToGrid w:val="0"/>
        </w:rPr>
        <w:tab/>
        <w:t>Compilation table</w:t>
      </w:r>
      <w:r>
        <w:tab/>
      </w:r>
      <w:r>
        <w:fldChar w:fldCharType="begin"/>
      </w:r>
      <w:r>
        <w:instrText xml:space="preserve"> PAGEREF _Toc122834239 \h </w:instrText>
      </w:r>
      <w:r>
        <w:fldChar w:fldCharType="separate"/>
      </w:r>
      <w:r>
        <w:t>389</w:t>
      </w:r>
      <w:r>
        <w:fldChar w:fldCharType="end"/>
      </w:r>
    </w:p>
    <w:p>
      <w:pPr>
        <w:pStyle w:val="TOC8"/>
        <w:rPr>
          <w:sz w:val="24"/>
        </w:rPr>
      </w:pPr>
      <w:r>
        <w:tab/>
        <w:t>Provisions that have not come into operation</w:t>
      </w:r>
      <w:r>
        <w:tab/>
      </w:r>
      <w:r>
        <w:fldChar w:fldCharType="begin"/>
      </w:r>
      <w:r>
        <w:instrText xml:space="preserve"> PAGEREF _Toc122834240 \h </w:instrText>
      </w:r>
      <w:r>
        <w:fldChar w:fldCharType="separate"/>
      </w:r>
      <w:r>
        <w:t>395</w:t>
      </w:r>
      <w:r>
        <w:fldChar w:fldCharType="end"/>
      </w:r>
    </w:p>
    <w:p>
      <w:pPr>
        <w:pStyle w:val="TOC4"/>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outlineLvl w:val="0"/>
      </w:pPr>
      <w:r>
        <w:t>Western Australia</w:t>
      </w:r>
    </w:p>
    <w:p>
      <w:pPr>
        <w:pStyle w:val="NameofActReg"/>
        <w:spacing w:before="600" w:after="840"/>
      </w:pPr>
      <w:r>
        <w:t>Workers’ Compensation and Injury Management Act 1981</w:t>
      </w:r>
    </w:p>
    <w:p>
      <w:pPr>
        <w:pStyle w:val="LongTitle"/>
      </w:pPr>
      <w:r>
        <w:t xml:space="preserve">An Act to amend and consolidate the law relating to compensation for, and the management of, employment-related injuries, to provide for the WorkCover Western Australia Authority and a Dispute Resolution Directorate, and for related purposes. </w:t>
      </w:r>
    </w:p>
    <w:p>
      <w:pPr>
        <w:pStyle w:val="Footnotelongtitle"/>
      </w:pPr>
      <w:r>
        <w:tab/>
        <w:t xml:space="preserve">[Long title amended by No. 96 of 1990 s. 4; No. 48 of 1993 s. 28(1); No. 42 of 2004 s. 4.] </w:t>
      </w:r>
    </w:p>
    <w:p>
      <w:pPr>
        <w:pStyle w:val="Heading2"/>
      </w:pPr>
      <w:bookmarkStart w:id="1" w:name="_Toc86739882"/>
      <w:bookmarkStart w:id="2" w:name="_Toc88562286"/>
      <w:bookmarkStart w:id="3" w:name="_Toc88625203"/>
      <w:bookmarkStart w:id="4" w:name="_Toc91385852"/>
      <w:bookmarkStart w:id="5" w:name="_Toc92704858"/>
      <w:bookmarkStart w:id="6" w:name="_Toc93222327"/>
      <w:bookmarkStart w:id="7" w:name="_Toc95022404"/>
      <w:bookmarkStart w:id="8" w:name="_Toc95117676"/>
      <w:bookmarkStart w:id="9" w:name="_Toc96498081"/>
      <w:bookmarkStart w:id="10" w:name="_Toc96500559"/>
      <w:bookmarkStart w:id="11" w:name="_Toc101779471"/>
      <w:bookmarkStart w:id="12" w:name="_Toc103059923"/>
      <w:bookmarkStart w:id="13" w:name="_Toc105470819"/>
      <w:bookmarkStart w:id="14" w:name="_Toc105474733"/>
      <w:bookmarkStart w:id="15" w:name="_Toc105475119"/>
      <w:bookmarkStart w:id="16" w:name="_Toc107307835"/>
      <w:bookmarkStart w:id="17" w:name="_Toc109712068"/>
      <w:bookmarkStart w:id="18" w:name="_Toc109723951"/>
      <w:bookmarkStart w:id="19" w:name="_Toc110053823"/>
      <w:bookmarkStart w:id="20" w:name="_Toc110054212"/>
      <w:bookmarkStart w:id="21" w:name="_Toc110654292"/>
      <w:bookmarkStart w:id="22" w:name="_Toc110735730"/>
      <w:bookmarkStart w:id="23" w:name="_Toc110738466"/>
      <w:bookmarkStart w:id="24" w:name="_Toc115691140"/>
      <w:bookmarkStart w:id="25" w:name="_Toc115773437"/>
      <w:bookmarkStart w:id="26" w:name="_Toc119132388"/>
      <w:bookmarkStart w:id="27" w:name="_Toc119203058"/>
      <w:bookmarkStart w:id="28" w:name="_Toc119203704"/>
      <w:bookmarkStart w:id="29" w:name="_Toc119216034"/>
      <w:bookmarkStart w:id="30" w:name="_Toc119300554"/>
      <w:bookmarkStart w:id="31" w:name="_Toc119301121"/>
      <w:bookmarkStart w:id="32" w:name="_Toc119301690"/>
      <w:bookmarkStart w:id="33" w:name="_Toc119919877"/>
      <w:bookmarkStart w:id="34" w:name="_Toc122773864"/>
      <w:bookmarkStart w:id="35" w:name="_Toc122833107"/>
      <w:bookmarkStart w:id="36" w:name="_Toc12283367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r>
        <w:rPr>
          <w:rStyle w:val="CharPartText"/>
        </w:rPr>
        <w:t xml:space="preserve"> </w:t>
      </w:r>
    </w:p>
    <w:p>
      <w:pPr>
        <w:pStyle w:val="Heading5"/>
        <w:rPr>
          <w:snapToGrid w:val="0"/>
        </w:rPr>
      </w:pPr>
      <w:bookmarkStart w:id="37" w:name="_Toc440877814"/>
      <w:bookmarkStart w:id="38" w:name="_Toc517775171"/>
      <w:bookmarkStart w:id="39" w:name="_Toc520106919"/>
      <w:bookmarkStart w:id="40" w:name="_Toc523111544"/>
      <w:bookmarkStart w:id="41" w:name="_Toc122833108"/>
      <w:bookmarkStart w:id="42" w:name="_Toc122833675"/>
      <w:r>
        <w:rPr>
          <w:rStyle w:val="CharSectno"/>
        </w:rPr>
        <w:t>1</w:t>
      </w:r>
      <w:r>
        <w:rPr>
          <w:snapToGrid w:val="0"/>
        </w:rPr>
        <w:t>.</w:t>
      </w:r>
      <w:r>
        <w:rPr>
          <w:snapToGrid w:val="0"/>
        </w:rPr>
        <w:tab/>
        <w:t>Short title</w:t>
      </w:r>
      <w:bookmarkEnd w:id="37"/>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 </w:t>
      </w:r>
      <w:r>
        <w:rPr>
          <w:snapToGrid w:val="0"/>
          <w:vertAlign w:val="superscript"/>
        </w:rPr>
        <w:t>1</w:t>
      </w:r>
      <w:r>
        <w:rPr>
          <w:snapToGrid w:val="0"/>
        </w:rPr>
        <w:t>.</w:t>
      </w:r>
    </w:p>
    <w:p>
      <w:pPr>
        <w:pStyle w:val="Footnotesection"/>
      </w:pPr>
      <w:r>
        <w:tab/>
        <w:t xml:space="preserve">[Section 1 amended by No. 96 of 1990 s. 5; No. 42 of 2004 s. 5.] </w:t>
      </w:r>
    </w:p>
    <w:p>
      <w:pPr>
        <w:pStyle w:val="Heading5"/>
        <w:rPr>
          <w:snapToGrid w:val="0"/>
        </w:rPr>
      </w:pPr>
      <w:bookmarkStart w:id="43" w:name="_Toc440877815"/>
      <w:bookmarkStart w:id="44" w:name="_Toc517775172"/>
      <w:bookmarkStart w:id="45" w:name="_Toc520106920"/>
      <w:bookmarkStart w:id="46" w:name="_Toc523111545"/>
      <w:bookmarkStart w:id="47" w:name="_Toc122833109"/>
      <w:bookmarkStart w:id="48" w:name="_Toc122833676"/>
      <w:r>
        <w:rPr>
          <w:rStyle w:val="CharSectno"/>
        </w:rPr>
        <w:t>2</w:t>
      </w:r>
      <w:r>
        <w:rPr>
          <w:snapToGrid w:val="0"/>
        </w:rPr>
        <w:t>.</w:t>
      </w:r>
      <w:r>
        <w:rPr>
          <w:snapToGrid w:val="0"/>
        </w:rPr>
        <w:tab/>
        <w:t>Commencement</w:t>
      </w:r>
      <w:bookmarkEnd w:id="43"/>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1</w:t>
      </w:r>
      <w:r>
        <w:rPr>
          <w:snapToGrid w:val="0"/>
        </w:rPr>
        <w:t>.</w:t>
      </w:r>
    </w:p>
    <w:p>
      <w:pPr>
        <w:pStyle w:val="Heading5"/>
        <w:rPr>
          <w:snapToGrid w:val="0"/>
        </w:rPr>
      </w:pPr>
      <w:bookmarkStart w:id="49" w:name="_Toc440877816"/>
      <w:bookmarkStart w:id="50" w:name="_Toc517775173"/>
      <w:bookmarkStart w:id="51" w:name="_Toc520106921"/>
      <w:bookmarkStart w:id="52" w:name="_Toc523111546"/>
      <w:bookmarkStart w:id="53" w:name="_Toc122833110"/>
      <w:bookmarkStart w:id="54" w:name="_Toc122833677"/>
      <w:r>
        <w:rPr>
          <w:rStyle w:val="CharSectno"/>
        </w:rPr>
        <w:t>3</w:t>
      </w:r>
      <w:r>
        <w:rPr>
          <w:snapToGrid w:val="0"/>
        </w:rPr>
        <w:t>.</w:t>
      </w:r>
      <w:r>
        <w:rPr>
          <w:snapToGrid w:val="0"/>
        </w:rPr>
        <w:tab/>
        <w:t>Purposes</w:t>
      </w:r>
      <w:bookmarkEnd w:id="49"/>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The purposes of this Act are — </w:t>
      </w:r>
    </w:p>
    <w:p>
      <w:pPr>
        <w:pStyle w:val="Indenta"/>
        <w:rPr>
          <w:snapToGrid w:val="0"/>
        </w:rPr>
      </w:pPr>
      <w:r>
        <w:rPr>
          <w:snapToGrid w:val="0"/>
        </w:rPr>
        <w:tab/>
        <w:t>(a)</w:t>
      </w:r>
      <w:r>
        <w:rPr>
          <w:snapToGrid w:val="0"/>
        </w:rPr>
        <w:tab/>
        <w:t>to make provision for the compensation of — </w:t>
      </w:r>
    </w:p>
    <w:p>
      <w:pPr>
        <w:pStyle w:val="Indenti"/>
        <w:rPr>
          <w:snapToGrid w:val="0"/>
        </w:rPr>
      </w:pPr>
      <w:r>
        <w:rPr>
          <w:snapToGrid w:val="0"/>
        </w:rPr>
        <w:tab/>
        <w:t>(i)</w:t>
      </w:r>
      <w:r>
        <w:rPr>
          <w:snapToGrid w:val="0"/>
        </w:rPr>
        <w:tab/>
        <w:t>workers who suffer</w:t>
      </w:r>
      <w:r>
        <w:t xml:space="preserve"> an injury</w:t>
      </w:r>
      <w:r>
        <w:rPr>
          <w:snapToGrid w:val="0"/>
        </w:rPr>
        <w:t>; and</w:t>
      </w:r>
    </w:p>
    <w:p>
      <w:pPr>
        <w:pStyle w:val="Indenti"/>
        <w:rPr>
          <w:snapToGrid w:val="0"/>
        </w:rPr>
      </w:pPr>
      <w:r>
        <w:rPr>
          <w:snapToGrid w:val="0"/>
        </w:rPr>
        <w:tab/>
        <w:t>(ii)</w:t>
      </w:r>
      <w:r>
        <w:rPr>
          <w:snapToGrid w:val="0"/>
        </w:rPr>
        <w:tab/>
        <w:t>certain dependants of those workers where the death of the worker results from such</w:t>
      </w:r>
      <w:r>
        <w:t xml:space="preserve"> an injury</w:t>
      </w:r>
      <w:r>
        <w:rPr>
          <w:snapToGrid w:val="0"/>
        </w:rPr>
        <w:t>;</w:t>
      </w:r>
    </w:p>
    <w:p>
      <w:pPr>
        <w:pStyle w:val="Indenta"/>
      </w:pPr>
      <w:r>
        <w:tab/>
        <w:t>(b)</w:t>
      </w:r>
      <w:r>
        <w:tab/>
        <w:t>to make provision for the management of workers’ injuries in a manner that is directed at enabling injured workers to return to work;</w:t>
      </w:r>
    </w:p>
    <w:p>
      <w:pPr>
        <w:pStyle w:val="Indenta"/>
      </w:pPr>
      <w:r>
        <w:tab/>
        <w:t>(ba)</w:t>
      </w:r>
      <w:r>
        <w:tab/>
        <w:t>to make provision for specialised retraining programs for certain injured workers;</w:t>
      </w:r>
    </w:p>
    <w:p>
      <w:pPr>
        <w:pStyle w:val="Indenta"/>
        <w:rPr>
          <w:snapToGrid w:val="0"/>
        </w:rPr>
      </w:pPr>
      <w:r>
        <w:rPr>
          <w:snapToGrid w:val="0"/>
        </w:rPr>
        <w:tab/>
        <w:t>(c)</w:t>
      </w:r>
      <w:r>
        <w:rPr>
          <w:snapToGrid w:val="0"/>
        </w:rPr>
        <w:tab/>
        <w:t>to promote safety measures in and in respect of employment aimed at preventing or minimizing occurrences of</w:t>
      </w:r>
      <w:r>
        <w:t xml:space="preserve"> injuries</w:t>
      </w:r>
      <w:r>
        <w:rPr>
          <w:snapToGrid w:val="0"/>
        </w:rPr>
        <w:t>; and</w:t>
      </w:r>
    </w:p>
    <w:p>
      <w:pPr>
        <w:pStyle w:val="Indenta"/>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parties involved in workers’ compensation matters in a manner that is fair, just, economical, informal and quick.</w:t>
      </w:r>
    </w:p>
    <w:p>
      <w:pPr>
        <w:pStyle w:val="Footnotesection"/>
      </w:pPr>
      <w:r>
        <w:tab/>
        <w:t xml:space="preserve">[Section 3 amended by No. 72 of 1992 s. 4; No. 48 of 1993 s. 28(1); No. 42 of 2004 s. 6, 146 and 148(1).] </w:t>
      </w:r>
    </w:p>
    <w:p>
      <w:pPr>
        <w:pStyle w:val="Heading5"/>
        <w:rPr>
          <w:snapToGrid w:val="0"/>
        </w:rPr>
      </w:pPr>
      <w:bookmarkStart w:id="55" w:name="_Toc440877817"/>
      <w:bookmarkStart w:id="56" w:name="_Toc517775174"/>
      <w:bookmarkStart w:id="57" w:name="_Toc520106922"/>
      <w:bookmarkStart w:id="58" w:name="_Toc523111547"/>
      <w:bookmarkStart w:id="59" w:name="_Toc122833111"/>
      <w:bookmarkStart w:id="60" w:name="_Toc122833678"/>
      <w:r>
        <w:rPr>
          <w:rStyle w:val="CharSectno"/>
        </w:rPr>
        <w:t>4</w:t>
      </w:r>
      <w:r>
        <w:rPr>
          <w:snapToGrid w:val="0"/>
        </w:rPr>
        <w:t>.</w:t>
      </w:r>
      <w:r>
        <w:rPr>
          <w:snapToGrid w:val="0"/>
        </w:rPr>
        <w:tab/>
        <w:t>General application</w:t>
      </w:r>
      <w:bookmarkEnd w:id="55"/>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proclaimed date</w:t>
      </w:r>
      <w:r>
        <w:rPr>
          <w:b/>
          <w:snapToGrid w:val="0"/>
        </w:rPr>
        <w:t>”</w:t>
      </w:r>
      <w:r>
        <w:rPr>
          <w:snapToGrid w:val="0"/>
        </w:rPr>
        <w:t xml:space="preserve"> means the date on which this section comes into operation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 </w:t>
      </w:r>
    </w:p>
    <w:p>
      <w:pPr>
        <w:pStyle w:val="Indenta"/>
        <w:rPr>
          <w:snapToGrid w:val="0"/>
        </w:rPr>
      </w:pPr>
      <w:r>
        <w:rPr>
          <w:snapToGrid w:val="0"/>
        </w:rPr>
        <w:tab/>
        <w:t>(a)</w:t>
      </w:r>
      <w:r>
        <w:rPr>
          <w:snapToGrid w:val="0"/>
        </w:rPr>
        <w:tab/>
        <w:t>applies to and in respect of — </w:t>
      </w:r>
    </w:p>
    <w:p>
      <w:pPr>
        <w:pStyle w:val="Indenti"/>
        <w:rPr>
          <w:snapToGrid w:val="0"/>
        </w:rPr>
      </w:pPr>
      <w:r>
        <w:rPr>
          <w:snapToGrid w:val="0"/>
        </w:rPr>
        <w:tab/>
        <w:t>(i)</w:t>
      </w:r>
      <w:r>
        <w:rPr>
          <w:snapToGrid w:val="0"/>
        </w:rPr>
        <w:tab/>
        <w:t>liability and the extent of liability to pay compensation and to pay for the provision of other benefits;</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by No. 42 of 2004 s. 7, 146 and 147.]</w:t>
      </w:r>
    </w:p>
    <w:p>
      <w:pPr>
        <w:pStyle w:val="Heading5"/>
        <w:rPr>
          <w:snapToGrid w:val="0"/>
        </w:rPr>
      </w:pPr>
      <w:bookmarkStart w:id="61" w:name="_Toc440877818"/>
      <w:bookmarkStart w:id="62" w:name="_Toc517775175"/>
      <w:bookmarkStart w:id="63" w:name="_Toc520106923"/>
      <w:bookmarkStart w:id="64" w:name="_Toc523111548"/>
      <w:bookmarkStart w:id="65" w:name="_Toc122833112"/>
      <w:bookmarkStart w:id="66" w:name="_Toc122833679"/>
      <w:r>
        <w:rPr>
          <w:rStyle w:val="CharSectno"/>
        </w:rPr>
        <w:t>5</w:t>
      </w:r>
      <w:r>
        <w:rPr>
          <w:snapToGrid w:val="0"/>
        </w:rPr>
        <w:t>.</w:t>
      </w:r>
      <w:r>
        <w:rPr>
          <w:snapToGrid w:val="0"/>
        </w:rPr>
        <w:tab/>
        <w:t>Definitions</w:t>
      </w:r>
      <w:bookmarkEnd w:id="61"/>
      <w:bookmarkEnd w:id="62"/>
      <w:bookmarkEnd w:id="63"/>
      <w:bookmarkEnd w:id="64"/>
      <w:bookmarkEnd w:id="65"/>
      <w:bookmarkEnd w:id="66"/>
    </w:p>
    <w:p>
      <w:pPr>
        <w:pStyle w:val="Subsection"/>
        <w:keepNext/>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approved insurance office</w:t>
      </w:r>
      <w:r>
        <w:rPr>
          <w:b/>
        </w:rPr>
        <w:t>”</w:t>
      </w:r>
      <w:r>
        <w:t xml:space="preserve"> means an insurance office approved under section 161;</w:t>
      </w:r>
    </w:p>
    <w:p>
      <w:pPr>
        <w:pStyle w:val="Defstart"/>
      </w:pPr>
      <w:r>
        <w:rPr>
          <w:b/>
        </w:rPr>
        <w:tab/>
        <w:t>“</w:t>
      </w:r>
      <w:r>
        <w:rPr>
          <w:rStyle w:val="CharDefText"/>
        </w:rPr>
        <w:t>approved medical specialist</w:t>
      </w:r>
      <w:r>
        <w:rPr>
          <w:b/>
        </w:rPr>
        <w:t>”</w:t>
      </w:r>
      <w:r>
        <w:t xml:space="preserve"> means a person for the time being designated under section 146F as an approved medical specialist;</w:t>
      </w:r>
    </w:p>
    <w:p>
      <w:pPr>
        <w:pStyle w:val="Defstart"/>
      </w:pPr>
      <w:r>
        <w:rPr>
          <w:b/>
        </w:rPr>
        <w:tab/>
        <w:t>“</w:t>
      </w:r>
      <w:r>
        <w:rPr>
          <w:rStyle w:val="CharDefText"/>
        </w:rPr>
        <w:t>approved medical specialist panel</w:t>
      </w:r>
      <w:r>
        <w:rPr>
          <w:b/>
        </w:rPr>
        <w:t>”</w:t>
      </w:r>
      <w:r>
        <w:t xml:space="preserve"> means an approved medical specialist panel constituted under Part VII Division 3;</w:t>
      </w:r>
    </w:p>
    <w:p>
      <w:pPr>
        <w:pStyle w:val="Defstart"/>
      </w:pPr>
      <w:r>
        <w:rPr>
          <w:b/>
        </w:rPr>
        <w:tab/>
        <w:t>“</w:t>
      </w:r>
      <w:r>
        <w:rPr>
          <w:rStyle w:val="CharDefText"/>
        </w:rPr>
        <w:t>approved treatment</w:t>
      </w:r>
      <w:r>
        <w:rPr>
          <w:b/>
        </w:rPr>
        <w: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t>“</w:t>
      </w:r>
      <w:r>
        <w:rPr>
          <w:rStyle w:val="CharDefText"/>
        </w:rPr>
        <w:t>approved vocational rehabilitation provider</w:t>
      </w:r>
      <w:r>
        <w:rPr>
          <w:b/>
        </w:rPr>
        <w:t>”</w:t>
      </w:r>
      <w:r>
        <w:t xml:space="preserve"> means a person approved under section 156 as a vocational rehabilitation provider;</w:t>
      </w:r>
    </w:p>
    <w:p>
      <w:pPr>
        <w:pStyle w:val="Defstart"/>
      </w:pPr>
      <w:r>
        <w:rPr>
          <w:b/>
        </w:rPr>
        <w:tab/>
        <w:t>“</w:t>
      </w:r>
      <w:r>
        <w:rPr>
          <w:rStyle w:val="CharDefText"/>
        </w:rPr>
        <w:t>arbitrator</w:t>
      </w:r>
      <w:r>
        <w:rPr>
          <w:b/>
        </w:rPr>
        <w:t>”</w:t>
      </w:r>
      <w:r>
        <w:t xml:space="preserve"> means an officer of WorkCover WA approved under section 286(2) as an arbitrator;</w:t>
      </w:r>
    </w:p>
    <w:p>
      <w:pPr>
        <w:pStyle w:val="Defstart"/>
      </w:pPr>
      <w:r>
        <w:rPr>
          <w:b/>
        </w:rPr>
        <w:tab/>
        <w:t>“</w:t>
      </w:r>
      <w:r>
        <w:rPr>
          <w:rStyle w:val="CharDefText"/>
        </w:rPr>
        <w:t>chief executive officer</w:t>
      </w:r>
      <w:r>
        <w:rPr>
          <w:b/>
        </w:rPr>
        <w:t>”</w:t>
      </w:r>
      <w:r>
        <w:t xml:space="preserve"> means the person appointed under the </w:t>
      </w:r>
      <w:r>
        <w:rPr>
          <w:i/>
        </w:rPr>
        <w:t>Public Sector Management Act 1994</w:t>
      </w:r>
      <w:r>
        <w:t xml:space="preserve"> to the office of chief executive officer of WorkCover WA and includes a person appointed to act in the place and during the absence of the chief executive officer while that person is so acting;</w:t>
      </w:r>
    </w:p>
    <w:p>
      <w:pPr>
        <w:pStyle w:val="Defstart"/>
      </w:pPr>
      <w:r>
        <w:rPr>
          <w:b/>
        </w:rPr>
        <w:tab/>
        <w:t>“</w:t>
      </w:r>
      <w:r>
        <w:rPr>
          <w:rStyle w:val="CharDefText"/>
        </w:rPr>
        <w:t>child’s allowance</w:t>
      </w:r>
      <w:r>
        <w:rPr>
          <w:b/>
        </w:rPr>
        <w:t>”</w:t>
      </w:r>
      <w:r>
        <w:t xml:space="preserve"> means — </w:t>
      </w:r>
    </w:p>
    <w:p>
      <w:pPr>
        <w:pStyle w:val="Defpara"/>
      </w:pPr>
      <w:r>
        <w:tab/>
        <w:t>(a)</w:t>
      </w:r>
      <w:r>
        <w:tab/>
        <w:t>for the financial year ending on 30 June 1982, the amount of $15.37;</w:t>
      </w:r>
    </w:p>
    <w:p>
      <w:pPr>
        <w:pStyle w:val="Defpara"/>
      </w:pPr>
      <w:r>
        <w:tab/>
        <w:t>(b)</w:t>
      </w:r>
      <w:r>
        <w:tab/>
        <w:t>for any financial year ending after 30 June 1982 but before 1 July 1985,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and</w:t>
      </w:r>
    </w:p>
    <w:p>
      <w:pPr>
        <w:pStyle w:val="Defpara"/>
      </w:pPr>
      <w:r>
        <w:tab/>
        <w:t>(c)</w:t>
      </w:r>
      <w:r>
        <w:tab/>
        <w:t>for any subsequent financial year, the nearest multiple of 10 cents to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or if the relevant minimum award rates are not published, the amount obtained by varying the child’s allowance for the preceding financial year in accordance with the regulations (with an amount that is 5 cents more than a multiple of 10 cents being rounded off to the next highest multiple of 10 cents);</w:t>
      </w:r>
    </w:p>
    <w:p>
      <w:pPr>
        <w:pStyle w:val="Defstart"/>
      </w:pPr>
      <w:r>
        <w:rPr>
          <w:b/>
        </w:rPr>
        <w:tab/>
        <w:t>“</w:t>
      </w:r>
      <w:r>
        <w:rPr>
          <w:rStyle w:val="CharDefText"/>
        </w:rPr>
        <w:t>chiropractor</w:t>
      </w:r>
      <w:r>
        <w:rPr>
          <w:b/>
        </w:rPr>
        <w:t>”</w:t>
      </w:r>
      <w:r>
        <w:t xml:space="preserve"> means a person who is resident in this State and is registered as a chiropractor under the </w:t>
      </w:r>
      <w:r>
        <w:rPr>
          <w:i/>
        </w:rPr>
        <w:t>Chiropractors Act 1964</w:t>
      </w:r>
      <w:r>
        <w:t xml:space="preserve"> and holds a licence to practise chiropractic issued by the Chiropractors Registration Board constituted under that Act;</w:t>
      </w:r>
    </w:p>
    <w:p>
      <w:pPr>
        <w:pStyle w:val="Defstart"/>
      </w:pPr>
      <w:r>
        <w:rPr>
          <w:b/>
        </w:rPr>
        <w:tab/>
        <w:t>“</w:t>
      </w:r>
      <w:r>
        <w:rPr>
          <w:rStyle w:val="CharDefText"/>
        </w:rPr>
        <w:t>clause</w:t>
      </w:r>
      <w:r>
        <w:rPr>
          <w:b/>
        </w:rPr>
        <w:t>”</w:t>
      </w:r>
      <w:r>
        <w:t xml:space="preserve"> means —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rPr>
          <w:b/>
        </w:rPr>
        <w:tab/>
        <w:t>“</w:t>
      </w:r>
      <w:r>
        <w:rPr>
          <w:rStyle w:val="CharDefText"/>
        </w:rPr>
        <w:t>Commissioner</w:t>
      </w:r>
      <w:r>
        <w:rPr>
          <w:b/>
        </w:rPr>
        <w:t>”</w:t>
      </w:r>
      <w:r>
        <w:t xml:space="preserve"> means the Commissioner appointed under section 281;</w:t>
      </w:r>
    </w:p>
    <w:p>
      <w:pPr>
        <w:pStyle w:val="Defstart"/>
      </w:pPr>
      <w:r>
        <w:tab/>
      </w:r>
      <w:r>
        <w:rPr>
          <w:b/>
        </w:rPr>
        <w:t>“</w:t>
      </w:r>
      <w:r>
        <w:rPr>
          <w:rStyle w:val="CharDefText"/>
        </w:rPr>
        <w:t>company</w:t>
      </w:r>
      <w:r>
        <w:rPr>
          <w:b/>
        </w:rPr>
        <w:t>”</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rPr>
          <w:b/>
        </w:rPr>
        <w:tab/>
        <w:t>“</w:t>
      </w:r>
      <w:r>
        <w:rPr>
          <w:rStyle w:val="CharDefText"/>
        </w:rPr>
        <w:t>contract of insurance</w:t>
      </w:r>
      <w:r>
        <w:rPr>
          <w:b/>
        </w:rPr>
        <w:t>”</w:t>
      </w:r>
      <w:r>
        <w:t xml:space="preserve"> includes a cover note;</w:t>
      </w:r>
    </w:p>
    <w:p>
      <w:pPr>
        <w:pStyle w:val="Defstart"/>
      </w:pPr>
      <w:r>
        <w:rPr>
          <w:b/>
        </w:rPr>
        <w:tab/>
        <w:t>“</w:t>
      </w:r>
      <w:r>
        <w:rPr>
          <w:rStyle w:val="CharDefText"/>
        </w:rPr>
        <w:t>decision</w:t>
      </w:r>
      <w:r>
        <w:rPr>
          <w:b/>
        </w:rPr>
        <w:t>”</w:t>
      </w:r>
      <w:r>
        <w:t xml:space="preserve"> includes an order, award, direction or determination;</w:t>
      </w:r>
    </w:p>
    <w:p>
      <w:pPr>
        <w:pStyle w:val="Defstart"/>
      </w:pPr>
      <w:r>
        <w:tab/>
      </w:r>
      <w:r>
        <w:rPr>
          <w:b/>
        </w:rPr>
        <w:t>“</w:t>
      </w:r>
      <w:r>
        <w:rPr>
          <w:rStyle w:val="CharDefText"/>
        </w:rPr>
        <w:t>de facto partner</w:t>
      </w:r>
      <w:r>
        <w:rPr>
          <w:b/>
        </w:rPr>
        <w:t>”</w:t>
      </w:r>
      <w:r>
        <w:t xml:space="preserve"> in relation to compensation payable in respect of the death of a worker means — </w:t>
      </w:r>
    </w:p>
    <w:p>
      <w:pPr>
        <w:pStyle w:val="Defpara"/>
      </w:pPr>
      <w:r>
        <w:tab/>
        <w:t>(a)</w:t>
      </w:r>
      <w:r>
        <w:tab/>
        <w:t>a person who, immediately before the death of the worker, was living in a de facto relationship with the worker and had been living on that basis with that worker for at least the previous 2 years; and</w:t>
      </w:r>
    </w:p>
    <w:p>
      <w:pPr>
        <w:pStyle w:val="Defpara"/>
      </w:pPr>
      <w:r>
        <w:tab/>
        <w:t>(b)</w:t>
      </w:r>
      <w:r>
        <w:tab/>
        <w:t>any former de facto partner of the worker if the worker was legally obliged immediately before the death of the worker to make provision for that former de facto partner with respect to financial matters;</w:t>
      </w:r>
    </w:p>
    <w:p>
      <w:pPr>
        <w:pStyle w:val="Defstart"/>
        <w:keepNext/>
      </w:pPr>
      <w:r>
        <w:rPr>
          <w:b/>
        </w:rPr>
        <w:tab/>
        <w:t>“</w:t>
      </w:r>
      <w:r>
        <w:rPr>
          <w:rStyle w:val="CharDefText"/>
        </w:rPr>
        <w:t>dentist</w:t>
      </w:r>
      <w:r>
        <w:rPr>
          <w:b/>
        </w:rPr>
        <w:t>”</w:t>
      </w:r>
      <w:r>
        <w:t xml:space="preserve"> means — </w:t>
      </w:r>
    </w:p>
    <w:p>
      <w:pPr>
        <w:pStyle w:val="Defpara"/>
      </w:pPr>
      <w:r>
        <w:tab/>
        <w:t>(a)</w:t>
      </w:r>
      <w:r>
        <w:tab/>
        <w:t>a person who is resident in a State or Territory of the Commonwealth and is entitled to practise as a dentist in accordance with the laws of that State or Territory; or</w:t>
      </w:r>
    </w:p>
    <w:p>
      <w:pPr>
        <w:pStyle w:val="Defpara"/>
      </w:pPr>
      <w:r>
        <w:tab/>
        <w:t>(b)</w:t>
      </w:r>
      <w:r>
        <w:tab/>
        <w:t>a person who is not resident in a State or Territory of the Commonwealth but who is recognised as a dentist for the purposes of this Act by WorkCover WA;</w:t>
      </w:r>
    </w:p>
    <w:p>
      <w:pPr>
        <w:pStyle w:val="Defstart"/>
      </w:pPr>
      <w:r>
        <w:rPr>
          <w:b/>
        </w:rPr>
        <w:tab/>
        <w:t>“</w:t>
      </w:r>
      <w:r>
        <w:rPr>
          <w:rStyle w:val="CharDefText"/>
        </w:rPr>
        <w:t>dependants</w:t>
      </w:r>
      <w:r>
        <w:rPr>
          <w:b/>
        </w:rPr>
        <w:t>”</w:t>
      </w:r>
      <w:r>
        <w:t xml:space="preserve"> means such members of the worker’s family as were wholly or in part dependent upon the earnings of the worker at the time of his death, or would, but for the injury, have been so dependent;</w:t>
      </w:r>
    </w:p>
    <w:p>
      <w:pPr>
        <w:pStyle w:val="Defstart"/>
      </w:pPr>
      <w:r>
        <w:rPr>
          <w:b/>
        </w:rPr>
        <w:tab/>
        <w:t>“</w:t>
      </w:r>
      <w:r>
        <w:rPr>
          <w:rStyle w:val="CharDefText"/>
        </w:rPr>
        <w:t>Director</w:t>
      </w:r>
      <w:r>
        <w:rPr>
          <w:b/>
        </w:rPr>
        <w:t>”</w:t>
      </w:r>
      <w:r>
        <w:t xml:space="preserve"> means the officer of WorkCover WA approved under section 288(2) as the Director Dispute Resolution;</w:t>
      </w:r>
    </w:p>
    <w:p>
      <w:pPr>
        <w:pStyle w:val="Defstart"/>
      </w:pPr>
      <w:r>
        <w:rPr>
          <w:b/>
        </w:rPr>
        <w:tab/>
        <w:t>“</w:t>
      </w:r>
      <w:r>
        <w:rPr>
          <w:rStyle w:val="CharDefText"/>
        </w:rPr>
        <w:t>disease</w:t>
      </w:r>
      <w:r>
        <w:rPr>
          <w:b/>
        </w:rPr>
        <w:t>”</w:t>
      </w:r>
      <w:r>
        <w:t xml:space="preserve"> includes any physical or mental ailment, disorder, defect, or morbid condition whether of sudden or gradual development;</w:t>
      </w:r>
    </w:p>
    <w:p>
      <w:pPr>
        <w:pStyle w:val="Defstart"/>
      </w:pPr>
      <w:r>
        <w:rPr>
          <w:b/>
        </w:rPr>
        <w:tab/>
        <w:t>“</w:t>
      </w:r>
      <w:r>
        <w:rPr>
          <w:rStyle w:val="CharDefText"/>
        </w:rPr>
        <w:t>dispute resolution authority</w:t>
      </w:r>
      <w:r>
        <w:rPr>
          <w:b/>
        </w:rPr>
        <w:t>”</w:t>
      </w:r>
      <w:r>
        <w:t xml:space="preserve"> means the Director, an arbitrator or the Commissioner;</w:t>
      </w:r>
    </w:p>
    <w:p>
      <w:pPr>
        <w:pStyle w:val="Defstart"/>
      </w:pPr>
      <w:r>
        <w:rPr>
          <w:b/>
        </w:rPr>
        <w:tab/>
        <w:t>“</w:t>
      </w:r>
      <w:r>
        <w:rPr>
          <w:rStyle w:val="CharDefText"/>
        </w:rPr>
        <w:t>District Court</w:t>
      </w:r>
      <w:r>
        <w:rPr>
          <w:b/>
        </w:rPr>
        <w:t>”</w:t>
      </w:r>
      <w:r>
        <w:t xml:space="preserve"> means The District Court of Western Australia established under the </w:t>
      </w:r>
      <w:r>
        <w:rPr>
          <w:i/>
        </w:rPr>
        <w:t>District Court of Western Australia Act 1969</w:t>
      </w:r>
      <w:r>
        <w:t>;</w:t>
      </w:r>
    </w:p>
    <w:p>
      <w:pPr>
        <w:pStyle w:val="Defstart"/>
        <w:spacing w:before="60"/>
      </w:pPr>
      <w:r>
        <w:rPr>
          <w:b/>
        </w:rPr>
        <w:tab/>
        <w:t>“</w:t>
      </w:r>
      <w:r>
        <w:rPr>
          <w:rStyle w:val="CharDefText"/>
        </w:rPr>
        <w:t>Division</w:t>
      </w:r>
      <w:r>
        <w:rPr>
          <w:b/>
        </w:rPr>
        <w:t>”</w:t>
      </w:r>
      <w:r>
        <w:t xml:space="preserve"> means a Division of the Part wherein the term is used;</w:t>
      </w:r>
    </w:p>
    <w:p>
      <w:pPr>
        <w:pStyle w:val="Defstart"/>
      </w:pPr>
      <w:r>
        <w:rPr>
          <w:b/>
        </w:rPr>
        <w:tab/>
        <w:t>“</w:t>
      </w:r>
      <w:r>
        <w:rPr>
          <w:rStyle w:val="CharDefText"/>
        </w:rPr>
        <w:t>DRD</w:t>
      </w:r>
      <w:r>
        <w:rPr>
          <w:b/>
        </w:rPr>
        <w:t>”</w:t>
      </w:r>
      <w:r>
        <w:t xml:space="preserve"> means the Dispute Resolution Directorate established under section 278;</w:t>
      </w:r>
    </w:p>
    <w:p>
      <w:pPr>
        <w:pStyle w:val="Defstart"/>
      </w:pPr>
      <w:r>
        <w:rPr>
          <w:b/>
        </w:rPr>
        <w:tab/>
        <w:t>“</w:t>
      </w:r>
      <w:r>
        <w:rPr>
          <w:rStyle w:val="CharDefText"/>
        </w:rPr>
        <w:t>DRD Rules</w:t>
      </w:r>
      <w:r>
        <w:rPr>
          <w:b/>
        </w:rPr>
        <w:t>”</w:t>
      </w:r>
      <w:r>
        <w:t xml:space="preserve"> means the rules made under section 293;</w:t>
      </w:r>
    </w:p>
    <w:p>
      <w:pPr>
        <w:pStyle w:val="Defstart"/>
        <w:spacing w:before="60"/>
      </w:pPr>
      <w:r>
        <w:rPr>
          <w:b/>
        </w:rPr>
        <w:tab/>
        <w:t>“</w:t>
      </w:r>
      <w:r>
        <w:rPr>
          <w:rStyle w:val="CharDefText"/>
        </w:rPr>
        <w:t>drug of addiction</w:t>
      </w:r>
      <w:r>
        <w:rPr>
          <w:b/>
        </w:rPr>
        <w:t>”</w:t>
      </w:r>
      <w:r>
        <w:t xml:space="preserve"> means drug of addiction as defined by section 5 of the </w:t>
      </w:r>
      <w:r>
        <w:rPr>
          <w:i/>
        </w:rPr>
        <w:t>Poisons Act 1964</w:t>
      </w:r>
      <w:r>
        <w:t>;</w:t>
      </w:r>
    </w:p>
    <w:p>
      <w:pPr>
        <w:pStyle w:val="Defstart"/>
        <w:spacing w:before="60"/>
      </w:pPr>
      <w:r>
        <w:rPr>
          <w:b/>
        </w:rPr>
        <w:tab/>
        <w:t>“</w:t>
      </w:r>
      <w:r>
        <w:rPr>
          <w:rStyle w:val="CharDefText"/>
        </w:rPr>
        <w:t>earnings</w:t>
      </w:r>
      <w:r>
        <w:rPr>
          <w:b/>
        </w:rPr>
        <w:t>”</w:t>
      </w:r>
      <w:r>
        <w:t xml:space="preserve"> includes weekly payments of compensation under this Act;</w:t>
      </w:r>
    </w:p>
    <w:p>
      <w:pPr>
        <w:pStyle w:val="Defstart"/>
        <w:spacing w:before="60"/>
      </w:pPr>
      <w:r>
        <w:rPr>
          <w:b/>
        </w:rPr>
        <w:tab/>
        <w:t>“</w:t>
      </w:r>
      <w:r>
        <w:rPr>
          <w:rStyle w:val="CharDefText"/>
        </w:rPr>
        <w:t>employer</w:t>
      </w:r>
      <w:r>
        <w:rPr>
          <w:b/>
        </w:rPr>
        <w:t>”</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spacing w:before="60"/>
      </w:pPr>
      <w:r>
        <w:tab/>
      </w:r>
      <w:r>
        <w:tab/>
        <w:t xml:space="preserve">the term </w:t>
      </w:r>
      <w:r>
        <w:rPr>
          <w:b/>
        </w:rPr>
        <w:t>“</w:t>
      </w:r>
      <w:r>
        <w:rPr>
          <w:rStyle w:val="CharDefText"/>
        </w:rPr>
        <w:t>employer</w:t>
      </w:r>
      <w:r>
        <w:rPr>
          <w:b/>
        </w:rPr>
        <w:t>”</w:t>
      </w:r>
      <w:r>
        <w:t xml:space="preserve"> shall extend to any person for or by whom any worker, as defined in paragraph (a) or (b) of the definition of “worker”, works or is engaged; and</w:t>
      </w:r>
    </w:p>
    <w:p>
      <w:pPr>
        <w:pStyle w:val="Defstart"/>
        <w:spacing w:before="60"/>
      </w:pPr>
      <w:r>
        <w:rPr>
          <w:b/>
        </w:rPr>
        <w:tab/>
      </w:r>
      <w:r>
        <w:rPr>
          <w:b/>
        </w:rPr>
        <w:tab/>
        <w:t>“</w:t>
      </w:r>
      <w:r>
        <w:rPr>
          <w:rStyle w:val="CharDefText"/>
        </w:rPr>
        <w:t>employer</w:t>
      </w:r>
      <w:r>
        <w:rPr>
          <w:b/>
        </w:rPr>
        <w:t>”</w:t>
      </w:r>
      <w:r>
        <w:t xml:space="preserve"> in relation to liability to pay compensation for or in respect of an injury to a worker, means the employer in the relevant employment;</w:t>
      </w:r>
    </w:p>
    <w:p>
      <w:pPr>
        <w:pStyle w:val="Defstart"/>
      </w:pPr>
      <w:r>
        <w:rPr>
          <w:b/>
        </w:rPr>
        <w:tab/>
        <w:t>“</w:t>
      </w:r>
      <w:r>
        <w:rPr>
          <w:rStyle w:val="CharDefText"/>
        </w:rPr>
        <w:t>estimate</w:t>
      </w:r>
      <w:r>
        <w:rPr>
          <w:b/>
        </w:rPr>
        <w:t>”</w:t>
      </w:r>
      <w:r>
        <w:t xml:space="preserve"> means the estimate prepared and approved as provided by section 107(1);</w:t>
      </w:r>
    </w:p>
    <w:p>
      <w:pPr>
        <w:pStyle w:val="Defstart"/>
      </w:pPr>
      <w:r>
        <w:rPr>
          <w:b/>
        </w:rPr>
        <w:tab/>
        <w:t>“</w:t>
      </w:r>
      <w:r>
        <w:rPr>
          <w:rStyle w:val="CharDefText"/>
        </w:rPr>
        <w:t>General Fund</w:t>
      </w:r>
      <w:r>
        <w:rPr>
          <w:b/>
        </w:rPr>
        <w:t>”</w:t>
      </w:r>
      <w:r>
        <w:t xml:space="preserve"> means the Workers’ Compensation and Injury Management General Fund established under this Act;</w:t>
      </w:r>
    </w:p>
    <w:p>
      <w:pPr>
        <w:pStyle w:val="Defstart"/>
      </w:pPr>
      <w:r>
        <w:rPr>
          <w:b/>
        </w:rPr>
        <w:tab/>
        <w:t>“</w:t>
      </w:r>
      <w:r>
        <w:rPr>
          <w:rStyle w:val="CharDefText"/>
        </w:rPr>
        <w:t>industrial agreement</w:t>
      </w:r>
      <w:r>
        <w:rPr>
          <w:b/>
        </w:rPr>
        <w:t>”</w:t>
      </w:r>
      <w:r>
        <w:t xml:space="preserve"> means an agreement which wholly or partially regulates the terms or conditions of employment;</w:t>
      </w:r>
    </w:p>
    <w:p>
      <w:pPr>
        <w:pStyle w:val="Defstart"/>
      </w:pPr>
      <w:r>
        <w:rPr>
          <w:b/>
        </w:rPr>
        <w:tab/>
        <w:t>“</w:t>
      </w:r>
      <w:r>
        <w:rPr>
          <w:rStyle w:val="CharDefText"/>
        </w:rPr>
        <w:t>industrial award</w:t>
      </w:r>
      <w:r>
        <w:rPr>
          <w:b/>
        </w:rPr>
        <w:t>”</w:t>
      </w:r>
      <w:r>
        <w:t xml:space="preserve"> means —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w:t>
      </w:r>
    </w:p>
    <w:p>
      <w:pPr>
        <w:pStyle w:val="Defpara"/>
      </w:pPr>
      <w:r>
        <w:tab/>
        <w:t>(b)</w:t>
      </w:r>
      <w:r>
        <w:tab/>
        <w:t xml:space="preserve">an industrial agreement as defined in the </w:t>
      </w:r>
      <w:r>
        <w:rPr>
          <w:i/>
        </w:rPr>
        <w:t>Industrial Relations Act 1979</w:t>
      </w:r>
      <w:r>
        <w:t>;</w:t>
      </w:r>
    </w:p>
    <w:p>
      <w:pPr>
        <w:pStyle w:val="Defpara"/>
      </w:pPr>
      <w:r>
        <w:tab/>
        <w:t>(c)</w:t>
      </w:r>
      <w:r>
        <w:tab/>
        <w:t xml:space="preserve">an award under the </w:t>
      </w:r>
      <w:r>
        <w:rPr>
          <w:i/>
        </w:rPr>
        <w:t>Coal Industry Tribunal of Western Australia Act 1992</w:t>
      </w:r>
      <w:r>
        <w:t>; or</w:t>
      </w:r>
    </w:p>
    <w:p>
      <w:pPr>
        <w:pStyle w:val="Defpara"/>
      </w:pPr>
      <w:r>
        <w:tab/>
        <w:t>(d)</w:t>
      </w:r>
      <w:r>
        <w:tab/>
        <w:t xml:space="preserve">an award or certified agreement, as those terms are defined in the </w:t>
      </w:r>
      <w:r>
        <w:rPr>
          <w:i/>
        </w:rPr>
        <w:t>Workplace Relations Act 1996</w:t>
      </w:r>
      <w:r>
        <w:t xml:space="preserve"> of the Commonwealth,</w:t>
      </w:r>
    </w:p>
    <w:p>
      <w:pPr>
        <w:pStyle w:val="Defstart"/>
      </w:pPr>
      <w:r>
        <w:tab/>
      </w:r>
      <w:r>
        <w:tab/>
        <w:t>as the relevant employment requires;</w:t>
      </w:r>
    </w:p>
    <w:p>
      <w:pPr>
        <w:pStyle w:val="Defstart"/>
      </w:pPr>
      <w:r>
        <w:rPr>
          <w:b/>
        </w:rPr>
        <w:tab/>
        <w:t>“</w:t>
      </w:r>
      <w:r>
        <w:rPr>
          <w:rStyle w:val="CharDefText"/>
        </w:rPr>
        <w:t>industrial disease premium</w:t>
      </w:r>
      <w:r>
        <w:rPr>
          <w:b/>
        </w:rPr>
        <w:t>”</w:t>
      </w:r>
      <w:r>
        <w:t xml:space="preserve"> means the additional industrial disease premium fixed pursuant to section 151(a)(iii);</w:t>
      </w:r>
    </w:p>
    <w:p>
      <w:pPr>
        <w:pStyle w:val="Defstart"/>
      </w:pPr>
      <w:r>
        <w:rPr>
          <w:b/>
        </w:rPr>
        <w:tab/>
        <w:t>“</w:t>
      </w:r>
      <w:r>
        <w:rPr>
          <w:rStyle w:val="CharDefText"/>
        </w:rPr>
        <w:t>injury</w:t>
      </w:r>
      <w:r>
        <w:rPr>
          <w:b/>
        </w:rPr>
        <w:t>”</w:t>
      </w:r>
      <w:r>
        <w:t xml:space="preserve"> means — </w:t>
      </w:r>
    </w:p>
    <w:p>
      <w:pPr>
        <w:pStyle w:val="Defpara"/>
      </w:pPr>
      <w:r>
        <w:tab/>
        <w:t>(a)</w:t>
      </w:r>
      <w:r>
        <w:tab/>
        <w:t>a personal injury by accident arising out of or in the course of the employment, or whilst the worker is acting under the employer’s instructions;</w:t>
      </w:r>
    </w:p>
    <w:p>
      <w:pPr>
        <w:pStyle w:val="Defpara"/>
      </w:pPr>
      <w:r>
        <w:tab/>
        <w:t>(b)</w:t>
      </w:r>
      <w:r>
        <w:tab/>
        <w:t>a disease because of which an injury occurs under section 32 or 33;</w:t>
      </w:r>
    </w:p>
    <w:p>
      <w:pPr>
        <w:pStyle w:val="Defpara"/>
      </w:pPr>
      <w:r>
        <w:tab/>
        <w:t>(c)</w:t>
      </w:r>
      <w:r>
        <w:tab/>
        <w:t>a disease contracted by a worker in the course of his employment at or away from his place of employment and to which the employment was a contributing factor and contributed to a significant degree;</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pPr>
      <w:r>
        <w:tab/>
        <w:t>(e)</w:t>
      </w:r>
      <w:r>
        <w:tab/>
        <w:t>a loss of function that occurs in the circumstances mentioned in section 49,</w:t>
      </w:r>
    </w:p>
    <w:p>
      <w:pPr>
        <w:pStyle w:val="Defstart"/>
      </w:pPr>
      <w:r>
        <w:tab/>
      </w: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t>“</w:t>
      </w:r>
      <w:r>
        <w:rPr>
          <w:rStyle w:val="CharDefText"/>
        </w:rPr>
        <w:t>injury management</w:t>
      </w:r>
      <w:r>
        <w:rPr>
          <w:b/>
        </w:rPr>
        <w:t>”</w:t>
      </w:r>
      <w:r>
        <w:t xml:space="preserve"> means the management of workers’ injuries in a manner that is directed at enabling injured workers to return to work;</w:t>
      </w:r>
    </w:p>
    <w:p>
      <w:pPr>
        <w:pStyle w:val="Defstart"/>
      </w:pPr>
      <w:r>
        <w:rPr>
          <w:b/>
        </w:rPr>
        <w:tab/>
      </w:r>
      <w:r>
        <w:t>“</w:t>
      </w:r>
      <w:r>
        <w:rPr>
          <w:rStyle w:val="CharDefText"/>
        </w:rPr>
        <w:t>inspector</w:t>
      </w:r>
      <w:r>
        <w:t>” means a person authorised as an inspector under section 175A(1);</w:t>
      </w:r>
    </w:p>
    <w:p>
      <w:pPr>
        <w:pStyle w:val="Defstart"/>
      </w:pPr>
      <w:r>
        <w:rPr>
          <w:b/>
        </w:rPr>
        <w:tab/>
        <w:t>“</w:t>
      </w:r>
      <w:r>
        <w:rPr>
          <w:rStyle w:val="CharDefText"/>
        </w:rPr>
        <w:t>medical assessment panel</w:t>
      </w:r>
      <w:r>
        <w:rPr>
          <w:b/>
        </w:rPr>
        <w:t>”</w:t>
      </w:r>
      <w:r>
        <w:t xml:space="preserve"> means a medical assessment panel constituted under Part VII Division 1;</w:t>
      </w:r>
    </w:p>
    <w:p>
      <w:pPr>
        <w:pStyle w:val="Defstart"/>
      </w:pPr>
      <w:r>
        <w:rPr>
          <w:b/>
        </w:rPr>
        <w:tab/>
        <w:t>“</w:t>
      </w:r>
      <w:r>
        <w:rPr>
          <w:rStyle w:val="CharDefText"/>
        </w:rPr>
        <w:t>medical practitioner</w:t>
      </w:r>
      <w:r>
        <w:rPr>
          <w:b/>
        </w:rPr>
        <w:t>”</w:t>
      </w:r>
      <w:r>
        <w:t xml:space="preserve"> means — </w:t>
      </w:r>
    </w:p>
    <w:p>
      <w:pPr>
        <w:pStyle w:val="Defpara"/>
      </w:pPr>
      <w:r>
        <w:tab/>
        <w:t>(a)</w:t>
      </w:r>
      <w:r>
        <w:tab/>
        <w:t>a person who is resident in a State or Territory of the Commonwealth and is entitled to practise as a medical practitioner in accordance with the laws of that State or Territory; or</w:t>
      </w:r>
    </w:p>
    <w:p>
      <w:pPr>
        <w:pStyle w:val="Defpara"/>
      </w:pPr>
      <w:r>
        <w:tab/>
        <w:t>(b)</w:t>
      </w:r>
      <w:r>
        <w:tab/>
        <w:t>a person who is not resident in a State or Territory of the Commonwealth but who is recognised as a medical practitioner for the purposes of this Act by WorkCover WA;</w:t>
      </w:r>
    </w:p>
    <w:p>
      <w:pPr>
        <w:pStyle w:val="Defstart"/>
      </w:pPr>
      <w:r>
        <w:rPr>
          <w:b/>
        </w:rPr>
        <w:tab/>
        <w:t>“</w:t>
      </w:r>
      <w:r>
        <w:rPr>
          <w:rStyle w:val="CharDefText"/>
        </w:rPr>
        <w:t>medical report</w:t>
      </w:r>
      <w:r>
        <w:rPr>
          <w:b/>
        </w:rPr>
        <w:t>”</w:t>
      </w:r>
      <w:r>
        <w:t xml:space="preserve"> includes a medical opinion;</w:t>
      </w:r>
    </w:p>
    <w:p>
      <w:pPr>
        <w:pStyle w:val="Defstart"/>
      </w:pPr>
      <w:r>
        <w:rPr>
          <w:b/>
        </w:rPr>
        <w:tab/>
        <w:t>“</w:t>
      </w:r>
      <w:r>
        <w:rPr>
          <w:rStyle w:val="CharDefText"/>
        </w:rPr>
        <w:t>member of a family</w:t>
      </w:r>
      <w:r>
        <w:rPr>
          <w:b/>
        </w:rPr>
        <w:t>”</w:t>
      </w:r>
      <w:r>
        <w:t xml:space="preserve"> means spouse, de facto partner, parent, grandparent, step</w:t>
      </w:r>
      <w:r>
        <w:noBreakHyphen/>
        <w:t>parent; any person who stands in the place of a parent to another person and also that other person, son, daughter, ex</w:t>
      </w:r>
      <w:r>
        <w:noBreakHyphen/>
        <w:t>nuptial son, ex</w:t>
      </w:r>
      <w:r>
        <w:noBreakHyphen/>
        <w:t>nuptial daughter, grandson, grand</w:t>
      </w:r>
      <w:r>
        <w:noBreakHyphen/>
        <w:t>daughter, step</w:t>
      </w:r>
      <w:r>
        <w:noBreakHyphen/>
        <w:t>son, step</w:t>
      </w:r>
      <w:r>
        <w:noBreakHyphen/>
        <w:t>daughter (whether the step</w:t>
      </w:r>
      <w:r>
        <w:noBreakHyphen/>
        <w:t>son or step</w:t>
      </w:r>
      <w:r>
        <w:noBreakHyphen/>
        <w:t>daughter is legally adopted by the worker or not), brother, sister, half</w:t>
      </w:r>
      <w:r>
        <w:noBreakHyphen/>
        <w:t>brother, half</w:t>
      </w:r>
      <w:r>
        <w:noBreakHyphen/>
        <w:t>sister; and with respect to an ex</w:t>
      </w:r>
      <w:r>
        <w:noBreakHyphen/>
        <w:t>nuptial worker includes the worker’s parents, and his brothers and sisters, whether legitimate or ex</w:t>
      </w:r>
      <w:r>
        <w:noBreakHyphen/>
        <w:t>nuptial, who have at least one parent in common with the worker;</w:t>
      </w:r>
    </w:p>
    <w:p>
      <w:pPr>
        <w:pStyle w:val="Defstart"/>
      </w:pPr>
      <w:r>
        <w:rPr>
          <w:b/>
        </w:rPr>
        <w:tab/>
        <w:t>“</w:t>
      </w:r>
      <w:r>
        <w:rPr>
          <w:rStyle w:val="CharDefText"/>
        </w:rPr>
        <w:t>mesothelioma</w:t>
      </w:r>
      <w:r>
        <w:rPr>
          <w:b/>
        </w:rPr>
        <w:t>”</w:t>
      </w:r>
      <w:r>
        <w:t xml:space="preserve"> means primary malignant neoplasm of the mesothelium (diffuse mesothelioma) of the pleura or the peritoneum;</w:t>
      </w:r>
    </w:p>
    <w:p>
      <w:pPr>
        <w:pStyle w:val="Defstart"/>
      </w:pPr>
      <w:r>
        <w:rPr>
          <w:b/>
        </w:rPr>
        <w:tab/>
        <w:t>“</w:t>
      </w:r>
      <w:r>
        <w:rPr>
          <w:rStyle w:val="CharDefText"/>
        </w:rPr>
        <w:t>mine</w:t>
      </w:r>
      <w:r>
        <w:rPr>
          <w:b/>
        </w:rPr>
        <w:t>”</w:t>
      </w:r>
      <w:r>
        <w:t xml:space="preserve"> or </w:t>
      </w:r>
      <w:r>
        <w:rPr>
          <w:b/>
        </w:rPr>
        <w:t>“</w:t>
      </w:r>
      <w:r>
        <w:rPr>
          <w:rStyle w:val="CharDefText"/>
        </w:rPr>
        <w:t>mining operation</w:t>
      </w:r>
      <w:r>
        <w:rPr>
          <w:b/>
        </w:rPr>
        <w:t>”</w:t>
      </w:r>
      <w:r>
        <w:t xml:space="preserve"> means a mine or mining operation of a class prescribed for the purposes of this definition;</w:t>
      </w:r>
    </w:p>
    <w:p>
      <w:pPr>
        <w:pStyle w:val="Defstart"/>
      </w:pPr>
      <w:r>
        <w:rPr>
          <w:b/>
        </w:rPr>
        <w:tab/>
        <w:t>“</w:t>
      </w:r>
      <w:r>
        <w:rPr>
          <w:rStyle w:val="CharDefText"/>
        </w:rPr>
        <w:t>minimum award rate</w:t>
      </w:r>
      <w:r>
        <w:rPr>
          <w:b/>
        </w:rPr>
        <w:t>”</w:t>
      </w:r>
      <w:r>
        <w:t xml:space="preserve"> means the weighted average minimum award rate for adult males under Western Australian State Awards, as published by the Australian Statistician;</w:t>
      </w:r>
    </w:p>
    <w:p>
      <w:pPr>
        <w:pStyle w:val="Defstart"/>
      </w:pPr>
      <w:r>
        <w:rPr>
          <w:b/>
        </w:rPr>
        <w:tab/>
        <w:t>“</w:t>
      </w:r>
      <w:r>
        <w:rPr>
          <w:rStyle w:val="CharDefText"/>
        </w:rPr>
        <w:t>noise induced hearing loss</w:t>
      </w:r>
      <w:r>
        <w:rPr>
          <w:b/>
        </w:rPr>
        <w:t>”</w:t>
      </w:r>
      <w:r>
        <w:t xml:space="preserve"> means a noise induced loss or diminution of a worker’s hearing that is permanent and is due to the nature of any employment in which the worker was employed, other than a personal injury by accident;</w:t>
      </w:r>
    </w:p>
    <w:p>
      <w:pPr>
        <w:pStyle w:val="Defstart"/>
      </w:pPr>
      <w:r>
        <w:rPr>
          <w:b/>
        </w:rPr>
        <w:tab/>
        <w:t>“</w:t>
      </w:r>
      <w:r>
        <w:rPr>
          <w:rStyle w:val="CharDefText"/>
        </w:rPr>
        <w:t>notional residual entitlement</w:t>
      </w:r>
      <w:r>
        <w:rPr>
          <w:b/>
        </w:rPr>
        <w:t>”</w:t>
      </w:r>
      <w:r>
        <w:t xml:space="preserve"> in relation to a deceased worker, means a sum equal to — </w:t>
      </w:r>
    </w:p>
    <w:p>
      <w:pPr>
        <w:pStyle w:val="Defpara"/>
      </w:pPr>
      <w:r>
        <w:tab/>
        <w:t>(a)</w:t>
      </w:r>
      <w:r>
        <w:tab/>
        <w:t>if section 56 or Schedule 5 clause 2 applied to any incapacity resulting from the relevant injury, the aggregate of weekly payments for total incapacity of the worker at a rate calculated and varied in accordance with Schedule 1 as at the date of his death, for a period from that date up to the date when weekly payments of compensation would have ceased by reason of age, less the amount of any lump sum paid in redemption of weekly payments and the amount of any sum paid under Schedule 2, for the injury or impairment resulting from the injury; or</w:t>
      </w:r>
    </w:p>
    <w:p>
      <w:pPr>
        <w:pStyle w:val="Defpara"/>
      </w:pPr>
      <w:r>
        <w:tab/>
        <w:t>(b)</w:t>
      </w:r>
      <w:r>
        <w:tab/>
        <w:t>the NRE amount as at the date of the worker’s death, less the amount of any weekly payments made, the amount of any lump sum paid in redemption of weekly payments, and the amount of any sum paid under Schedule 2, for the injury suffered by the worker or impairment resulting from the injury,</w:t>
      </w:r>
    </w:p>
    <w:p>
      <w:pPr>
        <w:pStyle w:val="Defstart"/>
      </w:pPr>
      <w:r>
        <w:tab/>
      </w:r>
      <w:r>
        <w:tab/>
        <w:t>whichever is the less;</w:t>
      </w:r>
    </w:p>
    <w:p>
      <w:pPr>
        <w:pStyle w:val="Defstart"/>
        <w:outlineLvl w:val="0"/>
      </w:pPr>
      <w:r>
        <w:tab/>
      </w:r>
      <w:r>
        <w:rPr>
          <w:b/>
        </w:rPr>
        <w:t>“NRE amount”</w:t>
      </w:r>
      <w:r>
        <w:t xml:space="preserve"> means — </w:t>
      </w:r>
    </w:p>
    <w:p>
      <w:pPr>
        <w:pStyle w:val="Defpara"/>
      </w:pPr>
      <w:r>
        <w:tab/>
        <w:t>(a)</w:t>
      </w:r>
      <w:r>
        <w:tab/>
        <w:t>in relation to any financial year ending on or before 30 June 2005, the prescribed amount in relation to that financial year;</w:t>
      </w:r>
    </w:p>
    <w:p>
      <w:pPr>
        <w:pStyle w:val="Defpara"/>
      </w:pPr>
      <w:r>
        <w:tab/>
        <w:t>(b)</w:t>
      </w:r>
      <w:r>
        <w:tab/>
        <w:t>in relation to the financial year ending on 30 June 2006, $200 000;</w:t>
      </w:r>
    </w:p>
    <w:p>
      <w:pPr>
        <w:pStyle w:val="Defpara"/>
      </w:pPr>
      <w:r>
        <w:tab/>
        <w:t>(c)</w:t>
      </w:r>
      <w:r>
        <w:tab/>
        <w:t xml:space="preserve">in relation to any subsequent financial year, the nearest whole number of dollars to — </w:t>
      </w:r>
    </w:p>
    <w:p>
      <w:pPr>
        <w:pStyle w:val="Defsubpara"/>
      </w:pPr>
      <w:r>
        <w:tab/>
        <w:t>(i)</w:t>
      </w:r>
      <w:r>
        <w:tab/>
        <w:t xml:space="preserve">the amount obtained by varying the NRE amount for the preceding financial year by the percentage by which the amount that the Australian Statistician published as the Wages Cost Index, ordinary time hourly rates of pay (excluding bonuses) for Western Australia </w:t>
      </w:r>
      <w:r>
        <w:rPr>
          <w:b/>
        </w:rPr>
        <w:t xml:space="preserve">(“WCI”) </w:t>
      </w:r>
      <w:r>
        <w:t>varied between the second-last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WCI for a relevant quarter was not published, the amount obtained by varying the NRE amount for the preceding financial year in accordance with the regulations,</w:t>
      </w:r>
    </w:p>
    <w:p>
      <w:pPr>
        <w:pStyle w:val="Defstart"/>
      </w:pPr>
      <w:r>
        <w:tab/>
      </w:r>
      <w:r>
        <w:tab/>
        <w:t>with an amount that is 50 cents more than a whole number of dollars being rounded off to the next highest whole number of dollars;</w:t>
      </w:r>
    </w:p>
    <w:p>
      <w:pPr>
        <w:pStyle w:val="Defstart"/>
      </w:pPr>
      <w:r>
        <w:rPr>
          <w:b/>
        </w:rPr>
        <w:tab/>
        <w:t>“</w:t>
      </w:r>
      <w:r>
        <w:rPr>
          <w:rStyle w:val="CharDefText"/>
        </w:rPr>
        <w:t>officer of the DRD</w:t>
      </w:r>
      <w:r>
        <w:rPr>
          <w:b/>
        </w:rPr>
        <w:t>”</w:t>
      </w:r>
      <w:r>
        <w:t xml:space="preserve"> refers to — </w:t>
      </w:r>
    </w:p>
    <w:p>
      <w:pPr>
        <w:pStyle w:val="Defpara"/>
      </w:pPr>
      <w:r>
        <w:tab/>
        <w:t>(a)</w:t>
      </w:r>
      <w:r>
        <w:tab/>
        <w:t>the Director;</w:t>
      </w:r>
    </w:p>
    <w:p>
      <w:pPr>
        <w:pStyle w:val="Defpara"/>
      </w:pPr>
      <w:r>
        <w:tab/>
        <w:t>(b)</w:t>
      </w:r>
      <w:r>
        <w:tab/>
        <w:t>an arbitrator; and</w:t>
      </w:r>
    </w:p>
    <w:p>
      <w:pPr>
        <w:pStyle w:val="Defpara"/>
      </w:pPr>
      <w:r>
        <w:tab/>
        <w:t>(c)</w:t>
      </w:r>
      <w:r>
        <w:tab/>
        <w:t>any other officer of WorkCover WA made available under section 291;</w:t>
      </w:r>
    </w:p>
    <w:p>
      <w:pPr>
        <w:pStyle w:val="Defstart"/>
      </w:pPr>
      <w:r>
        <w:rPr>
          <w:b/>
        </w:rPr>
        <w:tab/>
        <w:t>“</w:t>
      </w:r>
      <w:r>
        <w:rPr>
          <w:rStyle w:val="CharDefText"/>
        </w:rPr>
        <w:t>participate</w:t>
      </w:r>
      <w:r>
        <w:rPr>
          <w:b/>
        </w:rPr>
        <w:t>”</w:t>
      </w:r>
      <w:r>
        <w:t>, in relation to a return to work program established under section 155C(1), means to participate in the program in a cooperative manner including attending appointments as required under the program;</w:t>
      </w:r>
    </w:p>
    <w:p>
      <w:pPr>
        <w:pStyle w:val="Defstart"/>
      </w:pPr>
      <w:r>
        <w:rPr>
          <w:b/>
        </w:rPr>
        <w:tab/>
        <w:t>“</w:t>
      </w:r>
      <w:r>
        <w:rPr>
          <w:rStyle w:val="CharDefText"/>
        </w:rPr>
        <w:t>physiotherapist</w:t>
      </w:r>
      <w:r>
        <w:rPr>
          <w:b/>
        </w:rPr>
        <w:t>”</w:t>
      </w:r>
      <w:r>
        <w:t xml:space="preserve"> means a person who is resident in the Commonwealth or a Territory of the Commonwealth and is registered as a physiotherapist in accordance with the laws of a State or Territory of the Commonwealth;</w:t>
      </w:r>
    </w:p>
    <w:p>
      <w:pPr>
        <w:pStyle w:val="Defstart"/>
      </w:pPr>
      <w:r>
        <w:rPr>
          <w:b/>
        </w:rPr>
        <w:tab/>
        <w:t>“</w:t>
      </w:r>
      <w:r>
        <w:rPr>
          <w:rStyle w:val="CharDefText"/>
        </w:rPr>
        <w:t>prescribed amount</w:t>
      </w:r>
      <w:r>
        <w:rPr>
          <w:b/>
        </w:rPr>
        <w:t>”</w:t>
      </w:r>
      <w:r>
        <w:t xml:space="preserve"> means —</w:t>
      </w:r>
    </w:p>
    <w:p>
      <w:pPr>
        <w:pStyle w:val="Defpara"/>
      </w:pPr>
      <w:r>
        <w:tab/>
        <w:t>(a)</w:t>
      </w:r>
      <w:r>
        <w:tab/>
        <w:t>in relation to the financial year ending on 30 June 2000, $119 048;</w:t>
      </w:r>
    </w:p>
    <w:p>
      <w:pPr>
        <w:pStyle w:val="NotesPerm"/>
        <w:tabs>
          <w:tab w:val="clear" w:pos="879"/>
          <w:tab w:val="left" w:pos="2552"/>
        </w:tabs>
        <w:ind w:left="2552" w:hanging="709"/>
        <w:rPr>
          <w:sz w:val="20"/>
        </w:rPr>
      </w:pPr>
      <w:r>
        <w:rPr>
          <w:sz w:val="20"/>
        </w:rPr>
        <w:t>Note:</w:t>
      </w:r>
      <w:r>
        <w:rPr>
          <w:sz w:val="20"/>
        </w:rPr>
        <w:tab/>
        <w:t>This is the nearest whole number of dollars to the amount obtained by multiplying by 208 the average of the amounts that the Australian Statistician published as the all employees average weekly total earnings in Western Australia for pay periods ending in the months of May, August and November 1998 and February 1999.</w:t>
      </w:r>
    </w:p>
    <w:p>
      <w:pPr>
        <w:pStyle w:val="Defpara"/>
      </w:pPr>
      <w:r>
        <w:tab/>
        <w:t>(b)</w:t>
      </w:r>
      <w:r>
        <w:tab/>
        <w:t xml:space="preserve">in relation to any subsequent financial year, the nearest whole number of dollars to — </w:t>
      </w:r>
    </w:p>
    <w:p>
      <w:pPr>
        <w:pStyle w:val="Defsubpara"/>
        <w:keepLines w:val="0"/>
      </w:pPr>
      <w:r>
        <w:tab/>
        <w:t>(i)</w:t>
      </w:r>
      <w:r>
        <w:tab/>
        <w:t xml:space="preserve">the amount obtained by varying the prescribed amount for the preceding financial year by the percentage by which the amount that the Australian Statistician published as the Wages Cost Index, ordinary time hourly rates of pay (excluding bonuses) for Western Australia (the </w:t>
      </w:r>
      <w:r>
        <w:rPr>
          <w:b/>
        </w:rPr>
        <w:t>“</w:t>
      </w:r>
      <w:r>
        <w:rPr>
          <w:rStyle w:val="CharDefText"/>
        </w:rPr>
        <w:t>WCI</w:t>
      </w:r>
      <w:r>
        <w:rPr>
          <w:b/>
        </w:rPr>
        <w:t>”</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WCI for a relevant quarter was not published, the amount obtained by varying the prescribed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t>“</w:t>
      </w:r>
      <w:r>
        <w:rPr>
          <w:rStyle w:val="CharDefText"/>
        </w:rPr>
        <w:t>registered agent</w:t>
      </w:r>
      <w:r>
        <w:rPr>
          <w:b/>
        </w:rPr>
        <w:t>”</w:t>
      </w:r>
      <w:r>
        <w:t xml:space="preserve"> means a person registered under regulations made under section 277;</w:t>
      </w:r>
    </w:p>
    <w:p>
      <w:pPr>
        <w:pStyle w:val="Defstart"/>
      </w:pPr>
      <w:r>
        <w:rPr>
          <w:b/>
        </w:rPr>
        <w:tab/>
        <w:t>“</w:t>
      </w:r>
      <w:r>
        <w:rPr>
          <w:rStyle w:val="CharDefText"/>
        </w:rPr>
        <w:t>relevant employment</w:t>
      </w:r>
      <w:r>
        <w:rPr>
          <w:b/>
        </w:rPr>
        <w:t>”</w:t>
      </w:r>
      <w:r>
        <w:t xml:space="preserve"> means — </w:t>
      </w:r>
    </w:p>
    <w:p>
      <w:pPr>
        <w:pStyle w:val="Defpara"/>
      </w:pPr>
      <w:r>
        <w:tab/>
        <w:t>(a)</w:t>
      </w:r>
      <w:r>
        <w:tab/>
        <w:t>the employment in which the personal injury by accident occurred;</w:t>
      </w:r>
    </w:p>
    <w:p>
      <w:pPr>
        <w:pStyle w:val="Defpara"/>
      </w:pPr>
      <w:r>
        <w:tab/>
        <w:t>(b)</w:t>
      </w:r>
      <w:r>
        <w:tab/>
        <w:t>the last employment, during the period of one year mentioned in section 32 or, in the case of pneumoconiosis or mesothelioma, the last employment, to the nature of which the Schedule 3 disease is, or was, due;</w:t>
      </w:r>
    </w:p>
    <w:p>
      <w:pPr>
        <w:pStyle w:val="Defpara"/>
        <w:spacing w:before="120"/>
      </w:pPr>
      <w:r>
        <w:tab/>
        <w:t>(c)</w:t>
      </w:r>
      <w:r>
        <w:tab/>
        <w:t>the employment in the course of which the disease was contracted and which was a contributing factor and contributed to a significant degree;</w:t>
      </w:r>
    </w:p>
    <w:p>
      <w:pPr>
        <w:pStyle w:val="Defpara"/>
        <w:spacing w:before="120"/>
      </w:pPr>
      <w:r>
        <w:tab/>
        <w:t>(d)</w:t>
      </w:r>
      <w:r>
        <w:tab/>
        <w:t>the employment which contributed and contributed to a significant degree to the recurrence, aggravation, or acceleration of the pre</w:t>
      </w:r>
      <w:r>
        <w:noBreakHyphen/>
        <w:t>existing disease; or</w:t>
      </w:r>
    </w:p>
    <w:p>
      <w:pPr>
        <w:pStyle w:val="Defpara"/>
        <w:spacing w:before="120"/>
      </w:pPr>
      <w:r>
        <w:tab/>
        <w:t>(e)</w:t>
      </w:r>
      <w:r>
        <w:tab/>
        <w:t>the last employment, during the period of 3 years mentioned in section 49, to the nature of which the Schedule 4 loss of function is, or was, due,</w:t>
      </w:r>
    </w:p>
    <w:p>
      <w:pPr>
        <w:pStyle w:val="Defstart"/>
      </w:pPr>
      <w:r>
        <w:tab/>
      </w:r>
      <w:r>
        <w:tab/>
        <w:t>as the case requires;</w:t>
      </w:r>
    </w:p>
    <w:p>
      <w:pPr>
        <w:pStyle w:val="Defstart"/>
        <w:spacing w:before="120"/>
      </w:pPr>
      <w:r>
        <w:rPr>
          <w:b/>
        </w:rPr>
        <w:tab/>
        <w:t>“</w:t>
      </w:r>
      <w:r>
        <w:rPr>
          <w:rStyle w:val="CharDefText"/>
        </w:rPr>
        <w:t>repealed Act</w:t>
      </w:r>
      <w:r>
        <w:rPr>
          <w:b/>
        </w:rPr>
        <w:t>”</w:t>
      </w:r>
      <w:r>
        <w:t xml:space="preserve"> means the Act repealed by section 317;</w:t>
      </w:r>
    </w:p>
    <w:p>
      <w:pPr>
        <w:pStyle w:val="Defstart"/>
      </w:pPr>
      <w:r>
        <w:rPr>
          <w:b/>
        </w:rPr>
        <w:tab/>
        <w:t>“</w:t>
      </w:r>
      <w:r>
        <w:rPr>
          <w:rStyle w:val="CharDefText"/>
        </w:rPr>
        <w:t>return to work</w:t>
      </w:r>
      <w:r>
        <w:rPr>
          <w:b/>
        </w:rPr>
        <w:t>”</w:t>
      </w:r>
      <w:r>
        <w:t xml:space="preserve">, in relation to a worker who has suffered an injury compensable under this Act, means —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 xml:space="preserve">if the position is not available, or if the worker does not have the capacity to work in that position, the worker taking a position — </w:t>
      </w:r>
    </w:p>
    <w:p>
      <w:pPr>
        <w:pStyle w:val="Defsubpara"/>
      </w:pPr>
      <w:r>
        <w:tab/>
        <w:t>(i)</w:t>
      </w:r>
      <w:r>
        <w:tab/>
        <w:t>for which the worker is qualified; and</w:t>
      </w:r>
    </w:p>
    <w:p>
      <w:pPr>
        <w:pStyle w:val="Defsubpara"/>
      </w:pPr>
      <w:r>
        <w:tab/>
        <w:t>(ii)</w:t>
      </w:r>
      <w:r>
        <w:tab/>
        <w:t>that the worker is capable of performing,</w:t>
      </w:r>
    </w:p>
    <w:p>
      <w:pPr>
        <w:pStyle w:val="Defstart"/>
      </w:pPr>
      <w:r>
        <w:tab/>
      </w:r>
      <w:r>
        <w:tab/>
        <w:t>whether with the employer who employed the worker at the time the injury occurred, or another employer;</w:t>
      </w:r>
    </w:p>
    <w:p>
      <w:pPr>
        <w:pStyle w:val="Defstart"/>
        <w:spacing w:before="120"/>
      </w:pPr>
      <w:r>
        <w:rPr>
          <w:b/>
        </w:rPr>
        <w:tab/>
        <w:t>“</w:t>
      </w:r>
      <w:r>
        <w:rPr>
          <w:rStyle w:val="CharDefText"/>
        </w:rPr>
        <w:t>self</w:t>
      </w:r>
      <w:r>
        <w:rPr>
          <w:rStyle w:val="CharDefText"/>
        </w:rPr>
        <w:noBreakHyphen/>
        <w:t>insurer</w:t>
      </w:r>
      <w:r>
        <w:rPr>
          <w:b/>
        </w:rPr>
        <w:t>”</w:t>
      </w:r>
      <w:r>
        <w:t xml:space="preserve"> means employer whom, or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pPr>
      <w:r>
        <w:rPr>
          <w:b/>
        </w:rPr>
        <w:tab/>
        <w:t>“</w:t>
      </w:r>
      <w:r>
        <w:rPr>
          <w:rStyle w:val="CharDefText"/>
        </w:rPr>
        <w:t>ship</w:t>
      </w:r>
      <w:r>
        <w:rPr>
          <w:b/>
        </w:rPr>
        <w:t>”</w:t>
      </w:r>
      <w:r>
        <w:t xml:space="preserve"> means any kind of vessel used in navigation by water, however propelled or moved, and includes — </w:t>
      </w:r>
    </w:p>
    <w:p>
      <w:pPr>
        <w:pStyle w:val="Defpara"/>
      </w:pPr>
      <w:r>
        <w:tab/>
        <w:t>(a)</w:t>
      </w:r>
      <w:r>
        <w:tab/>
        <w:t>a barge, lighter, or other floating vessel; and</w:t>
      </w:r>
    </w:p>
    <w:p>
      <w:pPr>
        <w:pStyle w:val="Defpara"/>
      </w:pPr>
      <w:r>
        <w:tab/>
        <w:t>(b)</w:t>
      </w:r>
      <w:r>
        <w:tab/>
        <w:t>an air</w:t>
      </w:r>
      <w:r>
        <w:noBreakHyphen/>
        <w:t>cushion vehicle, or other similar craft,</w:t>
      </w:r>
    </w:p>
    <w:p>
      <w:pPr>
        <w:pStyle w:val="Defstart"/>
      </w:pPr>
      <w:r>
        <w:tab/>
      </w:r>
      <w:r>
        <w:tab/>
        <w:t>used wholly or primarily in navigation by water;</w:t>
      </w:r>
    </w:p>
    <w:p>
      <w:pPr>
        <w:pStyle w:val="Defstart"/>
      </w:pPr>
      <w:r>
        <w:rPr>
          <w:b/>
        </w:rPr>
        <w:tab/>
        <w:t>“</w:t>
      </w:r>
      <w:r>
        <w:rPr>
          <w:rStyle w:val="CharDefText"/>
        </w:rPr>
        <w:t>specialised retraining assessment panel</w:t>
      </w:r>
      <w:r>
        <w:rPr>
          <w:b/>
        </w:rPr>
        <w:t>”</w:t>
      </w:r>
      <w:r>
        <w:t xml:space="preserve"> means a specialised retraining assessment panel constituted under Part VII Division 5;</w:t>
      </w:r>
    </w:p>
    <w:p>
      <w:pPr>
        <w:pStyle w:val="Defstart"/>
      </w:pPr>
      <w:r>
        <w:rPr>
          <w:b/>
        </w:rPr>
        <w:tab/>
        <w:t>“</w:t>
      </w:r>
      <w:r>
        <w:rPr>
          <w:rStyle w:val="CharDefText"/>
        </w:rPr>
        <w:t>specialised retraining program</w:t>
      </w:r>
      <w:r>
        <w:rPr>
          <w:b/>
        </w:rPr>
        <w:t>”</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spacing w:before="60"/>
      </w:pPr>
      <w:r>
        <w:rPr>
          <w:b/>
        </w:rPr>
        <w:tab/>
        <w:t>“</w:t>
      </w:r>
      <w:r>
        <w:rPr>
          <w:rStyle w:val="CharDefText"/>
        </w:rPr>
        <w:t>specialist</w:t>
      </w:r>
      <w:r>
        <w:rPr>
          <w:b/>
        </w:rPr>
        <w:t>”</w:t>
      </w:r>
      <w:r>
        <w:t xml:space="preserve"> means a medical practitioner — </w:t>
      </w:r>
    </w:p>
    <w:p>
      <w:pPr>
        <w:pStyle w:val="Defpara"/>
      </w:pPr>
      <w:r>
        <w:tab/>
        <w:t>(a)</w:t>
      </w:r>
      <w:r>
        <w:tab/>
        <w:t xml:space="preserve">who is resident in the State and who is registered as a specialist under section 11A of the </w:t>
      </w:r>
      <w:r>
        <w:rPr>
          <w:i/>
        </w:rPr>
        <w:t>Medical Act 1894</w:t>
      </w:r>
      <w:r>
        <w:t>; or</w:t>
      </w:r>
    </w:p>
    <w:p>
      <w:pPr>
        <w:pStyle w:val="Defpara"/>
      </w:pPr>
      <w:r>
        <w:tab/>
        <w:t>(b)</w:t>
      </w:r>
      <w:r>
        <w:tab/>
        <w:t>who is not resident in the State, but who is recognised as a specialist for the purposes of this Act by WorkCover WA;</w:t>
      </w:r>
    </w:p>
    <w:p>
      <w:pPr>
        <w:pStyle w:val="Defstart"/>
      </w:pPr>
      <w:r>
        <w:tab/>
      </w:r>
      <w:r>
        <w:rPr>
          <w:b/>
        </w:rPr>
        <w:t>“</w:t>
      </w:r>
      <w:r>
        <w:rPr>
          <w:rStyle w:val="CharDefText"/>
        </w:rPr>
        <w:t>spouse</w:t>
      </w:r>
      <w:r>
        <w:rPr>
          <w:b/>
        </w:rPr>
        <w:t>”</w:t>
      </w:r>
      <w:r>
        <w:t xml:space="preserve"> in relation to compensation payable in respect of the death of a worker, includes any former spouse of the worker if the worker was legally obliged immediately before the death of the worker to make provision for that former spouse with respect to financial matters;</w:t>
      </w:r>
    </w:p>
    <w:p>
      <w:pPr>
        <w:pStyle w:val="Defstart"/>
      </w:pPr>
      <w:r>
        <w:rPr>
          <w:b/>
        </w:rPr>
        <w:tab/>
        <w:t>“</w:t>
      </w:r>
      <w:r>
        <w:rPr>
          <w:rStyle w:val="CharDefText"/>
        </w:rPr>
        <w:t>State</w:t>
      </w:r>
      <w:r>
        <w:rPr>
          <w:b/>
        </w:rPr>
        <w:t>”</w:t>
      </w:r>
      <w:r>
        <w:t xml:space="preserve"> includes Territory;</w:t>
      </w:r>
    </w:p>
    <w:p>
      <w:pPr>
        <w:pStyle w:val="Defstart"/>
      </w:pPr>
      <w:r>
        <w:rPr>
          <w:b/>
        </w:rPr>
        <w:tab/>
        <w:t>“</w:t>
      </w:r>
      <w:r>
        <w:rPr>
          <w:rStyle w:val="CharDefText"/>
        </w:rPr>
        <w:t>State Government Insurance Commission</w:t>
      </w:r>
      <w:r>
        <w:rPr>
          <w:b/>
        </w:rPr>
        <w:t>”</w:t>
      </w:r>
      <w:r>
        <w:t xml:space="preserve"> means the State Government Insurance Commission </w:t>
      </w:r>
      <w:r>
        <w:rPr>
          <w:vertAlign w:val="superscript"/>
        </w:rPr>
        <w:t>2</w:t>
      </w:r>
      <w:r>
        <w:t xml:space="preserve"> established by the </w:t>
      </w:r>
      <w:r>
        <w:rPr>
          <w:i/>
        </w:rPr>
        <w:t>Insurance Commission of Western Australia Act 1986</w:t>
      </w:r>
      <w:r>
        <w:t>;</w:t>
      </w:r>
    </w:p>
    <w:p>
      <w:pPr>
        <w:pStyle w:val="Defstart"/>
      </w:pPr>
      <w:r>
        <w:rPr>
          <w:b/>
        </w:rPr>
        <w:tab/>
        <w:t>“</w:t>
      </w:r>
      <w:r>
        <w:rPr>
          <w:rStyle w:val="CharDefText"/>
        </w:rPr>
        <w:t>State Government Insurance Corporation</w:t>
      </w:r>
      <w:r>
        <w:rPr>
          <w:b/>
        </w:rPr>
        <w:t>”</w:t>
      </w:r>
      <w:r>
        <w:t xml:space="preserve"> means the State Government Insurance Corporation </w:t>
      </w:r>
      <w:r>
        <w:rPr>
          <w:vertAlign w:val="superscript"/>
        </w:rPr>
        <w:t>3</w:t>
      </w:r>
      <w:r>
        <w:t xml:space="preserve"> established by the </w:t>
      </w:r>
      <w:r>
        <w:rPr>
          <w:i/>
        </w:rPr>
        <w:t>Insurance Commission of Western Australia Act 1986</w:t>
      </w:r>
      <w:r>
        <w:t>;</w:t>
      </w:r>
    </w:p>
    <w:p>
      <w:pPr>
        <w:pStyle w:val="Defstart"/>
      </w:pPr>
      <w:r>
        <w:rPr>
          <w:b/>
        </w:rPr>
        <w:tab/>
        <w:t>“</w:t>
      </w:r>
      <w:r>
        <w:rPr>
          <w:rStyle w:val="CharDefText"/>
        </w:rPr>
        <w:t>the Chairman of WorkCover WA</w:t>
      </w:r>
      <w:r>
        <w:rPr>
          <w:b/>
        </w:rPr>
        <w:t>”</w:t>
      </w:r>
      <w:r>
        <w:t xml:space="preserve"> means the person appointed to the office of Chairman of WorkCover WA’s governing body and includes a person appointed to act in the place and during the absence of the Chairman while that person is so acting;</w:t>
      </w:r>
    </w:p>
    <w:p>
      <w:pPr>
        <w:pStyle w:val="Defstart"/>
      </w:pPr>
      <w:r>
        <w:rPr>
          <w:b/>
        </w:rPr>
        <w:tab/>
        <w:t>“</w:t>
      </w:r>
      <w:r>
        <w:rPr>
          <w:rStyle w:val="CharDefText"/>
        </w:rPr>
        <w:t>tributer</w:t>
      </w:r>
      <w:r>
        <w:rPr>
          <w:b/>
        </w:rPr>
        <w:t>”</w:t>
      </w:r>
      <w:r>
        <w:t xml:space="preserve"> means a person who works a mine under an agreement with the lessee or owner of the mine to pay or receive from the lessee or owner a portion of the percentage product taken from the mine;</w:t>
      </w:r>
    </w:p>
    <w:p>
      <w:pPr>
        <w:pStyle w:val="Defstart"/>
      </w:pPr>
      <w:r>
        <w:rPr>
          <w:b/>
        </w:rPr>
        <w:tab/>
        <w:t>“</w:t>
      </w:r>
      <w:r>
        <w:rPr>
          <w:rStyle w:val="CharDefText"/>
        </w:rPr>
        <w:t>Trust Fund</w:t>
      </w:r>
      <w:r>
        <w:rPr>
          <w:b/>
        </w:rPr>
        <w:t>”</w:t>
      </w:r>
      <w:r>
        <w:t xml:space="preserve"> means the Workers’ Compensation and Injury Management Trust Fund established under this Act;</w:t>
      </w:r>
    </w:p>
    <w:p>
      <w:pPr>
        <w:pStyle w:val="Defstart"/>
      </w:pPr>
      <w:r>
        <w:rPr>
          <w:b/>
        </w:rPr>
        <w:tab/>
        <w:t>“</w:t>
      </w:r>
      <w:r>
        <w:rPr>
          <w:rStyle w:val="CharDefText"/>
        </w:rPr>
        <w:t>vocational rehabilitation</w:t>
      </w:r>
      <w:r>
        <w:rPr>
          <w:b/>
        </w:rPr>
        <w:t>”</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pPr>
      <w:r>
        <w:rPr>
          <w:b/>
        </w:rPr>
        <w:tab/>
        <w:t>“</w:t>
      </w:r>
      <w:r>
        <w:rPr>
          <w:rStyle w:val="CharDefText"/>
        </w:rPr>
        <w:t>weekly payments of compensation</w:t>
      </w:r>
      <w:r>
        <w:rPr>
          <w:b/>
        </w:rPr>
        <w:t>”</w:t>
      </w:r>
      <w:r>
        <w:t>, in respect of the prescribed amount, include payments made under clause 10 and weekly payments of the supplementary amount made under Schedule 5 clause 2;</w:t>
      </w:r>
    </w:p>
    <w:p>
      <w:pPr>
        <w:pStyle w:val="Defstart"/>
      </w:pPr>
      <w:r>
        <w:rPr>
          <w:b/>
        </w:rPr>
        <w:tab/>
        <w:t>“</w:t>
      </w:r>
      <w:r>
        <w:rPr>
          <w:rStyle w:val="CharDefText"/>
        </w:rPr>
        <w:t>WorkCover Guides</w:t>
      </w:r>
      <w:r>
        <w:rPr>
          <w:b/>
        </w:rPr>
        <w:t>”</w:t>
      </w:r>
      <w:r>
        <w:t xml:space="preserve"> means the directions published by WorkCover WA under section 146R;</w:t>
      </w:r>
    </w:p>
    <w:p>
      <w:pPr>
        <w:pStyle w:val="Defstart"/>
      </w:pPr>
      <w:r>
        <w:rPr>
          <w:b/>
        </w:rPr>
        <w:tab/>
        <w:t>“</w:t>
      </w:r>
      <w:r>
        <w:rPr>
          <w:rStyle w:val="CharDefText"/>
        </w:rPr>
        <w:t>WorkCover WA</w:t>
      </w:r>
      <w:r>
        <w:rPr>
          <w:b/>
        </w:rPr>
        <w:t>”</w:t>
      </w:r>
      <w:r>
        <w:t xml:space="preserve"> means the WorkCover Western Australia Authority referred to in section 94;</w:t>
      </w:r>
    </w:p>
    <w:p>
      <w:pPr>
        <w:pStyle w:val="Defstart"/>
      </w:pPr>
      <w:r>
        <w:rPr>
          <w:b/>
        </w:rPr>
        <w:tab/>
        <w:t>“</w:t>
      </w:r>
      <w:r>
        <w:rPr>
          <w:rStyle w:val="CharDefText"/>
        </w:rPr>
        <w:t>worker</w:t>
      </w:r>
      <w:r>
        <w:rPr>
          <w:b/>
        </w:rPr>
        <w:t>”</w:t>
      </w:r>
      <w:r>
        <w:t xml:space="preserve"> does not include a person whose employment is of a casual nature and is not for the purpose of the employer’s trade or business, or except as hereinafter provided in this definition a member of the police force, or except as hereinafter provided in this definition a member of the employer’s family dwelling in his house;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pPr>
      <w:r>
        <w:tab/>
      </w:r>
      <w:r>
        <w:tab/>
        <w:t xml:space="preserve">the term </w:t>
      </w:r>
      <w:r>
        <w:rPr>
          <w:b/>
        </w:rPr>
        <w:t>“</w:t>
      </w:r>
      <w:r>
        <w:rPr>
          <w:rStyle w:val="CharDefText"/>
        </w:rPr>
        <w:t>worker</w:t>
      </w:r>
      <w:r>
        <w:rPr>
          <w:b/>
        </w:rPr>
        <w:t>”</w:t>
      </w:r>
      <w:r>
        <w:t>, save as hereinbefore provided in this definition, includes a member of the police force, who suffers an injury and dies as a result of that injury, and any member of the employer’s family dwelling in his house whose name, employment, and estimated wages are disclosed, at the time of employment and thereafter from time to time when the insurance is renewed, in writing to the insurer of the employer’s liability to pay compensation under this Act;</w:t>
      </w:r>
    </w:p>
    <w:p>
      <w:pPr>
        <w:pStyle w:val="Defstart"/>
        <w:keepNext/>
      </w:pPr>
      <w:r>
        <w:tab/>
      </w:r>
      <w:r>
        <w:tab/>
        <w:t xml:space="preserve">the term </w:t>
      </w:r>
      <w:r>
        <w:rPr>
          <w:b/>
        </w:rPr>
        <w:t>“</w:t>
      </w:r>
      <w:r>
        <w:rPr>
          <w:rStyle w:val="CharDefText"/>
        </w:rPr>
        <w:t>worker</w:t>
      </w:r>
      <w:r>
        <w:rPr>
          <w:b/>
        </w:rPr>
        <w:t>”</w:t>
      </w:r>
      <w:r>
        <w:t xml:space="preserve"> save as aforesaid, also includes — </w:t>
      </w:r>
    </w:p>
    <w:p>
      <w:pPr>
        <w:pStyle w:val="Defpara"/>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pPr>
      <w:r>
        <w:tab/>
      </w: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repealed]</w:t>
      </w:r>
    </w:p>
    <w:p>
      <w:pPr>
        <w:pStyle w:val="Subsection"/>
      </w:pPr>
      <w:r>
        <w:tab/>
        <w:t>(3)</w:t>
      </w:r>
      <w:r>
        <w:tab/>
        <w:t>A reference in this Act to a “personal injury by accident” is a reference to an injury of a kind referred to in paragraph (a) of the definition of “injury” in subsection (1).</w:t>
      </w:r>
    </w:p>
    <w:p>
      <w:pPr>
        <w:pStyle w:val="Subsection"/>
        <w:spacing w:before="100"/>
        <w:rPr>
          <w:snapToGrid w:val="0"/>
        </w:rPr>
      </w:pPr>
      <w:r>
        <w:rPr>
          <w:snapToGrid w:val="0"/>
        </w:rPr>
        <w:tab/>
        <w:t>(4)</w:t>
      </w:r>
      <w:r>
        <w:rPr>
          <w:snapToGrid w:val="0"/>
        </w:rPr>
        <w:tab/>
        <w:t>For purposes of the definition of</w:t>
      </w:r>
      <w:r>
        <w:rPr>
          <w:b/>
        </w:rPr>
        <w:t xml:space="preserve"> “injury”</w:t>
      </w:r>
      <w:r>
        <w:rPr>
          <w:snapToGrid w:val="0"/>
        </w:rPr>
        <w:t>, the matters are as follows — </w:t>
      </w:r>
    </w:p>
    <w:p>
      <w:pPr>
        <w:pStyle w:val="Indenta"/>
        <w:rPr>
          <w:snapToGrid w:val="0"/>
        </w:rPr>
      </w:pPr>
      <w:r>
        <w:rPr>
          <w:snapToGrid w:val="0"/>
        </w:rPr>
        <w:tab/>
        <w:t>(a)</w:t>
      </w:r>
      <w:r>
        <w:rPr>
          <w:snapToGrid w:val="0"/>
        </w:rPr>
        <w:tab/>
        <w:t>the worker’s dismissal, retrenchment, demotion, discipline, transfer or redeployment;</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rPr>
          <w:snapToGrid w:val="0"/>
        </w:rPr>
      </w:pPr>
      <w:r>
        <w:rPr>
          <w:snapToGrid w:val="0"/>
        </w:rPr>
        <w:tab/>
        <w:t>(c)</w:t>
      </w:r>
      <w:r>
        <w:rPr>
          <w:snapToGrid w:val="0"/>
        </w:rPr>
        <w:tab/>
        <w:t>the worker’s expectation of —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In determining whether the employment contributed, or contributed to a significant degree, to the contraction, recurrence, aggravation or acceleration of a disease for purposes of the definitions of</w:t>
      </w:r>
      <w:r>
        <w:rPr>
          <w:b/>
        </w:rPr>
        <w:t xml:space="preserve"> “injury”</w:t>
      </w:r>
      <w:r>
        <w:rPr>
          <w:snapToGrid w:val="0"/>
        </w:rPr>
        <w:t xml:space="preserve"> and </w:t>
      </w:r>
      <w:r>
        <w:rPr>
          <w:b/>
          <w:snapToGrid w:val="0"/>
        </w:rPr>
        <w:t>“</w:t>
      </w:r>
      <w:r>
        <w:rPr>
          <w:rStyle w:val="CharDefText"/>
        </w:rPr>
        <w:t>relevant employment</w:t>
      </w:r>
      <w:r>
        <w:rPr>
          <w:b/>
          <w:snapToGrid w:val="0"/>
        </w:rPr>
        <w:t>”</w:t>
      </w:r>
      <w:r>
        <w:rPr>
          <w:snapToGrid w:val="0"/>
        </w:rPr>
        <w:t>, the following shall be taken into account — </w:t>
      </w:r>
    </w:p>
    <w:p>
      <w:pPr>
        <w:pStyle w:val="Indenta"/>
        <w:rPr>
          <w:snapToGrid w:val="0"/>
        </w:rPr>
      </w:pPr>
      <w:r>
        <w:rPr>
          <w:snapToGrid w:val="0"/>
        </w:rPr>
        <w:tab/>
        <w:t>(a)</w:t>
      </w:r>
      <w:r>
        <w:rPr>
          <w:snapToGrid w:val="0"/>
        </w:rPr>
        <w:tab/>
        <w:t>the duration of the employment;</w:t>
      </w:r>
    </w:p>
    <w:p>
      <w:pPr>
        <w:pStyle w:val="Indenta"/>
        <w:rPr>
          <w:snapToGrid w:val="0"/>
        </w:rPr>
      </w:pPr>
      <w:r>
        <w:rPr>
          <w:snapToGrid w:val="0"/>
        </w:rPr>
        <w:tab/>
        <w:t>(b)</w:t>
      </w:r>
      <w:r>
        <w:rPr>
          <w:snapToGrid w:val="0"/>
        </w:rPr>
        <w:tab/>
        <w:t>the nature of, and particular tasks involved in, the employment;</w:t>
      </w:r>
    </w:p>
    <w:p>
      <w:pPr>
        <w:pStyle w:val="Indenta"/>
        <w:rPr>
          <w:snapToGrid w:val="0"/>
        </w:rPr>
      </w:pPr>
      <w:r>
        <w:rPr>
          <w:snapToGrid w:val="0"/>
        </w:rPr>
        <w:tab/>
        <w:t>(c)</w:t>
      </w:r>
      <w:r>
        <w:rPr>
          <w:snapToGrid w:val="0"/>
        </w:rPr>
        <w:tab/>
        <w:t>the likelihood of the contraction, recurrence, aggravation or acceleration of the disease occurring despite the employment;</w:t>
      </w:r>
    </w:p>
    <w:p>
      <w:pPr>
        <w:pStyle w:val="Indenta"/>
        <w:rPr>
          <w:snapToGrid w:val="0"/>
        </w:rPr>
      </w:pPr>
      <w:r>
        <w:rPr>
          <w:snapToGrid w:val="0"/>
        </w:rPr>
        <w:tab/>
        <w:t>(d)</w:t>
      </w:r>
      <w:r>
        <w:rPr>
          <w:snapToGrid w:val="0"/>
        </w:rPr>
        <w:tab/>
        <w:t>the existence of any hereditary factors in relation to the contraction, recurrence, aggravation or acceleration of the disease;</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 xml:space="preserve">[Section 5 amended by No. 79 of 1983 s. 2; No. 44 of 1985 s. 3; No. 51 of 1986 s. 46(2); No. 85 of 1986 s. 4; No. 86 of 1986 s. 5 and 6; No. 21 of 1987 s. 3; No. 36 of 1988 s. 4; No. 96 of 1990 s. 6; No. 72 of 1992 s. 16(3); No. 48 of 1993 s. 18, 21, 28(1) and 29; No. 62 of 1994 s. 109; No. 34 of 1999 s. 4 and 32(1); No. 10 of 2001 s. 218; No. 28 of 2003 s. 214; No. 36 of 2004 s. 4; No. 42 of 2004 s. 8, 146, 147, 150 and 154(4); No. 16 of 2005 s. 30(2).] </w:t>
      </w:r>
    </w:p>
    <w:p>
      <w:pPr>
        <w:pStyle w:val="Heading5"/>
      </w:pPr>
      <w:bookmarkStart w:id="67" w:name="_Toc517775176"/>
      <w:bookmarkStart w:id="68" w:name="_Toc520106924"/>
      <w:bookmarkStart w:id="69" w:name="_Toc523111549"/>
      <w:bookmarkStart w:id="70" w:name="_Toc122833113"/>
      <w:bookmarkStart w:id="71" w:name="_Toc122833680"/>
      <w:r>
        <w:rPr>
          <w:rStyle w:val="CharSectno"/>
        </w:rPr>
        <w:t>5A</w:t>
      </w:r>
      <w:r>
        <w:t>.</w:t>
      </w:r>
      <w:r>
        <w:tab/>
        <w:t>Indexation of certain amounts</w:t>
      </w:r>
      <w:bookmarkEnd w:id="67"/>
      <w:bookmarkEnd w:id="68"/>
      <w:bookmarkEnd w:id="69"/>
      <w:bookmarkEnd w:id="70"/>
      <w:bookmarkEnd w:id="71"/>
    </w:p>
    <w:p>
      <w:pPr>
        <w:pStyle w:val="Subsection"/>
      </w:pPr>
      <w:r>
        <w:tab/>
        <w:t>(1)</w:t>
      </w:r>
      <w:r>
        <w:tab/>
        <w:t xml:space="preserve">An amount that a provision of this Act describes as applying in accordance with this section is — </w:t>
      </w:r>
    </w:p>
    <w:p>
      <w:pPr>
        <w:pStyle w:val="Indenta"/>
      </w:pPr>
      <w:r>
        <w:tab/>
        <w:t>(a)</w:t>
      </w:r>
      <w:r>
        <w:tab/>
        <w:t>before 1 July 1997, the amount that was prescribed for the purposes of that provision; and</w:t>
      </w:r>
    </w:p>
    <w:p>
      <w:pPr>
        <w:pStyle w:val="Indenta"/>
      </w:pPr>
      <w:r>
        <w:tab/>
        <w:t>(b)</w:t>
      </w:r>
      <w:r>
        <w:tab/>
        <w:t>for a financial year commencing on or after 1 July 1997,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Subsection"/>
      </w:pPr>
      <w:r>
        <w:tab/>
        <w:t>(2)</w:t>
      </w:r>
      <w:r>
        <w:tab/>
        <w:t xml:space="preserve">In this section </w:t>
      </w:r>
      <w:r>
        <w:rPr>
          <w:b/>
        </w:rPr>
        <w:t>“</w:t>
      </w:r>
      <w:r>
        <w:rPr>
          <w:rStyle w:val="CharDefText"/>
        </w:rPr>
        <w:t>March CPI</w:t>
      </w:r>
      <w:r>
        <w:rPr>
          <w:b/>
        </w:rPr>
        <w:t>”</w:t>
      </w:r>
      <w:r>
        <w:t xml:space="preserve">, for a financial year, means the index number for the quarter ending on the last 31 March before the financial year commences, as shown in the Consumer Price Index Numbers (All Groups Index) for Perth published by the Commonwealth Statistician under the </w:t>
      </w:r>
      <w:r>
        <w:rPr>
          <w:i/>
        </w:rPr>
        <w:t>Census and Statistics Act 1905</w:t>
      </w:r>
      <w:r>
        <w:t xml:space="preserve"> of the Commonwealth.</w:t>
      </w:r>
    </w:p>
    <w:p>
      <w:pPr>
        <w:pStyle w:val="Footnotesection"/>
      </w:pPr>
      <w:r>
        <w:tab/>
        <w:t>[Section 5A inserted by No. 34 of 1999 s. 5.]</w:t>
      </w:r>
    </w:p>
    <w:p>
      <w:pPr>
        <w:pStyle w:val="Heading2"/>
      </w:pPr>
      <w:bookmarkStart w:id="72" w:name="_Toc86739889"/>
      <w:bookmarkStart w:id="73" w:name="_Toc88562293"/>
      <w:bookmarkStart w:id="74" w:name="_Toc88625210"/>
      <w:bookmarkStart w:id="75" w:name="_Toc91385859"/>
      <w:bookmarkStart w:id="76" w:name="_Toc92704865"/>
      <w:bookmarkStart w:id="77" w:name="_Toc93222334"/>
      <w:bookmarkStart w:id="78" w:name="_Toc95022411"/>
      <w:bookmarkStart w:id="79" w:name="_Toc95117683"/>
      <w:bookmarkStart w:id="80" w:name="_Toc96498088"/>
      <w:bookmarkStart w:id="81" w:name="_Toc96500566"/>
      <w:bookmarkStart w:id="82" w:name="_Toc101779478"/>
      <w:bookmarkStart w:id="83" w:name="_Toc103059930"/>
      <w:bookmarkStart w:id="84" w:name="_Toc105470826"/>
      <w:bookmarkStart w:id="85" w:name="_Toc105474740"/>
      <w:bookmarkStart w:id="86" w:name="_Toc105475126"/>
      <w:bookmarkStart w:id="87" w:name="_Toc107307842"/>
      <w:bookmarkStart w:id="88" w:name="_Toc109712075"/>
      <w:bookmarkStart w:id="89" w:name="_Toc109723958"/>
      <w:bookmarkStart w:id="90" w:name="_Toc110053830"/>
      <w:bookmarkStart w:id="91" w:name="_Toc110054219"/>
      <w:bookmarkStart w:id="92" w:name="_Toc110654299"/>
      <w:bookmarkStart w:id="93" w:name="_Toc110735737"/>
      <w:bookmarkStart w:id="94" w:name="_Toc110738473"/>
      <w:bookmarkStart w:id="95" w:name="_Toc115691147"/>
      <w:bookmarkStart w:id="96" w:name="_Toc115773444"/>
      <w:bookmarkStart w:id="97" w:name="_Toc119132395"/>
      <w:bookmarkStart w:id="98" w:name="_Toc119203065"/>
      <w:bookmarkStart w:id="99" w:name="_Toc119203711"/>
      <w:bookmarkStart w:id="100" w:name="_Toc119216041"/>
      <w:bookmarkStart w:id="101" w:name="_Toc119300561"/>
      <w:bookmarkStart w:id="102" w:name="_Toc119301128"/>
      <w:bookmarkStart w:id="103" w:name="_Toc119301697"/>
      <w:bookmarkStart w:id="104" w:name="_Toc119919884"/>
      <w:bookmarkStart w:id="105" w:name="_Toc122773871"/>
      <w:bookmarkStart w:id="106" w:name="_Toc122833114"/>
      <w:bookmarkStart w:id="107" w:name="_Toc122833681"/>
      <w:r>
        <w:rPr>
          <w:rStyle w:val="CharPartNo"/>
        </w:rPr>
        <w:t>Part II</w:t>
      </w:r>
      <w:r>
        <w:rPr>
          <w:rStyle w:val="CharDivNo"/>
        </w:rPr>
        <w:t> </w:t>
      </w:r>
      <w:r>
        <w:t>—</w:t>
      </w:r>
      <w:r>
        <w:rPr>
          <w:rStyle w:val="CharDivText"/>
        </w:rPr>
        <w:t> </w:t>
      </w:r>
      <w:r>
        <w:rPr>
          <w:rStyle w:val="CharPartText"/>
        </w:rPr>
        <w:t>Application of this Act in respect of certain persons and bodies</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r>
        <w:rPr>
          <w:rStyle w:val="CharPartText"/>
        </w:rPr>
        <w:t xml:space="preserve"> </w:t>
      </w:r>
    </w:p>
    <w:p>
      <w:pPr>
        <w:pStyle w:val="Heading5"/>
        <w:rPr>
          <w:snapToGrid w:val="0"/>
        </w:rPr>
      </w:pPr>
      <w:bookmarkStart w:id="108" w:name="_Toc440877819"/>
      <w:bookmarkStart w:id="109" w:name="_Toc517775177"/>
      <w:bookmarkStart w:id="110" w:name="_Toc520106925"/>
      <w:bookmarkStart w:id="111" w:name="_Toc523111550"/>
      <w:bookmarkStart w:id="112" w:name="_Toc122833115"/>
      <w:bookmarkStart w:id="113" w:name="_Toc122833682"/>
      <w:r>
        <w:rPr>
          <w:rStyle w:val="CharSectno"/>
        </w:rPr>
        <w:t>6</w:t>
      </w:r>
      <w:r>
        <w:rPr>
          <w:snapToGrid w:val="0"/>
        </w:rPr>
        <w:t>.</w:t>
      </w:r>
      <w:r>
        <w:rPr>
          <w:snapToGrid w:val="0"/>
        </w:rPr>
        <w:tab/>
        <w:t>Local governments and other authorities</w:t>
      </w:r>
      <w:bookmarkEnd w:id="108"/>
      <w:bookmarkEnd w:id="109"/>
      <w:bookmarkEnd w:id="110"/>
      <w:bookmarkEnd w:id="111"/>
      <w:bookmarkEnd w:id="112"/>
      <w:bookmarkEnd w:id="113"/>
      <w:r>
        <w:rPr>
          <w:snapToGrid w:val="0"/>
        </w:rPr>
        <w:t xml:space="preserve"> </w:t>
      </w:r>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 xml:space="preserve">[Section 6 amended by No. 14 of 1996 s. 4.] </w:t>
      </w:r>
    </w:p>
    <w:p>
      <w:pPr>
        <w:pStyle w:val="Heading5"/>
        <w:rPr>
          <w:snapToGrid w:val="0"/>
        </w:rPr>
      </w:pPr>
      <w:bookmarkStart w:id="114" w:name="_Toc440877820"/>
      <w:bookmarkStart w:id="115" w:name="_Toc517775178"/>
      <w:bookmarkStart w:id="116" w:name="_Toc520106926"/>
      <w:bookmarkStart w:id="117" w:name="_Toc523111551"/>
      <w:bookmarkStart w:id="118" w:name="_Toc122833116"/>
      <w:bookmarkStart w:id="119" w:name="_Toc122833683"/>
      <w:r>
        <w:rPr>
          <w:rStyle w:val="CharSectno"/>
        </w:rPr>
        <w:t>7</w:t>
      </w:r>
      <w:r>
        <w:rPr>
          <w:snapToGrid w:val="0"/>
        </w:rPr>
        <w:t>.</w:t>
      </w:r>
      <w:r>
        <w:rPr>
          <w:snapToGrid w:val="0"/>
        </w:rPr>
        <w:tab/>
        <w:t>Tributers</w:t>
      </w:r>
      <w:bookmarkEnd w:id="114"/>
      <w:bookmarkEnd w:id="115"/>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by No. 42 of 2004 s. 9.]</w:t>
      </w:r>
    </w:p>
    <w:p>
      <w:pPr>
        <w:pStyle w:val="Heading5"/>
        <w:rPr>
          <w:snapToGrid w:val="0"/>
        </w:rPr>
      </w:pPr>
      <w:bookmarkStart w:id="120" w:name="_Toc440877821"/>
      <w:bookmarkStart w:id="121" w:name="_Toc517775179"/>
      <w:bookmarkStart w:id="122" w:name="_Toc520106927"/>
      <w:bookmarkStart w:id="123" w:name="_Toc523111552"/>
      <w:bookmarkStart w:id="124" w:name="_Toc122833117"/>
      <w:bookmarkStart w:id="125" w:name="_Toc122833684"/>
      <w:r>
        <w:rPr>
          <w:rStyle w:val="CharSectno"/>
        </w:rPr>
        <w:t>8</w:t>
      </w:r>
      <w:r>
        <w:rPr>
          <w:snapToGrid w:val="0"/>
        </w:rPr>
        <w:t>.</w:t>
      </w:r>
      <w:r>
        <w:rPr>
          <w:snapToGrid w:val="0"/>
        </w:rPr>
        <w:tab/>
        <w:t>Baptist clergymen</w:t>
      </w:r>
      <w:bookmarkEnd w:id="120"/>
      <w:bookmarkEnd w:id="121"/>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 xml:space="preserve">In this Act </w:t>
      </w:r>
      <w:r>
        <w:rPr>
          <w:b/>
          <w:snapToGrid w:val="0"/>
        </w:rPr>
        <w:t>“</w:t>
      </w:r>
      <w:r>
        <w:rPr>
          <w:rStyle w:val="CharDefText"/>
        </w:rPr>
        <w:t>worker</w:t>
      </w:r>
      <w:r>
        <w:rPr>
          <w:b/>
          <w:snapToGrid w:val="0"/>
        </w:rPr>
        <w:t>”</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rPr>
          <w:snapToGrid w:val="0"/>
        </w:rPr>
      </w:pPr>
      <w:bookmarkStart w:id="126" w:name="_Toc440877822"/>
      <w:bookmarkStart w:id="127" w:name="_Toc517775180"/>
      <w:bookmarkStart w:id="128" w:name="_Toc520106928"/>
      <w:bookmarkStart w:id="129" w:name="_Toc523111553"/>
      <w:bookmarkStart w:id="130" w:name="_Toc122833118"/>
      <w:bookmarkStart w:id="131" w:name="_Toc122833685"/>
      <w:r>
        <w:rPr>
          <w:rStyle w:val="CharSectno"/>
        </w:rPr>
        <w:t>9</w:t>
      </w:r>
      <w:r>
        <w:rPr>
          <w:snapToGrid w:val="0"/>
        </w:rPr>
        <w:t>.</w:t>
      </w:r>
      <w:r>
        <w:rPr>
          <w:snapToGrid w:val="0"/>
        </w:rPr>
        <w:tab/>
        <w:t>Anglican clergy</w:t>
      </w:r>
      <w:bookmarkEnd w:id="126"/>
      <w:bookmarkEnd w:id="127"/>
      <w:bookmarkEnd w:id="128"/>
      <w:bookmarkEnd w:id="129"/>
      <w:bookmarkEnd w:id="130"/>
      <w:bookmarkEnd w:id="131"/>
      <w:r>
        <w:rPr>
          <w:snapToGrid w:val="0"/>
        </w:rPr>
        <w:t xml:space="preserve"> </w:t>
      </w:r>
    </w:p>
    <w:p>
      <w:pPr>
        <w:pStyle w:val="Subsection"/>
        <w:rPr>
          <w:snapToGrid w:val="0"/>
        </w:rPr>
      </w:pPr>
      <w:r>
        <w:rPr>
          <w:snapToGrid w:val="0"/>
        </w:rPr>
        <w:tab/>
      </w:r>
      <w:r>
        <w:rPr>
          <w:snapToGrid w:val="0"/>
        </w:rPr>
        <w:tab/>
        <w:t xml:space="preserve">In this Act </w:t>
      </w:r>
      <w:r>
        <w:rPr>
          <w:b/>
          <w:snapToGrid w:val="0"/>
        </w:rPr>
        <w:t>“</w:t>
      </w:r>
      <w:r>
        <w:rPr>
          <w:rStyle w:val="CharDefText"/>
        </w:rPr>
        <w:t>worker</w:t>
      </w:r>
      <w:r>
        <w:rPr>
          <w:b/>
          <w:snapToGrid w:val="0"/>
        </w:rPr>
        <w:t>”</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Perth is deemed to be the employer.</w:t>
      </w:r>
    </w:p>
    <w:p>
      <w:pPr>
        <w:pStyle w:val="Footnotesection"/>
      </w:pPr>
      <w:r>
        <w:tab/>
        <w:t xml:space="preserve">[Section 9 inserted by No. 72 of 1992 s. 5.] </w:t>
      </w:r>
    </w:p>
    <w:p>
      <w:pPr>
        <w:pStyle w:val="Heading5"/>
        <w:rPr>
          <w:snapToGrid w:val="0"/>
        </w:rPr>
      </w:pPr>
      <w:bookmarkStart w:id="132" w:name="_Toc440877823"/>
      <w:bookmarkStart w:id="133" w:name="_Toc517775181"/>
      <w:bookmarkStart w:id="134" w:name="_Toc520106929"/>
      <w:bookmarkStart w:id="135" w:name="_Toc523111554"/>
      <w:bookmarkStart w:id="136" w:name="_Toc122833119"/>
      <w:bookmarkStart w:id="137" w:name="_Toc122833686"/>
      <w:r>
        <w:rPr>
          <w:rStyle w:val="CharSectno"/>
        </w:rPr>
        <w:t>10</w:t>
      </w:r>
      <w:r>
        <w:rPr>
          <w:snapToGrid w:val="0"/>
        </w:rPr>
        <w:t>.</w:t>
      </w:r>
      <w:r>
        <w:rPr>
          <w:snapToGrid w:val="0"/>
        </w:rPr>
        <w:tab/>
        <w:t>Other clergymen</w:t>
      </w:r>
      <w:bookmarkEnd w:id="132"/>
      <w:bookmarkEnd w:id="133"/>
      <w:bookmarkEnd w:id="134"/>
      <w:bookmarkEnd w:id="135"/>
      <w:bookmarkEnd w:id="136"/>
      <w:bookmarkEnd w:id="137"/>
      <w:r>
        <w:rPr>
          <w:snapToGrid w:val="0"/>
        </w:rPr>
        <w:t xml:space="preserve"> </w:t>
      </w:r>
    </w:p>
    <w:p>
      <w:pPr>
        <w:pStyle w:val="Subsection"/>
        <w:rPr>
          <w:snapToGrid w:val="0"/>
        </w:rPr>
      </w:pPr>
      <w:r>
        <w:rPr>
          <w:snapToGrid w:val="0"/>
        </w:rPr>
        <w:tab/>
      </w:r>
      <w:r>
        <w:rPr>
          <w:snapToGrid w:val="0"/>
        </w:rPr>
        <w:tab/>
        <w:t>At the request of the governing body of any other church, the Minister —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b/>
          <w:snapToGrid w:val="0"/>
        </w:rPr>
        <w:t>“</w:t>
      </w:r>
      <w:r>
        <w:rPr>
          <w:rStyle w:val="CharDefText"/>
        </w:rPr>
        <w:t>worker</w:t>
      </w:r>
      <w:r>
        <w:rPr>
          <w:b/>
          <w:snapToGrid w:val="0"/>
        </w:rPr>
        <w:t>”</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138" w:name="_Toc122833120"/>
      <w:bookmarkStart w:id="139" w:name="_Toc122833687"/>
      <w:bookmarkStart w:id="140" w:name="_Toc440877825"/>
      <w:bookmarkStart w:id="141" w:name="_Toc517775183"/>
      <w:bookmarkStart w:id="142" w:name="_Toc520106931"/>
      <w:bookmarkStart w:id="143" w:name="_Toc523111556"/>
      <w:r>
        <w:t>10A.</w:t>
      </w:r>
      <w:r>
        <w:tab/>
        <w:t>Working directors</w:t>
      </w:r>
      <w:bookmarkEnd w:id="138"/>
      <w:bookmarkEnd w:id="139"/>
    </w:p>
    <w:p>
      <w:pPr>
        <w:pStyle w:val="Subsection"/>
      </w:pPr>
      <w:r>
        <w:tab/>
        <w:t>(1)</w:t>
      </w:r>
      <w:r>
        <w:tab/>
        <w:t xml:space="preserve">In this section — </w:t>
      </w:r>
    </w:p>
    <w:p>
      <w:pPr>
        <w:pStyle w:val="Defstart"/>
      </w:pPr>
      <w:r>
        <w:rPr>
          <w:b/>
        </w:rPr>
        <w:tab/>
        <w:t>“</w:t>
      </w:r>
      <w:r>
        <w:rPr>
          <w:rStyle w:val="CharDefText"/>
        </w:rPr>
        <w:t>company</w:t>
      </w:r>
      <w:r>
        <w:rPr>
          <w:b/>
        </w:rPr>
        <w:t>”</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t>“</w:t>
      </w:r>
      <w:r>
        <w:rPr>
          <w:rStyle w:val="CharDefText"/>
        </w:rPr>
        <w:t>corporate body</w:t>
      </w:r>
      <w:r>
        <w:rPr>
          <w:b/>
        </w:rPr>
        <w:t>”</w:t>
      </w:r>
      <w:r>
        <w:t xml:space="preserve"> has the same meaning as “company” in section 5(1);</w:t>
      </w:r>
    </w:p>
    <w:p>
      <w:pPr>
        <w:pStyle w:val="Defstart"/>
      </w:pPr>
      <w:r>
        <w:rPr>
          <w:b/>
        </w:rPr>
        <w:tab/>
        <w:t>“</w:t>
      </w:r>
      <w:r>
        <w:rPr>
          <w:rStyle w:val="CharDefText"/>
        </w:rPr>
        <w:t>director</w:t>
      </w:r>
      <w:r>
        <w:rPr>
          <w:b/>
        </w:rPr>
        <w:t>”</w:t>
      </w:r>
      <w:r>
        <w:t xml:space="preserve"> has the meaning given to that term in the </w:t>
      </w:r>
      <w:r>
        <w:rPr>
          <w:i/>
        </w:rPr>
        <w:t xml:space="preserve">Corporations Act 2001 </w:t>
      </w:r>
      <w:r>
        <w:t>of the Commonwealth;</w:t>
      </w:r>
    </w:p>
    <w:p>
      <w:pPr>
        <w:pStyle w:val="Defstart"/>
      </w:pPr>
      <w:r>
        <w:rPr>
          <w:b/>
        </w:rPr>
        <w:tab/>
        <w:t>“</w:t>
      </w:r>
      <w:r>
        <w:rPr>
          <w:rStyle w:val="CharDefText"/>
        </w:rPr>
        <w:t>earnings</w:t>
      </w:r>
      <w:r>
        <w:rPr>
          <w:b/>
        </w:rPr>
        <w:t>”</w:t>
      </w:r>
      <w:r>
        <w:t xml:space="preserve"> means wages, salary and other remuneration;</w:t>
      </w:r>
    </w:p>
    <w:p>
      <w:pPr>
        <w:pStyle w:val="Defstart"/>
      </w:pPr>
      <w:r>
        <w:rPr>
          <w:b/>
        </w:rPr>
        <w:tab/>
        <w:t>“</w:t>
      </w:r>
      <w:r>
        <w:rPr>
          <w:rStyle w:val="CharDefText"/>
        </w:rPr>
        <w:t>working director</w:t>
      </w:r>
      <w:r>
        <w:rPr>
          <w:b/>
        </w:rPr>
        <w:t>”</w:t>
      </w:r>
      <w:r>
        <w:t xml:space="preserve">, in relation to a company, means a director of the company, whether or not the director would be a worker if this section did not apply — </w:t>
      </w:r>
    </w:p>
    <w:p>
      <w:pPr>
        <w:pStyle w:val="Defpara"/>
      </w:pPr>
      <w:r>
        <w:tab/>
        <w:t>(a)</w:t>
      </w:r>
      <w:r>
        <w:tab/>
        <w:t>who executes work for or on behalf of the company; and</w:t>
      </w:r>
    </w:p>
    <w:p>
      <w:pPr>
        <w:pStyle w:val="Defpara"/>
      </w:pPr>
      <w:r>
        <w:tab/>
        <w:t>(b)</w:t>
      </w:r>
      <w:r>
        <w:tab/>
        <w:t>whose earnings as a director of the company by whatever means are in substance for personal manual labour or services.</w:t>
      </w:r>
    </w:p>
    <w:p>
      <w:pPr>
        <w:pStyle w:val="Subsection"/>
      </w:pPr>
      <w:r>
        <w:tab/>
        <w:t>(2)</w:t>
      </w:r>
      <w:r>
        <w:tab/>
        <w:t>Despite anything in section 5, a director of a corporate body is not a worker of that corporate body for the purposes of this Act unless this section makes the director a worker.</w:t>
      </w:r>
    </w:p>
    <w:p>
      <w:pPr>
        <w:pStyle w:val="Subsection"/>
      </w:pPr>
      <w:r>
        <w:tab/>
        <w:t>(3)</w:t>
      </w:r>
      <w:r>
        <w:tab/>
        <w:t>A company may apply to an approved insurance office under section 160(2) on the basis that a working director of the company is a worker.</w:t>
      </w:r>
    </w:p>
    <w:p>
      <w:pPr>
        <w:pStyle w:val="Subsection"/>
      </w:pPr>
      <w:r>
        <w:tab/>
        <w:t>(4)</w:t>
      </w:r>
      <w:r>
        <w:tab/>
        <w:t xml:space="preserve">If a company complies with section 160 in respect of a working director of the company on the basis that the director is a worker, then, for the purposes of this Act — </w:t>
      </w:r>
    </w:p>
    <w:p>
      <w:pPr>
        <w:pStyle w:val="Indenta"/>
      </w:pPr>
      <w:r>
        <w:tab/>
        <w:t>(a)</w:t>
      </w:r>
      <w:r>
        <w:tab/>
        <w:t>the director is a worker; and</w:t>
      </w:r>
    </w:p>
    <w:p>
      <w:pPr>
        <w:pStyle w:val="Indenta"/>
      </w:pPr>
      <w:r>
        <w:tab/>
        <w:t>(b)</w:t>
      </w:r>
      <w:r>
        <w:tab/>
        <w:t>the company is the employer of the director.</w:t>
      </w:r>
    </w:p>
    <w:p>
      <w:pPr>
        <w:pStyle w:val="Subsection"/>
      </w:pPr>
      <w:r>
        <w:tab/>
        <w:t>(5)</w:t>
      </w:r>
      <w:r>
        <w:tab/>
        <w:t>Subsection (4) ceases to apply if the circumstances described in subsection (7) arise.</w:t>
      </w:r>
    </w:p>
    <w:p>
      <w:pPr>
        <w:pStyle w:val="Subsection"/>
      </w:pPr>
      <w:r>
        <w:tab/>
        <w:t>(6)</w:t>
      </w:r>
      <w:r>
        <w:tab/>
        <w:t xml:space="preserve">If a company that is an employer is, or is one of a group of employers that is, exempt under section 164, then, for the purposes of this Act — </w:t>
      </w:r>
    </w:p>
    <w:p>
      <w:pPr>
        <w:pStyle w:val="Indenta"/>
      </w:pPr>
      <w:r>
        <w:tab/>
        <w:t>(a)</w:t>
      </w:r>
      <w:r>
        <w:tab/>
        <w:t>a director of the company who is a working director is a worker; and</w:t>
      </w:r>
    </w:p>
    <w:p>
      <w:pPr>
        <w:pStyle w:val="Indenta"/>
      </w:pPr>
      <w:r>
        <w:tab/>
        <w:t>(b)</w:t>
      </w:r>
      <w:r>
        <w:tab/>
        <w:t>the company is the employer of the director.</w:t>
      </w:r>
    </w:p>
    <w:p>
      <w:pPr>
        <w:pStyle w:val="Subsection"/>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by No. 16 of 2005 s. 9(1).]</w:t>
      </w:r>
    </w:p>
    <w:p>
      <w:pPr>
        <w:pStyle w:val="Heading5"/>
        <w:rPr>
          <w:snapToGrid w:val="0"/>
        </w:rPr>
      </w:pPr>
      <w:bookmarkStart w:id="144" w:name="_Toc122833121"/>
      <w:bookmarkStart w:id="145" w:name="_Toc122833688"/>
      <w:r>
        <w:rPr>
          <w:rStyle w:val="CharSectno"/>
        </w:rPr>
        <w:t>11</w:t>
      </w:r>
      <w:r>
        <w:rPr>
          <w:snapToGrid w:val="0"/>
        </w:rPr>
        <w:t>.</w:t>
      </w:r>
      <w:r>
        <w:rPr>
          <w:snapToGrid w:val="0"/>
        </w:rPr>
        <w:tab/>
        <w:t>Exclusion of certain persons who are contestants in sporting or athletic activities</w:t>
      </w:r>
      <w:bookmarkEnd w:id="140"/>
      <w:bookmarkEnd w:id="141"/>
      <w:bookmarkEnd w:id="142"/>
      <w:bookmarkEnd w:id="143"/>
      <w:bookmarkEnd w:id="144"/>
      <w:bookmarkEnd w:id="145"/>
      <w:r>
        <w:rPr>
          <w:snapToGrid w:val="0"/>
        </w:rPr>
        <w:t xml:space="preserve"> </w:t>
      </w:r>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 </w:t>
      </w:r>
    </w:p>
    <w:p>
      <w:pPr>
        <w:pStyle w:val="Indenta"/>
        <w:rPr>
          <w:snapToGrid w:val="0"/>
        </w:rPr>
      </w:pPr>
      <w:r>
        <w:rPr>
          <w:snapToGrid w:val="0"/>
        </w:rPr>
        <w:tab/>
        <w:t>(a)</w:t>
      </w:r>
      <w:r>
        <w:rPr>
          <w:snapToGrid w:val="0"/>
        </w:rPr>
        <w:tab/>
        <w:t>participating as a contestant in any sporting or athletic activity;</w:t>
      </w:r>
    </w:p>
    <w:p>
      <w:pPr>
        <w:pStyle w:val="Indenta"/>
        <w:rPr>
          <w:snapToGrid w:val="0"/>
        </w:rPr>
      </w:pPr>
      <w:r>
        <w:rPr>
          <w:snapToGrid w:val="0"/>
        </w:rPr>
        <w:tab/>
        <w:t>(b)</w:t>
      </w:r>
      <w:r>
        <w:rPr>
          <w:snapToGrid w:val="0"/>
        </w:rPr>
        <w:tab/>
        <w:t xml:space="preserve">engaged in training or preparing himself with a view to his so participating; </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 xml:space="preserve">[Section 11 amended by No. 44 of 1985 s. 5; No. 34 of 1999 s. 7.] </w:t>
      </w:r>
    </w:p>
    <w:p>
      <w:pPr>
        <w:pStyle w:val="Heading5"/>
        <w:rPr>
          <w:snapToGrid w:val="0"/>
        </w:rPr>
      </w:pPr>
      <w:bookmarkStart w:id="146" w:name="_Toc440877826"/>
      <w:bookmarkStart w:id="147" w:name="_Toc517775184"/>
      <w:bookmarkStart w:id="148" w:name="_Toc520106932"/>
      <w:bookmarkStart w:id="149" w:name="_Toc523111557"/>
      <w:bookmarkStart w:id="150" w:name="_Toc122833122"/>
      <w:bookmarkStart w:id="151" w:name="_Toc122833689"/>
      <w:r>
        <w:rPr>
          <w:rStyle w:val="CharSectno"/>
        </w:rPr>
        <w:t>11A</w:t>
      </w:r>
      <w:r>
        <w:rPr>
          <w:snapToGrid w:val="0"/>
        </w:rPr>
        <w:t>.</w:t>
      </w:r>
      <w:r>
        <w:rPr>
          <w:snapToGrid w:val="0"/>
        </w:rPr>
        <w:tab/>
        <w:t>Jockeys</w:t>
      </w:r>
      <w:bookmarkEnd w:id="146"/>
      <w:bookmarkEnd w:id="147"/>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 xml:space="preserve">Notwithstanding section 11, for the purposes of this Act </w:t>
      </w:r>
      <w:r>
        <w:rPr>
          <w:b/>
          <w:snapToGrid w:val="0"/>
        </w:rPr>
        <w:t>“</w:t>
      </w:r>
      <w:r>
        <w:rPr>
          <w:rStyle w:val="CharDefText"/>
        </w:rPr>
        <w:t>worker</w:t>
      </w:r>
      <w:r>
        <w:rPr>
          <w:b/>
          <w:snapToGrid w:val="0"/>
        </w:rPr>
        <w:t>”</w:t>
      </w:r>
      <w:r>
        <w:rPr>
          <w:snapToGrid w:val="0"/>
        </w:rPr>
        <w:t xml:space="preserve"> includes a person</w:t>
      </w:r>
      <w:r>
        <w:t xml:space="preserve"> licensed as a jockey under the </w:t>
      </w:r>
      <w:r>
        <w:rPr>
          <w:i/>
        </w:rPr>
        <w:t>Racing and Wagering Western Australia Act 2003</w:t>
      </w:r>
      <w:r>
        <w:rPr>
          <w:snapToGrid w:val="0"/>
        </w:rPr>
        <w:t> — </w:t>
      </w:r>
    </w:p>
    <w:p>
      <w:pPr>
        <w:pStyle w:val="Indenta"/>
        <w:rPr>
          <w:snapToGrid w:val="0"/>
        </w:rPr>
      </w:pPr>
      <w:r>
        <w:rPr>
          <w:snapToGrid w:val="0"/>
        </w:rPr>
        <w:tab/>
        <w:t>(a)</w:t>
      </w:r>
      <w:r>
        <w:rPr>
          <w:snapToGrid w:val="0"/>
        </w:rPr>
        <w:tab/>
        <w:t>riding a horse in any race run under the management of a racing club registered</w:t>
      </w:r>
      <w:r>
        <w:t xml:space="preserve"> under the </w:t>
      </w:r>
      <w:r>
        <w:rPr>
          <w:i/>
        </w:rPr>
        <w:t>Racing and Wagering Western Australia Act 2003</w:t>
      </w:r>
      <w:r>
        <w:rPr>
          <w:snapToGrid w:val="0"/>
        </w:rPr>
        <w:t>; or</w:t>
      </w:r>
    </w:p>
    <w:p>
      <w:pPr>
        <w:pStyle w:val="Indenta"/>
        <w:rPr>
          <w:snapToGrid w:val="0"/>
        </w:rPr>
      </w:pPr>
      <w:r>
        <w:rPr>
          <w:snapToGrid w:val="0"/>
        </w:rPr>
        <w:tab/>
        <w:t>(b)</w:t>
      </w:r>
      <w:r>
        <w:rPr>
          <w:snapToGrid w:val="0"/>
        </w:rPr>
        <w:tab/>
        <w:t>engaged on a racecourse in riding work, or carrying out the usual duties of a jockey, for a trainer</w:t>
      </w:r>
      <w:r>
        <w:t xml:space="preserve"> licensed as a trainer under the </w:t>
      </w:r>
      <w:r>
        <w:rPr>
          <w:i/>
        </w:rPr>
        <w:t>Racing and Wagering Western Australia Act 2003</w:t>
      </w:r>
      <w:r>
        <w:rPr>
          <w:snapToGrid w:val="0"/>
        </w:rPr>
        <w:t>,</w:t>
      </w:r>
    </w:p>
    <w:p>
      <w:pPr>
        <w:pStyle w:val="Subsection"/>
        <w:spacing w:before="100"/>
        <w:rPr>
          <w:snapToGrid w:val="0"/>
        </w:rPr>
      </w:pPr>
      <w:r>
        <w:rPr>
          <w:snapToGrid w:val="0"/>
        </w:rPr>
        <w:tab/>
      </w:r>
      <w:r>
        <w:rPr>
          <w:snapToGrid w:val="0"/>
        </w:rPr>
        <w:tab/>
      </w:r>
      <w:r>
        <w:t>and Racing and Wagering Western Australia</w:t>
      </w:r>
      <w:r>
        <w:rPr>
          <w:snapToGrid w:val="0"/>
        </w:rPr>
        <w:t xml:space="preserve"> is, for the purposes of this Act, deemed to be the employer of such a person.</w:t>
      </w:r>
    </w:p>
    <w:p>
      <w:pPr>
        <w:pStyle w:val="Subsection"/>
        <w:spacing w:before="100"/>
        <w:rPr>
          <w:snapToGrid w:val="0"/>
        </w:rPr>
      </w:pPr>
      <w:r>
        <w:rPr>
          <w:snapToGrid w:val="0"/>
        </w:rPr>
        <w:tab/>
        <w:t>(2)</w:t>
      </w:r>
      <w:r>
        <w:rPr>
          <w:snapToGrid w:val="0"/>
        </w:rPr>
        <w:tab/>
        <w:t xml:space="preserve">The earnings of a person included as a worker under subsection (1) shall be deemed to be equal to the rate of wages, including special allowances, prescribed for stable foremen under the Horse Training Industry Award 1976 as made under the </w:t>
      </w:r>
      <w:r>
        <w:rPr>
          <w:i/>
          <w:snapToGrid w:val="0"/>
        </w:rPr>
        <w:t xml:space="preserve">Conciliation and Arbitration Act 1904 </w:t>
      </w:r>
      <w:r>
        <w:rPr>
          <w:snapToGrid w:val="0"/>
          <w:vertAlign w:val="superscript"/>
        </w:rPr>
        <w:t>4</w:t>
      </w:r>
      <w:r>
        <w:rPr>
          <w:snapToGrid w:val="0"/>
        </w:rPr>
        <w:t xml:space="preserve"> of the Commonwealth and amended from time to time.</w:t>
      </w:r>
    </w:p>
    <w:p>
      <w:pPr>
        <w:pStyle w:val="Footnotesection"/>
      </w:pPr>
      <w:r>
        <w:tab/>
        <w:t xml:space="preserve">[Section 11A inserted by No. 44 of 1985 s. 6; amended by No. 35 of 2003 s. 244.] </w:t>
      </w:r>
    </w:p>
    <w:p>
      <w:pPr>
        <w:pStyle w:val="Heading5"/>
        <w:spacing w:before="120"/>
        <w:rPr>
          <w:snapToGrid w:val="0"/>
        </w:rPr>
      </w:pPr>
      <w:bookmarkStart w:id="152" w:name="_Toc440877827"/>
      <w:bookmarkStart w:id="153" w:name="_Toc517775185"/>
      <w:bookmarkStart w:id="154" w:name="_Toc520106933"/>
      <w:bookmarkStart w:id="155" w:name="_Toc523111558"/>
      <w:bookmarkStart w:id="156" w:name="_Toc122833123"/>
      <w:bookmarkStart w:id="157" w:name="_Toc122833690"/>
      <w:r>
        <w:rPr>
          <w:rStyle w:val="CharSectno"/>
        </w:rPr>
        <w:t>12</w:t>
      </w:r>
      <w:r>
        <w:rPr>
          <w:snapToGrid w:val="0"/>
        </w:rPr>
        <w:t>.</w:t>
      </w:r>
      <w:r>
        <w:rPr>
          <w:snapToGrid w:val="0"/>
        </w:rPr>
        <w:tab/>
        <w:t>Compensation not payable in certain cases</w:t>
      </w:r>
      <w:bookmarkEnd w:id="152"/>
      <w:bookmarkEnd w:id="153"/>
      <w:bookmarkEnd w:id="154"/>
      <w:bookmarkEnd w:id="155"/>
      <w:bookmarkEnd w:id="156"/>
      <w:bookmarkEnd w:id="157"/>
      <w:r>
        <w:rPr>
          <w:snapToGrid w:val="0"/>
        </w:rPr>
        <w:t xml:space="preserve"> </w:t>
      </w:r>
    </w:p>
    <w:p>
      <w:pPr>
        <w:pStyle w:val="Subsection"/>
        <w:spacing w:before="100"/>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5</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spacing w:before="80"/>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by No. 42 of 2004 s. 11, 146 and 147.]</w:t>
      </w:r>
    </w:p>
    <w:p>
      <w:pPr>
        <w:pStyle w:val="Heading5"/>
        <w:spacing w:before="120"/>
        <w:rPr>
          <w:snapToGrid w:val="0"/>
        </w:rPr>
      </w:pPr>
      <w:bookmarkStart w:id="158" w:name="_Toc440877828"/>
      <w:bookmarkStart w:id="159" w:name="_Toc517775186"/>
      <w:bookmarkStart w:id="160" w:name="_Toc520106934"/>
      <w:bookmarkStart w:id="161" w:name="_Toc523111559"/>
      <w:bookmarkStart w:id="162" w:name="_Toc122833124"/>
      <w:bookmarkStart w:id="163" w:name="_Toc122833691"/>
      <w:r>
        <w:rPr>
          <w:rStyle w:val="CharSectno"/>
        </w:rPr>
        <w:t>13</w:t>
      </w:r>
      <w:r>
        <w:rPr>
          <w:snapToGrid w:val="0"/>
        </w:rPr>
        <w:t>.</w:t>
      </w:r>
      <w:r>
        <w:rPr>
          <w:snapToGrid w:val="0"/>
        </w:rPr>
        <w:tab/>
        <w:t>Continued operation of this Act where compensation previously paid</w:t>
      </w:r>
      <w:bookmarkEnd w:id="158"/>
      <w:bookmarkEnd w:id="159"/>
      <w:bookmarkEnd w:id="160"/>
      <w:bookmarkEnd w:id="161"/>
      <w:bookmarkEnd w:id="162"/>
      <w:bookmarkEnd w:id="163"/>
      <w:r>
        <w:rPr>
          <w:snapToGrid w:val="0"/>
        </w:rPr>
        <w:t xml:space="preserve"> </w:t>
      </w:r>
    </w:p>
    <w:p>
      <w:pPr>
        <w:pStyle w:val="Subsection"/>
        <w:spacing w:before="80"/>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bookmarkStart w:id="164" w:name="_Toc440877829"/>
      <w:bookmarkStart w:id="165" w:name="_Toc517775187"/>
      <w:bookmarkStart w:id="166" w:name="_Toc520106935"/>
      <w:bookmarkStart w:id="167" w:name="_Toc523111560"/>
      <w:r>
        <w:tab/>
        <w:t>[Section 13 amended by No. 42 of 2004 s. 146 and 147.]</w:t>
      </w:r>
    </w:p>
    <w:p>
      <w:pPr>
        <w:pStyle w:val="Heading5"/>
        <w:rPr>
          <w:snapToGrid w:val="0"/>
        </w:rPr>
      </w:pPr>
      <w:bookmarkStart w:id="168" w:name="_Toc122833125"/>
      <w:bookmarkStart w:id="169" w:name="_Toc122833692"/>
      <w:r>
        <w:rPr>
          <w:rStyle w:val="CharSectno"/>
        </w:rPr>
        <w:t>14</w:t>
      </w:r>
      <w:r>
        <w:rPr>
          <w:snapToGrid w:val="0"/>
        </w:rPr>
        <w:t>.</w:t>
      </w:r>
      <w:r>
        <w:rPr>
          <w:snapToGrid w:val="0"/>
        </w:rPr>
        <w:tab/>
        <w:t>Application to worker in employment of Crown</w:t>
      </w:r>
      <w:bookmarkEnd w:id="164"/>
      <w:bookmarkEnd w:id="165"/>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Crown</w:t>
      </w:r>
      <w:r>
        <w:rPr>
          <w:b/>
          <w:snapToGrid w:val="0"/>
        </w:rPr>
        <w:t>”</w:t>
      </w:r>
      <w:r>
        <w:rPr>
          <w:snapToGrid w:val="0"/>
        </w:rPr>
        <w:t xml:space="preserve"> means Crown in right of the State.</w:t>
      </w:r>
    </w:p>
    <w:p>
      <w:pPr>
        <w:pStyle w:val="Subsection"/>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rPr>
          <w:snapToGrid w:val="0"/>
        </w:rPr>
      </w:pPr>
      <w:r>
        <w:rPr>
          <w:snapToGrid w:val="0"/>
        </w:rPr>
        <w:tab/>
        <w:t>(2a)</w:t>
      </w:r>
      <w:r>
        <w:rPr>
          <w:snapToGrid w:val="0"/>
        </w:rPr>
        <w:tab/>
        <w:t>For the purposes of this Act, a person —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rPr>
          <w:snapToGrid w:val="0"/>
        </w:rPr>
      </w:pPr>
      <w:r>
        <w:rPr>
          <w:snapToGrid w:val="0"/>
        </w:rPr>
        <w:tab/>
      </w:r>
      <w:r>
        <w:rPr>
          <w:snapToGrid w:val="0"/>
        </w:rPr>
        <w:tab/>
        <w:t>is deemed to be a worker employed by or under the Crown.</w:t>
      </w:r>
    </w:p>
    <w:p>
      <w:pPr>
        <w:pStyle w:val="Subsection"/>
        <w:rPr>
          <w:snapToGrid w:val="0"/>
        </w:rPr>
      </w:pPr>
      <w:r>
        <w:rPr>
          <w:snapToGrid w:val="0"/>
        </w:rPr>
        <w:tab/>
        <w:t>(3)</w:t>
      </w:r>
      <w:r>
        <w:rPr>
          <w:snapToGrid w:val="0"/>
        </w:rPr>
        <w:tab/>
        <w:t>All moneys payable under this Act by or on behalf of the Crown shall be paid out of moneys to be provided by Parliament.</w:t>
      </w:r>
    </w:p>
    <w:p>
      <w:pPr>
        <w:pStyle w:val="Subsection"/>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 xml:space="preserve">[Section 14 amended by No. 44 of 1985 s. 7; No. 40 of 1992 s. 13; No. 42 of 2004 s. 148(1).] </w:t>
      </w:r>
    </w:p>
    <w:p>
      <w:pPr>
        <w:pStyle w:val="Ednotesection"/>
      </w:pPr>
      <w:bookmarkStart w:id="170" w:name="_Toc440877831"/>
      <w:bookmarkStart w:id="171" w:name="_Toc517775189"/>
      <w:bookmarkStart w:id="172" w:name="_Toc520106937"/>
      <w:bookmarkStart w:id="173" w:name="_Toc523111562"/>
      <w:r>
        <w:t>[</w:t>
      </w:r>
      <w:r>
        <w:rPr>
          <w:b/>
        </w:rPr>
        <w:t>15.</w:t>
      </w:r>
      <w:r>
        <w:tab/>
        <w:t xml:space="preserve">Repealed by No. 36 of 2004 s. 5.] </w:t>
      </w:r>
    </w:p>
    <w:p>
      <w:pPr>
        <w:pStyle w:val="Heading5"/>
        <w:rPr>
          <w:snapToGrid w:val="0"/>
        </w:rPr>
      </w:pPr>
      <w:bookmarkStart w:id="174" w:name="_Toc122833126"/>
      <w:bookmarkStart w:id="175" w:name="_Toc122833693"/>
      <w:r>
        <w:rPr>
          <w:rStyle w:val="CharSectno"/>
        </w:rPr>
        <w:t>16</w:t>
      </w:r>
      <w:r>
        <w:rPr>
          <w:snapToGrid w:val="0"/>
        </w:rPr>
        <w:t>.</w:t>
      </w:r>
      <w:r>
        <w:rPr>
          <w:snapToGrid w:val="0"/>
        </w:rPr>
        <w:tab/>
        <w:t>Act to apply as to injury to persons employed on Western Australian ships</w:t>
      </w:r>
      <w:bookmarkEnd w:id="170"/>
      <w:bookmarkEnd w:id="171"/>
      <w:bookmarkEnd w:id="172"/>
      <w:bookmarkEnd w:id="173"/>
      <w:bookmarkEnd w:id="174"/>
      <w:bookmarkEnd w:id="175"/>
      <w:r>
        <w:rPr>
          <w:snapToGrid w:val="0"/>
        </w:rPr>
        <w:t xml:space="preserve"> </w:t>
      </w:r>
    </w:p>
    <w:p>
      <w:pPr>
        <w:pStyle w:val="Ednotesubsection"/>
      </w:pPr>
      <w:r>
        <w:tab/>
        <w:t>[(1), (1a)</w:t>
      </w:r>
      <w:r>
        <w:tab/>
        <w:t>repealed]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United Kingdom, liable to pay the expenses of burial;</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6</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 xml:space="preserve">[Section 16 amended by No. 44 of 1985 s. 8; No. 36 of 2004 s. 6 and 16; No. 42 of 2004 s. 147 and 148(3).] </w:t>
      </w:r>
    </w:p>
    <w:p>
      <w:pPr>
        <w:pStyle w:val="Heading5"/>
        <w:rPr>
          <w:snapToGrid w:val="0"/>
        </w:rPr>
      </w:pPr>
      <w:bookmarkStart w:id="176" w:name="_Toc440877832"/>
      <w:bookmarkStart w:id="177" w:name="_Toc517775190"/>
      <w:bookmarkStart w:id="178" w:name="_Toc520106938"/>
      <w:bookmarkStart w:id="179" w:name="_Toc523111563"/>
      <w:bookmarkStart w:id="180" w:name="_Toc122833127"/>
      <w:bookmarkStart w:id="181" w:name="_Toc122833694"/>
      <w:r>
        <w:rPr>
          <w:rStyle w:val="CharSectno"/>
        </w:rPr>
        <w:t>17</w:t>
      </w:r>
      <w:r>
        <w:rPr>
          <w:snapToGrid w:val="0"/>
        </w:rPr>
        <w:t>.</w:t>
      </w:r>
      <w:r>
        <w:rPr>
          <w:snapToGrid w:val="0"/>
        </w:rPr>
        <w:tab/>
        <w:t>Crew of fishing vessel</w:t>
      </w:r>
      <w:bookmarkEnd w:id="176"/>
      <w:bookmarkEnd w:id="177"/>
      <w:bookmarkEnd w:id="178"/>
      <w:bookmarkEnd w:id="179"/>
      <w:bookmarkEnd w:id="180"/>
      <w:bookmarkEnd w:id="181"/>
      <w:r>
        <w:rPr>
          <w:snapToGrid w:val="0"/>
        </w:rPr>
        <w:t xml:space="preserve"> </w:t>
      </w:r>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by No. 42 of 2004 s. 148(1).]</w:t>
      </w:r>
    </w:p>
    <w:p>
      <w:pPr>
        <w:pStyle w:val="Heading2"/>
      </w:pPr>
      <w:bookmarkStart w:id="182" w:name="_Toc86739904"/>
      <w:bookmarkStart w:id="183" w:name="_Toc88562308"/>
      <w:bookmarkStart w:id="184" w:name="_Toc88625225"/>
      <w:bookmarkStart w:id="185" w:name="_Toc91385873"/>
      <w:bookmarkStart w:id="186" w:name="_Toc92704879"/>
      <w:bookmarkStart w:id="187" w:name="_Toc93222348"/>
      <w:bookmarkStart w:id="188" w:name="_Toc95022425"/>
      <w:bookmarkStart w:id="189" w:name="_Toc95117697"/>
      <w:bookmarkStart w:id="190" w:name="_Toc96498102"/>
      <w:bookmarkStart w:id="191" w:name="_Toc96500580"/>
      <w:bookmarkStart w:id="192" w:name="_Toc101779492"/>
      <w:bookmarkStart w:id="193" w:name="_Toc103059944"/>
      <w:bookmarkStart w:id="194" w:name="_Toc105470840"/>
      <w:bookmarkStart w:id="195" w:name="_Toc105474754"/>
      <w:bookmarkStart w:id="196" w:name="_Toc105475140"/>
      <w:bookmarkStart w:id="197" w:name="_Toc107307856"/>
      <w:bookmarkStart w:id="198" w:name="_Toc109712089"/>
      <w:bookmarkStart w:id="199" w:name="_Toc109723972"/>
      <w:bookmarkStart w:id="200" w:name="_Toc110053844"/>
      <w:bookmarkStart w:id="201" w:name="_Toc110054233"/>
      <w:bookmarkStart w:id="202" w:name="_Toc110654313"/>
      <w:bookmarkStart w:id="203" w:name="_Toc110735751"/>
      <w:bookmarkStart w:id="204" w:name="_Toc110738487"/>
      <w:bookmarkStart w:id="205" w:name="_Toc115691161"/>
      <w:bookmarkStart w:id="206" w:name="_Toc115773458"/>
      <w:bookmarkStart w:id="207" w:name="_Toc119132409"/>
      <w:bookmarkStart w:id="208" w:name="_Toc119203079"/>
      <w:bookmarkStart w:id="209" w:name="_Toc119203725"/>
      <w:bookmarkStart w:id="210" w:name="_Toc119216055"/>
      <w:bookmarkStart w:id="211" w:name="_Toc119300575"/>
      <w:bookmarkStart w:id="212" w:name="_Toc119301142"/>
      <w:bookmarkStart w:id="213" w:name="_Toc119301711"/>
      <w:bookmarkStart w:id="214" w:name="_Toc119919898"/>
      <w:bookmarkStart w:id="215" w:name="_Toc122773885"/>
      <w:bookmarkStart w:id="216" w:name="_Toc122833128"/>
      <w:bookmarkStart w:id="217" w:name="_Toc122833695"/>
      <w:r>
        <w:rPr>
          <w:rStyle w:val="CharPartNo"/>
        </w:rPr>
        <w:t>Part III</w:t>
      </w:r>
      <w:r>
        <w:t> — </w:t>
      </w:r>
      <w:r>
        <w:rPr>
          <w:rStyle w:val="CharPartText"/>
        </w:rPr>
        <w:t>Compensation</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r>
        <w:rPr>
          <w:rStyle w:val="CharPartText"/>
        </w:rPr>
        <w:t xml:space="preserve"> </w:t>
      </w:r>
    </w:p>
    <w:p>
      <w:pPr>
        <w:pStyle w:val="Heading3"/>
        <w:rPr>
          <w:rStyle w:val="CharDivText"/>
        </w:rPr>
      </w:pPr>
      <w:bookmarkStart w:id="218" w:name="_Toc87252805"/>
      <w:bookmarkStart w:id="219" w:name="_Toc119132410"/>
      <w:bookmarkStart w:id="220" w:name="_Toc119203080"/>
      <w:bookmarkStart w:id="221" w:name="_Toc119203726"/>
      <w:bookmarkStart w:id="222" w:name="_Toc119216056"/>
      <w:bookmarkStart w:id="223" w:name="_Toc119300576"/>
      <w:bookmarkStart w:id="224" w:name="_Toc119301143"/>
      <w:bookmarkStart w:id="225" w:name="_Toc119301712"/>
      <w:bookmarkStart w:id="226" w:name="_Toc119919899"/>
      <w:bookmarkStart w:id="227" w:name="_Toc122773886"/>
      <w:bookmarkStart w:id="228" w:name="_Toc122833129"/>
      <w:bookmarkStart w:id="229" w:name="_Toc122833696"/>
      <w:bookmarkStart w:id="230" w:name="_Toc440877833"/>
      <w:bookmarkStart w:id="231" w:name="_Toc517775191"/>
      <w:bookmarkStart w:id="232" w:name="_Toc520106939"/>
      <w:bookmarkStart w:id="233" w:name="_Toc523111564"/>
      <w:r>
        <w:rPr>
          <w:rStyle w:val="CharDivNo"/>
        </w:rPr>
        <w:t>Division 1</w:t>
      </w:r>
      <w:r>
        <w:t> — </w:t>
      </w:r>
      <w:r>
        <w:rPr>
          <w:rStyle w:val="CharDivText"/>
        </w:rPr>
        <w:t>Injury: general</w:t>
      </w:r>
      <w:bookmarkEnd w:id="218"/>
      <w:bookmarkEnd w:id="219"/>
      <w:bookmarkEnd w:id="220"/>
      <w:bookmarkEnd w:id="221"/>
      <w:bookmarkEnd w:id="222"/>
      <w:bookmarkEnd w:id="223"/>
      <w:bookmarkEnd w:id="224"/>
      <w:bookmarkEnd w:id="225"/>
      <w:bookmarkEnd w:id="226"/>
      <w:bookmarkEnd w:id="227"/>
      <w:bookmarkEnd w:id="228"/>
      <w:bookmarkEnd w:id="229"/>
    </w:p>
    <w:p>
      <w:pPr>
        <w:pStyle w:val="Footnoteheading"/>
      </w:pPr>
      <w:r>
        <w:tab/>
        <w:t>[Heading inserted by No. 42 of 2004 s. 12.]</w:t>
      </w:r>
    </w:p>
    <w:p>
      <w:pPr>
        <w:pStyle w:val="Heading5"/>
        <w:rPr>
          <w:snapToGrid w:val="0"/>
        </w:rPr>
      </w:pPr>
      <w:bookmarkStart w:id="234" w:name="_Toc122833130"/>
      <w:bookmarkStart w:id="235" w:name="_Toc122833697"/>
      <w:r>
        <w:rPr>
          <w:rStyle w:val="CharSectno"/>
        </w:rPr>
        <w:t>18</w:t>
      </w:r>
      <w:r>
        <w:rPr>
          <w:snapToGrid w:val="0"/>
        </w:rPr>
        <w:t>.</w:t>
      </w:r>
      <w:r>
        <w:rPr>
          <w:snapToGrid w:val="0"/>
        </w:rPr>
        <w:tab/>
        <w:t xml:space="preserve">Liability of employers to workers for </w:t>
      </w:r>
      <w:bookmarkEnd w:id="230"/>
      <w:bookmarkEnd w:id="231"/>
      <w:bookmarkEnd w:id="232"/>
      <w:bookmarkEnd w:id="233"/>
      <w:r>
        <w:rPr>
          <w:snapToGrid w:val="0"/>
        </w:rPr>
        <w:t>injury</w:t>
      </w:r>
      <w:bookmarkEnd w:id="234"/>
      <w:bookmarkEnd w:id="235"/>
    </w:p>
    <w:p>
      <w:pPr>
        <w:pStyle w:val="Subsection"/>
        <w:tabs>
          <w:tab w:val="left" w:pos="2400"/>
        </w:tabs>
        <w:rPr>
          <w:snapToGrid w:val="0"/>
        </w:rPr>
      </w:pPr>
      <w:r>
        <w:rPr>
          <w:snapToGrid w:val="0"/>
        </w:rPr>
        <w:tab/>
      </w:r>
      <w:r>
        <w:rPr>
          <w:snapToGrid w:val="0"/>
        </w:rPr>
        <w:tab/>
        <w:t xml:space="preserve">If </w:t>
      </w:r>
      <w:r>
        <w:t>an injury</w:t>
      </w:r>
      <w:r>
        <w:rPr>
          <w:snapToGrid w:val="0"/>
        </w:rPr>
        <w:t xml:space="preserve"> of a worker occurs, the employer shall, subject to this Act, be liable to pay compensation in accordance with Schedule 1</w:t>
      </w:r>
      <w:r>
        <w:rPr>
          <w:snapToGrid w:val="0"/>
          <w:vertAlign w:val="superscript"/>
        </w:rPr>
        <w:t> 7</w:t>
      </w:r>
      <w:r>
        <w:rPr>
          <w:snapToGrid w:val="0"/>
        </w:rPr>
        <w:t>.</w:t>
      </w:r>
    </w:p>
    <w:p>
      <w:pPr>
        <w:pStyle w:val="Footnotesection"/>
      </w:pPr>
      <w:bookmarkStart w:id="236" w:name="_Toc440877834"/>
      <w:bookmarkStart w:id="237" w:name="_Toc517775192"/>
      <w:bookmarkStart w:id="238" w:name="_Toc520106940"/>
      <w:bookmarkStart w:id="239" w:name="_Toc523111565"/>
      <w:r>
        <w:tab/>
        <w:t>[Section 18 amended by No. 42 of 2004 s. 146.]</w:t>
      </w:r>
    </w:p>
    <w:p>
      <w:pPr>
        <w:pStyle w:val="Heading5"/>
        <w:rPr>
          <w:snapToGrid w:val="0"/>
        </w:rPr>
      </w:pPr>
      <w:bookmarkStart w:id="240" w:name="_Toc122833131"/>
      <w:bookmarkStart w:id="241" w:name="_Toc122833698"/>
      <w:r>
        <w:rPr>
          <w:rStyle w:val="CharSectno"/>
        </w:rPr>
        <w:t>19</w:t>
      </w:r>
      <w:r>
        <w:rPr>
          <w:snapToGrid w:val="0"/>
        </w:rPr>
        <w:t>.</w:t>
      </w:r>
      <w:r>
        <w:rPr>
          <w:snapToGrid w:val="0"/>
        </w:rPr>
        <w:tab/>
        <w:t>Personal injury by accident arising out of or in course of employment</w:t>
      </w:r>
      <w:bookmarkEnd w:id="236"/>
      <w:bookmarkEnd w:id="237"/>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 </w:t>
      </w:r>
    </w:p>
    <w:p>
      <w:pPr>
        <w:pStyle w:val="Indenta"/>
        <w:rPr>
          <w:snapToGrid w:val="0"/>
        </w:rPr>
      </w:pPr>
      <w:r>
        <w:rPr>
          <w:snapToGrid w:val="0"/>
        </w:rPr>
        <w:tab/>
        <w:t>(a)</w:t>
      </w:r>
      <w:r>
        <w:rPr>
          <w:snapToGrid w:val="0"/>
        </w:rPr>
        <w:tab/>
        <w:t>during the worker’s attendance at a place for educational purposes if —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 xml:space="preserve">the attendance is for the purpose of, or in connection with, the worker’s employment with the employer and the employer agrees to the attendance; </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 </w:t>
      </w:r>
    </w:p>
    <w:p>
      <w:pPr>
        <w:pStyle w:val="Indenta"/>
        <w:keepNext/>
        <w:rPr>
          <w:snapToGrid w:val="0"/>
        </w:rPr>
      </w:pPr>
      <w:r>
        <w:rPr>
          <w:snapToGrid w:val="0"/>
        </w:rPr>
        <w:tab/>
        <w:t>(a)</w:t>
      </w:r>
      <w:r>
        <w:rPr>
          <w:snapToGrid w:val="0"/>
        </w:rPr>
        <w:tab/>
        <w:t>during a journey — </w:t>
      </w:r>
    </w:p>
    <w:p>
      <w:pPr>
        <w:pStyle w:val="Indenti"/>
        <w:rPr>
          <w:snapToGrid w:val="0"/>
        </w:rPr>
      </w:pPr>
      <w:r>
        <w:rPr>
          <w:snapToGrid w:val="0"/>
        </w:rPr>
        <w:tab/>
        <w:t>(i)</w:t>
      </w:r>
      <w:r>
        <w:rPr>
          <w:snapToGrid w:val="0"/>
        </w:rPr>
        <w:tab/>
        <w:t>between a place of residence of the worker and the worker’s place of employment;</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 </w:t>
      </w:r>
    </w:p>
    <w:p>
      <w:pPr>
        <w:pStyle w:val="Defstart"/>
      </w:pPr>
      <w:r>
        <w:rPr>
          <w:b/>
        </w:rPr>
        <w:tab/>
        <w:t>“</w:t>
      </w:r>
      <w:r>
        <w:rPr>
          <w:rStyle w:val="CharDefText"/>
        </w:rPr>
        <w:t>place of residence</w:t>
      </w:r>
      <w:r>
        <w:rPr>
          <w:b/>
        </w:rPr>
        <w:t>”</w:t>
      </w:r>
      <w:r>
        <w:t xml:space="preserve"> includes a place of temporary residence;</w:t>
      </w:r>
    </w:p>
    <w:p>
      <w:pPr>
        <w:pStyle w:val="Defstart"/>
      </w:pPr>
      <w:r>
        <w:rPr>
          <w:b/>
        </w:rPr>
        <w:tab/>
        <w:t>“</w:t>
      </w:r>
      <w:r>
        <w:rPr>
          <w:rStyle w:val="CharDefText"/>
        </w:rPr>
        <w:t>substantial interruption</w:t>
      </w:r>
      <w:r>
        <w:rPr>
          <w:b/>
        </w:rPr>
        <w:t>”</w:t>
      </w:r>
      <w:r>
        <w:t xml:space="preserve"> prima facie includes any interruption of the journey for a period of more than one hour.</w:t>
      </w:r>
    </w:p>
    <w:p>
      <w:pPr>
        <w:pStyle w:val="Footnotesection"/>
      </w:pPr>
      <w:r>
        <w:tab/>
        <w:t xml:space="preserve">[Section 19 inserted by No. 48 of 1993 s. 30.] </w:t>
      </w:r>
    </w:p>
    <w:p>
      <w:pPr>
        <w:pStyle w:val="Heading5"/>
      </w:pPr>
      <w:bookmarkStart w:id="242" w:name="_Toc122833132"/>
      <w:bookmarkStart w:id="243" w:name="_Toc122833699"/>
      <w:bookmarkStart w:id="244" w:name="_Toc440877835"/>
      <w:bookmarkStart w:id="245" w:name="_Toc517775193"/>
      <w:bookmarkStart w:id="246" w:name="_Toc520106941"/>
      <w:bookmarkStart w:id="247" w:name="_Toc523111566"/>
      <w:r>
        <w:rPr>
          <w:rStyle w:val="CharSectno"/>
        </w:rPr>
        <w:t>20</w:t>
      </w:r>
      <w:r>
        <w:t>.</w:t>
      </w:r>
      <w:r>
        <w:tab/>
        <w:t>Compensation not payable unless worker’s employment connected with this State</w:t>
      </w:r>
      <w:bookmarkEnd w:id="242"/>
      <w:bookmarkEnd w:id="243"/>
    </w:p>
    <w:p>
      <w:pPr>
        <w:pStyle w:val="Subsection"/>
      </w:pPr>
      <w:r>
        <w:tab/>
        <w:t>(1)</w:t>
      </w:r>
      <w:r>
        <w:tab/>
        <w:t xml:space="preserve">In this section — </w:t>
      </w:r>
    </w:p>
    <w:p>
      <w:pPr>
        <w:pStyle w:val="Defstart"/>
      </w:pPr>
      <w:r>
        <w:rPr>
          <w:b/>
        </w:rPr>
        <w:tab/>
        <w:t>“</w:t>
      </w:r>
      <w:r>
        <w:rPr>
          <w:rStyle w:val="CharDefText"/>
        </w:rPr>
        <w:t>State</w:t>
      </w:r>
      <w:r>
        <w:rPr>
          <w:b/>
        </w:rPr>
        <w:t>”</w:t>
      </w:r>
      <w:r>
        <w:t>, in a geographical sense, includes a State’s relevant adjacent area as described in Schedule 6.</w:t>
      </w:r>
    </w:p>
    <w:p>
      <w:pPr>
        <w:pStyle w:val="Subsection"/>
      </w:pPr>
      <w:r>
        <w:tab/>
        <w:t>(2)</w:t>
      </w:r>
      <w:r>
        <w:tab/>
        <w:t>Compensation under this Act is only payable in respect of employment that is connected with this State.</w:t>
      </w:r>
    </w:p>
    <w:p>
      <w:pPr>
        <w:pStyle w:val="Subsection"/>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 xml:space="preserve">A worker’s employment is connected with — </w:t>
      </w:r>
    </w:p>
    <w:p>
      <w:pPr>
        <w:pStyle w:val="Indenta"/>
      </w:pPr>
      <w:r>
        <w:tab/>
        <w:t>(a)</w:t>
      </w:r>
      <w:r>
        <w:tab/>
        <w:t>the State in which the worker usually works in that employment;</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if no State or no one State is identified by paragraph (a) or (b), the State in which the employer’s principal place of business in Australia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 xml:space="preserve">If no State is identified by subsection (4) or (if applicable) (5), a worker’s employment is connected with this State if — </w:t>
      </w:r>
    </w:p>
    <w:p>
      <w:pPr>
        <w:pStyle w:val="Indenta"/>
      </w:pPr>
      <w:r>
        <w:tab/>
        <w:t>(a)</w:t>
      </w:r>
      <w:r>
        <w:tab/>
        <w:t>a worker is in this State when the injury occurs; and</w:t>
      </w:r>
    </w:p>
    <w:p>
      <w:pPr>
        <w:pStyle w:val="Indenta"/>
      </w:pPr>
      <w:r>
        <w:tab/>
        <w:t>(b)</w:t>
      </w:r>
      <w:r>
        <w:tab/>
        <w:t>there is no place outside Australia under the legislation of which the worker may be entitled to compensation for the same matter.</w:t>
      </w:r>
    </w:p>
    <w:p>
      <w:pPr>
        <w:pStyle w:val="Subsection"/>
      </w:pPr>
      <w:r>
        <w:tab/>
        <w:t>(7)</w:t>
      </w:r>
      <w:r>
        <w:tab/>
        <w:t xml:space="preserve">In deciding whether a worker usually works in a State, regard must be had to —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pPr>
      <w:r>
        <w:tab/>
        <w:t>(8)</w:t>
      </w:r>
      <w:r>
        <w:tab/>
        <w:t xml:space="preserve">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 </w:t>
      </w:r>
    </w:p>
    <w:p>
      <w:pPr>
        <w:pStyle w:val="Subsection"/>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by No. 36 of 2004 s. 7; amended by No. 36 of 2004 s. 17(4).]</w:t>
      </w:r>
    </w:p>
    <w:p>
      <w:pPr>
        <w:pStyle w:val="Heading5"/>
        <w:rPr>
          <w:snapToGrid w:val="0"/>
        </w:rPr>
      </w:pPr>
      <w:bookmarkStart w:id="248" w:name="_Toc122833133"/>
      <w:bookmarkStart w:id="249" w:name="_Toc122833700"/>
      <w:r>
        <w:rPr>
          <w:rStyle w:val="CharSectno"/>
        </w:rPr>
        <w:t>21</w:t>
      </w:r>
      <w:r>
        <w:rPr>
          <w:snapToGrid w:val="0"/>
        </w:rPr>
        <w:t>.</w:t>
      </w:r>
      <w:r>
        <w:rPr>
          <w:snapToGrid w:val="0"/>
        </w:rPr>
        <w:tab/>
        <w:t>Compensation from date of incapacity</w:t>
      </w:r>
      <w:bookmarkEnd w:id="244"/>
      <w:bookmarkEnd w:id="245"/>
      <w:bookmarkEnd w:id="246"/>
      <w:bookmarkEnd w:id="247"/>
      <w:bookmarkEnd w:id="248"/>
      <w:bookmarkEnd w:id="249"/>
      <w:r>
        <w:rPr>
          <w:snapToGrid w:val="0"/>
        </w:rPr>
        <w:t xml:space="preserve"> </w:t>
      </w:r>
    </w:p>
    <w:p>
      <w:pPr>
        <w:pStyle w:val="Subsection"/>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by No. 42 of 2004 s. 147.]</w:t>
      </w:r>
    </w:p>
    <w:p>
      <w:pPr>
        <w:pStyle w:val="Heading5"/>
        <w:rPr>
          <w:snapToGrid w:val="0"/>
        </w:rPr>
      </w:pPr>
      <w:bookmarkStart w:id="250" w:name="_Toc440877836"/>
      <w:bookmarkStart w:id="251" w:name="_Toc517775194"/>
      <w:bookmarkStart w:id="252" w:name="_Toc520106942"/>
      <w:bookmarkStart w:id="253" w:name="_Toc523111567"/>
      <w:bookmarkStart w:id="254" w:name="_Toc122833134"/>
      <w:bookmarkStart w:id="255" w:name="_Toc122833701"/>
      <w:r>
        <w:rPr>
          <w:rStyle w:val="CharSectno"/>
        </w:rPr>
        <w:t>22</w:t>
      </w:r>
      <w:r>
        <w:rPr>
          <w:snapToGrid w:val="0"/>
        </w:rPr>
        <w:t>.</w:t>
      </w:r>
      <w:r>
        <w:rPr>
          <w:snapToGrid w:val="0"/>
        </w:rPr>
        <w:tab/>
        <w:t>Serious and wilful misconduct</w:t>
      </w:r>
      <w:bookmarkEnd w:id="250"/>
      <w:bookmarkEnd w:id="251"/>
      <w:bookmarkEnd w:id="252"/>
      <w:bookmarkEnd w:id="253"/>
      <w:bookmarkEnd w:id="254"/>
      <w:bookmarkEnd w:id="255"/>
      <w:r>
        <w:rPr>
          <w:snapToGrid w:val="0"/>
        </w:rPr>
        <w:t xml:space="preserve"> </w:t>
      </w:r>
    </w:p>
    <w:p>
      <w:pPr>
        <w:pStyle w:val="Subsection"/>
        <w:rPr>
          <w:snapToGrid w:val="0"/>
        </w:rPr>
      </w:pPr>
      <w:r>
        <w:rPr>
          <w:snapToGrid w:val="0"/>
        </w:rPr>
        <w:tab/>
      </w:r>
      <w:r>
        <w:rPr>
          <w:snapToGrid w:val="0"/>
        </w:rPr>
        <w:tab/>
        <w:t xml:space="preserve">If it is proved that the </w:t>
      </w:r>
      <w:r>
        <w:t>injury</w:t>
      </w:r>
      <w:r>
        <w:rPr>
          <w:snapToGrid w:val="0"/>
        </w:rPr>
        <w:t xml:space="preserve"> of a worker is attributable to his —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pPr>
      <w:r>
        <w:tab/>
        <w:t>[Section 22 amended by No. 42 of 2004 s. 13 and 147.]</w:t>
      </w:r>
    </w:p>
    <w:p>
      <w:pPr>
        <w:pStyle w:val="Heading5"/>
      </w:pPr>
      <w:bookmarkStart w:id="256" w:name="_Toc122833135"/>
      <w:bookmarkStart w:id="257" w:name="_Toc122833702"/>
      <w:bookmarkStart w:id="258" w:name="_Toc86739911"/>
      <w:bookmarkStart w:id="259" w:name="_Toc88562315"/>
      <w:bookmarkStart w:id="260" w:name="_Toc88625232"/>
      <w:r>
        <w:rPr>
          <w:rStyle w:val="CharSectno"/>
        </w:rPr>
        <w:t>23</w:t>
      </w:r>
      <w:r>
        <w:t>.</w:t>
      </w:r>
      <w:r>
        <w:tab/>
        <w:t>Person not to be compensated twice</w:t>
      </w:r>
      <w:bookmarkEnd w:id="256"/>
      <w:bookmarkEnd w:id="257"/>
    </w:p>
    <w:p>
      <w:pPr>
        <w:pStyle w:val="Subsection"/>
        <w:spacing w:before="10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0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00"/>
      </w:pPr>
      <w:r>
        <w:tab/>
      </w:r>
      <w:r>
        <w:tab/>
        <w:t>the person from whom compensation under this Act is received may, in a court of competent jurisdiction, sue and recover from the person the amount described in subsection (3).</w:t>
      </w:r>
    </w:p>
    <w:p>
      <w:pPr>
        <w:pStyle w:val="Subsection"/>
        <w:spacing w:before="10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00"/>
      </w:pPr>
      <w:r>
        <w:tab/>
      </w:r>
      <w:r>
        <w:tab/>
        <w:t>whichever is less.</w:t>
      </w:r>
    </w:p>
    <w:p>
      <w:pPr>
        <w:pStyle w:val="Footnotesection"/>
      </w:pPr>
      <w:r>
        <w:tab/>
        <w:t>[Section 23 inserted by No. 36 of 2004 s. 8.]</w:t>
      </w:r>
    </w:p>
    <w:p>
      <w:pPr>
        <w:pStyle w:val="Heading3"/>
      </w:pPr>
      <w:bookmarkStart w:id="261" w:name="_Toc91385881"/>
      <w:bookmarkStart w:id="262" w:name="_Toc92704887"/>
      <w:bookmarkStart w:id="263" w:name="_Toc93222356"/>
      <w:bookmarkStart w:id="264" w:name="_Toc95022433"/>
      <w:bookmarkStart w:id="265" w:name="_Toc95117705"/>
      <w:bookmarkStart w:id="266" w:name="_Toc96498110"/>
      <w:bookmarkStart w:id="267" w:name="_Toc96500588"/>
      <w:bookmarkStart w:id="268" w:name="_Toc101779500"/>
      <w:bookmarkStart w:id="269" w:name="_Toc103059952"/>
      <w:bookmarkStart w:id="270" w:name="_Toc105470848"/>
      <w:bookmarkStart w:id="271" w:name="_Toc105474762"/>
      <w:bookmarkStart w:id="272" w:name="_Toc105475148"/>
      <w:bookmarkStart w:id="273" w:name="_Toc107307864"/>
      <w:bookmarkStart w:id="274" w:name="_Toc109712097"/>
      <w:bookmarkStart w:id="275" w:name="_Toc109723980"/>
      <w:bookmarkStart w:id="276" w:name="_Toc110053852"/>
      <w:bookmarkStart w:id="277" w:name="_Toc110054241"/>
      <w:bookmarkStart w:id="278" w:name="_Toc110654321"/>
      <w:bookmarkStart w:id="279" w:name="_Toc110735759"/>
      <w:bookmarkStart w:id="280" w:name="_Toc110738495"/>
      <w:bookmarkStart w:id="281" w:name="_Toc115691169"/>
      <w:bookmarkStart w:id="282" w:name="_Toc115773466"/>
      <w:bookmarkStart w:id="283" w:name="_Toc119132417"/>
      <w:bookmarkStart w:id="284" w:name="_Toc119203087"/>
      <w:bookmarkStart w:id="285" w:name="_Toc119203733"/>
      <w:bookmarkStart w:id="286" w:name="_Toc119216063"/>
      <w:bookmarkStart w:id="287" w:name="_Toc119300583"/>
      <w:bookmarkStart w:id="288" w:name="_Toc119301150"/>
      <w:bookmarkStart w:id="289" w:name="_Toc119301719"/>
      <w:bookmarkStart w:id="290" w:name="_Toc119919906"/>
      <w:bookmarkStart w:id="291" w:name="_Toc122773893"/>
      <w:bookmarkStart w:id="292" w:name="_Toc122833136"/>
      <w:bookmarkStart w:id="293" w:name="_Toc122833703"/>
      <w:r>
        <w:rPr>
          <w:rStyle w:val="CharDivNo"/>
        </w:rPr>
        <w:t>Division 1a</w:t>
      </w:r>
      <w:r>
        <w:t> — </w:t>
      </w:r>
      <w:r>
        <w:rPr>
          <w:rStyle w:val="CharDivText"/>
        </w:rPr>
        <w:t>Determination by courts and recognition of determination</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pPr>
        <w:pStyle w:val="Footnoteheading"/>
        <w:tabs>
          <w:tab w:val="left" w:pos="851"/>
        </w:tabs>
      </w:pPr>
      <w:r>
        <w:tab/>
        <w:t>[Heading inserted by No. 36 of 2004 s. 9.]</w:t>
      </w:r>
    </w:p>
    <w:p>
      <w:pPr>
        <w:pStyle w:val="Heading5"/>
      </w:pPr>
      <w:bookmarkStart w:id="294" w:name="_Toc122833137"/>
      <w:bookmarkStart w:id="295" w:name="_Toc122833704"/>
      <w:r>
        <w:rPr>
          <w:rStyle w:val="CharSectno"/>
        </w:rPr>
        <w:t>23A</w:t>
      </w:r>
      <w:r>
        <w:t>.</w:t>
      </w:r>
      <w:r>
        <w:tab/>
        <w:t>Definition</w:t>
      </w:r>
      <w:bookmarkEnd w:id="294"/>
      <w:bookmarkEnd w:id="295"/>
    </w:p>
    <w:p>
      <w:pPr>
        <w:pStyle w:val="Subsection"/>
        <w:spacing w:before="100"/>
      </w:pPr>
      <w:r>
        <w:tab/>
      </w:r>
      <w:r>
        <w:tab/>
        <w:t xml:space="preserve">In this Division — </w:t>
      </w:r>
    </w:p>
    <w:p>
      <w:pPr>
        <w:pStyle w:val="Defstart"/>
      </w:pPr>
      <w:r>
        <w:rPr>
          <w:b/>
        </w:rPr>
        <w:tab/>
        <w:t>“</w:t>
      </w:r>
      <w:r>
        <w:rPr>
          <w:rStyle w:val="CharDefText"/>
        </w:rPr>
        <w:t>court</w:t>
      </w:r>
      <w:r>
        <w:rPr>
          <w:b/>
        </w:rPr>
        <w:t>”</w:t>
      </w:r>
      <w:r>
        <w:t xml:space="preserve"> includes a tribunal constituted by a judicial officer. </w:t>
      </w:r>
    </w:p>
    <w:p>
      <w:pPr>
        <w:pStyle w:val="Footnotesection"/>
      </w:pPr>
      <w:r>
        <w:tab/>
        <w:t>[Section 23A inserted by No. 36 of 2004 s. 9.]</w:t>
      </w:r>
    </w:p>
    <w:p>
      <w:pPr>
        <w:pStyle w:val="Heading5"/>
      </w:pPr>
      <w:bookmarkStart w:id="296" w:name="_Toc122833138"/>
      <w:bookmarkStart w:id="297" w:name="_Toc122833705"/>
      <w:r>
        <w:rPr>
          <w:rStyle w:val="CharSectno"/>
        </w:rPr>
        <w:t>23B</w:t>
      </w:r>
      <w:r>
        <w:t>.</w:t>
      </w:r>
      <w:r>
        <w:tab/>
        <w:t>Determination of State with which worker’s employment is connected in proceedings under this Act</w:t>
      </w:r>
      <w:bookmarkEnd w:id="296"/>
      <w:bookmarkEnd w:id="297"/>
    </w:p>
    <w:p>
      <w:pPr>
        <w:pStyle w:val="Subsection"/>
      </w:pPr>
      <w:r>
        <w:tab/>
        <w:t>(1)</w:t>
      </w:r>
      <w:r>
        <w:tab/>
        <w:t xml:space="preserve">If the question of whether this State is connected with a worker’s employment arises in proceedings in a court in relation to a claim for compensation under this Act, that court must —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by No. 36 of 2004 s. 9.]</w:t>
      </w:r>
    </w:p>
    <w:p>
      <w:pPr>
        <w:pStyle w:val="Heading5"/>
      </w:pPr>
      <w:bookmarkStart w:id="298" w:name="_Toc122833139"/>
      <w:bookmarkStart w:id="299" w:name="_Toc122833706"/>
      <w:r>
        <w:rPr>
          <w:rStyle w:val="CharSectno"/>
        </w:rPr>
        <w:t>23C</w:t>
      </w:r>
      <w:r>
        <w:t>.</w:t>
      </w:r>
      <w:r>
        <w:tab/>
        <w:t>Determination by the District Court of State with which worker’s employment is connected</w:t>
      </w:r>
      <w:bookmarkEnd w:id="298"/>
      <w:bookmarkEnd w:id="299"/>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by No. 36 of 2004 s. 9.]</w:t>
      </w:r>
    </w:p>
    <w:p>
      <w:pPr>
        <w:pStyle w:val="Heading5"/>
      </w:pPr>
      <w:bookmarkStart w:id="300" w:name="_Toc122833140"/>
      <w:bookmarkStart w:id="301" w:name="_Toc122833707"/>
      <w:r>
        <w:rPr>
          <w:rStyle w:val="CharSectno"/>
        </w:rPr>
        <w:t>23D</w:t>
      </w:r>
      <w:r>
        <w:t>.</w:t>
      </w:r>
      <w:r>
        <w:tab/>
        <w:t>Recognition of previous determinations</w:t>
      </w:r>
      <w:bookmarkEnd w:id="300"/>
      <w:bookmarkEnd w:id="301"/>
    </w:p>
    <w:p>
      <w:pPr>
        <w:pStyle w:val="Subsection"/>
      </w:pPr>
      <w:r>
        <w:tab/>
        <w:t>(1)</w:t>
      </w:r>
      <w:r>
        <w:tab/>
        <w:t xml:space="preserve">This section applies if a determination of the State with which a worker’s employment is connected has been made — </w:t>
      </w:r>
    </w:p>
    <w:p>
      <w:pPr>
        <w:pStyle w:val="Indenta"/>
      </w:pPr>
      <w:r>
        <w:tab/>
        <w:t>(a)</w:t>
      </w:r>
      <w:r>
        <w:tab/>
        <w:t>by a court of this State under section 23B or 23C;</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pPr>
      <w:r>
        <w:tab/>
        <w:t>(2)</w:t>
      </w:r>
      <w:r>
        <w:tab/>
        <w:t>The State determined as mentioned in subsection (1) is to be recognised for the purposes of this Act as the State with which the worker’s employment is connected.</w:t>
      </w:r>
    </w:p>
    <w:p>
      <w:pPr>
        <w:pStyle w:val="Subsection"/>
      </w:pPr>
      <w:r>
        <w:tab/>
        <w:t>(3)</w:t>
      </w:r>
      <w:r>
        <w:tab/>
        <w:t>This section does not prevent any appeal relating to the determination.</w:t>
      </w:r>
    </w:p>
    <w:p>
      <w:pPr>
        <w:pStyle w:val="Subsection"/>
      </w:pPr>
      <w:r>
        <w:tab/>
        <w:t>(4)</w:t>
      </w:r>
      <w:r>
        <w:tab/>
        <w:t>If the determination is altered on appeal, the altered determination is to be recognised under subsection (2).</w:t>
      </w:r>
    </w:p>
    <w:p>
      <w:pPr>
        <w:pStyle w:val="Footnotesection"/>
      </w:pPr>
      <w:r>
        <w:tab/>
        <w:t>[Section 23D inserted by No. 36 of 2004 s. 9.]</w:t>
      </w:r>
    </w:p>
    <w:p>
      <w:pPr>
        <w:pStyle w:val="Heading5"/>
      </w:pPr>
      <w:bookmarkStart w:id="302" w:name="_Toc122833141"/>
      <w:bookmarkStart w:id="303" w:name="_Toc122833708"/>
      <w:r>
        <w:rPr>
          <w:rStyle w:val="CharSectno"/>
        </w:rPr>
        <w:t>23E</w:t>
      </w:r>
      <w:r>
        <w:t>.</w:t>
      </w:r>
      <w:r>
        <w:tab/>
        <w:t>Determination may be made by consent</w:t>
      </w:r>
      <w:bookmarkEnd w:id="302"/>
      <w:bookmarkEnd w:id="303"/>
    </w:p>
    <w:p>
      <w:pPr>
        <w:pStyle w:val="Subsection"/>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by No. 36 of 2004 s. 9.]</w:t>
      </w:r>
    </w:p>
    <w:p>
      <w:pPr>
        <w:pStyle w:val="Heading3"/>
      </w:pPr>
      <w:bookmarkStart w:id="304" w:name="_Toc87252808"/>
      <w:bookmarkStart w:id="305" w:name="_Toc119132423"/>
      <w:bookmarkStart w:id="306" w:name="_Toc119203093"/>
      <w:bookmarkStart w:id="307" w:name="_Toc119203739"/>
      <w:bookmarkStart w:id="308" w:name="_Toc119216069"/>
      <w:bookmarkStart w:id="309" w:name="_Toc119300589"/>
      <w:bookmarkStart w:id="310" w:name="_Toc119301156"/>
      <w:bookmarkStart w:id="311" w:name="_Toc119301725"/>
      <w:bookmarkStart w:id="312" w:name="_Toc119919912"/>
      <w:bookmarkStart w:id="313" w:name="_Toc122773899"/>
      <w:bookmarkStart w:id="314" w:name="_Toc122833142"/>
      <w:bookmarkStart w:id="315" w:name="_Toc122833709"/>
      <w:bookmarkStart w:id="316" w:name="_Toc440877838"/>
      <w:bookmarkStart w:id="317" w:name="_Toc517775196"/>
      <w:bookmarkStart w:id="318" w:name="_Toc520106944"/>
      <w:bookmarkStart w:id="319" w:name="_Toc523111569"/>
      <w:bookmarkEnd w:id="258"/>
      <w:bookmarkEnd w:id="259"/>
      <w:bookmarkEnd w:id="260"/>
      <w:r>
        <w:rPr>
          <w:rStyle w:val="CharDivNo"/>
        </w:rPr>
        <w:t>Division 2</w:t>
      </w:r>
      <w:r>
        <w:t> — </w:t>
      </w:r>
      <w:r>
        <w:rPr>
          <w:rStyle w:val="CharDivText"/>
        </w:rPr>
        <w:t>Discontinued regime for lump sum payments for specified injuries</w:t>
      </w:r>
      <w:bookmarkEnd w:id="304"/>
      <w:bookmarkEnd w:id="305"/>
      <w:bookmarkEnd w:id="306"/>
      <w:bookmarkEnd w:id="307"/>
      <w:bookmarkEnd w:id="308"/>
      <w:bookmarkEnd w:id="309"/>
      <w:bookmarkEnd w:id="310"/>
      <w:bookmarkEnd w:id="311"/>
      <w:bookmarkEnd w:id="312"/>
      <w:bookmarkEnd w:id="313"/>
      <w:bookmarkEnd w:id="314"/>
      <w:bookmarkEnd w:id="315"/>
    </w:p>
    <w:p>
      <w:pPr>
        <w:pStyle w:val="Footnoteheading"/>
      </w:pPr>
      <w:r>
        <w:tab/>
        <w:t>[Heading inserted by No. 42 of 2004 s. 14.]</w:t>
      </w:r>
    </w:p>
    <w:p>
      <w:pPr>
        <w:pStyle w:val="Heading5"/>
        <w:rPr>
          <w:snapToGrid w:val="0"/>
        </w:rPr>
      </w:pPr>
      <w:bookmarkStart w:id="320" w:name="_Toc122833143"/>
      <w:bookmarkStart w:id="321" w:name="_Toc122833710"/>
      <w:r>
        <w:rPr>
          <w:rStyle w:val="CharSectno"/>
        </w:rPr>
        <w:t>24</w:t>
      </w:r>
      <w:r>
        <w:rPr>
          <w:snapToGrid w:val="0"/>
        </w:rPr>
        <w:t>.</w:t>
      </w:r>
      <w:r>
        <w:rPr>
          <w:snapToGrid w:val="0"/>
        </w:rPr>
        <w:tab/>
        <w:t>Compensation for injuries mentioned in Schedule 2</w:t>
      </w:r>
      <w:bookmarkEnd w:id="316"/>
      <w:bookmarkEnd w:id="317"/>
      <w:bookmarkEnd w:id="318"/>
      <w:bookmarkEnd w:id="319"/>
      <w:bookmarkEnd w:id="320"/>
      <w:bookmarkEnd w:id="321"/>
      <w:r>
        <w:rPr>
          <w:snapToGrid w:val="0"/>
        </w:rPr>
        <w:t xml:space="preserve"> </w:t>
      </w:r>
    </w:p>
    <w:p>
      <w:pPr>
        <w:pStyle w:val="Subsection"/>
      </w:pPr>
      <w:r>
        <w:tab/>
        <w:t>(1)</w:t>
      </w:r>
      <w:r>
        <w:tab/>
        <w:t xml:space="preserve">In this section — </w:t>
      </w:r>
    </w:p>
    <w:p>
      <w:pPr>
        <w:pStyle w:val="Defstart"/>
      </w:pPr>
      <w:r>
        <w:rPr>
          <w:b/>
        </w:rPr>
        <w:tab/>
        <w:t>“</w:t>
      </w:r>
      <w:r>
        <w:rPr>
          <w:rStyle w:val="CharDefText"/>
        </w:rPr>
        <w:t>amendment day</w:t>
      </w:r>
      <w:r>
        <w:rPr>
          <w:b/>
        </w:rPr>
        <w:t>”</w:t>
      </w:r>
      <w:r>
        <w:t xml:space="preserve"> means the day on which section 21 of the </w:t>
      </w:r>
      <w:r>
        <w:rPr>
          <w:i/>
        </w:rPr>
        <w:t>Workers’ Compensation Reform Act 2004</w:t>
      </w:r>
      <w:r>
        <w:t xml:space="preserve"> comes into operation.</w:t>
      </w:r>
    </w:p>
    <w:p>
      <w:pPr>
        <w:pStyle w:val="Subsection"/>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pPr>
      <w:r>
        <w:tab/>
        <w:t>(3)</w:t>
      </w:r>
      <w:r>
        <w:tab/>
        <w:t>This Division does not apply if the compensable personal injury by accident occurs on or after the amendment day.</w:t>
      </w:r>
    </w:p>
    <w:p>
      <w:pPr>
        <w:pStyle w:val="Subsection"/>
      </w:pPr>
      <w:r>
        <w:tab/>
        <w:t>(4)</w:t>
      </w:r>
      <w:r>
        <w:tab/>
        <w:t>This Division does not apply in relation to noise induced hearing loss shown on or after the amendment day by an audiometric test under Schedule 7 clause 4.</w:t>
      </w:r>
    </w:p>
    <w:p>
      <w:pPr>
        <w:pStyle w:val="Footnotesection"/>
      </w:pPr>
      <w:r>
        <w:tab/>
        <w:t xml:space="preserve">[Section 24 amended by No. 44 of 1985 s. 9; No. 36 of 1988 s. 5; No. 42 of 2004 s. 15.] </w:t>
      </w:r>
    </w:p>
    <w:p>
      <w:pPr>
        <w:pStyle w:val="Heading5"/>
        <w:rPr>
          <w:snapToGrid w:val="0"/>
        </w:rPr>
      </w:pPr>
      <w:bookmarkStart w:id="322" w:name="_Toc440877839"/>
      <w:bookmarkStart w:id="323" w:name="_Toc517775197"/>
      <w:bookmarkStart w:id="324" w:name="_Toc520106945"/>
      <w:bookmarkStart w:id="325" w:name="_Toc523111570"/>
      <w:bookmarkStart w:id="326" w:name="_Toc122833144"/>
      <w:bookmarkStart w:id="327" w:name="_Toc122833711"/>
      <w:r>
        <w:rPr>
          <w:rStyle w:val="CharSectno"/>
        </w:rPr>
        <w:t>24A</w:t>
      </w:r>
      <w:r>
        <w:rPr>
          <w:snapToGrid w:val="0"/>
        </w:rPr>
        <w:t>.</w:t>
      </w:r>
      <w:r>
        <w:rPr>
          <w:snapToGrid w:val="0"/>
        </w:rPr>
        <w:tab/>
        <w:t>Lump sum compensation for noise induced hearing loss</w:t>
      </w:r>
      <w:bookmarkEnd w:id="322"/>
      <w:bookmarkEnd w:id="323"/>
      <w:bookmarkEnd w:id="324"/>
      <w:bookmarkEnd w:id="325"/>
      <w:bookmarkEnd w:id="326"/>
      <w:bookmarkEnd w:id="327"/>
      <w:r>
        <w:rPr>
          <w:snapToGrid w:val="0"/>
        </w:rPr>
        <w:t xml:space="preserve"> </w:t>
      </w:r>
    </w:p>
    <w:p>
      <w:pPr>
        <w:pStyle w:val="Subsection"/>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where the worker has reached the age of 65 years or on the worker’s retirement from work before that age, where that noise induced hearing loss is any further percentage of loss of hearing.</w:t>
      </w:r>
    </w:p>
    <w:p>
      <w:pPr>
        <w:pStyle w:val="Subsection"/>
        <w:keepNext/>
        <w:rPr>
          <w:snapToGrid w:val="0"/>
        </w:rPr>
      </w:pPr>
      <w:r>
        <w:rPr>
          <w:snapToGrid w:val="0"/>
        </w:rPr>
        <w:tab/>
        <w:t>(3)</w:t>
      </w:r>
      <w:r>
        <w:rPr>
          <w:snapToGrid w:val="0"/>
        </w:rPr>
        <w:tab/>
        <w:t>Nothing in subsection (2) operates to stop a worker who — </w:t>
      </w:r>
    </w:p>
    <w:p>
      <w:pPr>
        <w:pStyle w:val="Indenta"/>
        <w:rPr>
          <w:snapToGrid w:val="0"/>
        </w:rPr>
      </w:pPr>
      <w:r>
        <w:rPr>
          <w:snapToGrid w:val="0"/>
        </w:rPr>
        <w:tab/>
        <w:t>(a)</w:t>
      </w:r>
      <w:r>
        <w:rPr>
          <w:snapToGrid w:val="0"/>
        </w:rPr>
        <w:tab/>
        <w:t>has retired from work before attaining the age of 65 years;</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rPr>
          <w:snapToGrid w:val="0"/>
        </w:rPr>
      </w:pPr>
      <w:r>
        <w:rPr>
          <w:snapToGrid w:val="0"/>
        </w:rPr>
        <w:tab/>
      </w:r>
      <w:r>
        <w:rPr>
          <w:snapToGrid w:val="0"/>
        </w:rPr>
        <w:tab/>
        <w:t>from making an election under subsection (2)(b) in respect of further loss of hearing.</w:t>
      </w:r>
    </w:p>
    <w:p>
      <w:pPr>
        <w:pStyle w:val="Subsection"/>
        <w:rPr>
          <w:snapToGrid w:val="0"/>
        </w:rPr>
      </w:pPr>
      <w:r>
        <w:rPr>
          <w:snapToGrid w:val="0"/>
        </w:rPr>
        <w:tab/>
        <w:t>(4)</w:t>
      </w:r>
      <w:r>
        <w:rPr>
          <w:snapToGrid w:val="0"/>
        </w:rPr>
        <w:tab/>
        <w:t>A worker is not entitled to compensation under this section in respect of noise induced hearing loss incurred after the worker has attained the age of 65 years.</w:t>
      </w:r>
    </w:p>
    <w:p>
      <w:pPr>
        <w:pStyle w:val="Subsection"/>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 xml:space="preserve">[Section 24A inserted by No. 36 of 1988 s. 6; amended by No. 42 of 2004 s. 16.] </w:t>
      </w:r>
    </w:p>
    <w:p>
      <w:pPr>
        <w:pStyle w:val="Heading5"/>
        <w:rPr>
          <w:snapToGrid w:val="0"/>
        </w:rPr>
      </w:pPr>
      <w:bookmarkStart w:id="328" w:name="_Toc440877840"/>
      <w:bookmarkStart w:id="329" w:name="_Toc517775198"/>
      <w:bookmarkStart w:id="330" w:name="_Toc520106946"/>
      <w:bookmarkStart w:id="331" w:name="_Toc523111571"/>
      <w:bookmarkStart w:id="332" w:name="_Toc122833145"/>
      <w:bookmarkStart w:id="333" w:name="_Toc122833712"/>
      <w:r>
        <w:rPr>
          <w:rStyle w:val="CharSectno"/>
        </w:rPr>
        <w:t>24B</w:t>
      </w:r>
      <w:r>
        <w:rPr>
          <w:snapToGrid w:val="0"/>
        </w:rPr>
        <w:t>.</w:t>
      </w:r>
      <w:r>
        <w:rPr>
          <w:snapToGrid w:val="0"/>
        </w:rPr>
        <w:tab/>
        <w:t>Election under section 24 or 24A</w:t>
      </w:r>
      <w:bookmarkEnd w:id="328"/>
      <w:bookmarkEnd w:id="329"/>
      <w:bookmarkEnd w:id="330"/>
      <w:bookmarkEnd w:id="331"/>
      <w:bookmarkEnd w:id="332"/>
      <w:bookmarkEnd w:id="333"/>
      <w:r>
        <w:rPr>
          <w:snapToGrid w:val="0"/>
        </w:rPr>
        <w:t xml:space="preserve"> </w:t>
      </w:r>
    </w:p>
    <w:p>
      <w:pPr>
        <w:pStyle w:val="Subsection"/>
        <w:rPr>
          <w:snapToGrid w:val="0"/>
        </w:rPr>
      </w:pPr>
      <w:r>
        <w:rPr>
          <w:snapToGrid w:val="0"/>
        </w:rPr>
        <w:tab/>
        <w:t>(1)</w:t>
      </w:r>
      <w:r>
        <w:rPr>
          <w:snapToGrid w:val="0"/>
        </w:rPr>
        <w:tab/>
        <w:t>A worker elects for the purposes of section 24 or 24A(1) where — </w:t>
      </w:r>
    </w:p>
    <w:p>
      <w:pPr>
        <w:pStyle w:val="Indenta"/>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rPr>
          <w:snapToGrid w:val="0"/>
        </w:rPr>
      </w:pPr>
      <w:r>
        <w:rPr>
          <w:snapToGrid w:val="0"/>
        </w:rPr>
        <w:tab/>
        <w:t>(a)</w:t>
      </w:r>
      <w:r>
        <w:rPr>
          <w:snapToGrid w:val="0"/>
        </w:rPr>
        <w:tab/>
        <w:t>an agreement with respect to the election is registered under section 76; or</w:t>
      </w:r>
    </w:p>
    <w:p>
      <w:pPr>
        <w:pStyle w:val="Indenta"/>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 xml:space="preserve">[Section 24B inserted by No. 36 of 1988 s. 6; amended by No. 48 of 1993 s. 28(1); No. 34 of 1999 s. 8; No. 42 of 2004 s. 17 and 149.] </w:t>
      </w:r>
    </w:p>
    <w:p>
      <w:pPr>
        <w:pStyle w:val="Heading5"/>
        <w:spacing w:before="180"/>
        <w:rPr>
          <w:snapToGrid w:val="0"/>
        </w:rPr>
      </w:pPr>
      <w:bookmarkStart w:id="334" w:name="_Toc440877841"/>
      <w:bookmarkStart w:id="335" w:name="_Toc517775199"/>
      <w:bookmarkStart w:id="336" w:name="_Toc520106947"/>
      <w:bookmarkStart w:id="337" w:name="_Toc523111572"/>
      <w:bookmarkStart w:id="338" w:name="_Toc122833146"/>
      <w:bookmarkStart w:id="339" w:name="_Toc122833713"/>
      <w:r>
        <w:rPr>
          <w:rStyle w:val="CharSectno"/>
        </w:rPr>
        <w:t>25</w:t>
      </w:r>
      <w:r>
        <w:rPr>
          <w:snapToGrid w:val="0"/>
        </w:rPr>
        <w:t>.</w:t>
      </w:r>
      <w:r>
        <w:rPr>
          <w:snapToGrid w:val="0"/>
        </w:rPr>
        <w:tab/>
        <w:t>“Loss of</w:t>
      </w:r>
      <w:r>
        <w:rPr>
          <w:snapToGrid w:val="0"/>
          <w:vertAlign w:val="superscript"/>
        </w:rPr>
        <w:t xml:space="preserve"> </w:t>
      </w:r>
      <w:r>
        <w:rPr>
          <w:snapToGrid w:val="0"/>
        </w:rPr>
        <w:t>”</w:t>
      </w:r>
      <w:bookmarkEnd w:id="334"/>
      <w:bookmarkEnd w:id="335"/>
      <w:bookmarkEnd w:id="336"/>
      <w:bookmarkEnd w:id="337"/>
      <w:bookmarkEnd w:id="338"/>
      <w:bookmarkEnd w:id="339"/>
      <w:r>
        <w:rPr>
          <w:snapToGrid w:val="0"/>
        </w:rPr>
        <w:t xml:space="preserve"> </w:t>
      </w:r>
    </w:p>
    <w:p>
      <w:pPr>
        <w:pStyle w:val="Subsection"/>
        <w:spacing w:before="120"/>
        <w:rPr>
          <w:snapToGrid w:val="0"/>
        </w:rPr>
      </w:pPr>
      <w:r>
        <w:rPr>
          <w:snapToGrid w:val="0"/>
        </w:rPr>
        <w:tab/>
      </w:r>
      <w:r>
        <w:rPr>
          <w:snapToGrid w:val="0"/>
        </w:rPr>
        <w:tab/>
        <w:t xml:space="preserve">For the purpose of the table set out in Schedule 2, </w:t>
      </w:r>
      <w:r>
        <w:rPr>
          <w:b/>
          <w:snapToGrid w:val="0"/>
        </w:rPr>
        <w:t>“</w:t>
      </w:r>
      <w:r>
        <w:rPr>
          <w:rStyle w:val="CharDefText"/>
        </w:rPr>
        <w:t>loss of</w:t>
      </w:r>
      <w:r>
        <w:rPr>
          <w:rStyle w:val="CharDefText"/>
          <w:vertAlign w:val="superscript"/>
        </w:rPr>
        <w:t xml:space="preserve"> </w:t>
      </w:r>
      <w:r>
        <w:rPr>
          <w:b/>
          <w:snapToGrid w:val="0"/>
        </w:rPr>
        <w:t>”</w:t>
      </w:r>
      <w:r>
        <w:rPr>
          <w:snapToGrid w:val="0"/>
        </w:rPr>
        <w:t xml:space="preserve"> includes — </w:t>
      </w:r>
    </w:p>
    <w:p>
      <w:pPr>
        <w:pStyle w:val="Indenta"/>
        <w:spacing w:before="60"/>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spacing w:before="60"/>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spacing w:before="180"/>
        <w:rPr>
          <w:snapToGrid w:val="0"/>
        </w:rPr>
      </w:pPr>
      <w:bookmarkStart w:id="340" w:name="_Toc440877842"/>
      <w:bookmarkStart w:id="341" w:name="_Toc517775200"/>
      <w:bookmarkStart w:id="342" w:name="_Toc520106948"/>
      <w:bookmarkStart w:id="343" w:name="_Toc523111573"/>
      <w:bookmarkStart w:id="344" w:name="_Toc122833147"/>
      <w:bookmarkStart w:id="345" w:name="_Toc122833714"/>
      <w:r>
        <w:rPr>
          <w:rStyle w:val="CharSectno"/>
        </w:rPr>
        <w:t>26</w:t>
      </w:r>
      <w:r>
        <w:rPr>
          <w:snapToGrid w:val="0"/>
        </w:rPr>
        <w:t>.</w:t>
      </w:r>
      <w:r>
        <w:rPr>
          <w:snapToGrid w:val="0"/>
        </w:rPr>
        <w:tab/>
        <w:t>Subsequent injuries</w:t>
      </w:r>
      <w:bookmarkEnd w:id="340"/>
      <w:bookmarkEnd w:id="341"/>
      <w:bookmarkEnd w:id="342"/>
      <w:bookmarkEnd w:id="343"/>
      <w:bookmarkEnd w:id="344"/>
      <w:bookmarkEnd w:id="345"/>
      <w:r>
        <w:rPr>
          <w:snapToGrid w:val="0"/>
        </w:rPr>
        <w:t xml:space="preserve"> </w:t>
      </w:r>
    </w:p>
    <w:p>
      <w:pPr>
        <w:pStyle w:val="Subsection"/>
        <w:spacing w:before="120"/>
        <w:rPr>
          <w:snapToGrid w:val="0"/>
        </w:rPr>
      </w:pPr>
      <w:r>
        <w:rPr>
          <w:snapToGrid w:val="0"/>
        </w:rPr>
        <w:tab/>
        <w:t>(1)</w:t>
      </w:r>
      <w:r>
        <w:rPr>
          <w:snapToGrid w:val="0"/>
        </w:rPr>
        <w:tab/>
        <w:t>When, by a compensable personal injury by accident, a worker has already suffered a permanent loss of any percentage of the full efficient use of — </w:t>
      </w:r>
    </w:p>
    <w:p>
      <w:pPr>
        <w:pStyle w:val="Indenta"/>
        <w:rPr>
          <w:snapToGrid w:val="0"/>
        </w:rPr>
      </w:pPr>
      <w:r>
        <w:rPr>
          <w:snapToGrid w:val="0"/>
        </w:rPr>
        <w:tab/>
      </w:r>
      <w:r>
        <w:rPr>
          <w:snapToGrid w:val="0"/>
        </w:rPr>
        <w:tab/>
        <w:t>any part or faculty of the body referred to in column 1 of</w:t>
      </w:r>
      <w:r>
        <w:t xml:space="preserve"> Part 1 of</w:t>
      </w:r>
      <w:r>
        <w:rPr>
          <w:snapToGrid w:val="0"/>
        </w:rPr>
        <w:t xml:space="preserve"> the table set out in Schedule 2 — </w:t>
      </w:r>
    </w:p>
    <w:p>
      <w:pPr>
        <w:pStyle w:val="Subsection"/>
        <w:spacing w:before="120"/>
        <w:rPr>
          <w:snapToGrid w:val="0"/>
        </w:rPr>
      </w:pPr>
      <w:r>
        <w:rPr>
          <w:snapToGrid w:val="0"/>
        </w:rPr>
        <w:tab/>
      </w:r>
      <w:r>
        <w:rPr>
          <w:snapToGrid w:val="0"/>
        </w:rPr>
        <w:tab/>
        <w:t>and by subsequent compensable personal injury by accident suffers further loss of the full efficient use of — </w:t>
      </w:r>
    </w:p>
    <w:p>
      <w:pPr>
        <w:pStyle w:val="Indenta"/>
        <w:rPr>
          <w:snapToGrid w:val="0"/>
        </w:rPr>
      </w:pPr>
      <w:r>
        <w:rPr>
          <w:snapToGrid w:val="0"/>
        </w:rPr>
        <w:tab/>
      </w:r>
      <w:r>
        <w:rPr>
          <w:snapToGrid w:val="0"/>
        </w:rPr>
        <w:tab/>
        <w:t>that part or faculty of the body — </w:t>
      </w:r>
    </w:p>
    <w:p>
      <w:pPr>
        <w:pStyle w:val="Subsection"/>
        <w:spacing w:before="120"/>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spacing w:before="120"/>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 </w:t>
      </w:r>
    </w:p>
    <w:p>
      <w:pPr>
        <w:pStyle w:val="Indenta"/>
        <w:rPr>
          <w:snapToGrid w:val="0"/>
        </w:rPr>
      </w:pPr>
      <w:r>
        <w:rPr>
          <w:snapToGrid w:val="0"/>
        </w:rPr>
        <w:tab/>
      </w:r>
      <w:r>
        <w:rPr>
          <w:snapToGrid w:val="0"/>
        </w:rPr>
        <w:tab/>
        <w:t>whether in one payment for permanent total loss of, or permanent total loss of the efficient use of — </w:t>
      </w:r>
    </w:p>
    <w:p>
      <w:pPr>
        <w:pStyle w:val="Subsection"/>
        <w:keepNext/>
        <w:keepLines/>
        <w:spacing w:before="120"/>
        <w:rPr>
          <w:snapToGrid w:val="0"/>
        </w:rPr>
      </w:pPr>
      <w:r>
        <w:rPr>
          <w:snapToGrid w:val="0"/>
        </w:rPr>
        <w:tab/>
      </w:r>
      <w:r>
        <w:rPr>
          <w:snapToGrid w:val="0"/>
        </w:rPr>
        <w:tab/>
        <w:t>that part or faculty of the body — </w:t>
      </w:r>
    </w:p>
    <w:p>
      <w:pPr>
        <w:pStyle w:val="Indenta"/>
        <w:rPr>
          <w:snapToGrid w:val="0"/>
        </w:rPr>
      </w:pPr>
      <w:r>
        <w:rPr>
          <w:snapToGrid w:val="0"/>
        </w:rPr>
        <w:tab/>
      </w:r>
      <w:r>
        <w:rPr>
          <w:snapToGrid w:val="0"/>
        </w:rPr>
        <w:tab/>
        <w:t>or in several payments, each of which has been made for a permanent partial loss of, or a permanent partial loss of the efficient use of — </w:t>
      </w:r>
    </w:p>
    <w:p>
      <w:pPr>
        <w:pStyle w:val="Subsection"/>
        <w:spacing w:before="80"/>
        <w:rPr>
          <w:snapToGrid w:val="0"/>
        </w:rPr>
      </w:pPr>
      <w:r>
        <w:rPr>
          <w:snapToGrid w:val="0"/>
        </w:rPr>
        <w:tab/>
      </w:r>
      <w:r>
        <w:rPr>
          <w:snapToGrid w:val="0"/>
        </w:rPr>
        <w:tab/>
        <w:t>that part or faculty of the body, then and in such case, the worker is not entitled to any further payment under the provisions of that table in respect of that part or faculty.</w:t>
      </w:r>
    </w:p>
    <w:p>
      <w:pPr>
        <w:pStyle w:val="Footnotesection"/>
      </w:pPr>
      <w:r>
        <w:tab/>
        <w:t>[Section 26 amended by No. 42 of 2004 s. 18.]</w:t>
      </w:r>
    </w:p>
    <w:p>
      <w:pPr>
        <w:pStyle w:val="Heading5"/>
        <w:spacing w:before="160"/>
        <w:rPr>
          <w:snapToGrid w:val="0"/>
        </w:rPr>
      </w:pPr>
      <w:bookmarkStart w:id="346" w:name="_Toc440877843"/>
      <w:bookmarkStart w:id="347" w:name="_Toc517775201"/>
      <w:bookmarkStart w:id="348" w:name="_Toc520106949"/>
      <w:bookmarkStart w:id="349" w:name="_Toc523111574"/>
      <w:bookmarkStart w:id="350" w:name="_Toc122833148"/>
      <w:bookmarkStart w:id="351" w:name="_Toc122833715"/>
      <w:r>
        <w:rPr>
          <w:rStyle w:val="CharSectno"/>
        </w:rPr>
        <w:t>27</w:t>
      </w:r>
      <w:r>
        <w:rPr>
          <w:snapToGrid w:val="0"/>
        </w:rPr>
        <w:t>.</w:t>
      </w:r>
      <w:r>
        <w:rPr>
          <w:snapToGrid w:val="0"/>
        </w:rPr>
        <w:tab/>
        <w:t>Compensation in accordance with table at date of accident</w:t>
      </w:r>
      <w:bookmarkEnd w:id="346"/>
      <w:bookmarkEnd w:id="347"/>
      <w:bookmarkEnd w:id="348"/>
      <w:bookmarkEnd w:id="349"/>
      <w:bookmarkEnd w:id="350"/>
      <w:bookmarkEnd w:id="351"/>
      <w:r>
        <w:rPr>
          <w:snapToGrid w:val="0"/>
        </w:rPr>
        <w:t xml:space="preserve"> </w:t>
      </w:r>
    </w:p>
    <w:p>
      <w:pPr>
        <w:pStyle w:val="Subsection"/>
        <w:keepNext/>
        <w:spacing w:before="80"/>
        <w:rPr>
          <w:snapToGrid w:val="0"/>
        </w:rPr>
      </w:pPr>
      <w:r>
        <w:rPr>
          <w:snapToGrid w:val="0"/>
        </w:rPr>
        <w:tab/>
      </w:r>
      <w:r>
        <w:rPr>
          <w:snapToGrid w:val="0"/>
        </w:rPr>
        <w:tab/>
        <w:t>Notwithstanding the other provisions of this Act and in particular section 118, 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 xml:space="preserve">[Section 27 amended by No 48 of 1993 s. 28(1); No. 34 of 1999 s. 9.] </w:t>
      </w:r>
    </w:p>
    <w:p>
      <w:pPr>
        <w:pStyle w:val="Heading5"/>
        <w:spacing w:before="160"/>
        <w:rPr>
          <w:snapToGrid w:val="0"/>
        </w:rPr>
      </w:pPr>
      <w:bookmarkStart w:id="352" w:name="_Toc440877844"/>
      <w:bookmarkStart w:id="353" w:name="_Toc517775202"/>
      <w:bookmarkStart w:id="354" w:name="_Toc520106950"/>
      <w:bookmarkStart w:id="355" w:name="_Toc523111575"/>
      <w:bookmarkStart w:id="356" w:name="_Toc122833149"/>
      <w:bookmarkStart w:id="357" w:name="_Toc122833716"/>
      <w:r>
        <w:rPr>
          <w:rStyle w:val="CharSectno"/>
        </w:rPr>
        <w:t>28</w:t>
      </w:r>
      <w:r>
        <w:rPr>
          <w:snapToGrid w:val="0"/>
        </w:rPr>
        <w:t>.</w:t>
      </w:r>
      <w:r>
        <w:rPr>
          <w:snapToGrid w:val="0"/>
        </w:rPr>
        <w:tab/>
        <w:t>Limit on compensation of worker electing</w:t>
      </w:r>
      <w:bookmarkEnd w:id="352"/>
      <w:bookmarkEnd w:id="353"/>
      <w:bookmarkEnd w:id="354"/>
      <w:bookmarkEnd w:id="355"/>
      <w:bookmarkEnd w:id="356"/>
      <w:bookmarkEnd w:id="357"/>
      <w:r>
        <w:rPr>
          <w:snapToGrid w:val="0"/>
        </w:rPr>
        <w:t xml:space="preserve"> </w:t>
      </w:r>
    </w:p>
    <w:p>
      <w:pPr>
        <w:pStyle w:val="Subsection"/>
        <w:spacing w:before="80"/>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 xml:space="preserve">[Section 28 amended by No. 44 of 1985 s. 13; No. 36 of 1988 s. 7; No. 48 of 1993 s. 28(1); No. 42 of 2004 s. 19 and 149.] </w:t>
      </w:r>
    </w:p>
    <w:p>
      <w:pPr>
        <w:pStyle w:val="Heading5"/>
        <w:rPr>
          <w:snapToGrid w:val="0"/>
        </w:rPr>
      </w:pPr>
      <w:bookmarkStart w:id="358" w:name="_Toc440877845"/>
      <w:bookmarkStart w:id="359" w:name="_Toc517775203"/>
      <w:bookmarkStart w:id="360" w:name="_Toc520106951"/>
      <w:bookmarkStart w:id="361" w:name="_Toc523111576"/>
      <w:bookmarkStart w:id="362" w:name="_Toc122833150"/>
      <w:bookmarkStart w:id="363" w:name="_Toc122833717"/>
      <w:r>
        <w:rPr>
          <w:rStyle w:val="CharSectno"/>
        </w:rPr>
        <w:t>29</w:t>
      </w:r>
      <w:r>
        <w:rPr>
          <w:snapToGrid w:val="0"/>
        </w:rPr>
        <w:t>.</w:t>
      </w:r>
      <w:r>
        <w:rPr>
          <w:snapToGrid w:val="0"/>
        </w:rPr>
        <w:tab/>
        <w:t>Compensation while incapacity continues</w:t>
      </w:r>
      <w:bookmarkEnd w:id="358"/>
      <w:bookmarkEnd w:id="359"/>
      <w:bookmarkEnd w:id="360"/>
      <w:bookmarkEnd w:id="361"/>
      <w:bookmarkEnd w:id="362"/>
      <w:bookmarkEnd w:id="363"/>
      <w:r>
        <w:rPr>
          <w:snapToGrid w:val="0"/>
        </w:rPr>
        <w:t xml:space="preserve"> </w:t>
      </w:r>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 xml:space="preserve">[Section 29 amended by No. 44 of 1985 s. 14; No. 36 of 1988 s. 8; No. 48 of 1993 s. 28(1); No. 42 of 2004 s. 149.] </w:t>
      </w:r>
    </w:p>
    <w:p>
      <w:pPr>
        <w:pStyle w:val="Heading5"/>
        <w:rPr>
          <w:snapToGrid w:val="0"/>
        </w:rPr>
      </w:pPr>
      <w:bookmarkStart w:id="364" w:name="_Toc440877846"/>
      <w:bookmarkStart w:id="365" w:name="_Toc517775204"/>
      <w:bookmarkStart w:id="366" w:name="_Toc520106952"/>
      <w:bookmarkStart w:id="367" w:name="_Toc523111577"/>
      <w:bookmarkStart w:id="368" w:name="_Toc122833151"/>
      <w:bookmarkStart w:id="369" w:name="_Toc122833718"/>
      <w:r>
        <w:rPr>
          <w:rStyle w:val="CharSectno"/>
        </w:rPr>
        <w:t>30</w:t>
      </w:r>
      <w:r>
        <w:rPr>
          <w:snapToGrid w:val="0"/>
        </w:rPr>
        <w:t>.</w:t>
      </w:r>
      <w:r>
        <w:rPr>
          <w:snapToGrid w:val="0"/>
        </w:rPr>
        <w:tab/>
        <w:t>Compensation payable before election</w:t>
      </w:r>
      <w:bookmarkEnd w:id="364"/>
      <w:bookmarkEnd w:id="365"/>
      <w:bookmarkEnd w:id="366"/>
      <w:bookmarkEnd w:id="367"/>
      <w:bookmarkEnd w:id="368"/>
      <w:bookmarkEnd w:id="369"/>
      <w:r>
        <w:rPr>
          <w:snapToGrid w:val="0"/>
        </w:rPr>
        <w:t xml:space="preserve"> </w:t>
      </w:r>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pPr>
      <w:r>
        <w:tab/>
        <w:t xml:space="preserve">[Section 30 amended by No. 44 of 1985 s. 15; No. 36 of 1988 s. 9; No. 48 of 1993 s. 28(1); No. 42 of 2004 s. 149.] </w:t>
      </w:r>
    </w:p>
    <w:p>
      <w:pPr>
        <w:pStyle w:val="Heading5"/>
        <w:rPr>
          <w:snapToGrid w:val="0"/>
        </w:rPr>
      </w:pPr>
      <w:bookmarkStart w:id="370" w:name="_Toc440877847"/>
      <w:bookmarkStart w:id="371" w:name="_Toc517775205"/>
      <w:bookmarkStart w:id="372" w:name="_Toc520106953"/>
      <w:bookmarkStart w:id="373" w:name="_Toc523111578"/>
      <w:bookmarkStart w:id="374" w:name="_Toc122833152"/>
      <w:bookmarkStart w:id="375" w:name="_Toc122833719"/>
      <w:r>
        <w:rPr>
          <w:rStyle w:val="CharSectno"/>
        </w:rPr>
        <w:t>31</w:t>
      </w:r>
      <w:r>
        <w:rPr>
          <w:snapToGrid w:val="0"/>
        </w:rPr>
        <w:t>.</w:t>
      </w:r>
      <w:r>
        <w:rPr>
          <w:snapToGrid w:val="0"/>
        </w:rPr>
        <w:tab/>
        <w:t>Schedule 2 interpretation</w:t>
      </w:r>
      <w:bookmarkEnd w:id="370"/>
      <w:bookmarkEnd w:id="371"/>
      <w:bookmarkEnd w:id="372"/>
      <w:bookmarkEnd w:id="373"/>
      <w:bookmarkEnd w:id="374"/>
      <w:bookmarkEnd w:id="375"/>
      <w:r>
        <w:rPr>
          <w:snapToGrid w:val="0"/>
        </w:rPr>
        <w:t xml:space="preserve"> </w:t>
      </w:r>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by No. 42 of 2004 s. 20.]</w:t>
      </w:r>
    </w:p>
    <w:p>
      <w:pPr>
        <w:pStyle w:val="Heading3"/>
      </w:pPr>
      <w:bookmarkStart w:id="376" w:name="_Toc87252816"/>
      <w:bookmarkStart w:id="377" w:name="_Toc119132434"/>
      <w:bookmarkStart w:id="378" w:name="_Toc119203104"/>
      <w:bookmarkStart w:id="379" w:name="_Toc119203750"/>
      <w:bookmarkStart w:id="380" w:name="_Toc119216080"/>
      <w:bookmarkStart w:id="381" w:name="_Toc119300600"/>
      <w:bookmarkStart w:id="382" w:name="_Toc119301167"/>
      <w:bookmarkStart w:id="383" w:name="_Toc119301736"/>
      <w:bookmarkStart w:id="384" w:name="_Toc119919923"/>
      <w:bookmarkStart w:id="385" w:name="_Toc122773910"/>
      <w:bookmarkStart w:id="386" w:name="_Toc122833153"/>
      <w:bookmarkStart w:id="387" w:name="_Toc122833720"/>
      <w:bookmarkStart w:id="388" w:name="_Toc86739922"/>
      <w:bookmarkStart w:id="389" w:name="_Toc88562326"/>
      <w:bookmarkStart w:id="390" w:name="_Toc88625243"/>
      <w:bookmarkStart w:id="391" w:name="_Toc91385898"/>
      <w:bookmarkStart w:id="392" w:name="_Toc92704904"/>
      <w:bookmarkStart w:id="393" w:name="_Toc93222373"/>
      <w:bookmarkStart w:id="394" w:name="_Toc95022450"/>
      <w:bookmarkStart w:id="395" w:name="_Toc95117722"/>
      <w:bookmarkStart w:id="396" w:name="_Toc96498127"/>
      <w:bookmarkStart w:id="397" w:name="_Toc96500605"/>
      <w:bookmarkStart w:id="398" w:name="_Toc101779517"/>
      <w:bookmarkStart w:id="399" w:name="_Toc103059969"/>
      <w:bookmarkStart w:id="400" w:name="_Toc105470865"/>
      <w:bookmarkStart w:id="401" w:name="_Toc105474779"/>
      <w:bookmarkStart w:id="402" w:name="_Toc105475165"/>
      <w:bookmarkStart w:id="403" w:name="_Toc107307881"/>
      <w:bookmarkStart w:id="404" w:name="_Toc109712114"/>
      <w:bookmarkStart w:id="405" w:name="_Toc109723997"/>
      <w:bookmarkStart w:id="406" w:name="_Toc110053869"/>
      <w:bookmarkStart w:id="407" w:name="_Toc110054258"/>
      <w:bookmarkStart w:id="408" w:name="_Toc110654338"/>
      <w:bookmarkStart w:id="409" w:name="_Toc110735776"/>
      <w:bookmarkStart w:id="410" w:name="_Toc110738512"/>
      <w:bookmarkStart w:id="411" w:name="_Toc115691186"/>
      <w:bookmarkStart w:id="412" w:name="_Toc115773483"/>
      <w:r>
        <w:rPr>
          <w:rStyle w:val="CharDivNo"/>
        </w:rPr>
        <w:t>Division 2A</w:t>
      </w:r>
      <w:r>
        <w:t> — </w:t>
      </w:r>
      <w:r>
        <w:rPr>
          <w:rStyle w:val="CharDivText"/>
        </w:rPr>
        <w:t>New regime for lump sum payments for specified injuries</w:t>
      </w:r>
      <w:bookmarkEnd w:id="376"/>
      <w:bookmarkEnd w:id="377"/>
      <w:bookmarkEnd w:id="378"/>
      <w:bookmarkEnd w:id="379"/>
      <w:bookmarkEnd w:id="380"/>
      <w:bookmarkEnd w:id="381"/>
      <w:bookmarkEnd w:id="382"/>
      <w:bookmarkEnd w:id="383"/>
      <w:bookmarkEnd w:id="384"/>
      <w:bookmarkEnd w:id="385"/>
      <w:bookmarkEnd w:id="386"/>
      <w:bookmarkEnd w:id="387"/>
    </w:p>
    <w:p>
      <w:pPr>
        <w:pStyle w:val="Footnoteheading"/>
      </w:pPr>
      <w:bookmarkStart w:id="413" w:name="_Toc87252817"/>
      <w:r>
        <w:tab/>
        <w:t>[Heading inserted by No. 42 of 2004 s. 21.]</w:t>
      </w:r>
    </w:p>
    <w:p>
      <w:pPr>
        <w:pStyle w:val="Heading5"/>
      </w:pPr>
      <w:bookmarkStart w:id="414" w:name="_Toc122833154"/>
      <w:bookmarkStart w:id="415" w:name="_Toc122833721"/>
      <w:r>
        <w:rPr>
          <w:rStyle w:val="CharSectno"/>
        </w:rPr>
        <w:t>31A</w:t>
      </w:r>
      <w:r>
        <w:t>.</w:t>
      </w:r>
      <w:r>
        <w:tab/>
        <w:t>Application of Division</w:t>
      </w:r>
      <w:bookmarkEnd w:id="413"/>
      <w:bookmarkEnd w:id="414"/>
      <w:bookmarkEnd w:id="415"/>
    </w:p>
    <w:p>
      <w:pPr>
        <w:pStyle w:val="Subsection"/>
      </w:pPr>
      <w:r>
        <w:tab/>
        <w:t>(1)</w:t>
      </w:r>
      <w:r>
        <w:tab/>
        <w:t xml:space="preserve">In this section — </w:t>
      </w:r>
    </w:p>
    <w:p>
      <w:pPr>
        <w:pStyle w:val="Defstart"/>
      </w:pPr>
      <w:r>
        <w:rPr>
          <w:b/>
        </w:rPr>
        <w:tab/>
        <w:t>“</w:t>
      </w:r>
      <w:r>
        <w:rPr>
          <w:rStyle w:val="CharDefText"/>
        </w:rPr>
        <w:t>amendment day</w:t>
      </w:r>
      <w:r>
        <w:rPr>
          <w:b/>
        </w:rPr>
        <w:t>”</w:t>
      </w:r>
      <w:r>
        <w:t xml:space="preserve"> means the day on which section 21 of the </w:t>
      </w:r>
      <w:r>
        <w:rPr>
          <w:i/>
        </w:rPr>
        <w:t>Workers’ Compensation Reform Act 2004</w:t>
      </w:r>
      <w:r>
        <w:t xml:space="preserve"> comes into operation.</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pPr>
      <w:r>
        <w:tab/>
        <w:t>[Section 31A inserted by No. 42 of 2004 s. 21.]</w:t>
      </w:r>
    </w:p>
    <w:p>
      <w:pPr>
        <w:pStyle w:val="Heading5"/>
      </w:pPr>
      <w:bookmarkStart w:id="416" w:name="_Toc87252818"/>
      <w:bookmarkStart w:id="417" w:name="_Toc122833155"/>
      <w:bookmarkStart w:id="418" w:name="_Toc122833722"/>
      <w:r>
        <w:rPr>
          <w:rStyle w:val="CharSectno"/>
        </w:rPr>
        <w:t>31B</w:t>
      </w:r>
      <w:r>
        <w:t>.</w:t>
      </w:r>
      <w:r>
        <w:tab/>
        <w:t>Degree of permanent impairment</w:t>
      </w:r>
      <w:bookmarkEnd w:id="416"/>
      <w:bookmarkEnd w:id="417"/>
      <w:bookmarkEnd w:id="418"/>
    </w:p>
    <w:p>
      <w:pPr>
        <w:pStyle w:val="Subsection"/>
      </w:pPr>
      <w:r>
        <w:tab/>
      </w:r>
      <w:r>
        <w:tab/>
        <w:t xml:space="preserve">In this Division — </w:t>
      </w:r>
    </w:p>
    <w:p>
      <w:pPr>
        <w:pStyle w:val="Defstart"/>
      </w:pPr>
      <w:r>
        <w:rPr>
          <w:b/>
        </w:rPr>
        <w:tab/>
        <w:t>“</w:t>
      </w:r>
      <w:r>
        <w:rPr>
          <w:rStyle w:val="CharDefText"/>
        </w:rPr>
        <w:t>degree of permanent impairment</w:t>
      </w:r>
      <w:r>
        <w:rPr>
          <w:b/>
        </w:rPr>
        <w:t>”</w:t>
      </w:r>
      <w:r>
        <w:t xml:space="preserve"> means —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pPr>
      <w:r>
        <w:tab/>
      </w:r>
      <w:r>
        <w:tab/>
        <w:t>resulting from the injury or injuries arising from a single accident.</w:t>
      </w:r>
    </w:p>
    <w:p>
      <w:pPr>
        <w:pStyle w:val="Footnotesection"/>
      </w:pPr>
      <w:bookmarkStart w:id="419" w:name="_Toc87252819"/>
      <w:r>
        <w:tab/>
        <w:t>[Section 31B inserted by No. 42 of 2004 s. 21.]</w:t>
      </w:r>
    </w:p>
    <w:p>
      <w:pPr>
        <w:pStyle w:val="Heading5"/>
      </w:pPr>
      <w:bookmarkStart w:id="420" w:name="_Toc122833156"/>
      <w:bookmarkStart w:id="421" w:name="_Toc122833723"/>
      <w:r>
        <w:rPr>
          <w:rStyle w:val="CharSectno"/>
        </w:rPr>
        <w:t>31C</w:t>
      </w:r>
      <w:r>
        <w:t>.</w:t>
      </w:r>
      <w:r>
        <w:tab/>
        <w:t>Compensation for impairments mentioned in Schedule 2</w:t>
      </w:r>
      <w:bookmarkEnd w:id="419"/>
      <w:bookmarkEnd w:id="420"/>
      <w:bookmarkEnd w:id="421"/>
    </w:p>
    <w:p>
      <w:pPr>
        <w:pStyle w:val="Subsection"/>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pPr>
      <w:bookmarkStart w:id="422" w:name="_Toc87252820"/>
      <w:r>
        <w:tab/>
        <w:t>[Section 31C inserted by No. 42 of 2004 s. 21.]</w:t>
      </w:r>
    </w:p>
    <w:p>
      <w:pPr>
        <w:pStyle w:val="Heading5"/>
      </w:pPr>
      <w:bookmarkStart w:id="423" w:name="_Toc122833157"/>
      <w:bookmarkStart w:id="424" w:name="_Toc122833724"/>
      <w:r>
        <w:rPr>
          <w:rStyle w:val="CharSectno"/>
        </w:rPr>
        <w:t>31D</w:t>
      </w:r>
      <w:r>
        <w:t>.</w:t>
      </w:r>
      <w:r>
        <w:tab/>
        <w:t>Schedule 2 impairment assessment</w:t>
      </w:r>
      <w:bookmarkEnd w:id="422"/>
      <w:bookmarkEnd w:id="423"/>
      <w:bookmarkEnd w:id="424"/>
    </w:p>
    <w:p>
      <w:pPr>
        <w:pStyle w:val="Subsection"/>
      </w:pPr>
      <w:r>
        <w:tab/>
        <w:t>(1)</w:t>
      </w:r>
      <w:r>
        <w:tab/>
        <w:t xml:space="preserve">In subsection (2) — </w:t>
      </w:r>
    </w:p>
    <w:p>
      <w:pPr>
        <w:pStyle w:val="Defstart"/>
      </w:pPr>
      <w:r>
        <w:rPr>
          <w:b/>
        </w:rPr>
        <w:tab/>
        <w:t>“</w:t>
      </w:r>
      <w:r>
        <w:rPr>
          <w:rStyle w:val="CharDefText"/>
        </w:rPr>
        <w:t>full amount</w:t>
      </w:r>
      <w:r>
        <w:rPr>
          <w:b/>
        </w:rPr>
        <w:t>”</w:t>
      </w:r>
      <w:r>
        <w:t>, in relation to an injury, means the amount payable under this Division if the degree of permanent impairment resulting from the injury is 100%.</w:t>
      </w:r>
    </w:p>
    <w:p>
      <w:pPr>
        <w:pStyle w:val="Subsection"/>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pPr>
      <w:r>
        <w:tab/>
        <w:t>(3)</w:t>
      </w:r>
      <w:r>
        <w:tab/>
        <w:t xml:space="preserve">If —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 xml:space="preserve">An arbitrator to whom an application to determine a question is made under subsection (3) may —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bookmarkStart w:id="425" w:name="_Toc87252821"/>
      <w:r>
        <w:tab/>
        <w:t>[Section 31D inserted by No. 42 of 2004 s. 21.]</w:t>
      </w:r>
    </w:p>
    <w:p>
      <w:pPr>
        <w:pStyle w:val="Heading5"/>
      </w:pPr>
      <w:bookmarkStart w:id="426" w:name="_Toc122833158"/>
      <w:bookmarkStart w:id="427" w:name="_Toc122833725"/>
      <w:r>
        <w:rPr>
          <w:rStyle w:val="CharSectno"/>
        </w:rPr>
        <w:t>31E</w:t>
      </w:r>
      <w:r>
        <w:t>.</w:t>
      </w:r>
      <w:r>
        <w:tab/>
        <w:t>Lump sum compensation for noise induced hearing loss</w:t>
      </w:r>
      <w:bookmarkEnd w:id="425"/>
      <w:bookmarkEnd w:id="426"/>
      <w:bookmarkEnd w:id="427"/>
    </w:p>
    <w:p>
      <w:pPr>
        <w:pStyle w:val="Subsection"/>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pPr>
      <w:r>
        <w:tab/>
        <w:t>(3)</w:t>
      </w:r>
      <w:r>
        <w:tab/>
        <w:t xml:space="preserve">A worker is entitled to compensation under this section only in respect of noise induced hearing loss incurred after 1 March 1991 and —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 xml:space="preserve">in respect of a subsequent election by the worker under this section after a successful first election under section 24A or paragraph (a) of this section — </w:t>
      </w:r>
    </w:p>
    <w:p>
      <w:pPr>
        <w:pStyle w:val="Indenti"/>
      </w:pPr>
      <w:r>
        <w:tab/>
        <w:t>(i)</w:t>
      </w:r>
      <w:r>
        <w:tab/>
        <w:t>where that noise induced hearing loss is at least a further 5% loss of hearing; or</w:t>
      </w:r>
    </w:p>
    <w:p>
      <w:pPr>
        <w:pStyle w:val="Indenti"/>
      </w:pPr>
      <w:r>
        <w:tab/>
        <w:t>(ii)</w:t>
      </w:r>
      <w:r>
        <w:tab/>
        <w:t>where the worker has reached the age of 65 years or on the worker’s retirement from work before that age, where that noise induced hearing loss is assessed under Schedule 7 as any further percentage of loss of hearing.</w:t>
      </w:r>
    </w:p>
    <w:p>
      <w:pPr>
        <w:pStyle w:val="Subsection"/>
      </w:pPr>
      <w:r>
        <w:tab/>
        <w:t>(4)</w:t>
      </w:r>
      <w:r>
        <w:tab/>
        <w:t xml:space="preserve">Nothing in subsection (3) operates to stop a worker who — </w:t>
      </w:r>
    </w:p>
    <w:p>
      <w:pPr>
        <w:pStyle w:val="Indenta"/>
      </w:pPr>
      <w:r>
        <w:tab/>
        <w:t>(a)</w:t>
      </w:r>
      <w:r>
        <w:tab/>
        <w:t>has retired from work before attaining the age of 65 years;</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A worker is not entitled to compensation under this section in respect of noise induced hearing loss incurred after the worker has attained the age of 65 years.</w:t>
      </w:r>
    </w:p>
    <w:p>
      <w:pPr>
        <w:pStyle w:val="Subsection"/>
        <w:rPr>
          <w:i/>
        </w:rPr>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bookmarkStart w:id="428" w:name="_Toc87252822"/>
      <w:r>
        <w:tab/>
        <w:t>[Section 31E inserted by No. 42 of 2004 s. 21.]</w:t>
      </w:r>
    </w:p>
    <w:p>
      <w:pPr>
        <w:pStyle w:val="Heading5"/>
      </w:pPr>
      <w:bookmarkStart w:id="429" w:name="_Toc122833159"/>
      <w:bookmarkStart w:id="430" w:name="_Toc122833726"/>
      <w:r>
        <w:rPr>
          <w:rStyle w:val="CharSectno"/>
        </w:rPr>
        <w:t>31F</w:t>
      </w:r>
      <w:r>
        <w:t>.</w:t>
      </w:r>
      <w:r>
        <w:tab/>
        <w:t>Lump sum compensation for AIDS</w:t>
      </w:r>
      <w:bookmarkEnd w:id="428"/>
      <w:bookmarkEnd w:id="429"/>
      <w:bookmarkEnd w:id="430"/>
    </w:p>
    <w:p>
      <w:pPr>
        <w:pStyle w:val="Subsection"/>
      </w:pPr>
      <w:r>
        <w:tab/>
        <w:t>(1)</w:t>
      </w:r>
      <w:r>
        <w:tab/>
        <w:t xml:space="preserve">In this section and in the table in Schedule 2 — </w:t>
      </w:r>
    </w:p>
    <w:p>
      <w:pPr>
        <w:pStyle w:val="Defstart"/>
      </w:pPr>
      <w:r>
        <w:rPr>
          <w:b/>
        </w:rPr>
        <w:tab/>
        <w:t>“</w:t>
      </w:r>
      <w:r>
        <w:rPr>
          <w:rStyle w:val="CharDefText"/>
        </w:rPr>
        <w:t>AIDS</w:t>
      </w:r>
      <w:r>
        <w:rPr>
          <w:b/>
        </w:rPr>
        <w:t>”</w:t>
      </w:r>
      <w:r>
        <w:t xml:space="preserve"> means acquired immune deficiency syndrome;</w:t>
      </w:r>
    </w:p>
    <w:p>
      <w:pPr>
        <w:pStyle w:val="Defstart"/>
      </w:pPr>
      <w:r>
        <w:rPr>
          <w:b/>
        </w:rPr>
        <w:tab/>
        <w:t>“</w:t>
      </w:r>
      <w:r>
        <w:rPr>
          <w:rStyle w:val="CharDefText"/>
        </w:rPr>
        <w:t>HIV</w:t>
      </w:r>
      <w:r>
        <w:rPr>
          <w:b/>
        </w:rPr>
        <w:t>”</w:t>
      </w:r>
      <w:r>
        <w:t xml:space="preserve"> means human immunodeficiency virus;</w:t>
      </w:r>
    </w:p>
    <w:p>
      <w:pPr>
        <w:pStyle w:val="Defstart"/>
      </w:pPr>
      <w:r>
        <w:rPr>
          <w:b/>
        </w:rPr>
        <w:tab/>
        <w:t>“</w:t>
      </w:r>
      <w:r>
        <w:rPr>
          <w:rStyle w:val="CharDefText"/>
        </w:rPr>
        <w:t>prohibited drug</w:t>
      </w:r>
      <w:r>
        <w:rPr>
          <w:b/>
        </w:rPr>
        <w:t>”</w:t>
      </w:r>
      <w:r>
        <w:t xml:space="preserve"> has the meaning given to that term by the </w:t>
      </w:r>
      <w:r>
        <w:rPr>
          <w:i/>
        </w:rPr>
        <w:t>Misuse of Drugs Act 1981</w:t>
      </w:r>
      <w:r>
        <w:t xml:space="preserve"> section 3.</w:t>
      </w:r>
    </w:p>
    <w:p>
      <w:pPr>
        <w:pStyle w:val="Subsection"/>
      </w:pPr>
      <w:r>
        <w:tab/>
        <w:t>(2)</w:t>
      </w:r>
      <w:r>
        <w:tab/>
        <w:t xml:space="preserve">Subject to this section, for the purposes of this Division —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 xml:space="preserve">if that worker subsequently contracts AIDS, the contracting of AIDS — </w:t>
      </w:r>
    </w:p>
    <w:p>
      <w:pPr>
        <w:pStyle w:val="Indenti"/>
      </w:pPr>
      <w:r>
        <w:tab/>
        <w:t>(i)</w:t>
      </w:r>
      <w:r>
        <w:tab/>
        <w:t>is taken to be a compensable personal injury by accident;</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pPr>
      <w:r>
        <w:tab/>
        <w:t>(4)</w:t>
      </w:r>
      <w:r>
        <w:tab/>
        <w:t>The regulations may make provision for methods of deciding for the purposes of this section whether a worker is HIV infected or has contracted AIDS.</w:t>
      </w:r>
    </w:p>
    <w:p>
      <w:pPr>
        <w:pStyle w:val="Subsection"/>
      </w:pPr>
      <w:r>
        <w:tab/>
        <w:t>(5)</w:t>
      </w:r>
      <w:r>
        <w:tab/>
        <w:t>Sections 31C(2) and 31D do not apply to an impairment that is AIDS.</w:t>
      </w:r>
    </w:p>
    <w:p>
      <w:pPr>
        <w:pStyle w:val="Subsection"/>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pPr>
      <w:r>
        <w:tab/>
        <w:t>(7)</w:t>
      </w:r>
      <w:r>
        <w:tab/>
        <w:t>Subsection (6) does not limit the operation of section 22.</w:t>
      </w:r>
    </w:p>
    <w:p>
      <w:pPr>
        <w:pStyle w:val="Subsection"/>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t>.</w:t>
      </w:r>
    </w:p>
    <w:p>
      <w:pPr>
        <w:pStyle w:val="Footnotesection"/>
      </w:pPr>
      <w:bookmarkStart w:id="431" w:name="_Toc87252823"/>
      <w:r>
        <w:tab/>
        <w:t>[Section 31F inserted by No. 42 of 2004 s. 21.]</w:t>
      </w:r>
    </w:p>
    <w:p>
      <w:pPr>
        <w:pStyle w:val="Heading5"/>
      </w:pPr>
      <w:bookmarkStart w:id="432" w:name="_Toc122833160"/>
      <w:bookmarkStart w:id="433" w:name="_Toc122833727"/>
      <w:r>
        <w:rPr>
          <w:rStyle w:val="CharSectno"/>
        </w:rPr>
        <w:t>31G</w:t>
      </w:r>
      <w:r>
        <w:t>.</w:t>
      </w:r>
      <w:r>
        <w:tab/>
        <w:t>Subsequent injuries</w:t>
      </w:r>
      <w:bookmarkEnd w:id="431"/>
      <w:bookmarkEnd w:id="432"/>
      <w:bookmarkEnd w:id="433"/>
    </w:p>
    <w:p>
      <w:pPr>
        <w:pStyle w:val="Subsection"/>
      </w:pPr>
      <w:r>
        <w:tab/>
        <w:t>(1)</w:t>
      </w:r>
      <w:r>
        <w:tab/>
        <w:t xml:space="preserve">In this section — </w:t>
      </w:r>
    </w:p>
    <w:p>
      <w:pPr>
        <w:pStyle w:val="Defstart"/>
      </w:pPr>
      <w:r>
        <w:rPr>
          <w:b/>
        </w:rPr>
        <w:tab/>
        <w:t>“</w:t>
      </w:r>
      <w:r>
        <w:rPr>
          <w:rStyle w:val="CharDefText"/>
        </w:rPr>
        <w:t>impairment</w:t>
      </w:r>
      <w:r>
        <w:rPr>
          <w:b/>
        </w:rPr>
        <w:t>”</w:t>
      </w:r>
      <w:r>
        <w:t xml:space="preserve"> includes a loss of full and efficient use of a part or faculty of the body to which the provisions of Division 2 apply.</w:t>
      </w:r>
    </w:p>
    <w:p>
      <w:pPr>
        <w:pStyle w:val="Subsection"/>
      </w:pPr>
      <w:r>
        <w:tab/>
        <w:t>(2)</w:t>
      </w:r>
      <w:r>
        <w:tab/>
        <w:t xml:space="preserve">When —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bookmarkStart w:id="434" w:name="_Toc87252824"/>
      <w:r>
        <w:tab/>
        <w:t>[Section 31G inserted by No. 42 of 2004 s. 21.]</w:t>
      </w:r>
    </w:p>
    <w:p>
      <w:pPr>
        <w:pStyle w:val="Heading5"/>
      </w:pPr>
      <w:bookmarkStart w:id="435" w:name="_Toc122833161"/>
      <w:bookmarkStart w:id="436" w:name="_Toc122833728"/>
      <w:r>
        <w:rPr>
          <w:rStyle w:val="CharSectno"/>
        </w:rPr>
        <w:t>31H</w:t>
      </w:r>
      <w:r>
        <w:t>.</w:t>
      </w:r>
      <w:r>
        <w:tab/>
        <w:t>Election under section 31C or 31E</w:t>
      </w:r>
      <w:bookmarkEnd w:id="434"/>
      <w:bookmarkEnd w:id="435"/>
      <w:bookmarkEnd w:id="436"/>
    </w:p>
    <w:p>
      <w:pPr>
        <w:pStyle w:val="Subsection"/>
      </w:pPr>
      <w:r>
        <w:tab/>
        <w:t>(1)</w:t>
      </w:r>
      <w:r>
        <w:tab/>
        <w:t xml:space="preserve">A worker elects under this section for the purposes of section 31C or 31E when — </w:t>
      </w:r>
    </w:p>
    <w:p>
      <w:pPr>
        <w:pStyle w:val="Indenta"/>
      </w:pPr>
      <w:r>
        <w:tab/>
        <w:t>(a)</w:t>
      </w:r>
      <w:r>
        <w:tab/>
        <w:t>the worker signs a form of election prescribed by the regulations containing particulars prescribed by the regulations in respect of the impairment or loss; and</w:t>
      </w:r>
    </w:p>
    <w:p>
      <w:pPr>
        <w:pStyle w:val="Indenta"/>
      </w:pPr>
      <w:r>
        <w:tab/>
        <w:t>(b)</w:t>
      </w:r>
      <w:r>
        <w:tab/>
        <w:t>that form of election is filed with the Director, and a copy of it is served by or on behalf of the worker on the employer.</w:t>
      </w:r>
    </w:p>
    <w:p>
      <w:pPr>
        <w:pStyle w:val="Subsection"/>
      </w:pPr>
      <w:r>
        <w:tab/>
        <w:t>(2)</w:t>
      </w:r>
      <w:r>
        <w:tab/>
        <w:t xml:space="preserve">A worker can elect for the purposes of section 31C only if — </w:t>
      </w:r>
    </w:p>
    <w:p>
      <w:pPr>
        <w:pStyle w:val="Indenta"/>
      </w:pPr>
      <w:r>
        <w:tab/>
        <w:t>(a)</w:t>
      </w:r>
      <w:r>
        <w:tab/>
        <w:t>the worker and the worker’s employer agree as to the worker’s degree of permanent impairment resulting from the injury concerned; or</w:t>
      </w:r>
    </w:p>
    <w:p>
      <w:pPr>
        <w:pStyle w:val="Indenta"/>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pPr>
      <w:bookmarkStart w:id="437" w:name="_Toc87252825"/>
      <w:r>
        <w:tab/>
        <w:t>[Section 31H inserted by No. 42 of 2004 s. 21; amended by No. 16 of 2005 s. 16.]</w:t>
      </w:r>
    </w:p>
    <w:p>
      <w:pPr>
        <w:pStyle w:val="Heading5"/>
      </w:pPr>
      <w:bookmarkStart w:id="438" w:name="_Toc122833162"/>
      <w:bookmarkStart w:id="439" w:name="_Toc122833729"/>
      <w:r>
        <w:rPr>
          <w:rStyle w:val="CharSectno"/>
        </w:rPr>
        <w:t>31I</w:t>
      </w:r>
      <w:r>
        <w:t>.</w:t>
      </w:r>
      <w:r>
        <w:tab/>
        <w:t>Effect of election</w:t>
      </w:r>
      <w:bookmarkEnd w:id="437"/>
      <w:bookmarkEnd w:id="438"/>
      <w:bookmarkEnd w:id="439"/>
    </w:p>
    <w:p>
      <w:pPr>
        <w:pStyle w:val="Subsection"/>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pPr>
      <w:r>
        <w:tab/>
        <w:t>(2)</w:t>
      </w:r>
      <w:r>
        <w:tab/>
        <w:t>If not satisfied in accordance with subsection (1), the Director is to, within 7 days of so determining, notify the employer and the worker accordingly.</w:t>
      </w:r>
    </w:p>
    <w:p>
      <w:pPr>
        <w:pStyle w:val="Subsection"/>
      </w:pPr>
      <w:r>
        <w:tab/>
        <w:t>(3)</w:t>
      </w:r>
      <w:r>
        <w:tab/>
        <w:t xml:space="preserve">Subject to this Act, a worker who elects as provided by section 31H(1) is entitled to continue to receive any weekly payments of compensation to which the worker is entitled until —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pPr>
      <w:r>
        <w:tab/>
      </w:r>
      <w:r>
        <w:tab/>
        <w:t>whichever is the sooner.</w:t>
      </w:r>
    </w:p>
    <w:p>
      <w:pPr>
        <w:pStyle w:val="Subsection"/>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bookmarkStart w:id="440" w:name="_Toc87252826"/>
      <w:r>
        <w:tab/>
        <w:t>[Section 31I inserted by No. 42 of 2004 s. 21.]</w:t>
      </w:r>
    </w:p>
    <w:p>
      <w:pPr>
        <w:pStyle w:val="Heading5"/>
      </w:pPr>
      <w:bookmarkStart w:id="441" w:name="_Toc122833163"/>
      <w:bookmarkStart w:id="442" w:name="_Toc122833730"/>
      <w:r>
        <w:rPr>
          <w:rStyle w:val="CharSectno"/>
        </w:rPr>
        <w:t>31J</w:t>
      </w:r>
      <w:r>
        <w:t>.</w:t>
      </w:r>
      <w:r>
        <w:tab/>
        <w:t>Limit on compensation of worker electing</w:t>
      </w:r>
      <w:bookmarkEnd w:id="440"/>
      <w:bookmarkEnd w:id="441"/>
      <w:bookmarkEnd w:id="442"/>
    </w:p>
    <w:p>
      <w:pPr>
        <w:pStyle w:val="Subsection"/>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bookmarkStart w:id="443" w:name="_Toc87252827"/>
      <w:r>
        <w:tab/>
        <w:t>[Section 31J inserted by No. 42 of 2004 s. 21.]</w:t>
      </w:r>
    </w:p>
    <w:p>
      <w:pPr>
        <w:pStyle w:val="Heading5"/>
      </w:pPr>
      <w:bookmarkStart w:id="444" w:name="_Toc122833164"/>
      <w:bookmarkStart w:id="445" w:name="_Toc122833731"/>
      <w:r>
        <w:rPr>
          <w:rStyle w:val="CharSectno"/>
        </w:rPr>
        <w:t>31K</w:t>
      </w:r>
      <w:r>
        <w:t>.</w:t>
      </w:r>
      <w:r>
        <w:tab/>
        <w:t>Compensation payable before election</w:t>
      </w:r>
      <w:bookmarkEnd w:id="443"/>
      <w:bookmarkEnd w:id="444"/>
      <w:bookmarkEnd w:id="445"/>
    </w:p>
    <w:p>
      <w:pPr>
        <w:pStyle w:val="Subsection"/>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by No. 42 of 2004 s. 21.]</w:t>
      </w:r>
    </w:p>
    <w:p>
      <w:pPr>
        <w:pStyle w:val="Heading3"/>
      </w:pPr>
      <w:bookmarkStart w:id="446" w:name="_Toc87252829"/>
      <w:bookmarkStart w:id="447" w:name="_Toc119132446"/>
      <w:bookmarkStart w:id="448" w:name="_Toc119203116"/>
      <w:bookmarkStart w:id="449" w:name="_Toc119203762"/>
      <w:bookmarkStart w:id="450" w:name="_Toc119216092"/>
      <w:bookmarkStart w:id="451" w:name="_Toc119300612"/>
      <w:bookmarkStart w:id="452" w:name="_Toc119301179"/>
      <w:bookmarkStart w:id="453" w:name="_Toc119301748"/>
      <w:bookmarkStart w:id="454" w:name="_Toc119919935"/>
      <w:bookmarkStart w:id="455" w:name="_Toc122773922"/>
      <w:bookmarkStart w:id="456" w:name="_Toc122833165"/>
      <w:bookmarkStart w:id="457" w:name="_Toc122833732"/>
      <w:bookmarkStart w:id="458" w:name="_Toc440877848"/>
      <w:bookmarkStart w:id="459" w:name="_Toc517775206"/>
      <w:bookmarkStart w:id="460" w:name="_Toc520106954"/>
      <w:bookmarkStart w:id="461" w:name="_Toc523111579"/>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r>
        <w:rPr>
          <w:rStyle w:val="CharDivNo"/>
        </w:rPr>
        <w:t>Division 3</w:t>
      </w:r>
      <w:r>
        <w:t> — </w:t>
      </w:r>
      <w:r>
        <w:rPr>
          <w:rStyle w:val="CharDivText"/>
        </w:rPr>
        <w:t>Injury: specified industrial diseases</w:t>
      </w:r>
      <w:bookmarkEnd w:id="446"/>
      <w:bookmarkEnd w:id="447"/>
      <w:bookmarkEnd w:id="448"/>
      <w:bookmarkEnd w:id="449"/>
      <w:bookmarkEnd w:id="450"/>
      <w:bookmarkEnd w:id="451"/>
      <w:bookmarkEnd w:id="452"/>
      <w:bookmarkEnd w:id="453"/>
      <w:bookmarkEnd w:id="454"/>
      <w:bookmarkEnd w:id="455"/>
      <w:bookmarkEnd w:id="456"/>
      <w:bookmarkEnd w:id="457"/>
    </w:p>
    <w:p>
      <w:pPr>
        <w:pStyle w:val="Footnoteheading"/>
      </w:pPr>
      <w:r>
        <w:tab/>
        <w:t>[Heading inserted by No. 42 of 2004 s. 22.]</w:t>
      </w:r>
    </w:p>
    <w:p>
      <w:pPr>
        <w:pStyle w:val="Heading5"/>
        <w:rPr>
          <w:snapToGrid w:val="0"/>
        </w:rPr>
      </w:pPr>
      <w:bookmarkStart w:id="462" w:name="_Toc122833166"/>
      <w:bookmarkStart w:id="463" w:name="_Toc122833733"/>
      <w:r>
        <w:rPr>
          <w:rStyle w:val="CharSectno"/>
        </w:rPr>
        <w:t>32</w:t>
      </w:r>
      <w:r>
        <w:rPr>
          <w:snapToGrid w:val="0"/>
        </w:rPr>
        <w:t>.</w:t>
      </w:r>
      <w:r>
        <w:rPr>
          <w:snapToGrid w:val="0"/>
        </w:rPr>
        <w:tab/>
        <w:t>Compensation of worker dying from or affected by certain industrial diseases (Schedule 3)</w:t>
      </w:r>
      <w:bookmarkEnd w:id="458"/>
      <w:bookmarkEnd w:id="459"/>
      <w:bookmarkEnd w:id="460"/>
      <w:bookmarkEnd w:id="461"/>
      <w:bookmarkEnd w:id="462"/>
      <w:bookmarkEnd w:id="463"/>
      <w:r>
        <w:rPr>
          <w:snapToGrid w:val="0"/>
        </w:rPr>
        <w:t xml:space="preserve"> </w:t>
      </w:r>
    </w:p>
    <w:p>
      <w:pPr>
        <w:pStyle w:val="Subsection"/>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or lung cancer,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by No. 42 of 2004 s. 23, 146 and 147.]</w:t>
      </w:r>
    </w:p>
    <w:p>
      <w:pPr>
        <w:pStyle w:val="Heading5"/>
        <w:rPr>
          <w:snapToGrid w:val="0"/>
        </w:rPr>
      </w:pPr>
      <w:bookmarkStart w:id="464" w:name="_Toc440877849"/>
      <w:bookmarkStart w:id="465" w:name="_Toc517775207"/>
      <w:bookmarkStart w:id="466" w:name="_Toc520106955"/>
      <w:bookmarkStart w:id="467" w:name="_Toc523111580"/>
      <w:bookmarkStart w:id="468" w:name="_Toc122833167"/>
      <w:bookmarkStart w:id="469" w:name="_Toc122833734"/>
      <w:r>
        <w:rPr>
          <w:rStyle w:val="CharSectno"/>
        </w:rPr>
        <w:t>33</w:t>
      </w:r>
      <w:r>
        <w:rPr>
          <w:snapToGrid w:val="0"/>
        </w:rPr>
        <w:t>.</w:t>
      </w:r>
      <w:r>
        <w:rPr>
          <w:snapToGrid w:val="0"/>
        </w:rPr>
        <w:tab/>
        <w:t>Pneumoconiosis, mesothelioma or lung cancer</w:t>
      </w:r>
      <w:bookmarkEnd w:id="464"/>
      <w:bookmarkEnd w:id="465"/>
      <w:bookmarkEnd w:id="466"/>
      <w:bookmarkEnd w:id="467"/>
      <w:bookmarkEnd w:id="468"/>
      <w:bookmarkEnd w:id="469"/>
      <w:r>
        <w:rPr>
          <w:snapToGrid w:val="0"/>
        </w:rPr>
        <w:t xml:space="preserve"> </w:t>
      </w:r>
    </w:p>
    <w:p>
      <w:pPr>
        <w:pStyle w:val="Subsection"/>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spacing w:before="160"/>
        <w:rPr>
          <w:snapToGrid w:val="0"/>
        </w:rPr>
      </w:pPr>
      <w:r>
        <w:rPr>
          <w:snapToGrid w:val="0"/>
        </w:rPr>
        <w:tab/>
        <w:t>(a)</w:t>
      </w:r>
      <w:r>
        <w:rPr>
          <w:snapToGrid w:val="0"/>
        </w:rPr>
        <w:tab/>
        <w:t>pneumoconiosis;</w:t>
      </w:r>
    </w:p>
    <w:p>
      <w:pPr>
        <w:pStyle w:val="Indenta"/>
        <w:spacing w:before="160"/>
        <w:rPr>
          <w:snapToGrid w:val="0"/>
        </w:rPr>
      </w:pPr>
      <w:r>
        <w:rPr>
          <w:snapToGrid w:val="0"/>
        </w:rPr>
        <w:tab/>
        <w:t>(b)</w:t>
      </w:r>
      <w:r>
        <w:rPr>
          <w:snapToGrid w:val="0"/>
        </w:rPr>
        <w:tab/>
        <w:t>on and after 8 May 1970, mesothelioma; or</w:t>
      </w:r>
    </w:p>
    <w:p>
      <w:pPr>
        <w:pStyle w:val="Indenta"/>
        <w:spacing w:before="160"/>
        <w:rPr>
          <w:snapToGrid w:val="0"/>
        </w:rPr>
      </w:pPr>
      <w:r>
        <w:rPr>
          <w:snapToGrid w:val="0"/>
        </w:rPr>
        <w:tab/>
        <w:t>(c)</w:t>
      </w:r>
      <w:r>
        <w:rPr>
          <w:snapToGrid w:val="0"/>
        </w:rPr>
        <w:tab/>
        <w:t>on and after the date on which this section comes into operation, lung cancer,</w:t>
      </w:r>
    </w:p>
    <w:p>
      <w:pPr>
        <w:pStyle w:val="Subsection"/>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 </w:t>
      </w:r>
    </w:p>
    <w:p>
      <w:pPr>
        <w:pStyle w:val="Indenta"/>
        <w:spacing w:before="160"/>
        <w:rPr>
          <w:snapToGrid w:val="0"/>
        </w:rPr>
      </w:pPr>
      <w:r>
        <w:rPr>
          <w:snapToGrid w:val="0"/>
        </w:rPr>
        <w:tab/>
        <w:t>(a)</w:t>
      </w:r>
      <w:r>
        <w:rPr>
          <w:snapToGrid w:val="0"/>
        </w:rPr>
        <w:tab/>
        <w:t>has not been absent from the State for a period of, or periods aggregating, more than 6 months; or</w:t>
      </w:r>
    </w:p>
    <w:p>
      <w:pPr>
        <w:pStyle w:val="Indenta"/>
        <w:spacing w:before="160"/>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spacing w:before="80"/>
        <w:rPr>
          <w:snapToGrid w:val="0"/>
        </w:rPr>
      </w:pPr>
      <w:r>
        <w:rPr>
          <w:snapToGrid w:val="0"/>
        </w:rPr>
        <w:tab/>
      </w:r>
      <w:r>
        <w:rPr>
          <w:snapToGrid w:val="0"/>
        </w:rPr>
        <w:tab/>
      </w:r>
      <w:r>
        <w:t>an injury</w:t>
      </w:r>
      <w:r>
        <w:rPr>
          <w:snapToGrid w:val="0"/>
        </w:rPr>
        <w:t xml:space="preserve">, being pneumoconiosis, mesothelioma, or lung cancer, as the case may be, of the worker occurs and this Act applies to that </w:t>
      </w:r>
      <w:r>
        <w:t>injury</w:t>
      </w:r>
      <w:r>
        <w:rPr>
          <w:snapToGrid w:val="0"/>
        </w:rPr>
        <w:t xml:space="preserve"> subject, however, to this Division.</w:t>
      </w:r>
    </w:p>
    <w:p>
      <w:pPr>
        <w:pStyle w:val="Footnotesection"/>
      </w:pPr>
      <w:r>
        <w:tab/>
        <w:t xml:space="preserve">[Section 33 amended by No. 48 of 1993 s. 28(1); No. 42 of 2004 s. 24, 146, 147 and 149.] </w:t>
      </w:r>
    </w:p>
    <w:p>
      <w:pPr>
        <w:pStyle w:val="Heading5"/>
        <w:rPr>
          <w:snapToGrid w:val="0"/>
        </w:rPr>
      </w:pPr>
      <w:bookmarkStart w:id="470" w:name="_Toc440877850"/>
      <w:bookmarkStart w:id="471" w:name="_Toc517775208"/>
      <w:bookmarkStart w:id="472" w:name="_Toc520106956"/>
      <w:bookmarkStart w:id="473" w:name="_Toc523111581"/>
      <w:bookmarkStart w:id="474" w:name="_Toc122833168"/>
      <w:bookmarkStart w:id="475" w:name="_Toc122833735"/>
      <w:r>
        <w:rPr>
          <w:rStyle w:val="CharSectno"/>
        </w:rPr>
        <w:t>34</w:t>
      </w:r>
      <w:r>
        <w:rPr>
          <w:snapToGrid w:val="0"/>
        </w:rPr>
        <w:t>.</w:t>
      </w:r>
      <w:r>
        <w:rPr>
          <w:snapToGrid w:val="0"/>
        </w:rPr>
        <w:tab/>
        <w:t>Worker suffering from chronic bronchitis and pneumoconiosis</w:t>
      </w:r>
      <w:bookmarkEnd w:id="470"/>
      <w:bookmarkEnd w:id="471"/>
      <w:bookmarkEnd w:id="472"/>
      <w:bookmarkEnd w:id="473"/>
      <w:bookmarkEnd w:id="474"/>
      <w:bookmarkEnd w:id="475"/>
      <w:r>
        <w:rPr>
          <w:snapToGrid w:val="0"/>
        </w:rPr>
        <w:t xml:space="preserve"> </w:t>
      </w:r>
    </w:p>
    <w:p>
      <w:pPr>
        <w:pStyle w:val="Subsection"/>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pPr>
      <w:r>
        <w:tab/>
        <w:t>[Section 34 amended by No. 42 of 2004 s. 25.]</w:t>
      </w:r>
    </w:p>
    <w:p>
      <w:pPr>
        <w:pStyle w:val="Heading5"/>
        <w:rPr>
          <w:snapToGrid w:val="0"/>
        </w:rPr>
      </w:pPr>
      <w:bookmarkStart w:id="476" w:name="_Toc440877851"/>
      <w:bookmarkStart w:id="477" w:name="_Toc517775209"/>
      <w:bookmarkStart w:id="478" w:name="_Toc520106957"/>
      <w:bookmarkStart w:id="479" w:name="_Toc523111582"/>
      <w:bookmarkStart w:id="480" w:name="_Toc122833169"/>
      <w:bookmarkStart w:id="481" w:name="_Toc122833736"/>
      <w:r>
        <w:rPr>
          <w:rStyle w:val="CharSectno"/>
        </w:rPr>
        <w:t>35</w:t>
      </w:r>
      <w:r>
        <w:rPr>
          <w:snapToGrid w:val="0"/>
        </w:rPr>
        <w:t>.</w:t>
      </w:r>
      <w:r>
        <w:rPr>
          <w:snapToGrid w:val="0"/>
        </w:rPr>
        <w:tab/>
        <w:t>Worker suffering from lung cancer and pneumoconiosis</w:t>
      </w:r>
      <w:bookmarkEnd w:id="476"/>
      <w:bookmarkEnd w:id="477"/>
      <w:bookmarkEnd w:id="478"/>
      <w:bookmarkEnd w:id="479"/>
      <w:bookmarkEnd w:id="480"/>
      <w:bookmarkEnd w:id="481"/>
      <w:r>
        <w:rPr>
          <w:snapToGrid w:val="0"/>
        </w:rPr>
        <w:t xml:space="preserve"> </w:t>
      </w:r>
    </w:p>
    <w:p>
      <w:pPr>
        <w:pStyle w:val="Subsection"/>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pPr>
      <w:r>
        <w:tab/>
        <w:t>[Section 35 amended by No. 42 of 2004 s. 26.]</w:t>
      </w:r>
    </w:p>
    <w:p>
      <w:pPr>
        <w:pStyle w:val="Heading5"/>
        <w:rPr>
          <w:snapToGrid w:val="0"/>
        </w:rPr>
      </w:pPr>
      <w:bookmarkStart w:id="482" w:name="_Toc440877852"/>
      <w:bookmarkStart w:id="483" w:name="_Toc517775210"/>
      <w:bookmarkStart w:id="484" w:name="_Toc520106958"/>
      <w:bookmarkStart w:id="485" w:name="_Toc523111583"/>
      <w:bookmarkStart w:id="486" w:name="_Toc122833170"/>
      <w:bookmarkStart w:id="487" w:name="_Toc122833737"/>
      <w:r>
        <w:rPr>
          <w:rStyle w:val="CharSectno"/>
        </w:rPr>
        <w:t>36</w:t>
      </w:r>
      <w:r>
        <w:rPr>
          <w:snapToGrid w:val="0"/>
        </w:rPr>
        <w:t>.</w:t>
      </w:r>
      <w:r>
        <w:rPr>
          <w:snapToGrid w:val="0"/>
        </w:rPr>
        <w:tab/>
        <w:t>Reference to medical panel</w:t>
      </w:r>
      <w:bookmarkEnd w:id="482"/>
      <w:bookmarkEnd w:id="483"/>
      <w:bookmarkEnd w:id="484"/>
      <w:bookmarkEnd w:id="485"/>
      <w:bookmarkEnd w:id="486"/>
      <w:bookmarkEnd w:id="487"/>
      <w:r>
        <w:rPr>
          <w:snapToGrid w:val="0"/>
        </w:rPr>
        <w:t xml:space="preserve"> </w:t>
      </w:r>
    </w:p>
    <w:p>
      <w:pPr>
        <w:pStyle w:val="Subsection"/>
        <w:spacing w:before="100"/>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 </w:t>
      </w:r>
    </w:p>
    <w:p>
      <w:pPr>
        <w:pStyle w:val="Indenta"/>
        <w:rPr>
          <w:snapToGrid w:val="0"/>
        </w:rPr>
      </w:pPr>
      <w:r>
        <w:rPr>
          <w:snapToGrid w:val="0"/>
        </w:rPr>
        <w:tab/>
        <w:t>(b)</w:t>
      </w:r>
      <w:r>
        <w:rPr>
          <w:snapToGrid w:val="0"/>
        </w:rPr>
        <w:tab/>
        <w:t>at least one of whom specialises in diseases of the chest.</w:t>
      </w:r>
    </w:p>
    <w:p>
      <w:pPr>
        <w:pStyle w:val="Subsection"/>
        <w:spacing w:before="100"/>
        <w:rPr>
          <w:snapToGrid w:val="0"/>
        </w:rPr>
      </w:pPr>
      <w:r>
        <w:rPr>
          <w:snapToGrid w:val="0"/>
        </w:rPr>
        <w:tab/>
        <w:t>(2)</w:t>
      </w:r>
      <w:r>
        <w:rPr>
          <w:snapToGrid w:val="0"/>
        </w:rPr>
        <w:tab/>
        <w:t>An employer who fails to comply with subsection (1) commits an offence.</w:t>
      </w:r>
    </w:p>
    <w:p>
      <w:pPr>
        <w:pStyle w:val="Subsection"/>
        <w:spacing w:before="100"/>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 xml:space="preserve">[Section 36 amended by No. 28 of 1984 s. 101; No. 44 of 1985 s. 17; No. 33 of 1986 s. 4; No. 86 of 1986 s. 5; No. 96 of 1990 s. 7; No. 30 of 1993 s. 13; No. 48 of 1993 s. 32; No. 34 of 1999 s. 10; No. 42 of 2004 s. 150 and 152.] </w:t>
      </w:r>
    </w:p>
    <w:p>
      <w:pPr>
        <w:pStyle w:val="Heading5"/>
        <w:keepNext w:val="0"/>
        <w:keepLines w:val="0"/>
        <w:spacing w:before="120"/>
        <w:rPr>
          <w:snapToGrid w:val="0"/>
        </w:rPr>
      </w:pPr>
      <w:bookmarkStart w:id="488" w:name="_Toc440877853"/>
      <w:bookmarkStart w:id="489" w:name="_Toc517775211"/>
      <w:bookmarkStart w:id="490" w:name="_Toc520106959"/>
      <w:bookmarkStart w:id="491" w:name="_Toc523111584"/>
      <w:bookmarkStart w:id="492" w:name="_Toc122833171"/>
      <w:bookmarkStart w:id="493" w:name="_Toc122833738"/>
      <w:r>
        <w:rPr>
          <w:rStyle w:val="CharSectno"/>
        </w:rPr>
        <w:t>37</w:t>
      </w:r>
      <w:r>
        <w:rPr>
          <w:snapToGrid w:val="0"/>
        </w:rPr>
        <w:t>.</w:t>
      </w:r>
      <w:r>
        <w:rPr>
          <w:snapToGrid w:val="0"/>
        </w:rPr>
        <w:tab/>
        <w:t>Oral submission by medical practitioner</w:t>
      </w:r>
      <w:bookmarkEnd w:id="488"/>
      <w:bookmarkEnd w:id="489"/>
      <w:bookmarkEnd w:id="490"/>
      <w:bookmarkEnd w:id="491"/>
      <w:bookmarkEnd w:id="492"/>
      <w:bookmarkEnd w:id="493"/>
      <w:r>
        <w:rPr>
          <w:snapToGrid w:val="0"/>
        </w:rPr>
        <w:t xml:space="preserve"> </w:t>
      </w:r>
    </w:p>
    <w:p>
      <w:pPr>
        <w:pStyle w:val="Subsection"/>
        <w:spacing w:before="100"/>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and the practitioner shall be paid from moneys standing to the credit of the General Fund such witness fee as he would have been entitled to receive if he had attended to give evidence in a hearing</w:t>
      </w:r>
      <w:r>
        <w:t xml:space="preserve"> before an arbitrator</w:t>
      </w:r>
      <w:r>
        <w:rPr>
          <w:snapToGrid w:val="0"/>
        </w:rPr>
        <w:t>.</w:t>
      </w:r>
    </w:p>
    <w:p>
      <w:pPr>
        <w:pStyle w:val="Footnotesection"/>
      </w:pPr>
      <w:r>
        <w:tab/>
        <w:t xml:space="preserve">[Section 37 amended by No. 86 of 1986 s. 5; No. 30 of 1993 s. 13; No. 48 of 1993 s. 28(1); No. 49 of 1996 s. 64; No. 42 of 2004 s. 27 and 152.] </w:t>
      </w:r>
    </w:p>
    <w:p>
      <w:pPr>
        <w:pStyle w:val="Heading5"/>
        <w:rPr>
          <w:snapToGrid w:val="0"/>
        </w:rPr>
      </w:pPr>
      <w:bookmarkStart w:id="494" w:name="_Toc440877854"/>
      <w:bookmarkStart w:id="495" w:name="_Toc517775212"/>
      <w:bookmarkStart w:id="496" w:name="_Toc520106960"/>
      <w:bookmarkStart w:id="497" w:name="_Toc523111585"/>
      <w:bookmarkStart w:id="498" w:name="_Toc122833172"/>
      <w:bookmarkStart w:id="499" w:name="_Toc122833739"/>
      <w:r>
        <w:rPr>
          <w:rStyle w:val="CharSectno"/>
        </w:rPr>
        <w:t>38</w:t>
      </w:r>
      <w:r>
        <w:rPr>
          <w:snapToGrid w:val="0"/>
        </w:rPr>
        <w:t>.</w:t>
      </w:r>
      <w:r>
        <w:rPr>
          <w:snapToGrid w:val="0"/>
        </w:rPr>
        <w:tab/>
        <w:t>Questions for determination by a medical panel</w:t>
      </w:r>
      <w:bookmarkEnd w:id="494"/>
      <w:bookmarkEnd w:id="495"/>
      <w:bookmarkEnd w:id="496"/>
      <w:bookmarkEnd w:id="497"/>
      <w:bookmarkEnd w:id="498"/>
      <w:bookmarkEnd w:id="499"/>
      <w:r>
        <w:rPr>
          <w:snapToGrid w:val="0"/>
        </w:rPr>
        <w:t xml:space="preserve"> </w:t>
      </w:r>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 </w:t>
      </w:r>
    </w:p>
    <w:p>
      <w:pPr>
        <w:pStyle w:val="Indenta"/>
        <w:rPr>
          <w:snapToGrid w:val="0"/>
        </w:rPr>
      </w:pPr>
      <w:r>
        <w:rPr>
          <w:snapToGrid w:val="0"/>
        </w:rPr>
        <w:tab/>
        <w:t>(a)</w:t>
      </w:r>
      <w:r>
        <w:rPr>
          <w:snapToGrid w:val="0"/>
        </w:rPr>
        <w:tab/>
        <w:t>is, or was, the worker suffering from pneumoconiosis, mesothelioma or lung cancer?</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 </w:t>
      </w:r>
    </w:p>
    <w:p>
      <w:pPr>
        <w:pStyle w:val="Indenti"/>
        <w:rPr>
          <w:snapToGrid w:val="0"/>
        </w:rPr>
      </w:pPr>
      <w:r>
        <w:rPr>
          <w:snapToGrid w:val="0"/>
        </w:rPr>
        <w:tab/>
        <w:t>(i)</w:t>
      </w:r>
      <w:r>
        <w:rPr>
          <w:snapToGrid w:val="0"/>
        </w:rPr>
        <w:tab/>
        <w:t>pneumoconiosis;</w:t>
      </w:r>
    </w:p>
    <w:p>
      <w:pPr>
        <w:pStyle w:val="Indenti"/>
        <w:rPr>
          <w:snapToGrid w:val="0"/>
        </w:rPr>
      </w:pPr>
      <w:r>
        <w:rPr>
          <w:snapToGrid w:val="0"/>
        </w:rPr>
        <w:tab/>
        <w:t>(ii)</w:t>
      </w:r>
      <w:r>
        <w:rPr>
          <w:snapToGrid w:val="0"/>
        </w:rPr>
        <w:tab/>
        <w:t>mesothelioma;</w:t>
      </w:r>
    </w:p>
    <w:p>
      <w:pPr>
        <w:pStyle w:val="Indenti"/>
        <w:rPr>
          <w:snapToGrid w:val="0"/>
        </w:rPr>
      </w:pPr>
      <w:r>
        <w:rPr>
          <w:snapToGrid w:val="0"/>
        </w:rPr>
        <w:tab/>
        <w:t>(iii)</w:t>
      </w:r>
      <w:r>
        <w:rPr>
          <w:snapToGrid w:val="0"/>
        </w:rPr>
        <w:tab/>
        <w:t>lung cancer,</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spacing w:before="100"/>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 xml:space="preserve">[Section 38 amended by No. 44 of 1985 s. 18; No. 86 of 1986 s. 5; No. 48 of 1993 s. 33; No. 42 of 2004 s. 28 and 152.] </w:t>
      </w:r>
    </w:p>
    <w:p>
      <w:pPr>
        <w:pStyle w:val="Heading5"/>
        <w:spacing w:before="120"/>
        <w:rPr>
          <w:snapToGrid w:val="0"/>
        </w:rPr>
      </w:pPr>
      <w:bookmarkStart w:id="500" w:name="_Toc440877855"/>
      <w:bookmarkStart w:id="501" w:name="_Toc517775213"/>
      <w:bookmarkStart w:id="502" w:name="_Toc520106961"/>
      <w:bookmarkStart w:id="503" w:name="_Toc523111586"/>
      <w:bookmarkStart w:id="504" w:name="_Toc122833173"/>
      <w:bookmarkStart w:id="505" w:name="_Toc122833740"/>
      <w:r>
        <w:rPr>
          <w:rStyle w:val="CharSectno"/>
        </w:rPr>
        <w:t>39</w:t>
      </w:r>
      <w:r>
        <w:rPr>
          <w:snapToGrid w:val="0"/>
        </w:rPr>
        <w:t>.</w:t>
      </w:r>
      <w:r>
        <w:rPr>
          <w:snapToGrid w:val="0"/>
        </w:rPr>
        <w:tab/>
        <w:t>Worker disabled by tuberculosis and pneumoconiosis</w:t>
      </w:r>
      <w:bookmarkEnd w:id="500"/>
      <w:bookmarkEnd w:id="501"/>
      <w:bookmarkEnd w:id="502"/>
      <w:bookmarkEnd w:id="503"/>
      <w:bookmarkEnd w:id="504"/>
      <w:bookmarkEnd w:id="505"/>
      <w:r>
        <w:rPr>
          <w:snapToGrid w:val="0"/>
        </w:rPr>
        <w:t xml:space="preserve"> </w:t>
      </w:r>
    </w:p>
    <w:p>
      <w:pPr>
        <w:pStyle w:val="Subsection"/>
        <w:spacing w:before="100"/>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 </w:t>
      </w:r>
    </w:p>
    <w:p>
      <w:pPr>
        <w:pStyle w:val="Indenta"/>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snapToGrid w:val="0"/>
        </w:rPr>
        <w:t xml:space="preserve"> of the Commonwealth, entitled to compensation in weekly payments equal to the maximum weekly income permissible under that Scheme; and</w:t>
      </w:r>
    </w:p>
    <w:p>
      <w:pPr>
        <w:pStyle w:val="Indenta"/>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pPr>
      <w:r>
        <w:tab/>
        <w:t>[Section 39 amended by No. 42 of 2004 s. 29.]</w:t>
      </w:r>
    </w:p>
    <w:p>
      <w:pPr>
        <w:pStyle w:val="Heading5"/>
        <w:keepNext w:val="0"/>
        <w:keepLines w:val="0"/>
        <w:spacing w:before="120"/>
      </w:pPr>
      <w:bookmarkStart w:id="506" w:name="_Toc122833174"/>
      <w:bookmarkStart w:id="507" w:name="_Toc122833741"/>
      <w:bookmarkStart w:id="508" w:name="_Toc440877857"/>
      <w:bookmarkStart w:id="509" w:name="_Toc517775215"/>
      <w:bookmarkStart w:id="510" w:name="_Toc520106963"/>
      <w:bookmarkStart w:id="511" w:name="_Toc523111588"/>
      <w:r>
        <w:rPr>
          <w:rStyle w:val="CharSectno"/>
        </w:rPr>
        <w:t>40</w:t>
      </w:r>
      <w:r>
        <w:t>.</w:t>
      </w:r>
      <w:r>
        <w:tab/>
        <w:t>Interpretation of this Division in cases of death without prior incapacity</w:t>
      </w:r>
      <w:bookmarkEnd w:id="506"/>
      <w:bookmarkEnd w:id="507"/>
    </w:p>
    <w:p>
      <w:pPr>
        <w:pStyle w:val="Subsection"/>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pPr>
      <w:r>
        <w:tab/>
        <w:t>[Section 40 inserted by No. 42 of 2004 s. 30.]</w:t>
      </w:r>
    </w:p>
    <w:p>
      <w:pPr>
        <w:pStyle w:val="Heading5"/>
        <w:rPr>
          <w:snapToGrid w:val="0"/>
        </w:rPr>
      </w:pPr>
      <w:bookmarkStart w:id="512" w:name="_Toc122833175"/>
      <w:bookmarkStart w:id="513" w:name="_Toc122833742"/>
      <w:r>
        <w:rPr>
          <w:rStyle w:val="CharSectno"/>
        </w:rPr>
        <w:t>41</w:t>
      </w:r>
      <w:r>
        <w:rPr>
          <w:snapToGrid w:val="0"/>
        </w:rPr>
        <w:t>.</w:t>
      </w:r>
      <w:r>
        <w:rPr>
          <w:snapToGrid w:val="0"/>
        </w:rPr>
        <w:tab/>
        <w:t>Last employer liable but may join others</w:t>
      </w:r>
      <w:bookmarkEnd w:id="508"/>
      <w:bookmarkEnd w:id="509"/>
      <w:bookmarkEnd w:id="510"/>
      <w:bookmarkEnd w:id="511"/>
      <w:bookmarkEnd w:id="512"/>
      <w:bookmarkEnd w:id="513"/>
      <w:r>
        <w:rPr>
          <w:snapToGrid w:val="0"/>
        </w:rPr>
        <w:t xml:space="preserve"> </w:t>
      </w:r>
    </w:p>
    <w:p>
      <w:pPr>
        <w:pStyle w:val="Subsection"/>
        <w:rPr>
          <w:snapToGrid w:val="0"/>
        </w:rPr>
      </w:pPr>
      <w:r>
        <w:rPr>
          <w:snapToGrid w:val="0"/>
        </w:rPr>
        <w:tab/>
        <w:t>(1)</w:t>
      </w:r>
      <w:r>
        <w:rPr>
          <w:snapToGrid w:val="0"/>
        </w:rPr>
        <w:tab/>
        <w:t>Subject to subsections (2), (3) and (4), the compensation is recoverable from the employer who last employed the worker during the period of one year mentioned in section 32, or, in the case of pneumoconiosis, mesothelioma, or lung cancer, who last employed the worker, in the employment to the nature of which the disease is, or was, due.</w:t>
      </w:r>
    </w:p>
    <w:p>
      <w:pPr>
        <w:pStyle w:val="Subsection"/>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pPr>
      <w:r>
        <w:tab/>
        <w:t>[Section 41 amended by No. 42 of 2004 s. 31.]</w:t>
      </w:r>
    </w:p>
    <w:p>
      <w:pPr>
        <w:pStyle w:val="Heading5"/>
        <w:rPr>
          <w:snapToGrid w:val="0"/>
        </w:rPr>
      </w:pPr>
      <w:bookmarkStart w:id="514" w:name="_Toc440877858"/>
      <w:bookmarkStart w:id="515" w:name="_Toc517775216"/>
      <w:bookmarkStart w:id="516" w:name="_Toc520106964"/>
      <w:bookmarkStart w:id="517" w:name="_Toc523111589"/>
      <w:bookmarkStart w:id="518" w:name="_Toc122833176"/>
      <w:bookmarkStart w:id="519" w:name="_Toc122833743"/>
      <w:r>
        <w:rPr>
          <w:rStyle w:val="CharSectno"/>
        </w:rPr>
        <w:t>42</w:t>
      </w:r>
      <w:r>
        <w:rPr>
          <w:snapToGrid w:val="0"/>
        </w:rPr>
        <w:t>.</w:t>
      </w:r>
      <w:r>
        <w:rPr>
          <w:snapToGrid w:val="0"/>
        </w:rPr>
        <w:tab/>
        <w:t>Relevant earnings</w:t>
      </w:r>
      <w:bookmarkEnd w:id="514"/>
      <w:bookmarkEnd w:id="515"/>
      <w:bookmarkEnd w:id="516"/>
      <w:bookmarkEnd w:id="517"/>
      <w:bookmarkEnd w:id="518"/>
      <w:bookmarkEnd w:id="519"/>
      <w:r>
        <w:rPr>
          <w:snapToGrid w:val="0"/>
        </w:rPr>
        <w:t xml:space="preserve"> </w:t>
      </w:r>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520" w:name="_Toc440877859"/>
      <w:bookmarkStart w:id="521" w:name="_Toc517775217"/>
      <w:bookmarkStart w:id="522" w:name="_Toc520106965"/>
      <w:bookmarkStart w:id="523" w:name="_Toc523111590"/>
      <w:bookmarkStart w:id="524" w:name="_Toc122833177"/>
      <w:bookmarkStart w:id="525" w:name="_Toc122833744"/>
      <w:r>
        <w:rPr>
          <w:rStyle w:val="CharSectno"/>
        </w:rPr>
        <w:t>43</w:t>
      </w:r>
      <w:r>
        <w:rPr>
          <w:snapToGrid w:val="0"/>
        </w:rPr>
        <w:t>.</w:t>
      </w:r>
      <w:r>
        <w:rPr>
          <w:snapToGrid w:val="0"/>
        </w:rPr>
        <w:tab/>
        <w:t>Employer to whom notice to be given</w:t>
      </w:r>
      <w:bookmarkEnd w:id="520"/>
      <w:bookmarkEnd w:id="521"/>
      <w:bookmarkEnd w:id="522"/>
      <w:bookmarkEnd w:id="523"/>
      <w:bookmarkEnd w:id="524"/>
      <w:bookmarkEnd w:id="525"/>
      <w:r>
        <w:rPr>
          <w:snapToGrid w:val="0"/>
        </w:rPr>
        <w:t xml:space="preserve"> </w:t>
      </w:r>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pPr>
      <w:r>
        <w:tab/>
        <w:t>[Section 43 amended by No. 42 of 2004 s. 32.]</w:t>
      </w:r>
    </w:p>
    <w:p>
      <w:pPr>
        <w:pStyle w:val="Heading5"/>
        <w:rPr>
          <w:snapToGrid w:val="0"/>
        </w:rPr>
      </w:pPr>
      <w:bookmarkStart w:id="526" w:name="_Toc440877860"/>
      <w:bookmarkStart w:id="527" w:name="_Toc517775218"/>
      <w:bookmarkStart w:id="528" w:name="_Toc520106966"/>
      <w:bookmarkStart w:id="529" w:name="_Toc523111591"/>
      <w:bookmarkStart w:id="530" w:name="_Toc122833178"/>
      <w:bookmarkStart w:id="531" w:name="_Toc122833745"/>
      <w:r>
        <w:rPr>
          <w:rStyle w:val="CharSectno"/>
        </w:rPr>
        <w:t>44</w:t>
      </w:r>
      <w:r>
        <w:rPr>
          <w:snapToGrid w:val="0"/>
        </w:rPr>
        <w:t>.</w:t>
      </w:r>
      <w:r>
        <w:rPr>
          <w:snapToGrid w:val="0"/>
        </w:rPr>
        <w:tab/>
        <w:t>Disease deemed due to nature of employment</w:t>
      </w:r>
      <w:bookmarkEnd w:id="526"/>
      <w:bookmarkEnd w:id="527"/>
      <w:bookmarkEnd w:id="528"/>
      <w:bookmarkEnd w:id="529"/>
      <w:bookmarkEnd w:id="530"/>
      <w:bookmarkEnd w:id="531"/>
      <w:r>
        <w:rPr>
          <w:snapToGrid w:val="0"/>
        </w:rPr>
        <w:t xml:space="preserve"> </w:t>
      </w:r>
    </w:p>
    <w:p>
      <w:pPr>
        <w:pStyle w:val="Subsection"/>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pPr>
      <w:r>
        <w:tab/>
        <w:t>[Section 44 amended by No. 42 of 2004 s. 33.]</w:t>
      </w:r>
    </w:p>
    <w:p>
      <w:pPr>
        <w:pStyle w:val="Heading5"/>
        <w:rPr>
          <w:snapToGrid w:val="0"/>
        </w:rPr>
      </w:pPr>
      <w:bookmarkStart w:id="532" w:name="_Toc440877861"/>
      <w:bookmarkStart w:id="533" w:name="_Toc517775219"/>
      <w:bookmarkStart w:id="534" w:name="_Toc520106967"/>
      <w:bookmarkStart w:id="535" w:name="_Toc523111592"/>
      <w:bookmarkStart w:id="536" w:name="_Toc122833179"/>
      <w:bookmarkStart w:id="537" w:name="_Toc122833746"/>
      <w:r>
        <w:rPr>
          <w:rStyle w:val="CharSectno"/>
        </w:rPr>
        <w:t>45</w:t>
      </w:r>
      <w:r>
        <w:rPr>
          <w:snapToGrid w:val="0"/>
        </w:rPr>
        <w:t>.</w:t>
      </w:r>
      <w:r>
        <w:rPr>
          <w:snapToGrid w:val="0"/>
        </w:rPr>
        <w:tab/>
        <w:t>Additions to Schedule 3</w:t>
      </w:r>
      <w:bookmarkEnd w:id="532"/>
      <w:bookmarkEnd w:id="533"/>
      <w:bookmarkEnd w:id="534"/>
      <w:bookmarkEnd w:id="535"/>
      <w:bookmarkEnd w:id="536"/>
      <w:bookmarkEnd w:id="537"/>
      <w:r>
        <w:rPr>
          <w:snapToGrid w:val="0"/>
        </w:rPr>
        <w:t xml:space="preserve"> </w:t>
      </w:r>
    </w:p>
    <w:p>
      <w:pPr>
        <w:pStyle w:val="Subsection"/>
        <w:spacing w:before="100"/>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p>
    <w:p>
      <w:pPr>
        <w:pStyle w:val="Subsection"/>
        <w:spacing w:before="100"/>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spacing w:before="100"/>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spacing w:before="120"/>
        <w:rPr>
          <w:snapToGrid w:val="0"/>
        </w:rPr>
      </w:pPr>
      <w:bookmarkStart w:id="538" w:name="_Toc440877862"/>
      <w:bookmarkStart w:id="539" w:name="_Toc517775220"/>
      <w:bookmarkStart w:id="540" w:name="_Toc520106968"/>
      <w:bookmarkStart w:id="541" w:name="_Toc523111593"/>
      <w:bookmarkStart w:id="542" w:name="_Toc122833180"/>
      <w:bookmarkStart w:id="543" w:name="_Toc122833747"/>
      <w:r>
        <w:rPr>
          <w:rStyle w:val="CharSectno"/>
        </w:rPr>
        <w:t>46</w:t>
      </w:r>
      <w:r>
        <w:rPr>
          <w:snapToGrid w:val="0"/>
        </w:rPr>
        <w:t>.</w:t>
      </w:r>
      <w:r>
        <w:rPr>
          <w:snapToGrid w:val="0"/>
        </w:rPr>
        <w:tab/>
        <w:t>Compensation limited to prescribed amount</w:t>
      </w:r>
      <w:bookmarkEnd w:id="538"/>
      <w:bookmarkEnd w:id="539"/>
      <w:bookmarkEnd w:id="540"/>
      <w:bookmarkEnd w:id="541"/>
      <w:bookmarkEnd w:id="542"/>
      <w:bookmarkEnd w:id="543"/>
      <w:r>
        <w:rPr>
          <w:snapToGrid w:val="0"/>
        </w:rPr>
        <w:t xml:space="preserve"> </w:t>
      </w:r>
    </w:p>
    <w:p>
      <w:pPr>
        <w:pStyle w:val="Subsection"/>
        <w:spacing w:before="100"/>
        <w:rPr>
          <w:snapToGrid w:val="0"/>
        </w:rPr>
      </w:pPr>
      <w:r>
        <w:rPr>
          <w:snapToGrid w:val="0"/>
        </w:rPr>
        <w:tab/>
        <w:t>(1)</w:t>
      </w:r>
      <w:r>
        <w:rPr>
          <w:snapToGrid w:val="0"/>
        </w:rPr>
        <w:tab/>
        <w:t xml:space="preserve">Notwithstanding any provisions of the </w:t>
      </w:r>
      <w:r>
        <w:rPr>
          <w:i/>
          <w:snapToGrid w:val="0"/>
        </w:rPr>
        <w:t>Mine Workers’ Relief Act 1932</w:t>
      </w:r>
      <w:r>
        <w:rPr>
          <w:snapToGrid w:val="0"/>
        </w:rPr>
        <w:t xml:space="preserve"> or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spacing w:before="100"/>
        <w:rPr>
          <w:snapToGrid w:val="0"/>
        </w:rPr>
      </w:pPr>
      <w:r>
        <w:rPr>
          <w:snapToGrid w:val="0"/>
        </w:rPr>
        <w:tab/>
        <w:t>(2)</w:t>
      </w:r>
      <w:r>
        <w:rPr>
          <w:snapToGrid w:val="0"/>
        </w:rPr>
        <w:tab/>
        <w:t>A worker who has received the full amount of compensation — </w:t>
      </w:r>
    </w:p>
    <w:p>
      <w:pPr>
        <w:pStyle w:val="Indenta"/>
        <w:rPr>
          <w:snapToGrid w:val="0"/>
        </w:rPr>
      </w:pPr>
      <w:r>
        <w:rPr>
          <w:snapToGrid w:val="0"/>
        </w:rPr>
        <w:tab/>
      </w:r>
      <w:r>
        <w:rPr>
          <w:snapToGrid w:val="0"/>
        </w:rPr>
        <w:tab/>
        <w:t>that was the maximum amount of his employer’s liability to him under this Act, as it existed at the time of the payment,</w:t>
      </w:r>
    </w:p>
    <w:p>
      <w:pPr>
        <w:pStyle w:val="Subsection"/>
        <w:spacing w:before="100"/>
        <w:rPr>
          <w:snapToGrid w:val="0"/>
        </w:rPr>
      </w:pPr>
      <w:r>
        <w:rPr>
          <w:snapToGrid w:val="0"/>
        </w:rPr>
        <w:tab/>
      </w:r>
      <w:r>
        <w:rPr>
          <w:snapToGrid w:val="0"/>
        </w:rPr>
        <w:tab/>
        <w:t>in respect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spacing w:before="80"/>
        <w:rPr>
          <w:snapToGrid w:val="0"/>
        </w:rPr>
      </w:pPr>
      <w:r>
        <w:rPr>
          <w:snapToGrid w:val="0"/>
        </w:rPr>
        <w:tab/>
        <w:t>(3)</w:t>
      </w:r>
      <w:r>
        <w:rPr>
          <w:snapToGrid w:val="0"/>
        </w:rPr>
        <w:tab/>
        <w:t>A supplementary amount paid under Schedule 5 clause 4 or 8 is not compensation for the purpose of this section.</w:t>
      </w:r>
    </w:p>
    <w:p>
      <w:pPr>
        <w:pStyle w:val="Footnotesection"/>
      </w:pPr>
      <w:r>
        <w:tab/>
        <w:t xml:space="preserve">[Section 46 amended by No. 104 of 1984 s. 3.] </w:t>
      </w:r>
    </w:p>
    <w:p>
      <w:pPr>
        <w:pStyle w:val="Heading5"/>
        <w:rPr>
          <w:snapToGrid w:val="0"/>
        </w:rPr>
      </w:pPr>
      <w:bookmarkStart w:id="544" w:name="_Toc440877863"/>
      <w:bookmarkStart w:id="545" w:name="_Toc517775221"/>
      <w:bookmarkStart w:id="546" w:name="_Toc520106969"/>
      <w:bookmarkStart w:id="547" w:name="_Toc523111594"/>
      <w:bookmarkStart w:id="548" w:name="_Toc122833181"/>
      <w:bookmarkStart w:id="549" w:name="_Toc122833748"/>
      <w:r>
        <w:rPr>
          <w:rStyle w:val="CharSectno"/>
        </w:rPr>
        <w:t>47</w:t>
      </w:r>
      <w:r>
        <w:rPr>
          <w:snapToGrid w:val="0"/>
        </w:rPr>
        <w:t>.</w:t>
      </w:r>
      <w:r>
        <w:rPr>
          <w:snapToGrid w:val="0"/>
        </w:rPr>
        <w:tab/>
        <w:t>Certain workers not to benefit</w:t>
      </w:r>
      <w:bookmarkEnd w:id="544"/>
      <w:bookmarkEnd w:id="545"/>
      <w:bookmarkEnd w:id="546"/>
      <w:bookmarkEnd w:id="547"/>
      <w:bookmarkEnd w:id="548"/>
      <w:bookmarkEnd w:id="549"/>
      <w:r>
        <w:rPr>
          <w:snapToGrid w:val="0"/>
        </w:rPr>
        <w:t xml:space="preserve"> </w:t>
      </w:r>
    </w:p>
    <w:p>
      <w:pPr>
        <w:pStyle w:val="Subsection"/>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 xml:space="preserve">[Section 47 amended by No. 30 of 1993 s. 13; No. 62 of 1994 s. 109; No. 42 of 2004 s. 34.] </w:t>
      </w:r>
    </w:p>
    <w:p>
      <w:pPr>
        <w:pStyle w:val="Heading5"/>
        <w:rPr>
          <w:snapToGrid w:val="0"/>
        </w:rPr>
      </w:pPr>
      <w:bookmarkStart w:id="550" w:name="_Toc440877864"/>
      <w:bookmarkStart w:id="551" w:name="_Toc517775222"/>
      <w:bookmarkStart w:id="552" w:name="_Toc520106970"/>
      <w:bookmarkStart w:id="553" w:name="_Toc523111595"/>
      <w:bookmarkStart w:id="554" w:name="_Toc122833182"/>
      <w:bookmarkStart w:id="555" w:name="_Toc122833749"/>
      <w:r>
        <w:rPr>
          <w:rStyle w:val="CharSectno"/>
        </w:rPr>
        <w:t>48</w:t>
      </w:r>
      <w:r>
        <w:rPr>
          <w:snapToGrid w:val="0"/>
        </w:rPr>
        <w:t>.</w:t>
      </w:r>
      <w:r>
        <w:rPr>
          <w:snapToGrid w:val="0"/>
        </w:rPr>
        <w:tab/>
        <w:t>Notification of disease</w:t>
      </w:r>
      <w:bookmarkEnd w:id="550"/>
      <w:bookmarkEnd w:id="551"/>
      <w:bookmarkEnd w:id="552"/>
      <w:bookmarkEnd w:id="553"/>
      <w:bookmarkEnd w:id="554"/>
      <w:bookmarkEnd w:id="555"/>
      <w:r>
        <w:rPr>
          <w:snapToGrid w:val="0"/>
        </w:rPr>
        <w:t xml:space="preserve"> </w:t>
      </w:r>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 xml:space="preserve">[Section 48 amended by No. 28 of 1984 s. 102; No. 86 of 1986 s. 5; No. 21 of 1987 s. 4; No. 30 of 1995 s. 48; No. 42 of 2004 s. 35 and 152.] </w:t>
      </w:r>
    </w:p>
    <w:p>
      <w:pPr>
        <w:pStyle w:val="Heading3"/>
      </w:pPr>
      <w:bookmarkStart w:id="556" w:name="_Toc87252845"/>
      <w:bookmarkStart w:id="557" w:name="_Toc119132464"/>
      <w:bookmarkStart w:id="558" w:name="_Toc119203134"/>
      <w:bookmarkStart w:id="559" w:name="_Toc119203780"/>
      <w:bookmarkStart w:id="560" w:name="_Toc119216110"/>
      <w:bookmarkStart w:id="561" w:name="_Toc119300630"/>
      <w:bookmarkStart w:id="562" w:name="_Toc119301197"/>
      <w:bookmarkStart w:id="563" w:name="_Toc119301766"/>
      <w:bookmarkStart w:id="564" w:name="_Toc119919953"/>
      <w:bookmarkStart w:id="565" w:name="_Toc122773940"/>
      <w:bookmarkStart w:id="566" w:name="_Toc122833183"/>
      <w:bookmarkStart w:id="567" w:name="_Toc122833750"/>
      <w:bookmarkStart w:id="568" w:name="_Toc440877865"/>
      <w:bookmarkStart w:id="569" w:name="_Toc517775223"/>
      <w:bookmarkStart w:id="570" w:name="_Toc520106971"/>
      <w:bookmarkStart w:id="571" w:name="_Toc523111596"/>
      <w:r>
        <w:rPr>
          <w:rStyle w:val="CharDivNo"/>
        </w:rPr>
        <w:t>Division 4</w:t>
      </w:r>
      <w:r>
        <w:t> — </w:t>
      </w:r>
      <w:r>
        <w:rPr>
          <w:rStyle w:val="CharDivText"/>
        </w:rPr>
        <w:t>Injury: specified losses of functions</w:t>
      </w:r>
      <w:bookmarkEnd w:id="556"/>
      <w:bookmarkEnd w:id="557"/>
      <w:bookmarkEnd w:id="558"/>
      <w:bookmarkEnd w:id="559"/>
      <w:bookmarkEnd w:id="560"/>
      <w:bookmarkEnd w:id="561"/>
      <w:bookmarkEnd w:id="562"/>
      <w:bookmarkEnd w:id="563"/>
      <w:bookmarkEnd w:id="564"/>
      <w:bookmarkEnd w:id="565"/>
      <w:bookmarkEnd w:id="566"/>
      <w:bookmarkEnd w:id="567"/>
    </w:p>
    <w:p>
      <w:pPr>
        <w:pStyle w:val="Footnoteheading"/>
      </w:pPr>
      <w:r>
        <w:tab/>
        <w:t>[Heading inserted by No. 42 of 2004 s. 36.]</w:t>
      </w:r>
    </w:p>
    <w:p>
      <w:pPr>
        <w:pStyle w:val="Heading5"/>
      </w:pPr>
      <w:bookmarkStart w:id="572" w:name="_Toc87252847"/>
      <w:bookmarkStart w:id="573" w:name="_Toc122833184"/>
      <w:bookmarkStart w:id="574" w:name="_Toc122833751"/>
      <w:bookmarkEnd w:id="568"/>
      <w:bookmarkEnd w:id="569"/>
      <w:bookmarkEnd w:id="570"/>
      <w:bookmarkEnd w:id="571"/>
      <w:r>
        <w:rPr>
          <w:rStyle w:val="CharSectno"/>
        </w:rPr>
        <w:t>49</w:t>
      </w:r>
      <w:r>
        <w:t>.</w:t>
      </w:r>
      <w:r>
        <w:tab/>
        <w:t>Injury occurs when loss of function renders worker less able to earn full wages</w:t>
      </w:r>
      <w:bookmarkEnd w:id="572"/>
      <w:bookmarkEnd w:id="573"/>
      <w:bookmarkEnd w:id="574"/>
    </w:p>
    <w:p>
      <w:pPr>
        <w:pStyle w:val="Subsection"/>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by No. 42 of 2004 s. 37.]</w:t>
      </w:r>
    </w:p>
    <w:p>
      <w:pPr>
        <w:pStyle w:val="Ednotesection"/>
      </w:pPr>
      <w:r>
        <w:t>[</w:t>
      </w:r>
      <w:r>
        <w:rPr>
          <w:b/>
        </w:rPr>
        <w:t>50.</w:t>
      </w:r>
      <w:r>
        <w:tab/>
        <w:t xml:space="preserve">Repealed by No. 36 of 1988 s. 10.] </w:t>
      </w:r>
    </w:p>
    <w:p>
      <w:pPr>
        <w:pStyle w:val="Heading5"/>
        <w:rPr>
          <w:snapToGrid w:val="0"/>
        </w:rPr>
      </w:pPr>
      <w:bookmarkStart w:id="575" w:name="_Toc440877866"/>
      <w:bookmarkStart w:id="576" w:name="_Toc517775224"/>
      <w:bookmarkStart w:id="577" w:name="_Toc520106972"/>
      <w:bookmarkStart w:id="578" w:name="_Toc523111597"/>
      <w:bookmarkStart w:id="579" w:name="_Toc122833185"/>
      <w:bookmarkStart w:id="580" w:name="_Toc122833752"/>
      <w:r>
        <w:rPr>
          <w:rStyle w:val="CharSectno"/>
        </w:rPr>
        <w:t>51</w:t>
      </w:r>
      <w:r>
        <w:rPr>
          <w:snapToGrid w:val="0"/>
        </w:rPr>
        <w:t>.</w:t>
      </w:r>
      <w:r>
        <w:rPr>
          <w:snapToGrid w:val="0"/>
        </w:rPr>
        <w:tab/>
        <w:t>Compensation recoverable from last employer</w:t>
      </w:r>
      <w:bookmarkEnd w:id="575"/>
      <w:bookmarkEnd w:id="576"/>
      <w:bookmarkEnd w:id="577"/>
      <w:bookmarkEnd w:id="578"/>
      <w:bookmarkEnd w:id="579"/>
      <w:bookmarkEnd w:id="580"/>
      <w:r>
        <w:rPr>
          <w:snapToGrid w:val="0"/>
        </w:rPr>
        <w:t xml:space="preserve"> </w:t>
      </w:r>
    </w:p>
    <w:p>
      <w:pPr>
        <w:pStyle w:val="Subsection"/>
        <w:spacing w:before="80"/>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spacing w:before="80"/>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spacing w:before="80"/>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spacing w:before="80"/>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spacing w:before="80"/>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581" w:name="_Toc440877867"/>
      <w:bookmarkStart w:id="582" w:name="_Toc517775225"/>
      <w:bookmarkStart w:id="583" w:name="_Toc520106973"/>
      <w:bookmarkStart w:id="584" w:name="_Toc523111598"/>
      <w:bookmarkStart w:id="585" w:name="_Toc122833186"/>
      <w:bookmarkStart w:id="586" w:name="_Toc122833753"/>
      <w:r>
        <w:rPr>
          <w:rStyle w:val="CharSectno"/>
        </w:rPr>
        <w:t>52</w:t>
      </w:r>
      <w:r>
        <w:rPr>
          <w:snapToGrid w:val="0"/>
        </w:rPr>
        <w:t>.</w:t>
      </w:r>
      <w:r>
        <w:rPr>
          <w:snapToGrid w:val="0"/>
        </w:rPr>
        <w:tab/>
        <w:t>How compensation calculated</w:t>
      </w:r>
      <w:bookmarkEnd w:id="581"/>
      <w:bookmarkEnd w:id="582"/>
      <w:bookmarkEnd w:id="583"/>
      <w:bookmarkEnd w:id="584"/>
      <w:bookmarkEnd w:id="585"/>
      <w:bookmarkEnd w:id="586"/>
      <w:r>
        <w:rPr>
          <w:snapToGrid w:val="0"/>
        </w:rPr>
        <w:t xml:space="preserve"> </w:t>
      </w:r>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587" w:name="_Toc440877868"/>
      <w:bookmarkStart w:id="588" w:name="_Toc517775226"/>
      <w:bookmarkStart w:id="589" w:name="_Toc520106974"/>
      <w:bookmarkStart w:id="590" w:name="_Toc523111599"/>
      <w:bookmarkStart w:id="591" w:name="_Toc122833187"/>
      <w:bookmarkStart w:id="592" w:name="_Toc122833754"/>
      <w:r>
        <w:rPr>
          <w:rStyle w:val="CharSectno"/>
        </w:rPr>
        <w:t>53</w:t>
      </w:r>
      <w:r>
        <w:rPr>
          <w:snapToGrid w:val="0"/>
        </w:rPr>
        <w:t>.</w:t>
      </w:r>
      <w:r>
        <w:rPr>
          <w:snapToGrid w:val="0"/>
        </w:rPr>
        <w:tab/>
        <w:t>Employer to whom notice given</w:t>
      </w:r>
      <w:bookmarkEnd w:id="587"/>
      <w:bookmarkEnd w:id="588"/>
      <w:bookmarkEnd w:id="589"/>
      <w:bookmarkEnd w:id="590"/>
      <w:bookmarkEnd w:id="591"/>
      <w:bookmarkEnd w:id="592"/>
      <w:r>
        <w:rPr>
          <w:snapToGrid w:val="0"/>
        </w:rPr>
        <w:t xml:space="preserve"> </w:t>
      </w:r>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by No. 42 of 2004 s. 38.]</w:t>
      </w:r>
    </w:p>
    <w:p>
      <w:pPr>
        <w:pStyle w:val="Heading5"/>
        <w:rPr>
          <w:snapToGrid w:val="0"/>
        </w:rPr>
      </w:pPr>
      <w:bookmarkStart w:id="593" w:name="_Toc440877869"/>
      <w:bookmarkStart w:id="594" w:name="_Toc517775227"/>
      <w:bookmarkStart w:id="595" w:name="_Toc520106975"/>
      <w:bookmarkStart w:id="596" w:name="_Toc523111600"/>
      <w:bookmarkStart w:id="597" w:name="_Toc122833188"/>
      <w:bookmarkStart w:id="598" w:name="_Toc122833755"/>
      <w:r>
        <w:rPr>
          <w:rStyle w:val="CharSectno"/>
        </w:rPr>
        <w:t>54</w:t>
      </w:r>
      <w:r>
        <w:rPr>
          <w:snapToGrid w:val="0"/>
        </w:rPr>
        <w:t>.</w:t>
      </w:r>
      <w:r>
        <w:rPr>
          <w:snapToGrid w:val="0"/>
        </w:rPr>
        <w:tab/>
        <w:t>Loss of function deemed due to nature of employment</w:t>
      </w:r>
      <w:bookmarkEnd w:id="593"/>
      <w:bookmarkEnd w:id="594"/>
      <w:bookmarkEnd w:id="595"/>
      <w:bookmarkEnd w:id="596"/>
      <w:bookmarkEnd w:id="597"/>
      <w:bookmarkEnd w:id="598"/>
      <w:r>
        <w:rPr>
          <w:snapToGrid w:val="0"/>
        </w:rPr>
        <w:t xml:space="preserve"> </w:t>
      </w:r>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by No. 42 of 2004 s. 39.]</w:t>
      </w:r>
    </w:p>
    <w:p>
      <w:pPr>
        <w:pStyle w:val="Heading5"/>
        <w:rPr>
          <w:snapToGrid w:val="0"/>
        </w:rPr>
      </w:pPr>
      <w:bookmarkStart w:id="599" w:name="_Toc440877870"/>
      <w:bookmarkStart w:id="600" w:name="_Toc517775228"/>
      <w:bookmarkStart w:id="601" w:name="_Toc520106976"/>
      <w:bookmarkStart w:id="602" w:name="_Toc523111601"/>
      <w:bookmarkStart w:id="603" w:name="_Toc122833189"/>
      <w:bookmarkStart w:id="604" w:name="_Toc122833756"/>
      <w:r>
        <w:rPr>
          <w:rStyle w:val="CharSectno"/>
        </w:rPr>
        <w:t>55</w:t>
      </w:r>
      <w:r>
        <w:rPr>
          <w:snapToGrid w:val="0"/>
        </w:rPr>
        <w:t>.</w:t>
      </w:r>
      <w:r>
        <w:rPr>
          <w:snapToGrid w:val="0"/>
        </w:rPr>
        <w:tab/>
        <w:t>Additions to Schedule 4</w:t>
      </w:r>
      <w:bookmarkEnd w:id="599"/>
      <w:bookmarkEnd w:id="600"/>
      <w:bookmarkEnd w:id="601"/>
      <w:bookmarkEnd w:id="602"/>
      <w:bookmarkEnd w:id="603"/>
      <w:bookmarkEnd w:id="604"/>
      <w:r>
        <w:rPr>
          <w:snapToGrid w:val="0"/>
        </w:rPr>
        <w:t xml:space="preserve"> </w:t>
      </w:r>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rPr>
          <w:snapToGrid w:val="0"/>
        </w:rPr>
      </w:pPr>
      <w:bookmarkStart w:id="605" w:name="_Toc86739947"/>
      <w:bookmarkStart w:id="606" w:name="_Toc88562351"/>
      <w:bookmarkStart w:id="607" w:name="_Toc88625268"/>
      <w:bookmarkStart w:id="608" w:name="_Toc91385923"/>
      <w:bookmarkStart w:id="609" w:name="_Toc92704930"/>
      <w:bookmarkStart w:id="610" w:name="_Toc93222398"/>
      <w:bookmarkStart w:id="611" w:name="_Toc95022475"/>
      <w:bookmarkStart w:id="612" w:name="_Toc95117747"/>
      <w:bookmarkStart w:id="613" w:name="_Toc96498152"/>
      <w:bookmarkStart w:id="614" w:name="_Toc96500630"/>
      <w:bookmarkStart w:id="615" w:name="_Toc101779542"/>
      <w:bookmarkStart w:id="616" w:name="_Toc103059994"/>
      <w:bookmarkStart w:id="617" w:name="_Toc105470890"/>
      <w:bookmarkStart w:id="618" w:name="_Toc105474804"/>
      <w:bookmarkStart w:id="619" w:name="_Toc105475190"/>
      <w:bookmarkStart w:id="620" w:name="_Toc107307906"/>
      <w:bookmarkStart w:id="621" w:name="_Toc109712139"/>
      <w:bookmarkStart w:id="622" w:name="_Toc109724022"/>
      <w:bookmarkStart w:id="623" w:name="_Toc110053894"/>
      <w:bookmarkStart w:id="624" w:name="_Toc110054283"/>
      <w:bookmarkStart w:id="625" w:name="_Toc110654363"/>
      <w:bookmarkStart w:id="626" w:name="_Toc110735801"/>
      <w:bookmarkStart w:id="627" w:name="_Toc110738537"/>
      <w:bookmarkStart w:id="628" w:name="_Toc115691211"/>
      <w:bookmarkStart w:id="629" w:name="_Toc115773508"/>
      <w:bookmarkStart w:id="630" w:name="_Toc119132471"/>
      <w:bookmarkStart w:id="631" w:name="_Toc119203141"/>
      <w:bookmarkStart w:id="632" w:name="_Toc119203787"/>
      <w:bookmarkStart w:id="633" w:name="_Toc119216117"/>
      <w:bookmarkStart w:id="634" w:name="_Toc119300637"/>
      <w:bookmarkStart w:id="635" w:name="_Toc119301204"/>
      <w:bookmarkStart w:id="636" w:name="_Toc119301773"/>
      <w:bookmarkStart w:id="637" w:name="_Toc119919960"/>
      <w:bookmarkStart w:id="638" w:name="_Toc122773947"/>
      <w:bookmarkStart w:id="639" w:name="_Toc122833190"/>
      <w:bookmarkStart w:id="640" w:name="_Toc122833757"/>
      <w:r>
        <w:rPr>
          <w:rStyle w:val="CharDivNo"/>
        </w:rPr>
        <w:t>Division 5</w:t>
      </w:r>
      <w:r>
        <w:rPr>
          <w:snapToGrid w:val="0"/>
        </w:rPr>
        <w:t> — </w:t>
      </w:r>
      <w:r>
        <w:rPr>
          <w:rStyle w:val="CharDivText"/>
        </w:rPr>
        <w:t>Commencement, review, suspension, and cessation of payments</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r>
        <w:rPr>
          <w:rStyle w:val="CharDivText"/>
        </w:rPr>
        <w:t xml:space="preserve"> </w:t>
      </w:r>
    </w:p>
    <w:p>
      <w:pPr>
        <w:pStyle w:val="Heading5"/>
        <w:rPr>
          <w:snapToGrid w:val="0"/>
        </w:rPr>
      </w:pPr>
      <w:bookmarkStart w:id="641" w:name="_Toc440877871"/>
      <w:bookmarkStart w:id="642" w:name="_Toc517775229"/>
      <w:bookmarkStart w:id="643" w:name="_Toc520106977"/>
      <w:bookmarkStart w:id="644" w:name="_Toc523111602"/>
      <w:bookmarkStart w:id="645" w:name="_Toc122833191"/>
      <w:bookmarkStart w:id="646" w:name="_Toc122833758"/>
      <w:r>
        <w:rPr>
          <w:rStyle w:val="CharSectno"/>
        </w:rPr>
        <w:t>56</w:t>
      </w:r>
      <w:r>
        <w:rPr>
          <w:snapToGrid w:val="0"/>
        </w:rPr>
        <w:t>.</w:t>
      </w:r>
      <w:r>
        <w:rPr>
          <w:snapToGrid w:val="0"/>
        </w:rPr>
        <w:tab/>
        <w:t>Entitlement to weekly payments ceasing on account of age</w:t>
      </w:r>
      <w:bookmarkEnd w:id="641"/>
      <w:bookmarkEnd w:id="642"/>
      <w:bookmarkEnd w:id="643"/>
      <w:bookmarkEnd w:id="644"/>
      <w:bookmarkEnd w:id="645"/>
      <w:bookmarkEnd w:id="646"/>
      <w:r>
        <w:rPr>
          <w:snapToGrid w:val="0"/>
        </w:rPr>
        <w:t xml:space="preserve"> </w:t>
      </w:r>
    </w:p>
    <w:p>
      <w:pPr>
        <w:pStyle w:val="Subsection"/>
        <w:rPr>
          <w:snapToGrid w:val="0"/>
        </w:rPr>
      </w:pPr>
      <w:r>
        <w:rPr>
          <w:snapToGrid w:val="0"/>
        </w:rPr>
        <w:tab/>
      </w:r>
      <w:r>
        <w:rPr>
          <w:snapToGrid w:val="0"/>
        </w:rPr>
        <w:tab/>
        <w:t xml:space="preserve">Subject to the exceptions in Schedule 5, an entitlement of a worker to weekly payments of compensation for incapacity for work resulting from </w:t>
      </w:r>
      <w:r>
        <w:t>an injury</w:t>
      </w:r>
      <w:r>
        <w:rPr>
          <w:snapToGrid w:val="0"/>
        </w:rPr>
        <w:t xml:space="preserve"> under this Act ceases — </w:t>
      </w:r>
    </w:p>
    <w:p>
      <w:pPr>
        <w:pStyle w:val="Indenta"/>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of 65; or</w:t>
      </w:r>
    </w:p>
    <w:p>
      <w:pPr>
        <w:pStyle w:val="Indenta"/>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yFootnotesection"/>
      </w:pPr>
      <w:r>
        <w:tab/>
        <w:t>[Section 56 amended by No. 42 of 2004 s. 146 and 147.]</w:t>
      </w:r>
    </w:p>
    <w:p>
      <w:pPr>
        <w:pStyle w:val="Heading5"/>
        <w:rPr>
          <w:snapToGrid w:val="0"/>
        </w:rPr>
      </w:pPr>
      <w:bookmarkStart w:id="647" w:name="_Toc440877872"/>
      <w:bookmarkStart w:id="648" w:name="_Toc517775230"/>
      <w:bookmarkStart w:id="649" w:name="_Toc520106978"/>
      <w:bookmarkStart w:id="650" w:name="_Toc523111603"/>
      <w:bookmarkStart w:id="651" w:name="_Toc122833192"/>
      <w:bookmarkStart w:id="652" w:name="_Toc122833759"/>
      <w:r>
        <w:rPr>
          <w:rStyle w:val="CharSectno"/>
        </w:rPr>
        <w:t>57</w:t>
      </w:r>
      <w:r>
        <w:rPr>
          <w:snapToGrid w:val="0"/>
        </w:rPr>
        <w:t>.</w:t>
      </w:r>
      <w:r>
        <w:rPr>
          <w:snapToGrid w:val="0"/>
        </w:rPr>
        <w:tab/>
        <w:t>Saving as to expenses</w:t>
      </w:r>
      <w:bookmarkEnd w:id="647"/>
      <w:bookmarkEnd w:id="648"/>
      <w:bookmarkEnd w:id="649"/>
      <w:bookmarkEnd w:id="650"/>
      <w:bookmarkEnd w:id="651"/>
      <w:bookmarkEnd w:id="652"/>
      <w:r>
        <w:rPr>
          <w:snapToGrid w:val="0"/>
        </w:rPr>
        <w:t xml:space="preserve"> </w:t>
      </w:r>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w:t>
      </w:r>
      <w:r>
        <w:rPr>
          <w:snapToGrid w:val="0"/>
        </w:rPr>
        <w:t>.</w:t>
      </w:r>
    </w:p>
    <w:p>
      <w:pPr>
        <w:pStyle w:val="Footnotesection"/>
      </w:pPr>
      <w:r>
        <w:tab/>
        <w:t>[Section 57 amended by No. 42 of 2004 s. 40.]</w:t>
      </w:r>
    </w:p>
    <w:p>
      <w:pPr>
        <w:pStyle w:val="Heading5"/>
        <w:rPr>
          <w:snapToGrid w:val="0"/>
        </w:rPr>
      </w:pPr>
      <w:bookmarkStart w:id="653" w:name="_Toc440877873"/>
      <w:bookmarkStart w:id="654" w:name="_Toc517775231"/>
      <w:bookmarkStart w:id="655" w:name="_Toc520106979"/>
      <w:bookmarkStart w:id="656" w:name="_Toc523111604"/>
      <w:bookmarkStart w:id="657" w:name="_Toc122833193"/>
      <w:bookmarkStart w:id="658" w:name="_Toc122833760"/>
      <w:r>
        <w:rPr>
          <w:rStyle w:val="CharSectno"/>
        </w:rPr>
        <w:t>57A</w:t>
      </w:r>
      <w:r>
        <w:rPr>
          <w:snapToGrid w:val="0"/>
        </w:rPr>
        <w:t>.</w:t>
      </w:r>
      <w:r>
        <w:rPr>
          <w:snapToGrid w:val="0"/>
        </w:rPr>
        <w:tab/>
        <w:t>Claims procedure — insured employer</w:t>
      </w:r>
      <w:bookmarkEnd w:id="653"/>
      <w:bookmarkEnd w:id="654"/>
      <w:bookmarkEnd w:id="655"/>
      <w:bookmarkEnd w:id="656"/>
      <w:bookmarkEnd w:id="657"/>
      <w:bookmarkEnd w:id="658"/>
      <w:r>
        <w:rPr>
          <w:snapToGrid w:val="0"/>
        </w:rPr>
        <w:t xml:space="preserve"> </w:t>
      </w:r>
    </w:p>
    <w:p>
      <w:pPr>
        <w:pStyle w:val="Subsection"/>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is indemnified by a policy of insurance against his liability to pay the compensation claimed.</w:t>
      </w:r>
    </w:p>
    <w:p>
      <w:pPr>
        <w:pStyle w:val="Subsection"/>
      </w:pPr>
      <w:r>
        <w:tab/>
        <w:t>(2)</w:t>
      </w:r>
      <w:r>
        <w:tab/>
        <w:t>Where, in the circumstances mentioned in subsection (1), an employer fails to make a claim under and in accordance with his policy of insurance before the expiration of 3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3 working days for which weekly payments are claimed by the worker.</w:t>
      </w:r>
    </w:p>
    <w:p>
      <w:pPr>
        <w:pStyle w:val="Subsection"/>
      </w:pPr>
      <w:r>
        <w:tab/>
        <w:t>(3)</w:t>
      </w:r>
      <w:r>
        <w:tab/>
        <w:t xml:space="preserve">Upon an employer making a claim as mentioned in subsection (2), the insurer must, before the expiration of 14 days after the claim was made by the employer — </w:t>
      </w:r>
    </w:p>
    <w:p>
      <w:pPr>
        <w:pStyle w:val="Indenta"/>
      </w:pPr>
      <w:r>
        <w:tab/>
        <w:t>(a)</w:t>
      </w:r>
      <w:r>
        <w:tab/>
        <w:t xml:space="preserve">give the worker to whom the claim relates and the employer notice, in accordance with section 57BA and the regulations, that liability is accepted in respect of the weekly payments claimed; </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80"/>
        <w:rPr>
          <w:snapToGrid w:val="0"/>
        </w:rPr>
      </w:pPr>
      <w:r>
        <w:rPr>
          <w:snapToGrid w:val="0"/>
        </w:rPr>
        <w:tab/>
        <w:t>(3a)</w:t>
      </w:r>
      <w:r>
        <w:rPr>
          <w:snapToGrid w:val="0"/>
        </w:rPr>
        <w:tab/>
        <w:t>If within 10 days after the Director is notified under subsection 3(c) that a decision is not able to be made, the insurer has not — </w:t>
      </w:r>
    </w:p>
    <w:p>
      <w:pPr>
        <w:pStyle w:val="Indenta"/>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spacing w:before="120"/>
        <w:rPr>
          <w:snapToGrid w:val="0"/>
        </w:rPr>
      </w:pPr>
      <w:r>
        <w:rPr>
          <w:snapToGrid w:val="0"/>
        </w:rPr>
        <w:tab/>
      </w:r>
      <w:r>
        <w:rPr>
          <w:snapToGrid w:val="0"/>
        </w:rPr>
        <w:tab/>
        <w:t>the claim by the worker shall be deemed to be disputed.</w:t>
      </w:r>
    </w:p>
    <w:p>
      <w:pPr>
        <w:pStyle w:val="Subsection"/>
        <w:spacing w:before="80"/>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rPr>
          <w:snapToGrid w:val="0"/>
        </w:rPr>
      </w:pPr>
      <w:r>
        <w:rPr>
          <w:snapToGrid w:val="0"/>
        </w:rPr>
        <w:tab/>
        <w:t>(5)</w:t>
      </w:r>
      <w:r>
        <w:rPr>
          <w:snapToGrid w:val="0"/>
        </w:rPr>
        <w:tab/>
        <w:t xml:space="preserve">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 </w:t>
      </w:r>
    </w:p>
    <w:p>
      <w:pPr>
        <w:pStyle w:val="Subsection"/>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rPr>
          <w:snapToGrid w:val="0"/>
        </w:rPr>
      </w:pPr>
      <w:r>
        <w:rPr>
          <w:snapToGrid w:val="0"/>
        </w:rPr>
        <w:tab/>
        <w:t>(7)</w:t>
      </w:r>
      <w:r>
        <w:rPr>
          <w:snapToGrid w:val="0"/>
        </w:rPr>
        <w:tab/>
        <w:t>An employer shall make the first of the weekly payments as soon as practicable after — </w:t>
      </w:r>
    </w:p>
    <w:p>
      <w:pPr>
        <w:pStyle w:val="Indenta"/>
        <w:rPr>
          <w:snapToGrid w:val="0"/>
        </w:rPr>
      </w:pPr>
      <w:r>
        <w:rPr>
          <w:snapToGrid w:val="0"/>
        </w:rPr>
        <w:tab/>
        <w:t>(a)</w:t>
      </w:r>
      <w:r>
        <w:rPr>
          <w:snapToGrid w:val="0"/>
        </w:rPr>
        <w:tab/>
        <w:t>he is notified that the insurer accepts the claim or the time prescribed by subsection (3) expires without the employer having received any notification as required by that subsection from the insurer; and</w:t>
      </w:r>
    </w:p>
    <w:p>
      <w:pPr>
        <w:pStyle w:val="Indenta"/>
        <w:rPr>
          <w:snapToGrid w:val="0"/>
        </w:rPr>
      </w:pPr>
      <w:r>
        <w:rPr>
          <w:snapToGrid w:val="0"/>
        </w:rPr>
        <w:tab/>
        <w:t>(b)</w:t>
      </w:r>
      <w:r>
        <w:rPr>
          <w:snapToGrid w:val="0"/>
        </w:rPr>
        <w:tab/>
        <w:t xml:space="preserve">the worker has complied with the requirements of sections 178 and 179 or, on an application made under section 58, </w:t>
      </w:r>
      <w:r>
        <w:t>an arbitrator</w:t>
      </w:r>
      <w:r>
        <w:rPr>
          <w:snapToGrid w:val="0"/>
        </w:rPr>
        <w:t xml:space="preserve"> has ordered the commencement of weekly payments under this subsection notwithstanding that those requirements have not been complied with,</w:t>
      </w:r>
    </w:p>
    <w:p>
      <w:pPr>
        <w:pStyle w:val="Subsection"/>
        <w:rPr>
          <w:snapToGrid w:val="0"/>
        </w:rPr>
      </w:pPr>
      <w:r>
        <w:rPr>
          <w:snapToGrid w:val="0"/>
        </w:rPr>
        <w:tab/>
      </w:r>
      <w:r>
        <w:rPr>
          <w:snapToGrid w:val="0"/>
        </w:rPr>
        <w:tab/>
        <w:t>and subsequent weekly payments shall be made on the employer’s usual pay days.</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rPr>
          <w:snapToGrid w:val="0"/>
        </w:rPr>
      </w:pPr>
      <w:r>
        <w:rPr>
          <w:snapToGrid w:val="0"/>
        </w:rPr>
        <w:tab/>
        <w:t>Penalty: $2 000.</w:t>
      </w:r>
    </w:p>
    <w:p>
      <w:pPr>
        <w:pStyle w:val="Footnotesection"/>
      </w:pPr>
      <w:r>
        <w:tab/>
        <w:t xml:space="preserve">[Section 57A inserted by No. 96 of 1990 s. 8; amended by No. 72 of 1992 s. 6; No. 48 of 1993 s. 28(1) and 34; No. 34 of 1999 s. 11; No. 42 of 2004 s. 41, 146, 147 and 154(4); No. 59 of 2004 s. 133.] </w:t>
      </w:r>
    </w:p>
    <w:p>
      <w:pPr>
        <w:pStyle w:val="Heading5"/>
        <w:spacing w:before="120"/>
        <w:rPr>
          <w:snapToGrid w:val="0"/>
        </w:rPr>
      </w:pPr>
      <w:bookmarkStart w:id="659" w:name="_Toc440877874"/>
      <w:bookmarkStart w:id="660" w:name="_Toc517775232"/>
      <w:bookmarkStart w:id="661" w:name="_Toc520106980"/>
      <w:bookmarkStart w:id="662" w:name="_Toc523111605"/>
      <w:bookmarkStart w:id="663" w:name="_Toc122833194"/>
      <w:bookmarkStart w:id="664" w:name="_Toc122833761"/>
      <w:r>
        <w:rPr>
          <w:rStyle w:val="CharSectno"/>
        </w:rPr>
        <w:t>57B</w:t>
      </w:r>
      <w:r>
        <w:rPr>
          <w:snapToGrid w:val="0"/>
        </w:rPr>
        <w:t>.</w:t>
      </w:r>
      <w:r>
        <w:rPr>
          <w:snapToGrid w:val="0"/>
        </w:rPr>
        <w:tab/>
        <w:t>Claims procedure — self</w:t>
      </w:r>
      <w:r>
        <w:rPr>
          <w:snapToGrid w:val="0"/>
        </w:rPr>
        <w:noBreakHyphen/>
        <w:t>insurer or uninsured employer</w:t>
      </w:r>
      <w:bookmarkEnd w:id="659"/>
      <w:bookmarkEnd w:id="660"/>
      <w:bookmarkEnd w:id="661"/>
      <w:bookmarkEnd w:id="662"/>
      <w:bookmarkEnd w:id="663"/>
      <w:bookmarkEnd w:id="664"/>
      <w:r>
        <w:rPr>
          <w:snapToGrid w:val="0"/>
        </w:rPr>
        <w:t xml:space="preserve"> </w:t>
      </w:r>
    </w:p>
    <w:p>
      <w:pPr>
        <w:pStyle w:val="Subsection"/>
        <w:spacing w:before="100"/>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spacing w:before="100"/>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pPr>
      <w:r>
        <w:tab/>
        <w:t>(2)</w:t>
      </w:r>
      <w:r>
        <w:tab/>
        <w:t xml:space="preserve">In the circumstances mentioned in subsection (1), an employer must, before the expiration of 17 days after those circumstances arose — </w:t>
      </w:r>
    </w:p>
    <w:p>
      <w:pPr>
        <w:pStyle w:val="Indenta"/>
      </w:pPr>
      <w:r>
        <w:tab/>
        <w:t>(a)</w:t>
      </w:r>
      <w:r>
        <w:tab/>
        <w:t>if liability to make the weekly payments claimed is accepted, subject to subsection (6), make the first of those weekly payments;</w:t>
      </w:r>
    </w:p>
    <w:p>
      <w:pPr>
        <w:pStyle w:val="Indenta"/>
      </w:pPr>
      <w:r>
        <w:tab/>
        <w:t>(b)</w:t>
      </w:r>
      <w:r>
        <w:tab/>
        <w:t>subject to section 75, give the worker notice, in accordance with section 57BA and the regulations, that liability is disputed in respect of all or any of the weekly payments claimed; or</w:t>
      </w:r>
    </w:p>
    <w:p>
      <w:pPr>
        <w:pStyle w:val="Indenta"/>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00"/>
        <w:rPr>
          <w:snapToGrid w:val="0"/>
        </w:rPr>
      </w:pPr>
      <w:r>
        <w:rPr>
          <w:snapToGrid w:val="0"/>
        </w:rPr>
        <w:tab/>
        <w:t>(2a)</w:t>
      </w:r>
      <w:r>
        <w:rPr>
          <w:snapToGrid w:val="0"/>
        </w:rPr>
        <w:tab/>
        <w:t>If within 10 days after the Director is notified under subsection (2)(c) that a decision is not able to be made, the employer has not — </w:t>
      </w:r>
    </w:p>
    <w:p>
      <w:pPr>
        <w:pStyle w:val="Indenta"/>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spacing w:before="100"/>
        <w:rPr>
          <w:snapToGrid w:val="0"/>
        </w:rPr>
      </w:pPr>
      <w:r>
        <w:rPr>
          <w:snapToGrid w:val="0"/>
        </w:rPr>
        <w:tab/>
      </w:r>
      <w:r>
        <w:rPr>
          <w:snapToGrid w:val="0"/>
        </w:rPr>
        <w:tab/>
        <w:t>the claim by the worker shall be deemed to be disputed.</w:t>
      </w:r>
    </w:p>
    <w:p>
      <w:pPr>
        <w:pStyle w:val="Subsection"/>
        <w:spacing w:before="100"/>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spacing w:before="100"/>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spacing w:before="100"/>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spacing w:before="100"/>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spacing w:before="100"/>
        <w:rPr>
          <w:snapToGrid w:val="0"/>
        </w:rPr>
      </w:pPr>
      <w:r>
        <w:rPr>
          <w:snapToGrid w:val="0"/>
        </w:rPr>
        <w:tab/>
        <w:t>(6)</w:t>
      </w:r>
      <w:r>
        <w:rPr>
          <w:snapToGrid w:val="0"/>
        </w:rPr>
        <w:tab/>
        <w:t>An employer is not required under subsection (2) or (4) to make any weekly payment unless —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spacing w:before="100"/>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Footnotesection"/>
      </w:pPr>
      <w:r>
        <w:tab/>
        <w:t>[Section 57B inserted by No. 96 of 1990 s. 8; amended by No. 72 of 1992 s. 7; No. 48 of 1993 s. 28(1) and 35; No. 34 of 1999 s. 12; No. 42 of 2004 s. 42, 146, 147, 150 and 154(4).]</w:t>
      </w:r>
    </w:p>
    <w:p>
      <w:pPr>
        <w:pStyle w:val="Heading5"/>
      </w:pPr>
      <w:bookmarkStart w:id="665" w:name="_Toc87252854"/>
      <w:bookmarkStart w:id="666" w:name="_Toc122833195"/>
      <w:bookmarkStart w:id="667" w:name="_Toc122833762"/>
      <w:bookmarkStart w:id="668" w:name="_Toc440877875"/>
      <w:bookmarkStart w:id="669" w:name="_Toc517775233"/>
      <w:bookmarkStart w:id="670" w:name="_Toc520106981"/>
      <w:bookmarkStart w:id="671" w:name="_Toc523111606"/>
      <w:r>
        <w:rPr>
          <w:rStyle w:val="CharSectno"/>
        </w:rPr>
        <w:t>57BA</w:t>
      </w:r>
      <w:r>
        <w:t>.</w:t>
      </w:r>
      <w:r>
        <w:tab/>
        <w:t>Notices under sections 57A and 57B</w:t>
      </w:r>
      <w:bookmarkEnd w:id="665"/>
      <w:bookmarkEnd w:id="666"/>
      <w:bookmarkEnd w:id="667"/>
    </w:p>
    <w:p>
      <w:pPr>
        <w:pStyle w:val="Subsection"/>
      </w:pPr>
      <w:r>
        <w:tab/>
        <w:t>(1)</w:t>
      </w:r>
      <w:r>
        <w:tab/>
        <w:t>A notice under section 57A or 57B is to be expressed in plain language.</w:t>
      </w:r>
    </w:p>
    <w:p>
      <w:pPr>
        <w:pStyle w:val="Subsection"/>
      </w:pPr>
      <w:r>
        <w:tab/>
        <w:t>(2)</w:t>
      </w:r>
      <w:r>
        <w:tab/>
        <w:t xml:space="preserve">The regulations may make provision —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 xml:space="preserve">A notice under section 57A(3)(b) or 57B(2)(b) is to be in or to the effect of the form prescribed by the regulations and is to contain a statement of —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pPr>
      <w:r>
        <w:tab/>
        <w:t>(4)</w:t>
      </w:r>
      <w:r>
        <w:tab/>
        <w:t xml:space="preserve">A notice under section 57A(3)(b) or 57B(2)(b) is to also include — </w:t>
      </w:r>
    </w:p>
    <w:p>
      <w:pPr>
        <w:pStyle w:val="Indenta"/>
      </w:pPr>
      <w:r>
        <w:tab/>
        <w:t>(a)</w:t>
      </w:r>
      <w:r>
        <w:tab/>
        <w:t>a statement to the effect that the worker can apply for resolution of the dispute under this Act;</w:t>
      </w:r>
    </w:p>
    <w:p>
      <w:pPr>
        <w:pStyle w:val="Indenta"/>
      </w:pPr>
      <w:r>
        <w:tab/>
        <w:t>(b)</w:t>
      </w:r>
      <w:r>
        <w:tab/>
        <w:t>a statement to the effect that the worker can seek advice or assistance from the worker’s trade union organisation, a legal practitioner or a registered agent; and</w:t>
      </w:r>
    </w:p>
    <w:p>
      <w:pPr>
        <w:pStyle w:val="Indenta"/>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pPr>
      <w:r>
        <w:tab/>
        <w:t>(5)</w:t>
      </w:r>
      <w:r>
        <w:tab/>
        <w:t xml:space="preserve">A statement in a notice under section 57A(3)(b) or 57B(2)(b) is given — </w:t>
      </w:r>
    </w:p>
    <w:p>
      <w:pPr>
        <w:pStyle w:val="Indenta"/>
      </w:pPr>
      <w:r>
        <w:tab/>
        <w:t>(a)</w:t>
      </w:r>
      <w:r>
        <w:tab/>
        <w:t>in the case of a notice under section 57A(3)(b), subject to the insurer not being prejudiced in any subsequent proceedings relating to the claim by any information included in the statement; and</w:t>
      </w:r>
    </w:p>
    <w:p>
      <w:pPr>
        <w:pStyle w:val="Indenta"/>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pPr>
      <w:r>
        <w:tab/>
        <w:t>(6)</w:t>
      </w:r>
      <w:r>
        <w:tab/>
        <w:t xml:space="preserve">A notice under section 57A(3)(c) or 57B(2)(c) is to — </w:t>
      </w:r>
    </w:p>
    <w:p>
      <w:pPr>
        <w:pStyle w:val="Indenta"/>
      </w:pPr>
      <w:r>
        <w:tab/>
        <w:t>(a)</w:t>
      </w:r>
      <w:r>
        <w:tab/>
        <w:t>be in or to the effect of the form prescribed by the regulations;</w:t>
      </w:r>
    </w:p>
    <w:p>
      <w:pPr>
        <w:pStyle w:val="Indenta"/>
      </w:pPr>
      <w:r>
        <w:tab/>
        <w:t>(b)</w:t>
      </w:r>
      <w:r>
        <w:tab/>
        <w:t xml:space="preserve">include a statement as to the reasons why a decision as to whether or not liability is to be accepted in respect of the weekly payments claimed is not able to be made within the time allowed by section 57A(3) or 57B(2), as the case requires, and — </w:t>
      </w:r>
    </w:p>
    <w:p>
      <w:pPr>
        <w:pStyle w:val="Indenti"/>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w:t>
      </w:r>
    </w:p>
    <w:p>
      <w:pPr>
        <w:pStyle w:val="Indenti"/>
      </w:pPr>
      <w:r>
        <w:tab/>
        <w:t>(ii)</w:t>
      </w:r>
      <w:r>
        <w:tab/>
        <w:t>if a reason is that the person giving the notice requires further information as to the worker’s weekly earnings, a statement as to the nature and substance of the information required; and</w:t>
      </w:r>
    </w:p>
    <w:p>
      <w:pPr>
        <w:pStyle w:val="Indenti"/>
      </w:pPr>
      <w:r>
        <w:tab/>
        <w:t>(iii)</w:t>
      </w:r>
      <w:r>
        <w:tab/>
        <w:t>any other particulars required by the person giving the notice to make the decision;</w:t>
      </w:r>
    </w:p>
    <w:p>
      <w:pPr>
        <w:pStyle w:val="Indenta"/>
      </w:pPr>
      <w:r>
        <w:tab/>
      </w:r>
      <w:r>
        <w:tab/>
        <w:t>and</w:t>
      </w:r>
    </w:p>
    <w:p>
      <w:pPr>
        <w:pStyle w:val="Indenta"/>
      </w:pPr>
      <w:r>
        <w:tab/>
        <w:t>(c)</w:t>
      </w:r>
      <w:r>
        <w:tab/>
        <w:t>include such other information as the regulations may prescribe.</w:t>
      </w:r>
    </w:p>
    <w:p>
      <w:pPr>
        <w:pStyle w:val="Footnotesection"/>
      </w:pPr>
      <w:r>
        <w:tab/>
        <w:t>[Section 57BA inserted by No. 42 of 2004 s. 43.]</w:t>
      </w:r>
    </w:p>
    <w:p>
      <w:pPr>
        <w:pStyle w:val="Heading5"/>
        <w:rPr>
          <w:snapToGrid w:val="0"/>
        </w:rPr>
      </w:pPr>
      <w:bookmarkStart w:id="672" w:name="_Toc122833196"/>
      <w:bookmarkStart w:id="673" w:name="_Toc122833763"/>
      <w:r>
        <w:rPr>
          <w:rStyle w:val="CharSectno"/>
        </w:rPr>
        <w:t>57C</w:t>
      </w:r>
      <w:r>
        <w:rPr>
          <w:snapToGrid w:val="0"/>
        </w:rPr>
        <w:t>.</w:t>
      </w:r>
      <w:r>
        <w:rPr>
          <w:snapToGrid w:val="0"/>
        </w:rPr>
        <w:tab/>
        <w:t>Notification to Commission</w:t>
      </w:r>
      <w:bookmarkEnd w:id="668"/>
      <w:bookmarkEnd w:id="669"/>
      <w:bookmarkEnd w:id="670"/>
      <w:bookmarkEnd w:id="671"/>
      <w:bookmarkEnd w:id="672"/>
      <w:bookmarkEnd w:id="673"/>
      <w:r>
        <w:rPr>
          <w:snapToGrid w:val="0"/>
        </w:rPr>
        <w:t xml:space="preserve"> </w:t>
      </w:r>
    </w:p>
    <w:p>
      <w:pPr>
        <w:pStyle w:val="Subsection"/>
        <w:spacing w:before="100"/>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spacing w:before="80"/>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spacing w:before="80"/>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spacing w:before="80"/>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keepLines w:val="0"/>
        <w:spacing w:before="80"/>
        <w:ind w:left="890" w:hanging="890"/>
      </w:pPr>
      <w:r>
        <w:tab/>
        <w:t xml:space="preserve">[Section 57C inserted by No. 96 of 1990 s. 8; amended by No. 42 of 2004 s. 44, 147 and 150.] </w:t>
      </w:r>
    </w:p>
    <w:p>
      <w:pPr>
        <w:pStyle w:val="Heading5"/>
        <w:rPr>
          <w:snapToGrid w:val="0"/>
        </w:rPr>
      </w:pPr>
      <w:bookmarkStart w:id="674" w:name="_Toc440877876"/>
      <w:bookmarkStart w:id="675" w:name="_Toc517775234"/>
      <w:bookmarkStart w:id="676" w:name="_Toc520106982"/>
      <w:bookmarkStart w:id="677" w:name="_Toc523111607"/>
      <w:bookmarkStart w:id="678" w:name="_Toc122833197"/>
      <w:bookmarkStart w:id="679" w:name="_Toc122833764"/>
      <w:r>
        <w:rPr>
          <w:rStyle w:val="CharSectno"/>
        </w:rPr>
        <w:t>57D</w:t>
      </w:r>
      <w:r>
        <w:rPr>
          <w:snapToGrid w:val="0"/>
        </w:rPr>
        <w:t>.</w:t>
      </w:r>
      <w:r>
        <w:rPr>
          <w:snapToGrid w:val="0"/>
        </w:rPr>
        <w:tab/>
        <w:t>Confidentiality</w:t>
      </w:r>
      <w:bookmarkEnd w:id="674"/>
      <w:bookmarkEnd w:id="675"/>
      <w:bookmarkEnd w:id="676"/>
      <w:bookmarkEnd w:id="677"/>
      <w:bookmarkEnd w:id="678"/>
      <w:bookmarkEnd w:id="679"/>
      <w:r>
        <w:rPr>
          <w:snapToGrid w:val="0"/>
        </w:rPr>
        <w:t xml:space="preserve"> </w:t>
      </w:r>
    </w:p>
    <w:p>
      <w:pPr>
        <w:pStyle w:val="Subsection"/>
        <w:rPr>
          <w:snapToGrid w:val="0"/>
        </w:rPr>
      </w:pPr>
      <w:r>
        <w:rPr>
          <w:snapToGrid w:val="0"/>
        </w:rPr>
        <w:tab/>
        <w:t>(1)</w:t>
      </w:r>
      <w:r>
        <w:rPr>
          <w:snapToGrid w:val="0"/>
        </w:rPr>
        <w:tab/>
        <w:t>Subject to subsection (2), a person, except with the express authority of</w:t>
      </w:r>
      <w:r>
        <w:t xml:space="preserve"> WorkCover WA</w:t>
      </w:r>
      <w:r>
        <w:rPr>
          <w:snapToGrid w:val="0"/>
        </w:rPr>
        <w:t>, shall not have access to, inspect, or peruse any information given under section 57C to</w:t>
      </w:r>
      <w:r>
        <w:t xml:space="preserve"> WorkCover WA</w:t>
      </w:r>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 xml:space="preserve">[Section 57D inserted by No. 96 of 1990 s. 8; amended by No. 42 of 2004 s. 150.] </w:t>
      </w:r>
    </w:p>
    <w:p>
      <w:pPr>
        <w:pStyle w:val="Heading5"/>
        <w:rPr>
          <w:snapToGrid w:val="0"/>
        </w:rPr>
      </w:pPr>
      <w:bookmarkStart w:id="680" w:name="_Toc440877877"/>
      <w:bookmarkStart w:id="681" w:name="_Toc517775235"/>
      <w:bookmarkStart w:id="682" w:name="_Toc520106983"/>
      <w:bookmarkStart w:id="683" w:name="_Toc523111608"/>
      <w:bookmarkStart w:id="684" w:name="_Toc122833198"/>
      <w:bookmarkStart w:id="685" w:name="_Toc122833765"/>
      <w:r>
        <w:rPr>
          <w:rStyle w:val="CharSectno"/>
        </w:rPr>
        <w:t>58</w:t>
      </w:r>
      <w:r>
        <w:rPr>
          <w:snapToGrid w:val="0"/>
        </w:rPr>
        <w:t>.</w:t>
      </w:r>
      <w:r>
        <w:rPr>
          <w:snapToGrid w:val="0"/>
        </w:rPr>
        <w:tab/>
        <w:t>Arbitrator may determine liability</w:t>
      </w:r>
      <w:bookmarkEnd w:id="680"/>
      <w:bookmarkEnd w:id="681"/>
      <w:bookmarkEnd w:id="682"/>
      <w:bookmarkEnd w:id="683"/>
      <w:bookmarkEnd w:id="684"/>
      <w:bookmarkEnd w:id="685"/>
      <w:r>
        <w:rPr>
          <w:snapToGrid w:val="0"/>
        </w:rPr>
        <w:t xml:space="preserve"> </w:t>
      </w:r>
    </w:p>
    <w:p>
      <w:pPr>
        <w:pStyle w:val="Subsection"/>
        <w:spacing w:before="80"/>
        <w:rPr>
          <w:snapToGrid w:val="0"/>
        </w:rPr>
      </w:pPr>
      <w:r>
        <w:rPr>
          <w:snapToGrid w:val="0"/>
        </w:rPr>
        <w:tab/>
        <w:t>(1)</w:t>
      </w:r>
      <w:r>
        <w:rPr>
          <w:snapToGrid w:val="0"/>
        </w:rPr>
        <w:tab/>
        <w:t>Where, in the circumstances mentioned in section 57A(1) —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spacing w:before="8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spacing w:before="80"/>
        <w:rPr>
          <w:snapToGrid w:val="0"/>
        </w:rPr>
      </w:pPr>
      <w:r>
        <w:rPr>
          <w:snapToGrid w:val="0"/>
        </w:rPr>
        <w:tab/>
        <w:t>(2)</w:t>
      </w:r>
      <w:r>
        <w:rPr>
          <w:snapToGrid w:val="0"/>
        </w:rPr>
        <w:tab/>
        <w:t>Where in the circumstances mentioned in section 57B(1) —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 </w:t>
      </w:r>
    </w:p>
    <w:p>
      <w:pPr>
        <w:pStyle w:val="Indenti"/>
        <w:rPr>
          <w:snapToGrid w:val="0"/>
        </w:rPr>
      </w:pPr>
      <w:r>
        <w:rPr>
          <w:snapToGrid w:val="0"/>
        </w:rPr>
        <w:tab/>
        <w:t>(i)</w:t>
      </w:r>
      <w:r>
        <w:rPr>
          <w:snapToGrid w:val="0"/>
        </w:rPr>
        <w:tab/>
        <w:t>under section 57B(2)(b) or 57B(2a)(b), that liability is disputed; or</w:t>
      </w:r>
    </w:p>
    <w:p>
      <w:pPr>
        <w:pStyle w:val="Indenti"/>
        <w:rPr>
          <w:snapToGrid w:val="0"/>
        </w:rPr>
      </w:pPr>
      <w:r>
        <w:rPr>
          <w:snapToGrid w:val="0"/>
        </w:rPr>
        <w:tab/>
        <w:t>(ii)</w:t>
      </w:r>
      <w:r>
        <w:rPr>
          <w:snapToGrid w:val="0"/>
        </w:rPr>
        <w:tab/>
        <w:t>under section 57B(2)(c), that a decision as to liability is not able to be made within the time allowed,</w:t>
      </w:r>
    </w:p>
    <w:p>
      <w:pPr>
        <w:pStyle w:val="Subsection"/>
        <w:spacing w:before="8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spacing w:before="80"/>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pPr>
      <w:r>
        <w:tab/>
        <w:t>[(4)</w:t>
      </w:r>
      <w:r>
        <w:tab/>
        <w:t>repealed]</w:t>
      </w:r>
    </w:p>
    <w:p>
      <w:pPr>
        <w:pStyle w:val="Subsection"/>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Fund and that the employer shall forthwith pay to </w:t>
      </w:r>
      <w:r>
        <w:t>WorkCover WA</w:t>
      </w:r>
      <w:r>
        <w:rPr>
          <w:snapToGrid w:val="0"/>
        </w:rPr>
        <w:t xml:space="preserve"> for the General Fund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keepLines w:val="0"/>
      </w:pPr>
      <w:r>
        <w:tab/>
        <w:t xml:space="preserve">[Section 58 inserted by No. 96 of 1990 s. 9; amended by No. 72 of 1992 s. 8; No. 48 of 1993 s. 28(1); No. 49 of 1996 s. 64; No. 42 of 2004 s. 45 and 150.] </w:t>
      </w:r>
    </w:p>
    <w:p>
      <w:pPr>
        <w:pStyle w:val="Heading5"/>
        <w:rPr>
          <w:snapToGrid w:val="0"/>
        </w:rPr>
      </w:pPr>
      <w:bookmarkStart w:id="686" w:name="_Toc440877878"/>
      <w:bookmarkStart w:id="687" w:name="_Toc517775236"/>
      <w:bookmarkStart w:id="688" w:name="_Toc520106984"/>
      <w:bookmarkStart w:id="689" w:name="_Toc523111609"/>
      <w:bookmarkStart w:id="690" w:name="_Toc122833199"/>
      <w:bookmarkStart w:id="691" w:name="_Toc122833766"/>
      <w:r>
        <w:rPr>
          <w:rStyle w:val="CharSectno"/>
        </w:rPr>
        <w:t>59</w:t>
      </w:r>
      <w:r>
        <w:rPr>
          <w:snapToGrid w:val="0"/>
        </w:rPr>
        <w:t>.</w:t>
      </w:r>
      <w:r>
        <w:rPr>
          <w:snapToGrid w:val="0"/>
        </w:rPr>
        <w:tab/>
        <w:t>Information as to remunerated work</w:t>
      </w:r>
      <w:bookmarkEnd w:id="686"/>
      <w:bookmarkEnd w:id="687"/>
      <w:bookmarkEnd w:id="688"/>
      <w:bookmarkEnd w:id="689"/>
      <w:bookmarkEnd w:id="690"/>
      <w:bookmarkEnd w:id="691"/>
      <w:r>
        <w:rPr>
          <w:snapToGrid w:val="0"/>
        </w:rPr>
        <w:t xml:space="preserve"> </w:t>
      </w:r>
    </w:p>
    <w:p>
      <w:pPr>
        <w:pStyle w:val="Subsection"/>
        <w:rPr>
          <w:snapToGrid w:val="0"/>
        </w:rPr>
      </w:pPr>
      <w:r>
        <w:rPr>
          <w:snapToGrid w:val="0"/>
        </w:rPr>
        <w:tab/>
        <w:t>(1)</w:t>
      </w:r>
      <w:r>
        <w:rPr>
          <w:snapToGrid w:val="0"/>
        </w:rPr>
        <w:tab/>
        <w:t>This section applies to a worker who has claimed or is receiving weekly payments of compensation from an employer (</w:t>
      </w:r>
      <w:r>
        <w:rPr>
          <w:b/>
          <w:snapToGrid w:val="0"/>
        </w:rPr>
        <w:t>“</w:t>
      </w:r>
      <w:r>
        <w:rPr>
          <w:rStyle w:val="CharDefText"/>
        </w:rPr>
        <w:t>the employer</w:t>
      </w:r>
      <w:r>
        <w:rPr>
          <w:b/>
          <w:snapToGrid w:val="0"/>
        </w:rPr>
        <w:t>”</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 </w:t>
      </w:r>
    </w:p>
    <w:p>
      <w:pPr>
        <w:pStyle w:val="Indenta"/>
        <w:rPr>
          <w:snapToGrid w:val="0"/>
        </w:rPr>
      </w:pPr>
      <w:r>
        <w:rPr>
          <w:snapToGrid w:val="0"/>
        </w:rPr>
        <w:tab/>
        <w:t>(a)</w:t>
      </w:r>
      <w:r>
        <w:rPr>
          <w:snapToGrid w:val="0"/>
        </w:rPr>
        <w:tab/>
        <w:t>commencing the work; or</w:t>
      </w:r>
    </w:p>
    <w:p>
      <w:pPr>
        <w:pStyle w:val="Indenta"/>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employer or the employer’s insurer is to notify in writing a worker of the worker’s obligations under subsection (2).</w:t>
      </w:r>
    </w:p>
    <w:p>
      <w:pPr>
        <w:pStyle w:val="Subsection"/>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 </w:t>
      </w:r>
    </w:p>
    <w:p>
      <w:pPr>
        <w:pStyle w:val="Indenta"/>
        <w:rPr>
          <w:snapToGrid w:val="0"/>
        </w:rPr>
      </w:pPr>
      <w:r>
        <w:rPr>
          <w:snapToGrid w:val="0"/>
        </w:rPr>
        <w:tab/>
        <w:t>(a)</w:t>
      </w:r>
      <w:r>
        <w:rPr>
          <w:snapToGrid w:val="0"/>
        </w:rPr>
        <w:tab/>
        <w:t>the date of commencement of the work;</w:t>
      </w:r>
    </w:p>
    <w:p>
      <w:pPr>
        <w:pStyle w:val="Indenta"/>
        <w:rPr>
          <w:snapToGrid w:val="0"/>
        </w:rPr>
      </w:pPr>
      <w:r>
        <w:rPr>
          <w:snapToGrid w:val="0"/>
        </w:rPr>
        <w:tab/>
        <w:t>(b)</w:t>
      </w:r>
      <w:r>
        <w:rPr>
          <w:snapToGrid w:val="0"/>
        </w:rPr>
        <w:tab/>
        <w:t>the title, classification or description of the work;</w:t>
      </w:r>
    </w:p>
    <w:p>
      <w:pPr>
        <w:pStyle w:val="Indenta"/>
        <w:rPr>
          <w:snapToGrid w:val="0"/>
        </w:rPr>
      </w:pPr>
      <w:r>
        <w:rPr>
          <w:snapToGrid w:val="0"/>
        </w:rPr>
        <w:tab/>
        <w:t>(c)</w:t>
      </w:r>
      <w:r>
        <w:rPr>
          <w:snapToGrid w:val="0"/>
        </w:rPr>
        <w:tab/>
        <w:t>the remuneration for the work; and</w:t>
      </w:r>
    </w:p>
    <w:p>
      <w:pPr>
        <w:pStyle w:val="Indenta"/>
        <w:rPr>
          <w:snapToGrid w:val="0"/>
        </w:rPr>
      </w:pPr>
      <w:r>
        <w:rPr>
          <w:snapToGrid w:val="0"/>
        </w:rPr>
        <w:tab/>
        <w:t>(d)</w:t>
      </w:r>
      <w:r>
        <w:rPr>
          <w:snapToGrid w:val="0"/>
        </w:rPr>
        <w:tab/>
        <w:t>the name and address of the person (if any) for whom the work is performed.</w:t>
      </w:r>
    </w:p>
    <w:p>
      <w:pPr>
        <w:pStyle w:val="Subsection"/>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spacing w:before="80"/>
        <w:rPr>
          <w:snapToGrid w:val="0"/>
        </w:rPr>
      </w:pPr>
      <w:r>
        <w:rPr>
          <w:snapToGrid w:val="0"/>
        </w:rPr>
        <w:tab/>
        <w:t>(9)</w:t>
      </w:r>
      <w:r>
        <w:rPr>
          <w:snapToGrid w:val="0"/>
        </w:rPr>
        <w:tab/>
        <w:t>Subject to sections 57A, 57B and 58, if — </w:t>
      </w:r>
    </w:p>
    <w:p>
      <w:pPr>
        <w:pStyle w:val="Indenta"/>
        <w:rPr>
          <w:snapToGrid w:val="0"/>
        </w:rPr>
      </w:pPr>
      <w:r>
        <w:rPr>
          <w:snapToGrid w:val="0"/>
        </w:rPr>
        <w:tab/>
        <w:t>(a)</w:t>
      </w:r>
      <w:r>
        <w:rPr>
          <w:snapToGrid w:val="0"/>
        </w:rPr>
        <w:tab/>
        <w:t>a worker has claimed but has not received from the employer, weekly payments of compensation;</w:t>
      </w:r>
    </w:p>
    <w:p>
      <w:pPr>
        <w:pStyle w:val="Indenta"/>
        <w:rPr>
          <w:snapToGrid w:val="0"/>
        </w:rPr>
      </w:pPr>
      <w:r>
        <w:rPr>
          <w:snapToGrid w:val="0"/>
        </w:rPr>
        <w:tab/>
        <w:t>(b)</w:t>
      </w:r>
      <w:r>
        <w:rPr>
          <w:snapToGrid w:val="0"/>
        </w:rPr>
        <w:tab/>
        <w:t>the worker provides particulars under subsection (6);</w:t>
      </w:r>
    </w:p>
    <w:p>
      <w:pPr>
        <w:pStyle w:val="Indenta"/>
        <w:keepNext/>
        <w:rPr>
          <w:snapToGrid w:val="0"/>
        </w:rPr>
      </w:pPr>
      <w:r>
        <w:rPr>
          <w:snapToGrid w:val="0"/>
        </w:rPr>
        <w:tab/>
        <w:t>(c)</w:t>
      </w:r>
      <w:r>
        <w:rPr>
          <w:snapToGrid w:val="0"/>
        </w:rPr>
        <w:tab/>
        <w:t>the particulars establish that the worker has commenced remunerated work,</w:t>
      </w:r>
    </w:p>
    <w:p>
      <w:pPr>
        <w:pStyle w:val="Subsection"/>
        <w:spacing w:before="80"/>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spacing w:before="80"/>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 xml:space="preserve">[Section 59 inserted by No. 72 of 1992 s. 9; amended by No. 48 of 1993 s. 28(1); No. 42 of 2004 s. 46.] </w:t>
      </w:r>
    </w:p>
    <w:p>
      <w:pPr>
        <w:pStyle w:val="Heading5"/>
        <w:keepNext w:val="0"/>
        <w:rPr>
          <w:snapToGrid w:val="0"/>
        </w:rPr>
      </w:pPr>
      <w:bookmarkStart w:id="692" w:name="_Toc440877879"/>
      <w:bookmarkStart w:id="693" w:name="_Toc517775237"/>
      <w:bookmarkStart w:id="694" w:name="_Toc520106985"/>
      <w:bookmarkStart w:id="695" w:name="_Toc523111610"/>
      <w:bookmarkStart w:id="696" w:name="_Toc122833200"/>
      <w:bookmarkStart w:id="697" w:name="_Toc122833767"/>
      <w:r>
        <w:rPr>
          <w:rStyle w:val="CharSectno"/>
        </w:rPr>
        <w:t>60</w:t>
      </w:r>
      <w:r>
        <w:rPr>
          <w:snapToGrid w:val="0"/>
        </w:rPr>
        <w:t>.</w:t>
      </w:r>
      <w:r>
        <w:rPr>
          <w:snapToGrid w:val="0"/>
        </w:rPr>
        <w:tab/>
        <w:t>Application for discontinuance or reduction of weekly payments</w:t>
      </w:r>
      <w:bookmarkEnd w:id="692"/>
      <w:bookmarkEnd w:id="693"/>
      <w:bookmarkEnd w:id="694"/>
      <w:bookmarkEnd w:id="695"/>
      <w:bookmarkEnd w:id="696"/>
      <w:bookmarkEnd w:id="697"/>
      <w:r>
        <w:rPr>
          <w:snapToGrid w:val="0"/>
        </w:rPr>
        <w:t xml:space="preserve"> </w:t>
      </w:r>
    </w:p>
    <w:p>
      <w:pPr>
        <w:pStyle w:val="Subsection"/>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 xml:space="preserve">[Section 60 amended by No. 96 of 1990 s. 10; No. 72 of 1992 s. 10; No. 48 of 1993 s. 28(1); No. 42 of 2004 s. 47.] </w:t>
      </w:r>
    </w:p>
    <w:p>
      <w:pPr>
        <w:pStyle w:val="Heading5"/>
        <w:rPr>
          <w:snapToGrid w:val="0"/>
        </w:rPr>
      </w:pPr>
      <w:bookmarkStart w:id="698" w:name="_Toc440877880"/>
      <w:bookmarkStart w:id="699" w:name="_Toc517775238"/>
      <w:bookmarkStart w:id="700" w:name="_Toc520106986"/>
      <w:bookmarkStart w:id="701" w:name="_Toc523111611"/>
      <w:bookmarkStart w:id="702" w:name="_Toc122833201"/>
      <w:bookmarkStart w:id="703" w:name="_Toc122833768"/>
      <w:r>
        <w:rPr>
          <w:rStyle w:val="CharSectno"/>
        </w:rPr>
        <w:t>61</w:t>
      </w:r>
      <w:r>
        <w:rPr>
          <w:snapToGrid w:val="0"/>
        </w:rPr>
        <w:t>.</w:t>
      </w:r>
      <w:r>
        <w:rPr>
          <w:snapToGrid w:val="0"/>
        </w:rPr>
        <w:tab/>
        <w:t>Unlawful discontinuance of weekly payments</w:t>
      </w:r>
      <w:bookmarkEnd w:id="698"/>
      <w:bookmarkEnd w:id="699"/>
      <w:bookmarkEnd w:id="700"/>
      <w:bookmarkEnd w:id="701"/>
      <w:bookmarkEnd w:id="702"/>
      <w:bookmarkEnd w:id="703"/>
      <w:r>
        <w:rPr>
          <w:snapToGrid w:val="0"/>
        </w:rPr>
        <w:t xml:space="preserve"> </w:t>
      </w:r>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 </w:t>
      </w:r>
    </w:p>
    <w:p>
      <w:pPr>
        <w:pStyle w:val="Indenta"/>
        <w:rPr>
          <w:snapToGrid w:val="0"/>
        </w:rPr>
      </w:pPr>
      <w:r>
        <w:rPr>
          <w:snapToGrid w:val="0"/>
        </w:rPr>
        <w:tab/>
        <w:t>(a)</w:t>
      </w:r>
      <w:r>
        <w:rPr>
          <w:snapToGrid w:val="0"/>
        </w:rPr>
        <w:tab/>
        <w:t>informing the worker of the effect of failing to make an application under subsection (3) within the time referred to therein;</w:t>
      </w:r>
    </w:p>
    <w:p>
      <w:pPr>
        <w:pStyle w:val="Indenta"/>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rPr>
          <w:snapToGrid w:val="0"/>
        </w:rPr>
      </w:pPr>
      <w:r>
        <w:rPr>
          <w:snapToGrid w:val="0"/>
        </w:rPr>
        <w:tab/>
        <w:t>(c)</w:t>
      </w:r>
      <w:r>
        <w:rPr>
          <w:snapToGrid w:val="0"/>
        </w:rPr>
        <w:tab/>
        <w:t>containing such other information as may be prescribed.</w:t>
      </w:r>
    </w:p>
    <w:p>
      <w:pPr>
        <w:pStyle w:val="Subsection"/>
      </w:pPr>
      <w:r>
        <w:tab/>
        <w:t>(2a)</w:t>
      </w:r>
      <w:r>
        <w:tab/>
        <w:t xml:space="preserve">If a person is required to give notice under subsection (1) and — </w:t>
      </w:r>
    </w:p>
    <w:p>
      <w:pPr>
        <w:pStyle w:val="Indenta"/>
      </w:pPr>
      <w:r>
        <w:tab/>
        <w:t>(a)</w:t>
      </w:r>
      <w:r>
        <w:tab/>
        <w:t>fails to give the notice within the period referred to in that subsection; or</w:t>
      </w:r>
    </w:p>
    <w:p>
      <w:pPr>
        <w:pStyle w:val="Indenta"/>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keepNext/>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 </w:t>
      </w:r>
    </w:p>
    <w:p>
      <w:pPr>
        <w:pStyle w:val="Indenta"/>
        <w:rPr>
          <w:snapToGrid w:val="0"/>
        </w:rPr>
      </w:pPr>
      <w:r>
        <w:rPr>
          <w:snapToGrid w:val="0"/>
        </w:rPr>
        <w:tab/>
        <w:t>(a)</w:t>
      </w:r>
      <w:r>
        <w:rPr>
          <w:snapToGrid w:val="0"/>
        </w:rPr>
        <w:tab/>
        <w:t xml:space="preserve">adjourn the application on such terms as </w:t>
      </w:r>
      <w:r>
        <w:t>the arbitrator</w:t>
      </w:r>
      <w:r>
        <w:rPr>
          <w:snapToGrid w:val="0"/>
        </w:rPr>
        <w:t xml:space="preserve"> thinks fit;</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 </w:t>
      </w:r>
    </w:p>
    <w:p>
      <w:pPr>
        <w:pStyle w:val="Indenta"/>
        <w:outlineLvl w:val="0"/>
      </w:pPr>
      <w:r>
        <w:tab/>
        <w:t>(a)</w:t>
      </w:r>
      <w:r>
        <w:tab/>
        <w:t xml:space="preserve">may, where the case requires, take into account whether — </w:t>
      </w:r>
    </w:p>
    <w:p>
      <w:pPr>
        <w:pStyle w:val="Indenti"/>
      </w:pPr>
      <w:r>
        <w:tab/>
        <w:t>(i)</w:t>
      </w:r>
      <w:r>
        <w:tab/>
        <w:t>a return to work program has been established for the worker under section 155C(1);</w:t>
      </w:r>
    </w:p>
    <w:p>
      <w:pPr>
        <w:pStyle w:val="Indenti"/>
      </w:pPr>
      <w:r>
        <w:tab/>
        <w:t>(ii)</w:t>
      </w:r>
      <w:r>
        <w:tab/>
        <w:t xml:space="preserve">the establishment, content and implementation of the return to work program are in accordance with the code as defined in section 155; and </w:t>
      </w:r>
    </w:p>
    <w:p>
      <w:pPr>
        <w:pStyle w:val="Indenti"/>
      </w:pPr>
      <w:r>
        <w:tab/>
        <w:t>(iii)</w:t>
      </w:r>
      <w:r>
        <w:tab/>
        <w:t>the worker has participated in the return to work program,</w:t>
      </w:r>
    </w:p>
    <w:p>
      <w:pPr>
        <w:pStyle w:val="Indenta"/>
      </w:pPr>
      <w:r>
        <w:tab/>
      </w:r>
      <w:r>
        <w:tab/>
        <w:t>and for the purposes of determining the application accordingly treat the worker’s incapacity as being of such degree as the arbitrator sees fit; and</w:t>
      </w:r>
    </w:p>
    <w:p>
      <w:pPr>
        <w:pStyle w:val="Indenta"/>
        <w:outlineLvl w:val="0"/>
        <w:rPr>
          <w:snapToGrid w:val="0"/>
        </w:rPr>
      </w:pPr>
      <w:r>
        <w:rPr>
          <w:snapToGrid w:val="0"/>
        </w:rPr>
        <w:tab/>
        <w:t>(b)</w:t>
      </w:r>
      <w:r>
        <w:rPr>
          <w:snapToGrid w:val="0"/>
        </w:rP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spacing w:before="80"/>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spacing w:before="80"/>
        <w:rPr>
          <w:snapToGrid w:val="0"/>
        </w:rPr>
      </w:pPr>
      <w:r>
        <w:rPr>
          <w:snapToGrid w:val="0"/>
        </w:rPr>
        <w:tab/>
        <w:t>(7)</w:t>
      </w:r>
      <w:r>
        <w:rPr>
          <w:snapToGrid w:val="0"/>
        </w:rPr>
        <w:tab/>
        <w:t>Subsections (1) and (2) do not apply to a discontinuance of payments — </w:t>
      </w:r>
    </w:p>
    <w:p>
      <w:pPr>
        <w:pStyle w:val="Indenta"/>
        <w:rPr>
          <w:snapToGrid w:val="0"/>
        </w:rPr>
      </w:pPr>
      <w:r>
        <w:rPr>
          <w:snapToGrid w:val="0"/>
        </w:rPr>
        <w:tab/>
        <w:t>(a)</w:t>
      </w:r>
      <w:r>
        <w:rPr>
          <w:snapToGrid w:val="0"/>
        </w:rPr>
        <w:tab/>
        <w:t>on payment in full of the prescribed amount;</w:t>
      </w:r>
    </w:p>
    <w:p>
      <w:pPr>
        <w:pStyle w:val="Indenta"/>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rPr>
          <w:snapToGrid w:val="0"/>
        </w:rPr>
      </w:pPr>
      <w:r>
        <w:rPr>
          <w:snapToGrid w:val="0"/>
        </w:rPr>
        <w:tab/>
        <w:t>(c)</w:t>
      </w:r>
      <w:r>
        <w:rPr>
          <w:snapToGrid w:val="0"/>
        </w:rPr>
        <w:tab/>
        <w:t>on suspension of payments in accordance with section 72, or 145D; or</w:t>
      </w:r>
    </w:p>
    <w:p>
      <w:pPr>
        <w:pStyle w:val="Indenta"/>
        <w:rPr>
          <w:snapToGrid w:val="0"/>
        </w:rPr>
      </w:pPr>
      <w:r>
        <w:rPr>
          <w:snapToGrid w:val="0"/>
        </w:rPr>
        <w:tab/>
        <w:t>(d)</w:t>
      </w:r>
      <w:r>
        <w:rPr>
          <w:snapToGrid w:val="0"/>
        </w:rPr>
        <w:tab/>
        <w:t>on failure to comply with section 69 by a worker who does not reside in the State.</w:t>
      </w:r>
    </w:p>
    <w:p>
      <w:pPr>
        <w:pStyle w:val="Subsection"/>
        <w:spacing w:before="80"/>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pPr>
      <w:r>
        <w:tab/>
        <w:t xml:space="preserve">[Section 61 amended by No. 44 of 1985 s. 20; No. 96 of 1990 s. 11; No. 72 of 1992 s. 11 and 12; No. 48 of 1993 s. 28(1); No. 34 of 1999 s. 13 and 32(2); No. 42 of 2004 s. 48, 147 and 150.] </w:t>
      </w:r>
    </w:p>
    <w:p>
      <w:pPr>
        <w:pStyle w:val="Heading5"/>
        <w:spacing w:before="160"/>
        <w:rPr>
          <w:snapToGrid w:val="0"/>
        </w:rPr>
      </w:pPr>
      <w:bookmarkStart w:id="704" w:name="_Toc440877881"/>
      <w:bookmarkStart w:id="705" w:name="_Toc517775239"/>
      <w:bookmarkStart w:id="706" w:name="_Toc520106987"/>
      <w:bookmarkStart w:id="707" w:name="_Toc523111612"/>
      <w:bookmarkStart w:id="708" w:name="_Toc122833202"/>
      <w:bookmarkStart w:id="709" w:name="_Toc122833769"/>
      <w:r>
        <w:rPr>
          <w:rStyle w:val="CharSectno"/>
        </w:rPr>
        <w:t>62</w:t>
      </w:r>
      <w:r>
        <w:rPr>
          <w:snapToGrid w:val="0"/>
        </w:rPr>
        <w:t>.</w:t>
      </w:r>
      <w:r>
        <w:rPr>
          <w:snapToGrid w:val="0"/>
        </w:rPr>
        <w:tab/>
        <w:t>Review of weekly payments</w:t>
      </w:r>
      <w:bookmarkEnd w:id="704"/>
      <w:bookmarkEnd w:id="705"/>
      <w:bookmarkEnd w:id="706"/>
      <w:bookmarkEnd w:id="707"/>
      <w:bookmarkEnd w:id="708"/>
      <w:bookmarkEnd w:id="709"/>
      <w:r>
        <w:rPr>
          <w:snapToGrid w:val="0"/>
        </w:rPr>
        <w:t xml:space="preserve"> </w:t>
      </w:r>
    </w:p>
    <w:p>
      <w:pPr>
        <w:pStyle w:val="Subsection"/>
        <w:spacing w:before="80"/>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pPr>
      <w:r>
        <w:tab/>
        <w:t xml:space="preserve">[Section 62 amended by No. 96 of 1990 s. 12; No. 72 of 1992 s. 13; No. 48 of 1993 s. 28(1); No. 42 of 2004 s. 49.] </w:t>
      </w:r>
    </w:p>
    <w:p>
      <w:pPr>
        <w:pStyle w:val="Heading5"/>
        <w:rPr>
          <w:snapToGrid w:val="0"/>
        </w:rPr>
      </w:pPr>
      <w:bookmarkStart w:id="710" w:name="_Toc440877882"/>
      <w:bookmarkStart w:id="711" w:name="_Toc517775240"/>
      <w:bookmarkStart w:id="712" w:name="_Toc520106988"/>
      <w:bookmarkStart w:id="713" w:name="_Toc523111613"/>
      <w:bookmarkStart w:id="714" w:name="_Toc122833203"/>
      <w:bookmarkStart w:id="715" w:name="_Toc122833770"/>
      <w:r>
        <w:rPr>
          <w:rStyle w:val="CharSectno"/>
        </w:rPr>
        <w:t>63</w:t>
      </w:r>
      <w:r>
        <w:rPr>
          <w:snapToGrid w:val="0"/>
        </w:rPr>
        <w:t>.</w:t>
      </w:r>
      <w:r>
        <w:rPr>
          <w:snapToGrid w:val="0"/>
        </w:rPr>
        <w:tab/>
        <w:t>No compensation during suspension</w:t>
      </w:r>
      <w:bookmarkEnd w:id="710"/>
      <w:bookmarkEnd w:id="711"/>
      <w:bookmarkEnd w:id="712"/>
      <w:bookmarkEnd w:id="713"/>
      <w:bookmarkEnd w:id="714"/>
      <w:bookmarkEnd w:id="715"/>
      <w:r>
        <w:rPr>
          <w:snapToGrid w:val="0"/>
        </w:rPr>
        <w:t xml:space="preserve"> </w:t>
      </w:r>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 xml:space="preserve">[Section 63 amended by No. 48 of 1993 s. 28(1); No. 42 of 2004 s. 50.] </w:t>
      </w:r>
    </w:p>
    <w:p>
      <w:pPr>
        <w:pStyle w:val="Heading5"/>
        <w:rPr>
          <w:snapToGrid w:val="0"/>
        </w:rPr>
      </w:pPr>
      <w:bookmarkStart w:id="716" w:name="_Toc440877883"/>
      <w:bookmarkStart w:id="717" w:name="_Toc517775241"/>
      <w:bookmarkStart w:id="718" w:name="_Toc520106989"/>
      <w:bookmarkStart w:id="719" w:name="_Toc523111614"/>
      <w:bookmarkStart w:id="720" w:name="_Toc122833204"/>
      <w:bookmarkStart w:id="721" w:name="_Toc122833771"/>
      <w:r>
        <w:rPr>
          <w:rStyle w:val="CharSectno"/>
        </w:rPr>
        <w:t>64</w:t>
      </w:r>
      <w:r>
        <w:rPr>
          <w:snapToGrid w:val="0"/>
        </w:rPr>
        <w:t>.</w:t>
      </w:r>
      <w:r>
        <w:rPr>
          <w:snapToGrid w:val="0"/>
        </w:rPr>
        <w:tab/>
        <w:t>Medical examination</w:t>
      </w:r>
      <w:bookmarkEnd w:id="716"/>
      <w:bookmarkEnd w:id="717"/>
      <w:bookmarkEnd w:id="718"/>
      <w:bookmarkEnd w:id="719"/>
      <w:bookmarkEnd w:id="720"/>
      <w:bookmarkEnd w:id="721"/>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 xml:space="preserve">Subsection (1) does not apply in relation to an election made by the worker —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pPr>
      <w:r>
        <w:tab/>
        <w:t>(3)</w:t>
      </w:r>
      <w:r>
        <w:tab/>
        <w:t>A reference in subsection (1) to the employer is, where the employer is insured against liability to pay compensation under this Act, a reference to the employer’s insurer.</w:t>
      </w:r>
    </w:p>
    <w:p>
      <w:pPr>
        <w:pStyle w:val="Footnotesection"/>
      </w:pPr>
      <w:r>
        <w:tab/>
        <w:t>[Section 64 amended by No. 48 of 1993 s. 28(1); No. 42 of 2004 s. 51 and 146.]</w:t>
      </w:r>
    </w:p>
    <w:p>
      <w:pPr>
        <w:pStyle w:val="Heading5"/>
        <w:rPr>
          <w:snapToGrid w:val="0"/>
        </w:rPr>
      </w:pPr>
      <w:bookmarkStart w:id="722" w:name="_Toc440877884"/>
      <w:bookmarkStart w:id="723" w:name="_Toc517775242"/>
      <w:bookmarkStart w:id="724" w:name="_Toc520106990"/>
      <w:bookmarkStart w:id="725" w:name="_Toc523111615"/>
      <w:bookmarkStart w:id="726" w:name="_Toc122833205"/>
      <w:bookmarkStart w:id="727" w:name="_Toc122833772"/>
      <w:r>
        <w:rPr>
          <w:rStyle w:val="CharSectno"/>
        </w:rPr>
        <w:t>65</w:t>
      </w:r>
      <w:r>
        <w:rPr>
          <w:snapToGrid w:val="0"/>
        </w:rPr>
        <w:t>.</w:t>
      </w:r>
      <w:r>
        <w:rPr>
          <w:snapToGrid w:val="0"/>
        </w:rPr>
        <w:tab/>
        <w:t>Periodical medical examination</w:t>
      </w:r>
      <w:bookmarkEnd w:id="722"/>
      <w:bookmarkEnd w:id="723"/>
      <w:bookmarkEnd w:id="724"/>
      <w:bookmarkEnd w:id="725"/>
      <w:bookmarkEnd w:id="726"/>
      <w:bookmarkEnd w:id="727"/>
      <w:r>
        <w:rPr>
          <w:snapToGrid w:val="0"/>
        </w:rPr>
        <w:t xml:space="preserve"> </w:t>
      </w:r>
    </w:p>
    <w:p>
      <w:pPr>
        <w:pStyle w:val="Subsection"/>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by No. 42 of 2004 s. 52.]</w:t>
      </w:r>
    </w:p>
    <w:p>
      <w:pPr>
        <w:pStyle w:val="Heading5"/>
        <w:spacing w:before="120"/>
        <w:rPr>
          <w:snapToGrid w:val="0"/>
        </w:rPr>
      </w:pPr>
      <w:bookmarkStart w:id="728" w:name="_Toc440877885"/>
      <w:bookmarkStart w:id="729" w:name="_Toc517775243"/>
      <w:bookmarkStart w:id="730" w:name="_Toc520106991"/>
      <w:bookmarkStart w:id="731" w:name="_Toc523111616"/>
      <w:bookmarkStart w:id="732" w:name="_Toc122833206"/>
      <w:bookmarkStart w:id="733" w:name="_Toc122833773"/>
      <w:r>
        <w:rPr>
          <w:rStyle w:val="CharSectno"/>
        </w:rPr>
        <w:t>66</w:t>
      </w:r>
      <w:r>
        <w:rPr>
          <w:snapToGrid w:val="0"/>
        </w:rPr>
        <w:t>.</w:t>
      </w:r>
      <w:r>
        <w:rPr>
          <w:snapToGrid w:val="0"/>
        </w:rPr>
        <w:tab/>
        <w:t>Regulations as to medical examination</w:t>
      </w:r>
      <w:bookmarkEnd w:id="728"/>
      <w:bookmarkEnd w:id="729"/>
      <w:bookmarkEnd w:id="730"/>
      <w:bookmarkEnd w:id="731"/>
      <w:bookmarkEnd w:id="732"/>
      <w:bookmarkEnd w:id="733"/>
      <w:r>
        <w:rPr>
          <w:snapToGrid w:val="0"/>
        </w:rPr>
        <w:t xml:space="preserve"> </w:t>
      </w:r>
    </w:p>
    <w:p>
      <w:pPr>
        <w:pStyle w:val="Subsection"/>
        <w:spacing w:before="80"/>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pPr>
      <w:bookmarkStart w:id="734" w:name="_Toc440877886"/>
      <w:bookmarkStart w:id="735" w:name="_Toc517775244"/>
      <w:bookmarkStart w:id="736" w:name="_Toc520106992"/>
      <w:bookmarkStart w:id="737" w:name="_Toc523111617"/>
      <w:r>
        <w:tab/>
        <w:t>[Section 66 amended by No. 42 of 2004 s. 53.]</w:t>
      </w:r>
    </w:p>
    <w:p>
      <w:pPr>
        <w:pStyle w:val="Heading5"/>
      </w:pPr>
      <w:bookmarkStart w:id="738" w:name="_Toc87252866"/>
      <w:bookmarkStart w:id="739" w:name="_Toc122833207"/>
      <w:bookmarkStart w:id="740" w:name="_Toc122833774"/>
      <w:r>
        <w:rPr>
          <w:rStyle w:val="CharSectno"/>
        </w:rPr>
        <w:t>66A</w:t>
      </w:r>
      <w:r>
        <w:t>.</w:t>
      </w:r>
      <w:r>
        <w:tab/>
        <w:t>Additional medical examinations</w:t>
      </w:r>
      <w:bookmarkEnd w:id="738"/>
      <w:bookmarkEnd w:id="739"/>
      <w:bookmarkEnd w:id="740"/>
    </w:p>
    <w:p>
      <w:pPr>
        <w:pStyle w:val="Subsection"/>
      </w:pPr>
      <w:r>
        <w:tab/>
        <w:t>(1)</w:t>
      </w:r>
      <w:r>
        <w:tab/>
        <w:t xml:space="preserve">In this section — </w:t>
      </w:r>
    </w:p>
    <w:p>
      <w:pPr>
        <w:pStyle w:val="Defstart"/>
      </w:pPr>
      <w:r>
        <w:rPr>
          <w:b/>
        </w:rPr>
        <w:tab/>
        <w:t>“</w:t>
      </w:r>
      <w:r>
        <w:rPr>
          <w:rStyle w:val="CharDefText"/>
        </w:rPr>
        <w:t>additional medical examination</w:t>
      </w:r>
      <w:r>
        <w:rPr>
          <w:b/>
        </w:rPr>
        <w:t>”</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 xml:space="preserve">examination required under subsection (2) is to be carried out by a medical practitioner registered under section 145B —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by No. 42 of 2004 s. 54.]</w:t>
      </w:r>
    </w:p>
    <w:p>
      <w:pPr>
        <w:pStyle w:val="Heading5"/>
        <w:spacing w:before="120"/>
        <w:rPr>
          <w:snapToGrid w:val="0"/>
        </w:rPr>
      </w:pPr>
      <w:bookmarkStart w:id="741" w:name="_Toc122833208"/>
      <w:bookmarkStart w:id="742" w:name="_Toc122833775"/>
      <w:r>
        <w:rPr>
          <w:rStyle w:val="CharSectno"/>
        </w:rPr>
        <w:t>67</w:t>
      </w:r>
      <w:r>
        <w:rPr>
          <w:snapToGrid w:val="0"/>
        </w:rPr>
        <w:t>.</w:t>
      </w:r>
      <w:r>
        <w:rPr>
          <w:snapToGrid w:val="0"/>
        </w:rPr>
        <w:tab/>
        <w:t>Lump sum in redemption of weekly payments</w:t>
      </w:r>
      <w:bookmarkEnd w:id="734"/>
      <w:bookmarkEnd w:id="735"/>
      <w:bookmarkEnd w:id="736"/>
      <w:bookmarkEnd w:id="737"/>
      <w:bookmarkEnd w:id="741"/>
      <w:bookmarkEnd w:id="742"/>
      <w:r>
        <w:rPr>
          <w:snapToGrid w:val="0"/>
        </w:rPr>
        <w:t xml:space="preserve"> </w:t>
      </w:r>
    </w:p>
    <w:p>
      <w:pPr>
        <w:pStyle w:val="Subsection"/>
      </w:pPr>
      <w:r>
        <w:tab/>
        <w:t>(1)</w:t>
      </w:r>
      <w:r>
        <w:tab/>
        <w:t xml:space="preserve">Where weekly payments for a permanent total or permanent partial incapacity resulting from an injury other than mesothelioma have continued for not less than 6 months, the liability for the incapacity is to be redeemed by the payment of a lump sum if — </w:t>
      </w:r>
    </w:p>
    <w:p>
      <w:pPr>
        <w:pStyle w:val="Indenta"/>
      </w:pPr>
      <w:r>
        <w:tab/>
        <w:t>(a)</w:t>
      </w:r>
      <w:r>
        <w:tab/>
        <w:t>an arbitrator, with the consent of the worker and the employer, makes an order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rPr>
          <w:snapToGrid w:val="0"/>
        </w:rPr>
      </w:pPr>
      <w:r>
        <w:rPr>
          <w:snapToGrid w:val="0"/>
        </w:rPr>
        <w:tab/>
        <w:t>(5)</w:t>
      </w:r>
      <w:r>
        <w:rPr>
          <w:snapToGrid w:val="0"/>
        </w:rPr>
        <w:tab/>
        <w:t>Where an order is made for redemption of the liability to pay compensation by payment of a lump sum under</w:t>
      </w:r>
      <w:r>
        <w:t xml:space="preserve"> subsection (1) or (4)</w:t>
      </w:r>
      <w:r>
        <w:rPr>
          <w:snapToGrid w:val="0"/>
        </w:rPr>
        <w:t>, or an agreement for the redemption of a liability for incapacity is made and registered under Division 7 — </w:t>
      </w:r>
    </w:p>
    <w:p>
      <w:pPr>
        <w:pStyle w:val="Indenta"/>
        <w:rPr>
          <w:snapToGrid w:val="0"/>
        </w:rPr>
      </w:pPr>
      <w:r>
        <w:rPr>
          <w:snapToGrid w:val="0"/>
        </w:rPr>
        <w:tab/>
        <w:t>(a)</w:t>
      </w:r>
      <w:r>
        <w:rPr>
          <w:snapToGrid w:val="0"/>
        </w:rPr>
        <w:tab/>
        <w:t>the worker is not entitled to further compensation; and</w:t>
      </w:r>
    </w:p>
    <w:p>
      <w:pPr>
        <w:pStyle w:val="Indenta"/>
        <w:rPr>
          <w:snapToGrid w:val="0"/>
        </w:rPr>
      </w:pPr>
      <w:r>
        <w:rPr>
          <w:snapToGrid w:val="0"/>
        </w:rPr>
        <w:tab/>
        <w:t>(b)</w:t>
      </w:r>
      <w:r>
        <w:rPr>
          <w:snapToGrid w:val="0"/>
        </w:rPr>
        <w:tab/>
        <w:t>clauses 9, 10, 17, 18, 18A and 19 cease to apply to the worker,</w:t>
      </w:r>
    </w:p>
    <w:p>
      <w:pPr>
        <w:pStyle w:val="Subsection"/>
        <w:rPr>
          <w:snapToGrid w:val="0"/>
        </w:rPr>
      </w:pPr>
      <w:r>
        <w:rPr>
          <w:snapToGrid w:val="0"/>
        </w:rPr>
        <w:tab/>
      </w:r>
      <w:r>
        <w:rPr>
          <w:snapToGrid w:val="0"/>
        </w:rPr>
        <w:tab/>
        <w:t xml:space="preserve">for the </w:t>
      </w:r>
      <w:r>
        <w:t>injury</w:t>
      </w:r>
      <w:r>
        <w:rPr>
          <w:snapToGrid w:val="0"/>
        </w:rPr>
        <w:t xml:space="preserve"> from which the incapacity resulted.</w:t>
      </w:r>
    </w:p>
    <w:p>
      <w:pPr>
        <w:pStyle w:val="Subsection"/>
      </w:pPr>
      <w:r>
        <w:tab/>
        <w:t>(6)</w:t>
      </w:r>
      <w:r>
        <w:tab/>
        <w:t>The regulations may make provision as to details that are to be specified in a consent order, or an agreement registered under Division 7, for payment of a lump sum.</w:t>
      </w:r>
    </w:p>
    <w:p>
      <w:pPr>
        <w:pStyle w:val="Footnotesection"/>
      </w:pPr>
      <w:r>
        <w:tab/>
        <w:t xml:space="preserve">[Section 67 amended by No. 44 of 1985 s. 21; No. 48 of 1993 s. 36; No. 33 of 1999 s. 4; No. 34 of 1999 s. 14; No. 42 of 2004 s. 55, 146 and 147.] </w:t>
      </w:r>
    </w:p>
    <w:p>
      <w:pPr>
        <w:pStyle w:val="Heading5"/>
        <w:rPr>
          <w:snapToGrid w:val="0"/>
        </w:rPr>
      </w:pPr>
      <w:bookmarkStart w:id="743" w:name="_Toc440877887"/>
      <w:bookmarkStart w:id="744" w:name="_Toc517775245"/>
      <w:bookmarkStart w:id="745" w:name="_Toc520106993"/>
      <w:bookmarkStart w:id="746" w:name="_Toc523111618"/>
      <w:bookmarkStart w:id="747" w:name="_Toc122833209"/>
      <w:bookmarkStart w:id="748" w:name="_Toc122833776"/>
      <w:r>
        <w:rPr>
          <w:rStyle w:val="CharSectno"/>
        </w:rPr>
        <w:t>68</w:t>
      </w:r>
      <w:r>
        <w:rPr>
          <w:snapToGrid w:val="0"/>
        </w:rPr>
        <w:t>.</w:t>
      </w:r>
      <w:r>
        <w:rPr>
          <w:snapToGrid w:val="0"/>
        </w:rPr>
        <w:tab/>
        <w:t>Calculation of lump sum</w:t>
      </w:r>
      <w:bookmarkEnd w:id="743"/>
      <w:bookmarkEnd w:id="744"/>
      <w:bookmarkEnd w:id="745"/>
      <w:bookmarkEnd w:id="746"/>
      <w:bookmarkEnd w:id="747"/>
      <w:bookmarkEnd w:id="748"/>
      <w:r>
        <w:rPr>
          <w:snapToGrid w:val="0"/>
        </w:rPr>
        <w:t xml:space="preserve"> </w:t>
      </w:r>
    </w:p>
    <w:p>
      <w:pPr>
        <w:pStyle w:val="Ednotesubsection"/>
      </w:pPr>
      <w:r>
        <w:t>[(1)-(2)</w:t>
      </w:r>
      <w:r>
        <w:tab/>
        <w:t>repealed]</w:t>
      </w:r>
    </w:p>
    <w:p>
      <w:pPr>
        <w:pStyle w:val="Subsection"/>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rPr>
          <w:b/>
          <w:snapToGrid w:val="0"/>
        </w:rPr>
        <w:t>“</w:t>
      </w:r>
      <w:r>
        <w:rPr>
          <w:rStyle w:val="CharDefText"/>
        </w:rPr>
        <w:t>a compound discount table</w:t>
      </w:r>
      <w:r>
        <w:rPr>
          <w:b/>
          <w:snapToGrid w:val="0"/>
        </w:rPr>
        <w:t>”</w:t>
      </w:r>
      <w:r>
        <w:rPr>
          <w:snapToGrid w:val="0"/>
        </w:rPr>
        <w:t xml:space="preserve"> shall be construed as including a reference to any formula or formulae prescribed for use in conjunction with such a compound discount table.</w:t>
      </w:r>
    </w:p>
    <w:p>
      <w:pPr>
        <w:pStyle w:val="Footnotesection"/>
      </w:pPr>
      <w:r>
        <w:tab/>
        <w:t xml:space="preserve">[Section 68 amended by No. 44 of 1985 s. 22; No. 48 of 1993 s. 37; No. 33 of 1999 s. 5; No. 34 of 1999 s. 15.] </w:t>
      </w:r>
    </w:p>
    <w:p>
      <w:pPr>
        <w:pStyle w:val="Heading5"/>
        <w:rPr>
          <w:snapToGrid w:val="0"/>
        </w:rPr>
      </w:pPr>
      <w:bookmarkStart w:id="749" w:name="_Toc440877888"/>
      <w:bookmarkStart w:id="750" w:name="_Toc517775246"/>
      <w:bookmarkStart w:id="751" w:name="_Toc520106994"/>
      <w:bookmarkStart w:id="752" w:name="_Toc523111619"/>
      <w:bookmarkStart w:id="753" w:name="_Toc122833210"/>
      <w:bookmarkStart w:id="754" w:name="_Toc122833777"/>
      <w:r>
        <w:rPr>
          <w:rStyle w:val="CharSectno"/>
        </w:rPr>
        <w:t>69</w:t>
      </w:r>
      <w:r>
        <w:rPr>
          <w:snapToGrid w:val="0"/>
        </w:rPr>
        <w:t>.</w:t>
      </w:r>
      <w:r>
        <w:rPr>
          <w:snapToGrid w:val="0"/>
        </w:rPr>
        <w:tab/>
        <w:t>Worker not residing in the State</w:t>
      </w:r>
      <w:bookmarkEnd w:id="749"/>
      <w:bookmarkEnd w:id="750"/>
      <w:bookmarkEnd w:id="751"/>
      <w:bookmarkEnd w:id="752"/>
      <w:bookmarkEnd w:id="753"/>
      <w:bookmarkEnd w:id="754"/>
      <w:r>
        <w:rPr>
          <w:snapToGrid w:val="0"/>
        </w:rPr>
        <w:t xml:space="preserve"> </w:t>
      </w:r>
    </w:p>
    <w:p>
      <w:pPr>
        <w:pStyle w:val="Subsection"/>
        <w:spacing w:before="80"/>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pPr>
      <w:bookmarkStart w:id="755" w:name="_Toc87252869"/>
      <w:bookmarkStart w:id="756" w:name="_Toc122833211"/>
      <w:bookmarkStart w:id="757" w:name="_Toc122833778"/>
      <w:bookmarkStart w:id="758" w:name="_Toc440877890"/>
      <w:bookmarkStart w:id="759" w:name="_Toc517775248"/>
      <w:bookmarkStart w:id="760" w:name="_Toc520106996"/>
      <w:bookmarkStart w:id="761" w:name="_Toc523111621"/>
      <w:r>
        <w:rPr>
          <w:rStyle w:val="CharSectno"/>
        </w:rPr>
        <w:t>70</w:t>
      </w:r>
      <w:r>
        <w:t>.</w:t>
      </w:r>
      <w:r>
        <w:tab/>
        <w:t>Furnishing medical reports</w:t>
      </w:r>
      <w:bookmarkEnd w:id="755"/>
      <w:bookmarkEnd w:id="756"/>
      <w:bookmarkEnd w:id="757"/>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pPr>
      <w:r>
        <w:tab/>
        <w:t>(5)</w:t>
      </w:r>
      <w:r>
        <w:tab/>
        <w:t>The reference in subsection (4) to the employer is, where the employer is insured against liability to pay compensation under this Act, a reference to the employer’s insurer.</w:t>
      </w:r>
    </w:p>
    <w:p>
      <w:pPr>
        <w:pStyle w:val="Footnotesection"/>
      </w:pPr>
      <w:r>
        <w:tab/>
        <w:t>[Section 70 inserted by No. 42 of 2004 s. 56.]</w:t>
      </w:r>
    </w:p>
    <w:p>
      <w:pPr>
        <w:pStyle w:val="Heading5"/>
        <w:rPr>
          <w:snapToGrid w:val="0"/>
        </w:rPr>
      </w:pPr>
      <w:bookmarkStart w:id="762" w:name="_Toc122833212"/>
      <w:bookmarkStart w:id="763" w:name="_Toc122833779"/>
      <w:r>
        <w:rPr>
          <w:rStyle w:val="CharSectno"/>
        </w:rPr>
        <w:t>71</w:t>
      </w:r>
      <w:r>
        <w:rPr>
          <w:snapToGrid w:val="0"/>
        </w:rPr>
        <w:t>.</w:t>
      </w:r>
      <w:r>
        <w:rPr>
          <w:snapToGrid w:val="0"/>
        </w:rPr>
        <w:tab/>
        <w:t>Recovery of payments</w:t>
      </w:r>
      <w:bookmarkEnd w:id="758"/>
      <w:bookmarkEnd w:id="759"/>
      <w:bookmarkEnd w:id="760"/>
      <w:bookmarkEnd w:id="761"/>
      <w:bookmarkEnd w:id="762"/>
      <w:bookmarkEnd w:id="763"/>
      <w:r>
        <w:rPr>
          <w:snapToGrid w:val="0"/>
        </w:rPr>
        <w:t xml:space="preserve"> </w:t>
      </w:r>
    </w:p>
    <w:p>
      <w:pPr>
        <w:pStyle w:val="Subsection"/>
        <w:rPr>
          <w:snapToGrid w:val="0"/>
        </w:rPr>
      </w:pPr>
      <w:r>
        <w:rPr>
          <w:snapToGrid w:val="0"/>
        </w:rPr>
        <w:tab/>
      </w:r>
      <w:r>
        <w:rPr>
          <w:snapToGrid w:val="0"/>
        </w:rPr>
        <w:tab/>
        <w:t xml:space="preserve">Where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and to make any order in relation thereto or any part thereof as </w:t>
      </w:r>
      <w:r>
        <w:t>the arbitrator</w:t>
      </w:r>
      <w:r>
        <w:rPr>
          <w:snapToGrid w:val="0"/>
        </w:rPr>
        <w:t xml:space="preserve"> considers appropriate in the circumstances.</w:t>
      </w:r>
    </w:p>
    <w:p>
      <w:pPr>
        <w:pStyle w:val="Footnotesection"/>
      </w:pPr>
      <w:r>
        <w:tab/>
        <w:t xml:space="preserve">[Section 71 amended by No. 48 of 1993 s. 28(1); No. 42 of 2004 s. 57.] </w:t>
      </w:r>
    </w:p>
    <w:p>
      <w:pPr>
        <w:pStyle w:val="Heading5"/>
      </w:pPr>
      <w:bookmarkStart w:id="764" w:name="_Toc87252872"/>
      <w:bookmarkStart w:id="765" w:name="_Toc122833213"/>
      <w:bookmarkStart w:id="766" w:name="_Toc122833780"/>
      <w:r>
        <w:rPr>
          <w:rStyle w:val="CharSectno"/>
        </w:rPr>
        <w:t>72</w:t>
      </w:r>
      <w:r>
        <w:t>.</w:t>
      </w:r>
      <w:r>
        <w:tab/>
        <w:t>Suspension of payments during custody</w:t>
      </w:r>
      <w:bookmarkEnd w:id="764"/>
      <w:bookmarkEnd w:id="765"/>
      <w:bookmarkEnd w:id="766"/>
    </w:p>
    <w:p>
      <w:pPr>
        <w:pStyle w:val="Subsection"/>
      </w:pPr>
      <w:r>
        <w:tab/>
        <w:t>(1)</w:t>
      </w:r>
      <w:r>
        <w:tab/>
        <w:t xml:space="preserve">Subject to subsection (2), a worker’s entitlement to weekly payments of compensation under this Act is suspended during any period that the worker is — </w:t>
      </w:r>
    </w:p>
    <w:p>
      <w:pPr>
        <w:pStyle w:val="Indenta"/>
      </w:pPr>
      <w:r>
        <w:tab/>
        <w:t>(a)</w:t>
      </w:r>
      <w:r>
        <w:tab/>
        <w:t>in custody under a law of this State, another State or a Territory, or the Commonwealth except where that custody is of a kind prescribed by the regulations; or</w:t>
      </w:r>
    </w:p>
    <w:p>
      <w:pPr>
        <w:pStyle w:val="Indenta"/>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bookmarkStart w:id="767" w:name="_Toc87252873"/>
      <w:r>
        <w:tab/>
        <w:t>[Section 72 inserted by No. 42 of 2004 s. 58.]</w:t>
      </w:r>
    </w:p>
    <w:p>
      <w:pPr>
        <w:pStyle w:val="Heading5"/>
      </w:pPr>
      <w:bookmarkStart w:id="768" w:name="_Toc122833214"/>
      <w:bookmarkStart w:id="769" w:name="_Toc122833781"/>
      <w:r>
        <w:rPr>
          <w:rStyle w:val="CharSectno"/>
        </w:rPr>
        <w:t>72A</w:t>
      </w:r>
      <w:r>
        <w:t>.</w:t>
      </w:r>
      <w:r>
        <w:tab/>
        <w:t>Suspension or cessation of payments for failure to undergo medical examination</w:t>
      </w:r>
      <w:bookmarkEnd w:id="767"/>
      <w:bookmarkEnd w:id="768"/>
      <w:bookmarkEnd w:id="769"/>
    </w:p>
    <w:p>
      <w:pPr>
        <w:pStyle w:val="Subsection"/>
      </w:pPr>
      <w:r>
        <w:tab/>
        <w:t>(1)</w:t>
      </w:r>
      <w:r>
        <w:tab/>
        <w:t xml:space="preserve">A worker’s entitlement to compensation under this Act, and to take and prosecute any proceeding under this Act, may be suspended by order of an arbitrator if the worker — </w:t>
      </w:r>
    </w:p>
    <w:p>
      <w:pPr>
        <w:pStyle w:val="Indenta"/>
      </w:pPr>
      <w:r>
        <w:tab/>
        <w:t>(a)</w:t>
      </w:r>
      <w:r>
        <w:tab/>
        <w:t>being required by the employer under section 64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64,</w:t>
      </w:r>
    </w:p>
    <w:p>
      <w:pPr>
        <w:pStyle w:val="Subsection"/>
      </w:pPr>
      <w:r>
        <w:tab/>
      </w:r>
      <w:r>
        <w:tab/>
        <w:t>refuses or fails to do so or in any way obstructs the examination.</w:t>
      </w:r>
    </w:p>
    <w:p>
      <w:pPr>
        <w:pStyle w:val="Subsection"/>
      </w:pPr>
      <w:r>
        <w:tab/>
        <w:t>(2)</w:t>
      </w:r>
      <w:r>
        <w:tab/>
        <w:t xml:space="preserve">A worker’s entitlement to compensation under this Act, may be suspended by order of an arbitrator if the worker —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 xml:space="preserve">If a worker continues to refuse or fail to submit to medical examination for one month, or such time as an arbitrator otherwise orders, after an order is made under subsection (1) or (2) in respect of the worker, then — </w:t>
      </w:r>
    </w:p>
    <w:p>
      <w:pPr>
        <w:pStyle w:val="Indenta"/>
      </w:pPr>
      <w:r>
        <w:tab/>
        <w:t>(a)</w:t>
      </w:r>
      <w:r>
        <w:tab/>
        <w:t>the worker’s entitlement to compensation for the injury in respect of which the worker was required to submit to medical examination ceases; and</w:t>
      </w:r>
    </w:p>
    <w:p>
      <w:pPr>
        <w:pStyle w:val="Indenta"/>
      </w:pPr>
      <w:r>
        <w:tab/>
        <w:t>(b)</w:t>
      </w:r>
      <w:r>
        <w:tab/>
        <w:t>in the case of an order under subsection (1), the worker’s entitlement to take and prosecute any proceeding under this Act in relation to that compensation ceases.</w:t>
      </w:r>
    </w:p>
    <w:p>
      <w:pPr>
        <w:pStyle w:val="Footnotesection"/>
      </w:pPr>
      <w:bookmarkStart w:id="770" w:name="_Toc87252874"/>
      <w:r>
        <w:tab/>
        <w:t>[Section 72A inserted by No. 42 of 2004 s. 58; amended by No. 16 of 2005 s. 17.]</w:t>
      </w:r>
    </w:p>
    <w:p>
      <w:pPr>
        <w:pStyle w:val="Heading5"/>
      </w:pPr>
      <w:bookmarkStart w:id="771" w:name="_Toc122833215"/>
      <w:bookmarkStart w:id="772" w:name="_Toc122833782"/>
      <w:r>
        <w:rPr>
          <w:rStyle w:val="CharSectno"/>
        </w:rPr>
        <w:t>72B</w:t>
      </w:r>
      <w:r>
        <w:t>.</w:t>
      </w:r>
      <w:r>
        <w:tab/>
        <w:t>Suspension or cessation of payments for failure to participate in return to work program</w:t>
      </w:r>
      <w:bookmarkEnd w:id="770"/>
      <w:bookmarkEnd w:id="771"/>
      <w:bookmarkEnd w:id="772"/>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 xml:space="preserve">An arbitrator is not to make an order under subsection (1) if —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pPr>
      <w:r>
        <w:tab/>
        <w:t>(5)</w:t>
      </w:r>
      <w:r>
        <w:tab/>
        <w:t>An order made under subsection (1) is binding on the worker, the employer and the insurer of the employer.</w:t>
      </w:r>
    </w:p>
    <w:p>
      <w:pPr>
        <w:pStyle w:val="Subsection"/>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by No. 42 of 2004 s. 58.]</w:t>
      </w:r>
    </w:p>
    <w:p>
      <w:pPr>
        <w:pStyle w:val="Ednotesection"/>
        <w:tabs>
          <w:tab w:val="left" w:pos="2552"/>
        </w:tabs>
      </w:pPr>
      <w:r>
        <w:tab/>
        <w:t>[Division 5A repealed by No. 48 of 1993 s. 28(1).]</w:t>
      </w:r>
    </w:p>
    <w:p>
      <w:pPr>
        <w:pStyle w:val="Heading3"/>
        <w:rPr>
          <w:snapToGrid w:val="0"/>
        </w:rPr>
      </w:pPr>
      <w:bookmarkStart w:id="773" w:name="_Toc86739969"/>
      <w:bookmarkStart w:id="774" w:name="_Toc88562373"/>
      <w:bookmarkStart w:id="775" w:name="_Toc88625290"/>
      <w:bookmarkStart w:id="776" w:name="_Toc91385945"/>
      <w:bookmarkStart w:id="777" w:name="_Toc92704952"/>
      <w:bookmarkStart w:id="778" w:name="_Toc93222420"/>
      <w:bookmarkStart w:id="779" w:name="_Toc95022497"/>
      <w:bookmarkStart w:id="780" w:name="_Toc95117769"/>
      <w:bookmarkStart w:id="781" w:name="_Toc96498174"/>
      <w:bookmarkStart w:id="782" w:name="_Toc96500652"/>
      <w:bookmarkStart w:id="783" w:name="_Toc101779564"/>
      <w:bookmarkStart w:id="784" w:name="_Toc103060016"/>
      <w:bookmarkStart w:id="785" w:name="_Toc105470912"/>
      <w:bookmarkStart w:id="786" w:name="_Toc105474826"/>
      <w:bookmarkStart w:id="787" w:name="_Toc105475212"/>
      <w:bookmarkStart w:id="788" w:name="_Toc107307928"/>
      <w:bookmarkStart w:id="789" w:name="_Toc109712161"/>
      <w:bookmarkStart w:id="790" w:name="_Toc109724044"/>
      <w:bookmarkStart w:id="791" w:name="_Toc110053916"/>
      <w:bookmarkStart w:id="792" w:name="_Toc110054305"/>
      <w:bookmarkStart w:id="793" w:name="_Toc110654385"/>
      <w:bookmarkStart w:id="794" w:name="_Toc110735823"/>
      <w:bookmarkStart w:id="795" w:name="_Toc110738559"/>
      <w:bookmarkStart w:id="796" w:name="_Toc115691233"/>
      <w:bookmarkStart w:id="797" w:name="_Toc115773530"/>
      <w:bookmarkStart w:id="798" w:name="_Toc119132497"/>
      <w:bookmarkStart w:id="799" w:name="_Toc119203167"/>
      <w:bookmarkStart w:id="800" w:name="_Toc119203813"/>
      <w:bookmarkStart w:id="801" w:name="_Toc119216143"/>
      <w:bookmarkStart w:id="802" w:name="_Toc119300663"/>
      <w:bookmarkStart w:id="803" w:name="_Toc119301230"/>
      <w:bookmarkStart w:id="804" w:name="_Toc119301799"/>
      <w:bookmarkStart w:id="805" w:name="_Toc119919986"/>
      <w:bookmarkStart w:id="806" w:name="_Toc122773973"/>
      <w:bookmarkStart w:id="807" w:name="_Toc122833216"/>
      <w:bookmarkStart w:id="808" w:name="_Toc122833783"/>
      <w:r>
        <w:rPr>
          <w:rStyle w:val="CharDivNo"/>
        </w:rPr>
        <w:t>Division 6</w:t>
      </w:r>
      <w:r>
        <w:rPr>
          <w:snapToGrid w:val="0"/>
        </w:rPr>
        <w:t> — </w:t>
      </w:r>
      <w:r>
        <w:rPr>
          <w:rStyle w:val="CharDivText"/>
        </w:rPr>
        <w:t>Disputes between employers</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r>
        <w:rPr>
          <w:rStyle w:val="CharDivText"/>
        </w:rPr>
        <w:t xml:space="preserve"> </w:t>
      </w:r>
    </w:p>
    <w:p>
      <w:pPr>
        <w:pStyle w:val="Heading5"/>
        <w:spacing w:before="160"/>
        <w:rPr>
          <w:snapToGrid w:val="0"/>
        </w:rPr>
      </w:pPr>
      <w:bookmarkStart w:id="809" w:name="_Toc440877892"/>
      <w:bookmarkStart w:id="810" w:name="_Toc517775250"/>
      <w:bookmarkStart w:id="811" w:name="_Toc520106998"/>
      <w:bookmarkStart w:id="812" w:name="_Toc523111623"/>
      <w:bookmarkStart w:id="813" w:name="_Toc122833217"/>
      <w:bookmarkStart w:id="814" w:name="_Toc122833784"/>
      <w:r>
        <w:rPr>
          <w:rStyle w:val="CharSectno"/>
        </w:rPr>
        <w:t>73</w:t>
      </w:r>
      <w:r>
        <w:rPr>
          <w:snapToGrid w:val="0"/>
        </w:rPr>
        <w:t>.</w:t>
      </w:r>
      <w:r>
        <w:rPr>
          <w:snapToGrid w:val="0"/>
        </w:rPr>
        <w:tab/>
        <w:t>Worker entitled but dispute between employers</w:t>
      </w:r>
      <w:bookmarkEnd w:id="809"/>
      <w:bookmarkEnd w:id="810"/>
      <w:bookmarkEnd w:id="811"/>
      <w:bookmarkEnd w:id="812"/>
      <w:bookmarkEnd w:id="813"/>
      <w:bookmarkEnd w:id="814"/>
      <w:r>
        <w:rPr>
          <w:snapToGrid w:val="0"/>
        </w:rPr>
        <w:t xml:space="preserve"> </w:t>
      </w:r>
    </w:p>
    <w:p>
      <w:pPr>
        <w:pStyle w:val="Subsection"/>
        <w:spacing w:before="80"/>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spacing w:before="80"/>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spacing w:before="80"/>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spacing w:before="80"/>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spacing w:before="80"/>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r>
        <w:t>WorkCover WA</w:t>
      </w:r>
      <w:r>
        <w:rPr>
          <w:snapToGrid w:val="0"/>
        </w:rPr>
        <w:t xml:space="preserve"> shall provide </w:t>
      </w:r>
      <w:r>
        <w:t>an arbitrator dealing with the dispute</w:t>
      </w:r>
      <w:r>
        <w:rPr>
          <w:snapToGrid w:val="0"/>
        </w:rPr>
        <w:t xml:space="preserve"> with copies of the results of any relevant audiometric tests stored by </w:t>
      </w:r>
      <w:r>
        <w:t>WorkCover WA</w:t>
      </w:r>
      <w:r>
        <w:rPr>
          <w:snapToGrid w:val="0"/>
        </w:rPr>
        <w:t xml:space="preserve"> under clause 5(2) of Schedule 7.</w:t>
      </w:r>
    </w:p>
    <w:p>
      <w:pPr>
        <w:pStyle w:val="Footnotesection"/>
      </w:pPr>
      <w:r>
        <w:tab/>
        <w:t xml:space="preserve">[Section 73 amended by No. 36 of 1988 s. 11; No. 96 of 1990 s. 16; No. 48 of 1993 s. 28(1); No. 42 of 2004 s. 59, 147, 149 and 150.] </w:t>
      </w:r>
    </w:p>
    <w:p>
      <w:pPr>
        <w:pStyle w:val="Heading5"/>
        <w:spacing w:before="160"/>
        <w:rPr>
          <w:snapToGrid w:val="0"/>
        </w:rPr>
      </w:pPr>
      <w:bookmarkStart w:id="815" w:name="_Toc440877893"/>
      <w:bookmarkStart w:id="816" w:name="_Toc517775251"/>
      <w:bookmarkStart w:id="817" w:name="_Toc520106999"/>
      <w:bookmarkStart w:id="818" w:name="_Toc523111624"/>
      <w:bookmarkStart w:id="819" w:name="_Toc122833218"/>
      <w:bookmarkStart w:id="820" w:name="_Toc122833785"/>
      <w:r>
        <w:rPr>
          <w:rStyle w:val="CharSectno"/>
        </w:rPr>
        <w:t>74</w:t>
      </w:r>
      <w:r>
        <w:rPr>
          <w:snapToGrid w:val="0"/>
        </w:rPr>
        <w:t>.</w:t>
      </w:r>
      <w:r>
        <w:rPr>
          <w:snapToGrid w:val="0"/>
        </w:rPr>
        <w:tab/>
        <w:t>Dispute between insurers</w:t>
      </w:r>
      <w:bookmarkEnd w:id="815"/>
      <w:bookmarkEnd w:id="816"/>
      <w:bookmarkEnd w:id="817"/>
      <w:bookmarkEnd w:id="818"/>
      <w:bookmarkEnd w:id="819"/>
      <w:bookmarkEnd w:id="820"/>
      <w:r>
        <w:rPr>
          <w:snapToGrid w:val="0"/>
        </w:rPr>
        <w:t xml:space="preserve"> </w:t>
      </w:r>
    </w:p>
    <w:p>
      <w:pPr>
        <w:pStyle w:val="Subsection"/>
        <w:spacing w:before="120"/>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spacing w:before="120"/>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spacing w:before="120"/>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 xml:space="preserve">[Section 74 amended by No. 44 of 1985 s. 23; No. 96 of 1990 s. 17; No. 48 of 1993 s. 28(1); No. 34 of 1999 s. 16; No. 42 of 2004 s. 60, 147 and 149.] </w:t>
      </w:r>
    </w:p>
    <w:p>
      <w:pPr>
        <w:pStyle w:val="Heading5"/>
        <w:spacing w:before="160"/>
        <w:rPr>
          <w:snapToGrid w:val="0"/>
        </w:rPr>
      </w:pPr>
      <w:bookmarkStart w:id="821" w:name="_Toc440877894"/>
      <w:bookmarkStart w:id="822" w:name="_Toc517775252"/>
      <w:bookmarkStart w:id="823" w:name="_Toc520107000"/>
      <w:bookmarkStart w:id="824" w:name="_Toc523111625"/>
      <w:bookmarkStart w:id="825" w:name="_Toc122833219"/>
      <w:bookmarkStart w:id="826" w:name="_Toc122833786"/>
      <w:r>
        <w:rPr>
          <w:rStyle w:val="CharSectno"/>
        </w:rPr>
        <w:t>74A</w:t>
      </w:r>
      <w:r>
        <w:rPr>
          <w:snapToGrid w:val="0"/>
        </w:rPr>
        <w:t>.</w:t>
      </w:r>
      <w:r>
        <w:rPr>
          <w:snapToGrid w:val="0"/>
        </w:rPr>
        <w:tab/>
        <w:t>Apportionment under sections 73 and 74</w:t>
      </w:r>
      <w:bookmarkEnd w:id="821"/>
      <w:bookmarkEnd w:id="822"/>
      <w:bookmarkEnd w:id="823"/>
      <w:bookmarkEnd w:id="824"/>
      <w:bookmarkEnd w:id="825"/>
      <w:bookmarkEnd w:id="826"/>
      <w:r>
        <w:rPr>
          <w:snapToGrid w:val="0"/>
        </w:rPr>
        <w:t xml:space="preserve"> </w:t>
      </w:r>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 xml:space="preserve">Workers’ Compensation and Assistance Amendment Act 1990 </w:t>
      </w:r>
      <w:r>
        <w:rPr>
          <w:snapToGrid w:val="0"/>
          <w:vertAlign w:val="superscript"/>
        </w:rPr>
        <w:t>1</w:t>
      </w:r>
      <w:r>
        <w:rPr>
          <w:snapToGrid w:val="0"/>
        </w:rPr>
        <w:t>.</w:t>
      </w:r>
    </w:p>
    <w:p>
      <w:pPr>
        <w:pStyle w:val="Footnotesection"/>
        <w:keepLines w:val="0"/>
      </w:pPr>
      <w:r>
        <w:tab/>
        <w:t xml:space="preserve">[Section 74A inserted by No. 96 of 1990 s. 18; amended by No. 42 of 2004 s. 146.] </w:t>
      </w:r>
    </w:p>
    <w:p>
      <w:pPr>
        <w:pStyle w:val="Heading5"/>
        <w:rPr>
          <w:snapToGrid w:val="0"/>
        </w:rPr>
      </w:pPr>
      <w:bookmarkStart w:id="827" w:name="_Toc440877895"/>
      <w:bookmarkStart w:id="828" w:name="_Toc517775253"/>
      <w:bookmarkStart w:id="829" w:name="_Toc520107001"/>
      <w:bookmarkStart w:id="830" w:name="_Toc523111626"/>
      <w:bookmarkStart w:id="831" w:name="_Toc122833220"/>
      <w:bookmarkStart w:id="832" w:name="_Toc122833787"/>
      <w:r>
        <w:rPr>
          <w:rStyle w:val="CharSectno"/>
        </w:rPr>
        <w:t>75</w:t>
      </w:r>
      <w:r>
        <w:rPr>
          <w:snapToGrid w:val="0"/>
        </w:rPr>
        <w:t>.</w:t>
      </w:r>
      <w:r>
        <w:rPr>
          <w:snapToGrid w:val="0"/>
        </w:rPr>
        <w:tab/>
        <w:t>Obligation to make weekly payments preserved</w:t>
      </w:r>
      <w:bookmarkEnd w:id="827"/>
      <w:bookmarkEnd w:id="828"/>
      <w:bookmarkEnd w:id="829"/>
      <w:bookmarkEnd w:id="830"/>
      <w:bookmarkEnd w:id="831"/>
      <w:bookmarkEnd w:id="832"/>
      <w:r>
        <w:rPr>
          <w:snapToGrid w:val="0"/>
        </w:rPr>
        <w:t xml:space="preserve"> </w:t>
      </w:r>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 xml:space="preserve">[Section 75 inserted by No. 96 of 1990 s. 19; amended by No. 42 of 2004 s. 61.] </w:t>
      </w:r>
    </w:p>
    <w:p>
      <w:pPr>
        <w:pStyle w:val="Heading3"/>
        <w:rPr>
          <w:snapToGrid w:val="0"/>
        </w:rPr>
      </w:pPr>
      <w:bookmarkStart w:id="833" w:name="_Toc86739974"/>
      <w:bookmarkStart w:id="834" w:name="_Toc88562378"/>
      <w:bookmarkStart w:id="835" w:name="_Toc88625295"/>
      <w:bookmarkStart w:id="836" w:name="_Toc91385950"/>
      <w:bookmarkStart w:id="837" w:name="_Toc92704957"/>
      <w:bookmarkStart w:id="838" w:name="_Toc93222425"/>
      <w:bookmarkStart w:id="839" w:name="_Toc95022502"/>
      <w:bookmarkStart w:id="840" w:name="_Toc95117774"/>
      <w:bookmarkStart w:id="841" w:name="_Toc96498179"/>
      <w:bookmarkStart w:id="842" w:name="_Toc96500657"/>
      <w:bookmarkStart w:id="843" w:name="_Toc101779569"/>
      <w:bookmarkStart w:id="844" w:name="_Toc103060021"/>
      <w:bookmarkStart w:id="845" w:name="_Toc105470917"/>
      <w:bookmarkStart w:id="846" w:name="_Toc105474831"/>
      <w:bookmarkStart w:id="847" w:name="_Toc105475217"/>
      <w:bookmarkStart w:id="848" w:name="_Toc107307933"/>
      <w:bookmarkStart w:id="849" w:name="_Toc109712166"/>
      <w:bookmarkStart w:id="850" w:name="_Toc109724049"/>
      <w:bookmarkStart w:id="851" w:name="_Toc110053921"/>
      <w:bookmarkStart w:id="852" w:name="_Toc110054310"/>
      <w:bookmarkStart w:id="853" w:name="_Toc110654390"/>
      <w:bookmarkStart w:id="854" w:name="_Toc110735828"/>
      <w:bookmarkStart w:id="855" w:name="_Toc110738564"/>
      <w:bookmarkStart w:id="856" w:name="_Toc115691238"/>
      <w:bookmarkStart w:id="857" w:name="_Toc115773535"/>
      <w:bookmarkStart w:id="858" w:name="_Toc119132502"/>
      <w:bookmarkStart w:id="859" w:name="_Toc119203172"/>
      <w:bookmarkStart w:id="860" w:name="_Toc119203818"/>
      <w:bookmarkStart w:id="861" w:name="_Toc119216148"/>
      <w:bookmarkStart w:id="862" w:name="_Toc119300668"/>
      <w:bookmarkStart w:id="863" w:name="_Toc119301235"/>
      <w:bookmarkStart w:id="864" w:name="_Toc119301804"/>
      <w:bookmarkStart w:id="865" w:name="_Toc119919991"/>
      <w:bookmarkStart w:id="866" w:name="_Toc122773978"/>
      <w:bookmarkStart w:id="867" w:name="_Toc122833221"/>
      <w:bookmarkStart w:id="868" w:name="_Toc122833788"/>
      <w:r>
        <w:rPr>
          <w:rStyle w:val="CharDivNo"/>
        </w:rPr>
        <w:t>Division 7</w:t>
      </w:r>
      <w:r>
        <w:rPr>
          <w:snapToGrid w:val="0"/>
        </w:rPr>
        <w:t> — </w:t>
      </w:r>
      <w:r>
        <w:rPr>
          <w:rStyle w:val="CharDivText"/>
        </w:rPr>
        <w:t>Agreements</w:t>
      </w:r>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r>
        <w:rPr>
          <w:rStyle w:val="CharDivText"/>
        </w:rPr>
        <w:t xml:space="preserve"> </w:t>
      </w:r>
    </w:p>
    <w:p>
      <w:pPr>
        <w:pStyle w:val="Heading5"/>
        <w:spacing w:before="120"/>
        <w:rPr>
          <w:snapToGrid w:val="0"/>
        </w:rPr>
      </w:pPr>
      <w:bookmarkStart w:id="869" w:name="_Toc440877896"/>
      <w:bookmarkStart w:id="870" w:name="_Toc517775254"/>
      <w:bookmarkStart w:id="871" w:name="_Toc520107002"/>
      <w:bookmarkStart w:id="872" w:name="_Toc523111627"/>
      <w:bookmarkStart w:id="873" w:name="_Toc122833222"/>
      <w:bookmarkStart w:id="874" w:name="_Toc122833789"/>
      <w:r>
        <w:rPr>
          <w:rStyle w:val="CharSectno"/>
        </w:rPr>
        <w:t>76</w:t>
      </w:r>
      <w:r>
        <w:rPr>
          <w:snapToGrid w:val="0"/>
        </w:rPr>
        <w:t>.</w:t>
      </w:r>
      <w:r>
        <w:rPr>
          <w:snapToGrid w:val="0"/>
        </w:rPr>
        <w:tab/>
        <w:t>Registration of memorandum of agreement</w:t>
      </w:r>
      <w:bookmarkEnd w:id="869"/>
      <w:bookmarkEnd w:id="870"/>
      <w:bookmarkEnd w:id="871"/>
      <w:bookmarkEnd w:id="872"/>
      <w:bookmarkEnd w:id="873"/>
      <w:bookmarkEnd w:id="874"/>
      <w:r>
        <w:rPr>
          <w:snapToGrid w:val="0"/>
        </w:rPr>
        <w:t xml:space="preserve"> </w:t>
      </w:r>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spacing w:before="100"/>
        <w:rPr>
          <w:snapToGrid w:val="0"/>
        </w:rPr>
      </w:pPr>
      <w:r>
        <w:rPr>
          <w:snapToGrid w:val="0"/>
        </w:rPr>
        <w:tab/>
        <w:t>(2)</w:t>
      </w:r>
      <w:r>
        <w:rPr>
          <w:snapToGrid w:val="0"/>
        </w:rPr>
        <w:tab/>
        <w:t>No such memorandum shall be recorded before 7 days after the despatch by the Director of notice to the parties interested.</w:t>
      </w:r>
    </w:p>
    <w:p>
      <w:pPr>
        <w:pStyle w:val="Subsection"/>
        <w:spacing w:before="100"/>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spacing w:before="100"/>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Commissioner who</w:t>
      </w:r>
      <w:r>
        <w:rPr>
          <w:snapToGrid w:val="0"/>
        </w:rPr>
        <w:t xml:space="preserve"> shall make such order (including an order as to any sum already paid under the agreement) as </w:t>
      </w:r>
      <w:r>
        <w:t>the Commissioner</w:t>
      </w:r>
      <w:r>
        <w:rPr>
          <w:snapToGrid w:val="0"/>
        </w:rPr>
        <w:t xml:space="preserve"> thinks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 xml:space="preserve">[Section 76 amended by No. 48 of 1993 s. 28(1) and 38; No. 33 of 1999 s. 6; No. 34 of 1999 s. 17; No. 74 of 2003 s. 134(2); No. 42 of 2004 s. 62 and 146.] </w:t>
      </w:r>
    </w:p>
    <w:p>
      <w:pPr>
        <w:pStyle w:val="Heading5"/>
        <w:rPr>
          <w:snapToGrid w:val="0"/>
        </w:rPr>
      </w:pPr>
      <w:bookmarkStart w:id="875" w:name="_Toc440877897"/>
      <w:bookmarkStart w:id="876" w:name="_Toc517775255"/>
      <w:bookmarkStart w:id="877" w:name="_Toc520107003"/>
      <w:bookmarkStart w:id="878" w:name="_Toc523111628"/>
      <w:bookmarkStart w:id="879" w:name="_Toc122833223"/>
      <w:bookmarkStart w:id="880" w:name="_Toc122833790"/>
      <w:r>
        <w:rPr>
          <w:rStyle w:val="CharSectno"/>
        </w:rPr>
        <w:t>77</w:t>
      </w:r>
      <w:r>
        <w:rPr>
          <w:snapToGrid w:val="0"/>
        </w:rPr>
        <w:t>.</w:t>
      </w:r>
      <w:r>
        <w:rPr>
          <w:snapToGrid w:val="0"/>
        </w:rPr>
        <w:tab/>
        <w:t>Registration obligatory</w:t>
      </w:r>
      <w:bookmarkEnd w:id="875"/>
      <w:bookmarkEnd w:id="876"/>
      <w:bookmarkEnd w:id="877"/>
      <w:bookmarkEnd w:id="878"/>
      <w:bookmarkEnd w:id="879"/>
      <w:bookmarkEnd w:id="880"/>
      <w:r>
        <w:rPr>
          <w:snapToGrid w:val="0"/>
        </w:rPr>
        <w:t xml:space="preserve"> </w:t>
      </w:r>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881" w:name="_Toc440877898"/>
      <w:bookmarkStart w:id="882" w:name="_Toc517775256"/>
      <w:bookmarkStart w:id="883" w:name="_Toc520107004"/>
      <w:bookmarkStart w:id="884" w:name="_Toc523111629"/>
      <w:bookmarkStart w:id="885" w:name="_Toc122833224"/>
      <w:bookmarkStart w:id="886" w:name="_Toc122833791"/>
      <w:r>
        <w:rPr>
          <w:rStyle w:val="CharSectno"/>
        </w:rPr>
        <w:t>78</w:t>
      </w:r>
      <w:r>
        <w:rPr>
          <w:snapToGrid w:val="0"/>
        </w:rPr>
        <w:t>.</w:t>
      </w:r>
      <w:r>
        <w:rPr>
          <w:snapToGrid w:val="0"/>
        </w:rPr>
        <w:tab/>
        <w:t>Effect of non</w:t>
      </w:r>
      <w:r>
        <w:rPr>
          <w:snapToGrid w:val="0"/>
        </w:rPr>
        <w:noBreakHyphen/>
        <w:t>registration of agreement</w:t>
      </w:r>
      <w:bookmarkEnd w:id="881"/>
      <w:bookmarkEnd w:id="882"/>
      <w:bookmarkEnd w:id="883"/>
      <w:bookmarkEnd w:id="884"/>
      <w:bookmarkEnd w:id="885"/>
      <w:bookmarkEnd w:id="886"/>
      <w:r>
        <w:rPr>
          <w:snapToGrid w:val="0"/>
        </w:rPr>
        <w:t xml:space="preserve"> </w:t>
      </w:r>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by No. 42 of 2004 s. 146.]</w:t>
      </w:r>
    </w:p>
    <w:p>
      <w:pPr>
        <w:pStyle w:val="Heading3"/>
        <w:rPr>
          <w:snapToGrid w:val="0"/>
        </w:rPr>
      </w:pPr>
      <w:bookmarkStart w:id="887" w:name="_Toc86739978"/>
      <w:bookmarkStart w:id="888" w:name="_Toc88562382"/>
      <w:bookmarkStart w:id="889" w:name="_Toc88625299"/>
      <w:bookmarkStart w:id="890" w:name="_Toc91385954"/>
      <w:bookmarkStart w:id="891" w:name="_Toc92704961"/>
      <w:bookmarkStart w:id="892" w:name="_Toc93222429"/>
      <w:bookmarkStart w:id="893" w:name="_Toc95022506"/>
      <w:bookmarkStart w:id="894" w:name="_Toc95117778"/>
      <w:bookmarkStart w:id="895" w:name="_Toc96498183"/>
      <w:bookmarkStart w:id="896" w:name="_Toc96500661"/>
      <w:bookmarkStart w:id="897" w:name="_Toc101779573"/>
      <w:bookmarkStart w:id="898" w:name="_Toc103060025"/>
      <w:bookmarkStart w:id="899" w:name="_Toc105470921"/>
      <w:bookmarkStart w:id="900" w:name="_Toc105474835"/>
      <w:bookmarkStart w:id="901" w:name="_Toc105475221"/>
      <w:bookmarkStart w:id="902" w:name="_Toc107307937"/>
      <w:bookmarkStart w:id="903" w:name="_Toc109712170"/>
      <w:bookmarkStart w:id="904" w:name="_Toc109724053"/>
      <w:bookmarkStart w:id="905" w:name="_Toc110053925"/>
      <w:bookmarkStart w:id="906" w:name="_Toc110054314"/>
      <w:bookmarkStart w:id="907" w:name="_Toc110654394"/>
      <w:bookmarkStart w:id="908" w:name="_Toc110735832"/>
      <w:bookmarkStart w:id="909" w:name="_Toc110738568"/>
      <w:bookmarkStart w:id="910" w:name="_Toc115691242"/>
      <w:bookmarkStart w:id="911" w:name="_Toc115773539"/>
      <w:bookmarkStart w:id="912" w:name="_Toc119132506"/>
      <w:bookmarkStart w:id="913" w:name="_Toc119203176"/>
      <w:bookmarkStart w:id="914" w:name="_Toc119203822"/>
      <w:bookmarkStart w:id="915" w:name="_Toc119216152"/>
      <w:bookmarkStart w:id="916" w:name="_Toc119300672"/>
      <w:bookmarkStart w:id="917" w:name="_Toc119301239"/>
      <w:bookmarkStart w:id="918" w:name="_Toc119301808"/>
      <w:bookmarkStart w:id="919" w:name="_Toc119919995"/>
      <w:bookmarkStart w:id="920" w:name="_Toc122773982"/>
      <w:bookmarkStart w:id="921" w:name="_Toc122833225"/>
      <w:bookmarkStart w:id="922" w:name="_Toc122833792"/>
      <w:r>
        <w:rPr>
          <w:rStyle w:val="CharDivNo"/>
        </w:rPr>
        <w:t>Division 8</w:t>
      </w:r>
      <w:r>
        <w:rPr>
          <w:snapToGrid w:val="0"/>
        </w:rPr>
        <w:t> — </w:t>
      </w:r>
      <w:r>
        <w:rPr>
          <w:rStyle w:val="CharDivText"/>
        </w:rPr>
        <w:t>Other matters affecting compensation</w:t>
      </w:r>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r>
        <w:rPr>
          <w:rStyle w:val="CharDivText"/>
        </w:rPr>
        <w:t xml:space="preserve"> </w:t>
      </w:r>
    </w:p>
    <w:p>
      <w:pPr>
        <w:pStyle w:val="Heading5"/>
        <w:spacing w:before="120"/>
        <w:rPr>
          <w:snapToGrid w:val="0"/>
        </w:rPr>
      </w:pPr>
      <w:bookmarkStart w:id="923" w:name="_Toc440877899"/>
      <w:bookmarkStart w:id="924" w:name="_Toc517775257"/>
      <w:bookmarkStart w:id="925" w:name="_Toc520107005"/>
      <w:bookmarkStart w:id="926" w:name="_Toc523111630"/>
      <w:bookmarkStart w:id="927" w:name="_Toc122833226"/>
      <w:bookmarkStart w:id="928" w:name="_Toc122833793"/>
      <w:r>
        <w:rPr>
          <w:rStyle w:val="CharSectno"/>
        </w:rPr>
        <w:t>79</w:t>
      </w:r>
      <w:r>
        <w:rPr>
          <w:snapToGrid w:val="0"/>
        </w:rPr>
        <w:t>.</w:t>
      </w:r>
      <w:r>
        <w:rPr>
          <w:snapToGrid w:val="0"/>
        </w:rPr>
        <w:tab/>
        <w:t>Wilful and false representation</w:t>
      </w:r>
      <w:bookmarkEnd w:id="923"/>
      <w:bookmarkEnd w:id="924"/>
      <w:bookmarkEnd w:id="925"/>
      <w:bookmarkEnd w:id="926"/>
      <w:bookmarkEnd w:id="927"/>
      <w:bookmarkEnd w:id="928"/>
      <w:r>
        <w:rPr>
          <w:snapToGrid w:val="0"/>
        </w:rPr>
        <w:t xml:space="preserve"> </w:t>
      </w:r>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 xml:space="preserve">[Section 79 amended by No. 48 of 1993 s. 28(1); No. 42 of 2004 s. 63, 146 and 147.] </w:t>
      </w:r>
    </w:p>
    <w:p>
      <w:pPr>
        <w:pStyle w:val="Heading5"/>
        <w:rPr>
          <w:snapToGrid w:val="0"/>
        </w:rPr>
      </w:pPr>
      <w:bookmarkStart w:id="929" w:name="_Toc440877900"/>
      <w:bookmarkStart w:id="930" w:name="_Toc517775258"/>
      <w:bookmarkStart w:id="931" w:name="_Toc520107006"/>
      <w:bookmarkStart w:id="932" w:name="_Toc523111631"/>
      <w:bookmarkStart w:id="933" w:name="_Toc122833227"/>
      <w:bookmarkStart w:id="934" w:name="_Toc122833794"/>
      <w:r>
        <w:rPr>
          <w:rStyle w:val="CharSectno"/>
        </w:rPr>
        <w:t>80</w:t>
      </w:r>
      <w:r>
        <w:rPr>
          <w:snapToGrid w:val="0"/>
        </w:rPr>
        <w:t>.</w:t>
      </w:r>
      <w:r>
        <w:rPr>
          <w:snapToGrid w:val="0"/>
        </w:rPr>
        <w:tab/>
        <w:t>Effect on annual leave, long service leave and sick leave</w:t>
      </w:r>
      <w:bookmarkEnd w:id="929"/>
      <w:bookmarkEnd w:id="930"/>
      <w:bookmarkEnd w:id="931"/>
      <w:bookmarkEnd w:id="932"/>
      <w:bookmarkEnd w:id="933"/>
      <w:bookmarkEnd w:id="934"/>
      <w:r>
        <w:rPr>
          <w:snapToGrid w:val="0"/>
        </w:rPr>
        <w:t xml:space="preserve"> </w:t>
      </w:r>
    </w:p>
    <w:p>
      <w:pPr>
        <w:pStyle w:val="Subsection"/>
        <w:spacing w:before="80"/>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spacing w:before="80"/>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spacing w:before="80"/>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pPr>
      <w:r>
        <w:tab/>
        <w:t>[Section 80 amended by No. 42 of 2004 s. 64 and 147.]</w:t>
      </w:r>
    </w:p>
    <w:p>
      <w:pPr>
        <w:pStyle w:val="Heading5"/>
        <w:rPr>
          <w:snapToGrid w:val="0"/>
        </w:rPr>
      </w:pPr>
      <w:bookmarkStart w:id="935" w:name="_Toc440877901"/>
      <w:bookmarkStart w:id="936" w:name="_Toc517775259"/>
      <w:bookmarkStart w:id="937" w:name="_Toc520107007"/>
      <w:bookmarkStart w:id="938" w:name="_Toc523111632"/>
      <w:bookmarkStart w:id="939" w:name="_Toc122833228"/>
      <w:bookmarkStart w:id="940" w:name="_Toc122833795"/>
      <w:r>
        <w:rPr>
          <w:rStyle w:val="CharSectno"/>
        </w:rPr>
        <w:t>81</w:t>
      </w:r>
      <w:r>
        <w:rPr>
          <w:snapToGrid w:val="0"/>
        </w:rPr>
        <w:t>.</w:t>
      </w:r>
      <w:r>
        <w:rPr>
          <w:snapToGrid w:val="0"/>
        </w:rPr>
        <w:tab/>
        <w:t>Effect on public holidays pay</w:t>
      </w:r>
      <w:bookmarkEnd w:id="935"/>
      <w:bookmarkEnd w:id="936"/>
      <w:bookmarkEnd w:id="937"/>
      <w:bookmarkEnd w:id="938"/>
      <w:bookmarkEnd w:id="939"/>
      <w:bookmarkEnd w:id="940"/>
      <w:r>
        <w:rPr>
          <w:snapToGrid w:val="0"/>
        </w:rPr>
        <w:t xml:space="preserve"> </w:t>
      </w:r>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941" w:name="_Toc440877902"/>
      <w:bookmarkStart w:id="942" w:name="_Toc517775260"/>
      <w:bookmarkStart w:id="943" w:name="_Toc520107008"/>
      <w:bookmarkStart w:id="944" w:name="_Toc523111633"/>
      <w:bookmarkStart w:id="945" w:name="_Toc122833229"/>
      <w:bookmarkStart w:id="946" w:name="_Toc122833796"/>
      <w:r>
        <w:rPr>
          <w:rStyle w:val="CharSectno"/>
        </w:rPr>
        <w:t>82</w:t>
      </w:r>
      <w:r>
        <w:rPr>
          <w:snapToGrid w:val="0"/>
        </w:rPr>
        <w:t>.</w:t>
      </w:r>
      <w:r>
        <w:rPr>
          <w:snapToGrid w:val="0"/>
        </w:rPr>
        <w:tab/>
        <w:t>Recovery of cost of services rendered</w:t>
      </w:r>
      <w:bookmarkEnd w:id="941"/>
      <w:bookmarkEnd w:id="942"/>
      <w:bookmarkEnd w:id="943"/>
      <w:bookmarkEnd w:id="944"/>
      <w:bookmarkEnd w:id="945"/>
      <w:bookmarkEnd w:id="946"/>
      <w:r>
        <w:rPr>
          <w:snapToGrid w:val="0"/>
        </w:rPr>
        <w:t xml:space="preserve"> </w:t>
      </w:r>
    </w:p>
    <w:p>
      <w:pPr>
        <w:pStyle w:val="Subsection"/>
        <w:rPr>
          <w:snapToGrid w:val="0"/>
        </w:rPr>
      </w:pPr>
      <w:r>
        <w:rPr>
          <w:snapToGrid w:val="0"/>
        </w:rPr>
        <w:tab/>
      </w:r>
      <w:r>
        <w:rPr>
          <w:snapToGrid w:val="0"/>
        </w:rPr>
        <w:tab/>
        <w:t>Where a person or authority has rendered to or provided for a worker any services for the cost of which the employer is liable to pay to the worker under this Act —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947" w:name="_Toc440877903"/>
      <w:bookmarkStart w:id="948" w:name="_Toc517775261"/>
      <w:bookmarkStart w:id="949" w:name="_Toc520107009"/>
      <w:bookmarkStart w:id="950" w:name="_Toc523111634"/>
      <w:bookmarkStart w:id="951" w:name="_Toc122833230"/>
      <w:bookmarkStart w:id="952" w:name="_Toc122833797"/>
      <w:r>
        <w:rPr>
          <w:rStyle w:val="CharSectno"/>
        </w:rPr>
        <w:t>83</w:t>
      </w:r>
      <w:r>
        <w:rPr>
          <w:snapToGrid w:val="0"/>
        </w:rPr>
        <w:t>.</w:t>
      </w:r>
      <w:r>
        <w:rPr>
          <w:snapToGrid w:val="0"/>
        </w:rPr>
        <w:tab/>
        <w:t>Industrial award and partial incapacity</w:t>
      </w:r>
      <w:bookmarkEnd w:id="947"/>
      <w:bookmarkEnd w:id="948"/>
      <w:bookmarkEnd w:id="949"/>
      <w:bookmarkEnd w:id="950"/>
      <w:bookmarkEnd w:id="951"/>
      <w:bookmarkEnd w:id="952"/>
      <w:r>
        <w:rPr>
          <w:snapToGrid w:val="0"/>
        </w:rPr>
        <w:t xml:space="preserve"> </w:t>
      </w:r>
    </w:p>
    <w:p>
      <w:pPr>
        <w:pStyle w:val="Subsection"/>
        <w:rPr>
          <w:snapToGrid w:val="0"/>
        </w:rPr>
      </w:pPr>
      <w:r>
        <w:rPr>
          <w:snapToGrid w:val="0"/>
        </w:rPr>
        <w:tab/>
        <w:t>(1)</w:t>
      </w:r>
      <w:r>
        <w:rPr>
          <w:snapToGrid w:val="0"/>
        </w:rPr>
        <w:tab/>
        <w:t>Notwithstanding any industrial award or industrial agreement, other than any award or certified agreement</w:t>
      </w:r>
      <w:r>
        <w:t xml:space="preserve"> as those terms are defined in the </w:t>
      </w:r>
      <w:r>
        <w:rPr>
          <w:i/>
        </w:rPr>
        <w:t>Workplace Relations Act 1996</w:t>
      </w:r>
      <w:r>
        <w:t xml:space="preserve"> of the Commonwealth</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 xml:space="preserve">[Section 83 amended by No. 48 of 1993 s. 28(1); No. 42 of 2004 s. 65, 146 and 147.] </w:t>
      </w:r>
    </w:p>
    <w:p>
      <w:pPr>
        <w:pStyle w:val="Heading5"/>
        <w:rPr>
          <w:snapToGrid w:val="0"/>
        </w:rPr>
      </w:pPr>
      <w:bookmarkStart w:id="953" w:name="_Toc440877904"/>
      <w:bookmarkStart w:id="954" w:name="_Toc517775262"/>
      <w:bookmarkStart w:id="955" w:name="_Toc520107010"/>
      <w:bookmarkStart w:id="956" w:name="_Toc523111635"/>
      <w:bookmarkStart w:id="957" w:name="_Toc122833231"/>
      <w:bookmarkStart w:id="958" w:name="_Toc122833798"/>
      <w:r>
        <w:rPr>
          <w:rStyle w:val="CharSectno"/>
        </w:rPr>
        <w:t>84</w:t>
      </w:r>
      <w:r>
        <w:rPr>
          <w:snapToGrid w:val="0"/>
        </w:rPr>
        <w:t>.</w:t>
      </w:r>
      <w:r>
        <w:rPr>
          <w:snapToGrid w:val="0"/>
        </w:rPr>
        <w:tab/>
        <w:t>Worker not to be prejudiced by resuming work</w:t>
      </w:r>
      <w:bookmarkEnd w:id="953"/>
      <w:bookmarkEnd w:id="954"/>
      <w:bookmarkEnd w:id="955"/>
      <w:bookmarkEnd w:id="956"/>
      <w:bookmarkEnd w:id="957"/>
      <w:bookmarkEnd w:id="958"/>
      <w:r>
        <w:rPr>
          <w:snapToGrid w:val="0"/>
        </w:rPr>
        <w:t xml:space="preserve"> </w:t>
      </w:r>
    </w:p>
    <w:p>
      <w:pPr>
        <w:pStyle w:val="Subsection"/>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by No. 42 of 2004 s. 147.]</w:t>
      </w:r>
    </w:p>
    <w:p>
      <w:pPr>
        <w:pStyle w:val="Heading5"/>
        <w:rPr>
          <w:snapToGrid w:val="0"/>
        </w:rPr>
      </w:pPr>
      <w:bookmarkStart w:id="959" w:name="_Toc440877905"/>
      <w:bookmarkStart w:id="960" w:name="_Toc517775263"/>
      <w:bookmarkStart w:id="961" w:name="_Toc520107011"/>
      <w:bookmarkStart w:id="962" w:name="_Toc523111636"/>
      <w:bookmarkStart w:id="963" w:name="_Toc122833232"/>
      <w:bookmarkStart w:id="964" w:name="_Toc122833799"/>
      <w:r>
        <w:rPr>
          <w:rStyle w:val="CharSectno"/>
        </w:rPr>
        <w:t>84AA</w:t>
      </w:r>
      <w:r>
        <w:rPr>
          <w:snapToGrid w:val="0"/>
        </w:rPr>
        <w:t>.</w:t>
      </w:r>
      <w:r>
        <w:rPr>
          <w:snapToGrid w:val="0"/>
        </w:rPr>
        <w:tab/>
        <w:t>Employer to keep position available during worker’s incapacity</w:t>
      </w:r>
      <w:bookmarkEnd w:id="959"/>
      <w:bookmarkEnd w:id="960"/>
      <w:bookmarkEnd w:id="961"/>
      <w:bookmarkEnd w:id="962"/>
      <w:bookmarkEnd w:id="963"/>
      <w:bookmarkEnd w:id="964"/>
      <w:r>
        <w:rPr>
          <w:snapToGrid w:val="0"/>
        </w:rPr>
        <w:t xml:space="preserve"> </w:t>
      </w:r>
    </w:p>
    <w:p>
      <w:pPr>
        <w:pStyle w:val="Subsection"/>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rPr>
          <w:snapToGrid w:val="0"/>
        </w:rPr>
      </w:pPr>
      <w:r>
        <w:rPr>
          <w:snapToGrid w:val="0"/>
        </w:rPr>
        <w:tab/>
        <w:t>(b)</w:t>
      </w:r>
      <w:r>
        <w:rPr>
          <w:snapToGrid w:val="0"/>
        </w:rPr>
        <w:tab/>
        <w:t>if the position is not available, or if the worker does not have the capacity to work in that position, a position —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pPr>
      <w:r>
        <w:tab/>
        <w:t>[Section 84AA inserted by No. 48 of 1993 s. 39; amended by No. 42 of 2004 s. 147.]</w:t>
      </w:r>
    </w:p>
    <w:p>
      <w:pPr>
        <w:pStyle w:val="Heading5"/>
      </w:pPr>
      <w:bookmarkStart w:id="965" w:name="_Toc87252883"/>
      <w:bookmarkStart w:id="966" w:name="_Toc122833233"/>
      <w:bookmarkStart w:id="967" w:name="_Toc122833800"/>
      <w:bookmarkStart w:id="968" w:name="_Toc86739986"/>
      <w:bookmarkStart w:id="969" w:name="_Toc88562390"/>
      <w:bookmarkStart w:id="970" w:name="_Toc88625307"/>
      <w:bookmarkStart w:id="971" w:name="_Toc91385962"/>
      <w:bookmarkStart w:id="972" w:name="_Toc92704969"/>
      <w:bookmarkStart w:id="973" w:name="_Toc93222437"/>
      <w:bookmarkStart w:id="974" w:name="_Toc95022514"/>
      <w:bookmarkStart w:id="975" w:name="_Toc95117786"/>
      <w:bookmarkStart w:id="976" w:name="_Toc96498191"/>
      <w:bookmarkStart w:id="977" w:name="_Toc96500669"/>
      <w:bookmarkStart w:id="978" w:name="_Toc101779581"/>
      <w:bookmarkStart w:id="979" w:name="_Toc103060033"/>
      <w:bookmarkStart w:id="980" w:name="_Toc105470929"/>
      <w:bookmarkStart w:id="981" w:name="_Toc105474843"/>
      <w:bookmarkStart w:id="982" w:name="_Toc105475229"/>
      <w:bookmarkStart w:id="983" w:name="_Toc107307945"/>
      <w:bookmarkStart w:id="984" w:name="_Toc109712178"/>
      <w:bookmarkStart w:id="985" w:name="_Toc109724061"/>
      <w:bookmarkStart w:id="986" w:name="_Toc110053933"/>
      <w:bookmarkStart w:id="987" w:name="_Toc110054322"/>
      <w:bookmarkStart w:id="988" w:name="_Toc110654402"/>
      <w:bookmarkStart w:id="989" w:name="_Toc110735840"/>
      <w:bookmarkStart w:id="990" w:name="_Toc110738576"/>
      <w:bookmarkStart w:id="991" w:name="_Toc115691250"/>
      <w:bookmarkStart w:id="992" w:name="_Toc115773547"/>
      <w:r>
        <w:rPr>
          <w:rStyle w:val="CharSectno"/>
        </w:rPr>
        <w:t>84AB</w:t>
      </w:r>
      <w:r>
        <w:t>.</w:t>
      </w:r>
      <w:r>
        <w:tab/>
        <w:t>Employer to notify worker and WorkCover WA of intention to dismiss worker</w:t>
      </w:r>
      <w:bookmarkEnd w:id="965"/>
      <w:bookmarkEnd w:id="966"/>
      <w:bookmarkEnd w:id="967"/>
    </w:p>
    <w:p>
      <w:pPr>
        <w:pStyle w:val="Subsection"/>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pPr>
      <w:r>
        <w:tab/>
        <w:t>(2)</w:t>
      </w:r>
      <w:r>
        <w:tab/>
        <w:t xml:space="preserve">A notice of intention to dismiss a worker — </w:t>
      </w:r>
    </w:p>
    <w:p>
      <w:pPr>
        <w:pStyle w:val="Indenta"/>
      </w:pPr>
      <w:r>
        <w:tab/>
        <w:t>(a)</w:t>
      </w:r>
      <w:r>
        <w:tab/>
        <w:t>is to be given to the worker and to WorkCover WA not less than 28 days before the dismissal is to take effect; and</w:t>
      </w:r>
    </w:p>
    <w:p>
      <w:pPr>
        <w:pStyle w:val="Indenta"/>
      </w:pPr>
      <w:r>
        <w:tab/>
        <w:t>(b)</w:t>
      </w:r>
      <w:r>
        <w:tab/>
        <w:t>is to be in or to the effect of the form prescribed and contain substantially the information sought in the form.</w:t>
      </w:r>
    </w:p>
    <w:p>
      <w:pPr>
        <w:pStyle w:val="Subsection"/>
      </w:pPr>
      <w:r>
        <w:tab/>
        <w:t>(3)</w:t>
      </w:r>
      <w:r>
        <w:tab/>
        <w:t>Nothing in this section limits any other obligation of an employer or rights of a worker under this Act or any other written law.</w:t>
      </w:r>
    </w:p>
    <w:p>
      <w:pPr>
        <w:pStyle w:val="Footnotesection"/>
      </w:pPr>
      <w:r>
        <w:tab/>
        <w:t>[Section 84AB inserted by No. 42 of 2004 s. 66.]</w:t>
      </w:r>
    </w:p>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p>
      <w:pPr>
        <w:pStyle w:val="Ednotepart"/>
        <w:ind w:left="1440" w:hanging="1440"/>
      </w:pPr>
      <w:r>
        <w:t>[Part IIIA:</w:t>
      </w:r>
      <w:r>
        <w:tab/>
        <w:t>s. 84A-84ZZ repealed by No. 42 of 2004 s. 67;</w:t>
      </w:r>
      <w:r>
        <w:br/>
        <w:t>s. 84ZZA, 84ZZB repealed by No. 59 of 2004 s. 131.]</w:t>
      </w:r>
    </w:p>
    <w:p>
      <w:pPr>
        <w:pStyle w:val="Heading2"/>
      </w:pPr>
      <w:bookmarkStart w:id="993" w:name="_Toc86740047"/>
      <w:bookmarkStart w:id="994" w:name="_Toc88562451"/>
      <w:bookmarkStart w:id="995" w:name="_Toc88625368"/>
      <w:bookmarkStart w:id="996" w:name="_Toc91386023"/>
      <w:bookmarkStart w:id="997" w:name="_Toc92705030"/>
      <w:bookmarkStart w:id="998" w:name="_Toc93222498"/>
      <w:bookmarkStart w:id="999" w:name="_Toc95022575"/>
      <w:bookmarkStart w:id="1000" w:name="_Toc95117847"/>
      <w:bookmarkStart w:id="1001" w:name="_Toc96498252"/>
      <w:bookmarkStart w:id="1002" w:name="_Toc96500730"/>
      <w:bookmarkStart w:id="1003" w:name="_Toc101779644"/>
      <w:bookmarkStart w:id="1004" w:name="_Toc103060092"/>
      <w:bookmarkStart w:id="1005" w:name="_Toc105470988"/>
      <w:bookmarkStart w:id="1006" w:name="_Toc105474902"/>
      <w:bookmarkStart w:id="1007" w:name="_Toc107308004"/>
      <w:bookmarkStart w:id="1008" w:name="_Toc109712237"/>
      <w:bookmarkStart w:id="1009" w:name="_Toc109724120"/>
      <w:bookmarkStart w:id="1010" w:name="_Toc110053992"/>
      <w:bookmarkStart w:id="1011" w:name="_Toc110054381"/>
      <w:bookmarkStart w:id="1012" w:name="_Toc110654461"/>
      <w:bookmarkStart w:id="1013" w:name="_Toc110735899"/>
      <w:bookmarkStart w:id="1014" w:name="_Toc110738635"/>
      <w:bookmarkStart w:id="1015" w:name="_Toc115691309"/>
      <w:bookmarkStart w:id="1016" w:name="_Toc115773606"/>
      <w:bookmarkStart w:id="1017" w:name="_Toc119132515"/>
      <w:bookmarkStart w:id="1018" w:name="_Toc119203185"/>
      <w:bookmarkStart w:id="1019" w:name="_Toc119203831"/>
      <w:bookmarkStart w:id="1020" w:name="_Toc119216161"/>
      <w:bookmarkStart w:id="1021" w:name="_Toc119300681"/>
      <w:bookmarkStart w:id="1022" w:name="_Toc119301248"/>
      <w:bookmarkStart w:id="1023" w:name="_Toc119301817"/>
      <w:bookmarkStart w:id="1024" w:name="_Toc119920004"/>
      <w:bookmarkStart w:id="1025" w:name="_Toc122773991"/>
      <w:bookmarkStart w:id="1026" w:name="_Toc122833234"/>
      <w:bookmarkStart w:id="1027" w:name="_Toc122833801"/>
      <w:r>
        <w:rPr>
          <w:rStyle w:val="CharPartNo"/>
        </w:rPr>
        <w:t>Part IV</w:t>
      </w:r>
      <w:r>
        <w:t> — </w:t>
      </w:r>
      <w:r>
        <w:rPr>
          <w:rStyle w:val="CharPartText"/>
        </w:rPr>
        <w:t>Civil proceedings in addition to or independent of this Act</w:t>
      </w:r>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r>
        <w:rPr>
          <w:rStyle w:val="CharPartText"/>
        </w:rPr>
        <w:t xml:space="preserve"> </w:t>
      </w:r>
    </w:p>
    <w:p>
      <w:pPr>
        <w:pStyle w:val="Heading3"/>
        <w:rPr>
          <w:snapToGrid w:val="0"/>
        </w:rPr>
      </w:pPr>
      <w:bookmarkStart w:id="1028" w:name="_Toc86740048"/>
      <w:bookmarkStart w:id="1029" w:name="_Toc88562452"/>
      <w:bookmarkStart w:id="1030" w:name="_Toc88625369"/>
      <w:bookmarkStart w:id="1031" w:name="_Toc91386024"/>
      <w:bookmarkStart w:id="1032" w:name="_Toc92705031"/>
      <w:bookmarkStart w:id="1033" w:name="_Toc93222499"/>
      <w:bookmarkStart w:id="1034" w:name="_Toc95022576"/>
      <w:bookmarkStart w:id="1035" w:name="_Toc95117848"/>
      <w:bookmarkStart w:id="1036" w:name="_Toc96498253"/>
      <w:bookmarkStart w:id="1037" w:name="_Toc96500731"/>
      <w:bookmarkStart w:id="1038" w:name="_Toc101779645"/>
      <w:bookmarkStart w:id="1039" w:name="_Toc103060093"/>
      <w:bookmarkStart w:id="1040" w:name="_Toc105470989"/>
      <w:bookmarkStart w:id="1041" w:name="_Toc105474903"/>
      <w:bookmarkStart w:id="1042" w:name="_Toc107308005"/>
      <w:bookmarkStart w:id="1043" w:name="_Toc109712238"/>
      <w:bookmarkStart w:id="1044" w:name="_Toc109724121"/>
      <w:bookmarkStart w:id="1045" w:name="_Toc110053993"/>
      <w:bookmarkStart w:id="1046" w:name="_Toc110054382"/>
      <w:bookmarkStart w:id="1047" w:name="_Toc110654462"/>
      <w:bookmarkStart w:id="1048" w:name="_Toc110735900"/>
      <w:bookmarkStart w:id="1049" w:name="_Toc110738636"/>
      <w:bookmarkStart w:id="1050" w:name="_Toc115691310"/>
      <w:bookmarkStart w:id="1051" w:name="_Toc115773607"/>
      <w:bookmarkStart w:id="1052" w:name="_Toc119132516"/>
      <w:bookmarkStart w:id="1053" w:name="_Toc119203186"/>
      <w:bookmarkStart w:id="1054" w:name="_Toc119203832"/>
      <w:bookmarkStart w:id="1055" w:name="_Toc119216162"/>
      <w:bookmarkStart w:id="1056" w:name="_Toc119300682"/>
      <w:bookmarkStart w:id="1057" w:name="_Toc119301249"/>
      <w:bookmarkStart w:id="1058" w:name="_Toc119301818"/>
      <w:bookmarkStart w:id="1059" w:name="_Toc119920005"/>
      <w:bookmarkStart w:id="1060" w:name="_Toc122773992"/>
      <w:bookmarkStart w:id="1061" w:name="_Toc122833235"/>
      <w:bookmarkStart w:id="1062" w:name="_Toc122833802"/>
      <w:r>
        <w:rPr>
          <w:rStyle w:val="CharDivNo"/>
        </w:rPr>
        <w:t>Division 1</w:t>
      </w:r>
      <w:r>
        <w:rPr>
          <w:snapToGrid w:val="0"/>
        </w:rPr>
        <w:t> — </w:t>
      </w:r>
      <w:r>
        <w:rPr>
          <w:rStyle w:val="CharDivText"/>
        </w:rPr>
        <w:t>General</w:t>
      </w:r>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r>
        <w:rPr>
          <w:rStyle w:val="CharDivText"/>
        </w:rPr>
        <w:t xml:space="preserve"> </w:t>
      </w:r>
    </w:p>
    <w:p>
      <w:pPr>
        <w:pStyle w:val="Footnoteheading"/>
        <w:rPr>
          <w:snapToGrid w:val="0"/>
        </w:rPr>
      </w:pPr>
      <w:r>
        <w:rPr>
          <w:snapToGrid w:val="0"/>
        </w:rPr>
        <w:tab/>
        <w:t>[Heading inserted by No. 48 of 1993 s. 4(1).]</w:t>
      </w:r>
    </w:p>
    <w:p>
      <w:pPr>
        <w:pStyle w:val="Heading5"/>
        <w:rPr>
          <w:snapToGrid w:val="0"/>
        </w:rPr>
      </w:pPr>
      <w:bookmarkStart w:id="1063" w:name="_Toc440877960"/>
      <w:bookmarkStart w:id="1064" w:name="_Toc517775318"/>
      <w:bookmarkStart w:id="1065" w:name="_Toc520107066"/>
      <w:bookmarkStart w:id="1066" w:name="_Toc523111691"/>
      <w:bookmarkStart w:id="1067" w:name="_Toc122833236"/>
      <w:bookmarkStart w:id="1068" w:name="_Toc122833803"/>
      <w:r>
        <w:rPr>
          <w:rStyle w:val="CharSectno"/>
        </w:rPr>
        <w:t>85</w:t>
      </w:r>
      <w:r>
        <w:rPr>
          <w:snapToGrid w:val="0"/>
        </w:rPr>
        <w:t>.</w:t>
      </w:r>
      <w:r>
        <w:rPr>
          <w:snapToGrid w:val="0"/>
        </w:rPr>
        <w:tab/>
        <w:t>Saving — motor vehicle cases</w:t>
      </w:r>
      <w:bookmarkEnd w:id="1063"/>
      <w:bookmarkEnd w:id="1064"/>
      <w:bookmarkEnd w:id="1065"/>
      <w:bookmarkEnd w:id="1066"/>
      <w:bookmarkEnd w:id="1067"/>
      <w:bookmarkEnd w:id="1068"/>
      <w:r>
        <w:rPr>
          <w:snapToGrid w:val="0"/>
        </w:rPr>
        <w:t xml:space="preserve"> </w:t>
      </w:r>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1069" w:name="_Toc440877961"/>
      <w:bookmarkStart w:id="1070" w:name="_Toc517775319"/>
      <w:bookmarkStart w:id="1071" w:name="_Toc520107067"/>
      <w:bookmarkStart w:id="1072" w:name="_Toc523111692"/>
      <w:bookmarkStart w:id="1073" w:name="_Toc122833237"/>
      <w:bookmarkStart w:id="1074" w:name="_Toc122833804"/>
      <w:r>
        <w:rPr>
          <w:rStyle w:val="CharSectno"/>
        </w:rPr>
        <w:t>86</w:t>
      </w:r>
      <w:r>
        <w:rPr>
          <w:snapToGrid w:val="0"/>
        </w:rPr>
        <w:t>.</w:t>
      </w:r>
      <w:r>
        <w:rPr>
          <w:snapToGrid w:val="0"/>
        </w:rPr>
        <w:tab/>
        <w:t>Saving — independent liability</w:t>
      </w:r>
      <w:bookmarkEnd w:id="1069"/>
      <w:bookmarkEnd w:id="1070"/>
      <w:bookmarkEnd w:id="1071"/>
      <w:bookmarkEnd w:id="1072"/>
      <w:bookmarkEnd w:id="1073"/>
      <w:bookmarkEnd w:id="1074"/>
      <w:r>
        <w:rPr>
          <w:snapToGrid w:val="0"/>
        </w:rPr>
        <w:t xml:space="preserve"> </w:t>
      </w:r>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1075" w:name="_Toc440877962"/>
      <w:bookmarkStart w:id="1076" w:name="_Toc517775320"/>
      <w:bookmarkStart w:id="1077" w:name="_Toc520107068"/>
      <w:bookmarkStart w:id="1078" w:name="_Toc523111693"/>
      <w:bookmarkStart w:id="1079" w:name="_Toc122833238"/>
      <w:bookmarkStart w:id="1080" w:name="_Toc122833805"/>
      <w:r>
        <w:rPr>
          <w:rStyle w:val="CharSectno"/>
        </w:rPr>
        <w:t>87</w:t>
      </w:r>
      <w:r>
        <w:rPr>
          <w:snapToGrid w:val="0"/>
        </w:rPr>
        <w:t>.</w:t>
      </w:r>
      <w:r>
        <w:rPr>
          <w:snapToGrid w:val="0"/>
        </w:rPr>
        <w:tab/>
        <w:t>Costs between solicitor and client in common law actions</w:t>
      </w:r>
      <w:bookmarkEnd w:id="1075"/>
      <w:bookmarkEnd w:id="1076"/>
      <w:bookmarkEnd w:id="1077"/>
      <w:bookmarkEnd w:id="1078"/>
      <w:bookmarkEnd w:id="1079"/>
      <w:bookmarkEnd w:id="1080"/>
      <w:r>
        <w:rPr>
          <w:snapToGrid w:val="0"/>
        </w:rPr>
        <w:t xml:space="preserve"> </w:t>
      </w:r>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legal costs determination (as defined in the </w:t>
      </w:r>
      <w:r>
        <w:rPr>
          <w:i/>
        </w:rPr>
        <w:t>Legal Practice Act 2003</w:t>
      </w:r>
      <w:r>
        <w:t>)</w:t>
      </w:r>
      <w:r>
        <w:rPr>
          <w:snapToGrid w:val="0"/>
        </w:rPr>
        <w:t>.</w:t>
      </w:r>
    </w:p>
    <w:p>
      <w:pPr>
        <w:pStyle w:val="Subsection"/>
        <w:rPr>
          <w:snapToGrid w:val="0"/>
        </w:rPr>
      </w:pPr>
      <w:r>
        <w:rPr>
          <w:snapToGrid w:val="0"/>
        </w:rPr>
        <w:tab/>
        <w:t>(3)</w:t>
      </w:r>
      <w:r>
        <w:rPr>
          <w:snapToGrid w:val="0"/>
        </w:rPr>
        <w:tab/>
        <w:t>An agreement is void —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rPr>
        <w:t>.</w:t>
      </w:r>
    </w:p>
    <w:p>
      <w:pPr>
        <w:pStyle w:val="Footnotesection"/>
      </w:pPr>
      <w:r>
        <w:tab/>
        <w:t xml:space="preserve">[Section 87 inserted by No. 48 of 1993 s. 4(2); amended by No. 65 of 2003 s. 72(2).] </w:t>
      </w:r>
    </w:p>
    <w:p>
      <w:pPr>
        <w:pStyle w:val="Ednotesection"/>
      </w:pPr>
      <w:r>
        <w:t>[</w:t>
      </w:r>
      <w:r>
        <w:rPr>
          <w:b/>
        </w:rPr>
        <w:t>88-90.</w:t>
      </w:r>
      <w:r>
        <w:t xml:space="preserve">  Repealed by No. 48 of 1993 s. 4(2).] </w:t>
      </w:r>
    </w:p>
    <w:p>
      <w:pPr>
        <w:pStyle w:val="Heading5"/>
        <w:rPr>
          <w:snapToGrid w:val="0"/>
        </w:rPr>
      </w:pPr>
      <w:bookmarkStart w:id="1081" w:name="_Toc440877963"/>
      <w:bookmarkStart w:id="1082" w:name="_Toc517775321"/>
      <w:bookmarkStart w:id="1083" w:name="_Toc520107069"/>
      <w:bookmarkStart w:id="1084" w:name="_Toc523111694"/>
      <w:bookmarkStart w:id="1085" w:name="_Toc122833239"/>
      <w:bookmarkStart w:id="1086" w:name="_Toc122833806"/>
      <w:r>
        <w:rPr>
          <w:rStyle w:val="CharSectno"/>
        </w:rPr>
        <w:t>91</w:t>
      </w:r>
      <w:r>
        <w:rPr>
          <w:snapToGrid w:val="0"/>
        </w:rPr>
        <w:t>.</w:t>
      </w:r>
      <w:r>
        <w:rPr>
          <w:snapToGrid w:val="0"/>
        </w:rPr>
        <w:tab/>
        <w:t>Where action brought for injury for which compensation is payable under this Act</w:t>
      </w:r>
      <w:bookmarkEnd w:id="1081"/>
      <w:bookmarkEnd w:id="1082"/>
      <w:bookmarkEnd w:id="1083"/>
      <w:bookmarkEnd w:id="1084"/>
      <w:bookmarkEnd w:id="1085"/>
      <w:bookmarkEnd w:id="1086"/>
      <w:r>
        <w:rPr>
          <w:snapToGrid w:val="0"/>
        </w:rPr>
        <w:t xml:space="preserve"> </w:t>
      </w:r>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DRD Rules, a referral under subsection (1) is to be dealt with as if it were an application for resolution of a dispute under Part XI.</w:t>
      </w:r>
    </w:p>
    <w:p>
      <w:pPr>
        <w:pStyle w:val="Footnotesection"/>
      </w:pPr>
      <w:r>
        <w:tab/>
        <w:t xml:space="preserve">[Section 91 amended by No. 48 of 1993 s. 28(1); No. 42 of 2004 s. 68 and 147.] </w:t>
      </w:r>
    </w:p>
    <w:p>
      <w:pPr>
        <w:pStyle w:val="Heading5"/>
        <w:rPr>
          <w:snapToGrid w:val="0"/>
        </w:rPr>
      </w:pPr>
      <w:bookmarkStart w:id="1087" w:name="_Toc440877964"/>
      <w:bookmarkStart w:id="1088" w:name="_Toc517775322"/>
      <w:bookmarkStart w:id="1089" w:name="_Toc520107070"/>
      <w:bookmarkStart w:id="1090" w:name="_Toc523111695"/>
      <w:bookmarkStart w:id="1091" w:name="_Toc122833240"/>
      <w:bookmarkStart w:id="1092" w:name="_Toc122833807"/>
      <w:r>
        <w:rPr>
          <w:rStyle w:val="CharSectno"/>
        </w:rPr>
        <w:t>92</w:t>
      </w:r>
      <w:r>
        <w:rPr>
          <w:snapToGrid w:val="0"/>
        </w:rPr>
        <w:t>.</w:t>
      </w:r>
      <w:r>
        <w:rPr>
          <w:snapToGrid w:val="0"/>
        </w:rPr>
        <w:tab/>
        <w:t>Both damages and compensation not recoverable</w:t>
      </w:r>
      <w:bookmarkEnd w:id="1087"/>
      <w:bookmarkEnd w:id="1088"/>
      <w:bookmarkEnd w:id="1089"/>
      <w:bookmarkEnd w:id="1090"/>
      <w:bookmarkEnd w:id="1091"/>
      <w:bookmarkEnd w:id="1092"/>
      <w:r>
        <w:rPr>
          <w:snapToGrid w:val="0"/>
        </w:rPr>
        <w:t xml:space="preserve"> </w:t>
      </w:r>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rPr>
          <w:b/>
          <w:snapToGrid w:val="0"/>
        </w:rPr>
        <w:t>“</w:t>
      </w:r>
      <w:r>
        <w:rPr>
          <w:rStyle w:val="CharDefText"/>
        </w:rPr>
        <w:t>the defendant</w:t>
      </w:r>
      <w:r>
        <w:rPr>
          <w:b/>
          <w:snapToGrid w:val="0"/>
        </w:rPr>
        <w:t>”</w:t>
      </w:r>
      <w:r>
        <w:rPr>
          <w:snapToGrid w:val="0"/>
        </w:rPr>
        <w:t>) or against both of them — </w:t>
      </w:r>
    </w:p>
    <w:p>
      <w:pPr>
        <w:pStyle w:val="Indenta"/>
        <w:spacing w:before="120"/>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spacing w:before="120"/>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spacing w:before="120"/>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spacing w:before="120"/>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spacing w:before="120"/>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spacing w:before="120"/>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 xml:space="preserve">[Section 92 amended by No. 48 of 1993 s. 28(1); No. 42 of 2004 s. 69, 146 and 147.] </w:t>
      </w:r>
    </w:p>
    <w:p>
      <w:pPr>
        <w:pStyle w:val="Heading5"/>
        <w:rPr>
          <w:snapToGrid w:val="0"/>
        </w:rPr>
      </w:pPr>
      <w:bookmarkStart w:id="1093" w:name="_Toc440877965"/>
      <w:bookmarkStart w:id="1094" w:name="_Toc517775323"/>
      <w:bookmarkStart w:id="1095" w:name="_Toc520107071"/>
      <w:bookmarkStart w:id="1096" w:name="_Toc523111696"/>
      <w:bookmarkStart w:id="1097" w:name="_Toc122833241"/>
      <w:bookmarkStart w:id="1098" w:name="_Toc122833808"/>
      <w:r>
        <w:rPr>
          <w:rStyle w:val="CharSectno"/>
        </w:rPr>
        <w:t>93</w:t>
      </w:r>
      <w:r>
        <w:rPr>
          <w:snapToGrid w:val="0"/>
        </w:rPr>
        <w:t>.</w:t>
      </w:r>
      <w:r>
        <w:rPr>
          <w:snapToGrid w:val="0"/>
        </w:rPr>
        <w:tab/>
        <w:t>Remedies against stranger</w:t>
      </w:r>
      <w:bookmarkEnd w:id="1093"/>
      <w:bookmarkEnd w:id="1094"/>
      <w:bookmarkEnd w:id="1095"/>
      <w:bookmarkEnd w:id="1096"/>
      <w:bookmarkEnd w:id="1097"/>
      <w:bookmarkEnd w:id="1098"/>
      <w:r>
        <w:rPr>
          <w:snapToGrid w:val="0"/>
        </w:rPr>
        <w:t xml:space="preserve"> </w:t>
      </w:r>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rPr>
          <w:b/>
          <w:snapToGrid w:val="0"/>
        </w:rPr>
        <w:t>“</w:t>
      </w:r>
      <w:r>
        <w:rPr>
          <w:rStyle w:val="CharDefText"/>
        </w:rPr>
        <w:t>the defendant</w:t>
      </w:r>
      <w:r>
        <w:rPr>
          <w:b/>
          <w:snapToGrid w:val="0"/>
        </w:rPr>
        <w: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pPr>
      <w:r>
        <w:tab/>
        <w:t xml:space="preserve">[Section 93 amended by No. 48 of 1993 s. 28(1); No. 42 of 2004 s. 70 and 147.] </w:t>
      </w:r>
    </w:p>
    <w:p>
      <w:pPr>
        <w:pStyle w:val="Heading3"/>
      </w:pPr>
      <w:bookmarkStart w:id="1099" w:name="_Toc91386031"/>
      <w:bookmarkStart w:id="1100" w:name="_Toc92705038"/>
      <w:bookmarkStart w:id="1101" w:name="_Toc93222506"/>
      <w:bookmarkStart w:id="1102" w:name="_Toc95022583"/>
      <w:bookmarkStart w:id="1103" w:name="_Toc95117855"/>
      <w:bookmarkStart w:id="1104" w:name="_Toc96498260"/>
      <w:bookmarkStart w:id="1105" w:name="_Toc96500738"/>
      <w:bookmarkStart w:id="1106" w:name="_Toc101779652"/>
      <w:bookmarkStart w:id="1107" w:name="_Toc103060100"/>
      <w:bookmarkStart w:id="1108" w:name="_Toc105470996"/>
      <w:bookmarkStart w:id="1109" w:name="_Toc105474910"/>
      <w:bookmarkStart w:id="1110" w:name="_Toc107308012"/>
      <w:bookmarkStart w:id="1111" w:name="_Toc109712245"/>
      <w:bookmarkStart w:id="1112" w:name="_Toc109724128"/>
      <w:bookmarkStart w:id="1113" w:name="_Toc110054000"/>
      <w:bookmarkStart w:id="1114" w:name="_Toc110054389"/>
      <w:bookmarkStart w:id="1115" w:name="_Toc110654469"/>
      <w:bookmarkStart w:id="1116" w:name="_Toc110735907"/>
      <w:bookmarkStart w:id="1117" w:name="_Toc110738643"/>
      <w:bookmarkStart w:id="1118" w:name="_Toc115691317"/>
      <w:bookmarkStart w:id="1119" w:name="_Toc115773614"/>
      <w:bookmarkStart w:id="1120" w:name="_Toc119132523"/>
      <w:bookmarkStart w:id="1121" w:name="_Toc119203193"/>
      <w:bookmarkStart w:id="1122" w:name="_Toc119203839"/>
      <w:bookmarkStart w:id="1123" w:name="_Toc119216169"/>
      <w:bookmarkStart w:id="1124" w:name="_Toc119300689"/>
      <w:bookmarkStart w:id="1125" w:name="_Toc119301256"/>
      <w:bookmarkStart w:id="1126" w:name="_Toc119301825"/>
      <w:bookmarkStart w:id="1127" w:name="_Toc119920012"/>
      <w:bookmarkStart w:id="1128" w:name="_Toc122773999"/>
      <w:bookmarkStart w:id="1129" w:name="_Toc122833242"/>
      <w:bookmarkStart w:id="1130" w:name="_Toc122833809"/>
      <w:bookmarkStart w:id="1131" w:name="_Toc86740055"/>
      <w:bookmarkStart w:id="1132" w:name="_Toc88562459"/>
      <w:bookmarkStart w:id="1133" w:name="_Toc88625376"/>
      <w:r>
        <w:rPr>
          <w:rStyle w:val="CharDivNo"/>
        </w:rPr>
        <w:t>Division 1a</w:t>
      </w:r>
      <w:r>
        <w:t> — </w:t>
      </w:r>
      <w:r>
        <w:rPr>
          <w:rStyle w:val="CharDivText"/>
        </w:rPr>
        <w:t>Choice of law</w:t>
      </w:r>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r>
        <w:rPr>
          <w:rStyle w:val="CharDivText"/>
        </w:rPr>
        <w:t xml:space="preserve"> </w:t>
      </w:r>
    </w:p>
    <w:p>
      <w:pPr>
        <w:pStyle w:val="Footnoteheading"/>
        <w:tabs>
          <w:tab w:val="left" w:pos="851"/>
        </w:tabs>
      </w:pPr>
      <w:r>
        <w:tab/>
        <w:t>[Heading inserted by No. 36 of 2004 s. 10.]</w:t>
      </w:r>
    </w:p>
    <w:p>
      <w:pPr>
        <w:pStyle w:val="Heading5"/>
      </w:pPr>
      <w:bookmarkStart w:id="1134" w:name="_Toc122833243"/>
      <w:bookmarkStart w:id="1135" w:name="_Toc122833810"/>
      <w:r>
        <w:rPr>
          <w:rStyle w:val="CharSectno"/>
        </w:rPr>
        <w:t>93AA</w:t>
      </w:r>
      <w:r>
        <w:t>.</w:t>
      </w:r>
      <w:r>
        <w:tab/>
        <w:t>The applicable substantive law for work injury claims</w:t>
      </w:r>
      <w:bookmarkEnd w:id="1134"/>
      <w:bookmarkEnd w:id="1135"/>
    </w:p>
    <w:p>
      <w:pPr>
        <w:pStyle w:val="Subsection"/>
      </w:pPr>
      <w:r>
        <w:tab/>
        <w:t>(1)</w:t>
      </w:r>
      <w:r>
        <w:tab/>
        <w:t xml:space="preserve">If there is an entitlement to compensation under the statutory workers’ compensation scheme of a State in respect of an injury to a worker (whether or not compensation has been paid), the substantive law of that State is the substantive law that governs — </w:t>
      </w:r>
    </w:p>
    <w:p>
      <w:pPr>
        <w:pStyle w:val="Indenta"/>
      </w:pPr>
      <w:r>
        <w:tab/>
        <w:t>(a)</w:t>
      </w:r>
      <w:r>
        <w:tab/>
        <w:t>whether or not a claim for damages in respect of the injury can be made; and</w:t>
      </w:r>
    </w:p>
    <w:p>
      <w:pPr>
        <w:pStyle w:val="Indenta"/>
      </w:pPr>
      <w:r>
        <w:tab/>
        <w:t>(b)</w:t>
      </w:r>
      <w:r>
        <w:tab/>
        <w:t>if it can be made, the determination of the claim.</w:t>
      </w:r>
    </w:p>
    <w:p>
      <w:pPr>
        <w:pStyle w:val="Subsection"/>
      </w:pPr>
      <w:r>
        <w:tab/>
        <w:t>(2)</w:t>
      </w:r>
      <w:r>
        <w:tab/>
        <w:t>This Division does not apply if compensation is payable in respect of the injury under the statutory workers’ compensation scheme of more than one State.</w:t>
      </w:r>
    </w:p>
    <w:p>
      <w:pPr>
        <w:pStyle w:val="Subsection"/>
      </w:pPr>
      <w:r>
        <w:tab/>
        <w:t>(3)</w:t>
      </w:r>
      <w:r>
        <w:tab/>
        <w:t xml:space="preserve">For the purposes of this section, compensation is considered to be payable under a statutory workers’ compensation scheme of a State in respect of an injury if compensation in respect of it — </w:t>
      </w:r>
    </w:p>
    <w:p>
      <w:pPr>
        <w:pStyle w:val="Indenta"/>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pPr>
      <w:r>
        <w:tab/>
        <w:t>(b)</w:t>
      </w:r>
      <w:r>
        <w:tab/>
        <w:t>would have been payable if a claim for that compensation had been duly made, and (where applicable) an election to claim that compensation (instead of damages) had been duly made.</w:t>
      </w:r>
    </w:p>
    <w:p>
      <w:pPr>
        <w:pStyle w:val="Subsection"/>
      </w:pPr>
      <w:r>
        <w:tab/>
        <w:t>(4)</w:t>
      </w:r>
      <w:r>
        <w:tab/>
        <w:t>A reference in this section to compensation payable in respect of an injury does not include a reference to compensation payable on the basis of the provisional acceptance of liability.</w:t>
      </w:r>
    </w:p>
    <w:p>
      <w:pPr>
        <w:pStyle w:val="Footnotesection"/>
      </w:pPr>
      <w:r>
        <w:tab/>
        <w:t>[Section 93AA inserted by No. 36 of 2004 s. 10; amended by No. 36 of 2004 s. 16 and 17(4).]</w:t>
      </w:r>
    </w:p>
    <w:p>
      <w:pPr>
        <w:pStyle w:val="Heading5"/>
      </w:pPr>
      <w:bookmarkStart w:id="1136" w:name="_Toc122833244"/>
      <w:bookmarkStart w:id="1137" w:name="_Toc122833811"/>
      <w:r>
        <w:rPr>
          <w:rStyle w:val="CharSectno"/>
        </w:rPr>
        <w:t>93AB</w:t>
      </w:r>
      <w:r>
        <w:t>.</w:t>
      </w:r>
      <w:r>
        <w:tab/>
        <w:t>Claims to which Division applies</w:t>
      </w:r>
      <w:bookmarkEnd w:id="1136"/>
      <w:bookmarkEnd w:id="1137"/>
    </w:p>
    <w:p>
      <w:pPr>
        <w:pStyle w:val="Subsection"/>
      </w:pPr>
      <w:r>
        <w:tab/>
        <w:t>(1)</w:t>
      </w:r>
      <w:r>
        <w:tab/>
        <w:t xml:space="preserve">This Division applies to a claim for damages or recovery of contribution brought against a worker’s employer in respect of an injury that was caused by — </w:t>
      </w:r>
    </w:p>
    <w:p>
      <w:pPr>
        <w:pStyle w:val="Indenta"/>
      </w:pPr>
      <w:r>
        <w:tab/>
        <w:t>(a)</w:t>
      </w:r>
      <w:r>
        <w:tab/>
        <w:t>the negligence or other tort (including breach of statutory duty) of the worker’s employer; or</w:t>
      </w:r>
    </w:p>
    <w:p>
      <w:pPr>
        <w:pStyle w:val="Indenta"/>
      </w:pPr>
      <w:r>
        <w:tab/>
        <w:t>(b)</w:t>
      </w:r>
      <w:r>
        <w:tab/>
        <w:t>a breach of contract by the worker’s employer.</w:t>
      </w:r>
    </w:p>
    <w:p>
      <w:pPr>
        <w:pStyle w:val="Subsection"/>
      </w:pPr>
      <w:r>
        <w:tab/>
        <w:t>(2)</w:t>
      </w:r>
      <w:r>
        <w:tab/>
        <w:t xml:space="preserve">This Division also applies to a claim for damages or recovery of contribution brought against a person other than a worker’s employer in respect of an injury if —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 xml:space="preserve">A reference in this Division to a worker’s employer includes a reference to —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by No. 36 of 2004 s. 10; amended by No. 36 of 2004 s. 16.]</w:t>
      </w:r>
    </w:p>
    <w:p>
      <w:pPr>
        <w:pStyle w:val="Heading5"/>
      </w:pPr>
      <w:bookmarkStart w:id="1138" w:name="_Toc122833245"/>
      <w:bookmarkStart w:id="1139" w:name="_Toc122833812"/>
      <w:r>
        <w:rPr>
          <w:rStyle w:val="CharSectno"/>
        </w:rPr>
        <w:t>93AC</w:t>
      </w:r>
      <w:r>
        <w:t>.</w:t>
      </w:r>
      <w:r>
        <w:tab/>
        <w:t>What constitutes injury and employment</w:t>
      </w:r>
      <w:bookmarkEnd w:id="1138"/>
      <w:bookmarkEnd w:id="1139"/>
      <w:r>
        <w:t xml:space="preserve"> </w:t>
      </w:r>
    </w:p>
    <w:p>
      <w:pPr>
        <w:pStyle w:val="Subsection"/>
      </w:pPr>
      <w:r>
        <w:tab/>
      </w:r>
      <w:r>
        <w:tab/>
        <w:t xml:space="preserve">For the purposes of this Division — </w:t>
      </w:r>
    </w:p>
    <w:p>
      <w:pPr>
        <w:pStyle w:val="Indenta"/>
      </w:pPr>
      <w:r>
        <w:tab/>
        <w:t>(a)</w:t>
      </w:r>
      <w:r>
        <w:tab/>
      </w:r>
      <w:r>
        <w:rPr>
          <w:b/>
        </w:rPr>
        <w:t>“</w:t>
      </w:r>
      <w:r>
        <w:rPr>
          <w:rStyle w:val="CharDefText"/>
        </w:rPr>
        <w:t>injury</w:t>
      </w:r>
      <w:r>
        <w:rPr>
          <w:b/>
        </w:rPr>
        <w:t>”</w:t>
      </w:r>
      <w:r>
        <w:t xml:space="preserve">, </w:t>
      </w:r>
      <w:r>
        <w:rPr>
          <w:b/>
        </w:rPr>
        <w:t>“</w:t>
      </w:r>
      <w:r>
        <w:rPr>
          <w:rStyle w:val="CharDefText"/>
        </w:rPr>
        <w:t>employer</w:t>
      </w:r>
      <w:r>
        <w:rPr>
          <w:b/>
        </w:rPr>
        <w:t>”</w:t>
      </w:r>
      <w:r>
        <w:t xml:space="preserve"> and </w:t>
      </w:r>
      <w:r>
        <w:rPr>
          <w:b/>
        </w:rPr>
        <w:t>“</w:t>
      </w:r>
      <w:r>
        <w:rPr>
          <w:rStyle w:val="CharDefText"/>
        </w:rPr>
        <w:t>worker</w:t>
      </w:r>
      <w:r>
        <w:rPr>
          <w:b/>
        </w:rPr>
        <w:t>”</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pPr>
      <w:r>
        <w:tab/>
        <w:t>[Section 93AC inserted by No. 36 of 2004 s. 10; amended by No. 36 of 2004 s. 17(1).]</w:t>
      </w:r>
    </w:p>
    <w:p>
      <w:pPr>
        <w:pStyle w:val="Heading5"/>
      </w:pPr>
      <w:bookmarkStart w:id="1140" w:name="_Toc122833246"/>
      <w:bookmarkStart w:id="1141" w:name="_Toc122833813"/>
      <w:r>
        <w:rPr>
          <w:rStyle w:val="CharSectno"/>
        </w:rPr>
        <w:t>93AD</w:t>
      </w:r>
      <w:r>
        <w:t>.</w:t>
      </w:r>
      <w:r>
        <w:tab/>
        <w:t>Claim in respect of death included</w:t>
      </w:r>
      <w:bookmarkEnd w:id="1140"/>
      <w:bookmarkEnd w:id="1141"/>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by No. 36 of 2004 s. 10; amended by No. 36 of 2004 s. 16 and 17(2).]</w:t>
      </w:r>
    </w:p>
    <w:p>
      <w:pPr>
        <w:pStyle w:val="Heading5"/>
      </w:pPr>
      <w:bookmarkStart w:id="1142" w:name="_Toc122833247"/>
      <w:bookmarkStart w:id="1143" w:name="_Toc122833814"/>
      <w:r>
        <w:rPr>
          <w:rStyle w:val="CharSectno"/>
        </w:rPr>
        <w:t>93AE</w:t>
      </w:r>
      <w:r>
        <w:t>.</w:t>
      </w:r>
      <w:r>
        <w:tab/>
        <w:t>Meaning of “substantive law”</w:t>
      </w:r>
      <w:bookmarkEnd w:id="1142"/>
      <w:bookmarkEnd w:id="1143"/>
    </w:p>
    <w:p>
      <w:pPr>
        <w:pStyle w:val="Subsection"/>
      </w:pPr>
      <w:r>
        <w:tab/>
      </w:r>
      <w:r>
        <w:tab/>
        <w:t xml:space="preserve">In this Division — </w:t>
      </w:r>
    </w:p>
    <w:p>
      <w:pPr>
        <w:pStyle w:val="Defstart"/>
      </w:pPr>
      <w:r>
        <w:tab/>
      </w:r>
      <w:r>
        <w:rPr>
          <w:b/>
        </w:rPr>
        <w:t>“</w:t>
      </w:r>
      <w:r>
        <w:rPr>
          <w:rStyle w:val="CharDefText"/>
        </w:rPr>
        <w:t>a State’s legislation about damages for a work related injury</w:t>
      </w:r>
      <w:r>
        <w:rPr>
          <w:b/>
        </w:rPr>
        <w:t>”</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b/>
        </w:rPr>
        <w:t>“</w:t>
      </w:r>
      <w:r>
        <w:rPr>
          <w:rStyle w:val="CharDefText"/>
        </w:rPr>
        <w:t>substantive law</w:t>
      </w:r>
      <w:r>
        <w:rPr>
          <w:b/>
        </w:rPr>
        <w:t>”</w:t>
      </w:r>
      <w:r>
        <w:t xml:space="preserve"> includes —</w:t>
      </w:r>
    </w:p>
    <w:p>
      <w:pPr>
        <w:pStyle w:val="Defpara"/>
      </w:pPr>
      <w:r>
        <w:tab/>
        <w:t>(a)</w:t>
      </w:r>
      <w:r>
        <w:tab/>
        <w:t>a law that establishes, modifies, or extinguishes a cause of action or a defence to a cause of action;</w:t>
      </w:r>
    </w:p>
    <w:p>
      <w:pPr>
        <w:pStyle w:val="Defpara"/>
      </w:pPr>
      <w:r>
        <w:tab/>
        <w:t>(b)</w:t>
      </w:r>
      <w:r>
        <w:tab/>
        <w:t>a law prescribing the time within which an action must be brought (including a law providing for the extension or abridgment of that time);</w:t>
      </w:r>
    </w:p>
    <w:p>
      <w:pPr>
        <w:pStyle w:val="Defpara"/>
      </w:pPr>
      <w:r>
        <w:tab/>
        <w:t>(c)</w:t>
      </w:r>
      <w:r>
        <w:tab/>
        <w:t>a law that provides for the limitation or exclusion of liability or the barring of a right of action if a proceeding on, or arbitration of, a claim is not commenced within a particular time limit;</w:t>
      </w:r>
    </w:p>
    <w:p>
      <w:pPr>
        <w:pStyle w:val="Defpara"/>
      </w:pPr>
      <w:r>
        <w:tab/>
        <w:t>(d)</w:t>
      </w:r>
      <w:r>
        <w:tab/>
        <w:t>a law that limits the kinds of injury, loss or damage for which damages or compensation may be recovered;</w:t>
      </w:r>
    </w:p>
    <w:p>
      <w:pPr>
        <w:pStyle w:val="Defpara"/>
      </w:pPr>
      <w:r>
        <w:tab/>
        <w:t>(e)</w:t>
      </w:r>
      <w:r>
        <w:tab/>
        <w:t>a law that precludes the recovery of damages or compensation or limits the amount of damages or compensation that can be recovered;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pPr>
      <w:r>
        <w:tab/>
      </w:r>
      <w:r>
        <w:tab/>
        <w:t>but does not include a law prescribing rules for choice of law.</w:t>
      </w:r>
    </w:p>
    <w:p>
      <w:pPr>
        <w:pStyle w:val="Footnotesection"/>
      </w:pPr>
      <w:r>
        <w:tab/>
        <w:t>[Section 93AE inserted by No. 36 of 2004 s. 10; amended by No. 36 of 2004 s. 17(3).]</w:t>
      </w:r>
    </w:p>
    <w:p>
      <w:pPr>
        <w:pStyle w:val="Heading5"/>
      </w:pPr>
      <w:bookmarkStart w:id="1144" w:name="_Toc122833248"/>
      <w:bookmarkStart w:id="1145" w:name="_Toc122833815"/>
      <w:r>
        <w:rPr>
          <w:rStyle w:val="CharSectno"/>
        </w:rPr>
        <w:t>93AF</w:t>
      </w:r>
      <w:r>
        <w:t>.</w:t>
      </w:r>
      <w:r>
        <w:tab/>
        <w:t>Availability of action in another State not relevant</w:t>
      </w:r>
      <w:bookmarkEnd w:id="1144"/>
      <w:bookmarkEnd w:id="1145"/>
    </w:p>
    <w:p>
      <w:pPr>
        <w:pStyle w:val="Subsection"/>
        <w:outlineLvl w:val="0"/>
      </w:pPr>
      <w:r>
        <w:tab/>
        <w:t>(1)</w:t>
      </w:r>
      <w:r>
        <w:tab/>
        <w:t xml:space="preserve">It makes no difference for the purposes of this Division that, under the substantive law of another State —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outlineLvl w:val="0"/>
      </w:pPr>
      <w:r>
        <w:tab/>
        <w:t>(2)</w:t>
      </w:r>
      <w:r>
        <w:tab/>
        <w:t>In subsection (1) —</w:t>
      </w:r>
    </w:p>
    <w:p>
      <w:pPr>
        <w:pStyle w:val="Defstart"/>
      </w:pPr>
      <w:r>
        <w:tab/>
      </w:r>
      <w:r>
        <w:rPr>
          <w:b/>
        </w:rPr>
        <w:t>“</w:t>
      </w:r>
      <w:r>
        <w:rPr>
          <w:rStyle w:val="CharDefText"/>
        </w:rPr>
        <w:t>another State</w:t>
      </w:r>
      <w:r>
        <w:rPr>
          <w:b/>
        </w:rPr>
        <w:t>”</w:t>
      </w:r>
      <w:r>
        <w:t xml:space="preserve"> means a State other than the State with which the worker’s employment is connected.</w:t>
      </w:r>
    </w:p>
    <w:p>
      <w:pPr>
        <w:pStyle w:val="Footnotesection"/>
      </w:pPr>
      <w:r>
        <w:tab/>
        <w:t>[Section 93AF inserted by No. 36 of 2004 s. 10.]</w:t>
      </w:r>
    </w:p>
    <w:p>
      <w:pPr>
        <w:pStyle w:val="Heading3"/>
        <w:spacing w:before="220"/>
        <w:rPr>
          <w:snapToGrid w:val="0"/>
        </w:rPr>
      </w:pPr>
      <w:bookmarkStart w:id="1146" w:name="_Toc91386038"/>
      <w:bookmarkStart w:id="1147" w:name="_Toc92705045"/>
      <w:bookmarkStart w:id="1148" w:name="_Toc93222513"/>
      <w:bookmarkStart w:id="1149" w:name="_Toc95022590"/>
      <w:bookmarkStart w:id="1150" w:name="_Toc95117862"/>
      <w:bookmarkStart w:id="1151" w:name="_Toc96498267"/>
      <w:bookmarkStart w:id="1152" w:name="_Toc96500745"/>
      <w:bookmarkStart w:id="1153" w:name="_Toc101779659"/>
      <w:bookmarkStart w:id="1154" w:name="_Toc103060107"/>
      <w:bookmarkStart w:id="1155" w:name="_Toc105471003"/>
      <w:bookmarkStart w:id="1156" w:name="_Toc105474917"/>
      <w:bookmarkStart w:id="1157" w:name="_Toc107308019"/>
      <w:bookmarkStart w:id="1158" w:name="_Toc109712252"/>
      <w:bookmarkStart w:id="1159" w:name="_Toc109724135"/>
      <w:bookmarkStart w:id="1160" w:name="_Toc110054007"/>
      <w:bookmarkStart w:id="1161" w:name="_Toc110054396"/>
      <w:bookmarkStart w:id="1162" w:name="_Toc110654476"/>
      <w:bookmarkStart w:id="1163" w:name="_Toc110735914"/>
      <w:bookmarkStart w:id="1164" w:name="_Toc110738650"/>
      <w:bookmarkStart w:id="1165" w:name="_Toc115691324"/>
      <w:bookmarkStart w:id="1166" w:name="_Toc115773621"/>
      <w:bookmarkStart w:id="1167" w:name="_Toc119132530"/>
      <w:bookmarkStart w:id="1168" w:name="_Toc119203200"/>
      <w:bookmarkStart w:id="1169" w:name="_Toc119203846"/>
      <w:bookmarkStart w:id="1170" w:name="_Toc119216176"/>
      <w:bookmarkStart w:id="1171" w:name="_Toc119300696"/>
      <w:bookmarkStart w:id="1172" w:name="_Toc119301263"/>
      <w:bookmarkStart w:id="1173" w:name="_Toc119301832"/>
      <w:bookmarkStart w:id="1174" w:name="_Toc119920019"/>
      <w:bookmarkStart w:id="1175" w:name="_Toc122774006"/>
      <w:bookmarkStart w:id="1176" w:name="_Toc122833249"/>
      <w:bookmarkStart w:id="1177" w:name="_Toc122833816"/>
      <w:r>
        <w:rPr>
          <w:rStyle w:val="CharDivNo"/>
        </w:rPr>
        <w:t>Division 2</w:t>
      </w:r>
      <w:r>
        <w:rPr>
          <w:snapToGrid w:val="0"/>
        </w:rPr>
        <w:t> — </w:t>
      </w:r>
      <w:r>
        <w:rPr>
          <w:rStyle w:val="CharDivText"/>
        </w:rPr>
        <w:t>Constraints on awards of common law damages</w:t>
      </w:r>
      <w:bookmarkEnd w:id="1131"/>
      <w:bookmarkEnd w:id="1132"/>
      <w:bookmarkEnd w:id="1133"/>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r>
        <w:rPr>
          <w:rStyle w:val="CharDivText"/>
        </w:rPr>
        <w:t xml:space="preserve"> </w:t>
      </w:r>
    </w:p>
    <w:p>
      <w:pPr>
        <w:pStyle w:val="Footnoteheading"/>
        <w:keepNext/>
        <w:rPr>
          <w:snapToGrid w:val="0"/>
        </w:rPr>
      </w:pPr>
      <w:r>
        <w:rPr>
          <w:snapToGrid w:val="0"/>
        </w:rPr>
        <w:tab/>
        <w:t>[Heading inserted by No. 48 of 1993 s. 4(3).]</w:t>
      </w:r>
    </w:p>
    <w:p>
      <w:pPr>
        <w:pStyle w:val="Heading4"/>
      </w:pPr>
      <w:bookmarkStart w:id="1178" w:name="_Toc87252889"/>
      <w:bookmarkStart w:id="1179" w:name="_Toc119132531"/>
      <w:bookmarkStart w:id="1180" w:name="_Toc119203201"/>
      <w:bookmarkStart w:id="1181" w:name="_Toc119203847"/>
      <w:bookmarkStart w:id="1182" w:name="_Toc119216177"/>
      <w:bookmarkStart w:id="1183" w:name="_Toc119300697"/>
      <w:bookmarkStart w:id="1184" w:name="_Toc119301264"/>
      <w:bookmarkStart w:id="1185" w:name="_Toc119301833"/>
      <w:bookmarkStart w:id="1186" w:name="_Toc119920020"/>
      <w:bookmarkStart w:id="1187" w:name="_Toc122774007"/>
      <w:bookmarkStart w:id="1188" w:name="_Toc122833250"/>
      <w:bookmarkStart w:id="1189" w:name="_Toc122833817"/>
      <w:bookmarkStart w:id="1190" w:name="_Toc440877966"/>
      <w:bookmarkStart w:id="1191" w:name="_Toc517775324"/>
      <w:bookmarkStart w:id="1192" w:name="_Toc520107072"/>
      <w:bookmarkStart w:id="1193" w:name="_Toc523111697"/>
      <w:r>
        <w:t>Subdivision 1 — Preliminary provisions</w:t>
      </w:r>
      <w:bookmarkEnd w:id="1178"/>
      <w:bookmarkEnd w:id="1179"/>
      <w:bookmarkEnd w:id="1180"/>
      <w:bookmarkEnd w:id="1181"/>
      <w:bookmarkEnd w:id="1182"/>
      <w:bookmarkEnd w:id="1183"/>
      <w:bookmarkEnd w:id="1184"/>
      <w:bookmarkEnd w:id="1185"/>
      <w:bookmarkEnd w:id="1186"/>
      <w:bookmarkEnd w:id="1187"/>
      <w:bookmarkEnd w:id="1188"/>
      <w:bookmarkEnd w:id="1189"/>
    </w:p>
    <w:p>
      <w:pPr>
        <w:pStyle w:val="Footnoteheading"/>
      </w:pPr>
      <w:r>
        <w:tab/>
        <w:t>[Heading inserted by No. 42 of 2004 s. 71.]</w:t>
      </w:r>
    </w:p>
    <w:p>
      <w:pPr>
        <w:pStyle w:val="Heading5"/>
        <w:rPr>
          <w:snapToGrid w:val="0"/>
        </w:rPr>
      </w:pPr>
      <w:bookmarkStart w:id="1194" w:name="_Toc122833251"/>
      <w:bookmarkStart w:id="1195" w:name="_Toc122833818"/>
      <w:r>
        <w:rPr>
          <w:rStyle w:val="CharSectno"/>
        </w:rPr>
        <w:t>93A</w:t>
      </w:r>
      <w:r>
        <w:rPr>
          <w:snapToGrid w:val="0"/>
        </w:rPr>
        <w:t>.</w:t>
      </w:r>
      <w:r>
        <w:rPr>
          <w:snapToGrid w:val="0"/>
        </w:rPr>
        <w:tab/>
        <w:t>Definitions for this Division</w:t>
      </w:r>
      <w:bookmarkEnd w:id="1190"/>
      <w:bookmarkEnd w:id="1191"/>
      <w:bookmarkEnd w:id="1192"/>
      <w:bookmarkEnd w:id="1193"/>
      <w:bookmarkEnd w:id="1194"/>
      <w:bookmarkEnd w:id="1195"/>
      <w:r>
        <w:rPr>
          <w:snapToGrid w:val="0"/>
        </w:rPr>
        <w:t xml:space="preserve"> </w:t>
      </w:r>
    </w:p>
    <w:p>
      <w:pPr>
        <w:pStyle w:val="Subsection"/>
        <w:spacing w:before="80"/>
        <w:rPr>
          <w:snapToGrid w:val="0"/>
        </w:rPr>
      </w:pPr>
      <w:r>
        <w:rPr>
          <w:snapToGrid w:val="0"/>
        </w:rPr>
        <w:tab/>
      </w:r>
      <w:r>
        <w:rPr>
          <w:snapToGrid w:val="0"/>
        </w:rPr>
        <w:tab/>
        <w:t>In this Division — </w:t>
      </w:r>
    </w:p>
    <w:p>
      <w:pPr>
        <w:pStyle w:val="Defstart"/>
      </w:pPr>
      <w:r>
        <w:rPr>
          <w:b/>
        </w:rPr>
        <w:tab/>
        <w:t>“</w:t>
      </w:r>
      <w:r>
        <w:rPr>
          <w:rStyle w:val="CharDefText"/>
        </w:rPr>
        <w:t>damages</w:t>
      </w:r>
      <w:r>
        <w:rPr>
          <w:b/>
        </w:rPr>
        <w:t>”</w:t>
      </w:r>
      <w:r>
        <w:t xml:space="preserve"> does not include — </w:t>
      </w:r>
    </w:p>
    <w:p>
      <w:pPr>
        <w:pStyle w:val="Defpara"/>
      </w:pPr>
      <w:r>
        <w:tab/>
        <w:t>(a)</w:t>
      </w:r>
      <w:r>
        <w:tab/>
        <w:t xml:space="preserve">any sum required or authorised to be paid under an award or industrial agreement within the meaning of the </w:t>
      </w:r>
      <w:r>
        <w:rPr>
          <w:i/>
        </w:rPr>
        <w:t>Industrial Relations Act 1979</w:t>
      </w:r>
      <w:r>
        <w:t>;</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 xml:space="preserve">[Section 93A inserted by No. 48 of 1993 s. 4(3); amended by No. 34 of 1999 s. 32(3); No. 42 of 2004 s. 72.] </w:t>
      </w:r>
    </w:p>
    <w:p>
      <w:pPr>
        <w:pStyle w:val="Heading5"/>
        <w:rPr>
          <w:snapToGrid w:val="0"/>
        </w:rPr>
      </w:pPr>
      <w:bookmarkStart w:id="1196" w:name="_Toc440877967"/>
      <w:bookmarkStart w:id="1197" w:name="_Toc517775325"/>
      <w:bookmarkStart w:id="1198" w:name="_Toc520107073"/>
      <w:bookmarkStart w:id="1199" w:name="_Toc523111698"/>
      <w:bookmarkStart w:id="1200" w:name="_Toc122833252"/>
      <w:bookmarkStart w:id="1201" w:name="_Toc122833819"/>
      <w:r>
        <w:rPr>
          <w:rStyle w:val="CharSectno"/>
        </w:rPr>
        <w:t>93B</w:t>
      </w:r>
      <w:r>
        <w:rPr>
          <w:snapToGrid w:val="0"/>
        </w:rPr>
        <w:t>.</w:t>
      </w:r>
      <w:r>
        <w:rPr>
          <w:snapToGrid w:val="0"/>
        </w:rPr>
        <w:tab/>
        <w:t>Application of this Division</w:t>
      </w:r>
      <w:bookmarkEnd w:id="1196"/>
      <w:bookmarkEnd w:id="1197"/>
      <w:bookmarkEnd w:id="1198"/>
      <w:bookmarkEnd w:id="1199"/>
      <w:bookmarkEnd w:id="1200"/>
      <w:bookmarkEnd w:id="1201"/>
      <w:r>
        <w:rPr>
          <w:snapToGrid w:val="0"/>
        </w:rPr>
        <w:t xml:space="preserve"> </w:t>
      </w:r>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rPr>
          <w:snapToGrid w:val="0"/>
        </w:rPr>
      </w:pPr>
      <w:r>
        <w:rPr>
          <w:snapToGrid w:val="0"/>
        </w:rPr>
        <w:tab/>
        <w:t>(3)</w:t>
      </w:r>
      <w:r>
        <w:rPr>
          <w:snapToGrid w:val="0"/>
        </w:rPr>
        <w:tab/>
        <w:t>This Division does not apply to the awarding of — </w:t>
      </w:r>
    </w:p>
    <w:p>
      <w:pPr>
        <w:pStyle w:val="Indenta"/>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w:t>
      </w:r>
    </w:p>
    <w:p>
      <w:pPr>
        <w:pStyle w:val="Indenta"/>
        <w:rPr>
          <w:snapToGrid w:val="0"/>
        </w:rPr>
      </w:pPr>
      <w:r>
        <w:rPr>
          <w:snapToGrid w:val="0"/>
        </w:rPr>
        <w:tab/>
        <w:t>(b)</w:t>
      </w:r>
      <w:r>
        <w:rPr>
          <w:snapToGrid w:val="0"/>
        </w:rPr>
        <w:tab/>
        <w:t>exemplary or punitive damages; or</w:t>
      </w:r>
    </w:p>
    <w:p>
      <w:pPr>
        <w:pStyle w:val="Indenta"/>
        <w:rPr>
          <w:snapToGrid w:val="0"/>
        </w:rPr>
      </w:pPr>
      <w:r>
        <w:rPr>
          <w:snapToGrid w:val="0"/>
        </w:rPr>
        <w:tab/>
        <w:t>(c)</w:t>
      </w:r>
      <w:r>
        <w:rPr>
          <w:snapToGrid w:val="0"/>
        </w:rPr>
        <w:tab/>
        <w:t>damages of a class that is excluded by the regulations from the application of this Division.</w:t>
      </w:r>
    </w:p>
    <w:p>
      <w:pPr>
        <w:pStyle w:val="Subsection"/>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pPr>
      <w:r>
        <w:tab/>
        <w:t>(5)</w:t>
      </w:r>
      <w:r>
        <w:tab/>
        <w:t>In the context of a cause of action arising on or after the day on which section </w:t>
      </w:r>
      <w:bookmarkStart w:id="1202" w:name="_Hlt75758433"/>
      <w:r>
        <w:t>79</w:t>
      </w:r>
      <w:bookmarkEnd w:id="1202"/>
      <w:r>
        <w:t xml:space="preserve">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pPr>
      <w:r>
        <w:tab/>
        <w:t>[Section 93B inserted by No. 48 of 1993 s. 4(3); amended by No. 34 of 1999 s. 32(4); No. 42 of 2004 s. 73; No. 16 of 2005 s. 10.]</w:t>
      </w:r>
    </w:p>
    <w:p>
      <w:pPr>
        <w:pStyle w:val="Heading5"/>
        <w:rPr>
          <w:snapToGrid w:val="0"/>
        </w:rPr>
      </w:pPr>
      <w:bookmarkStart w:id="1203" w:name="_Toc440877968"/>
      <w:bookmarkStart w:id="1204" w:name="_Toc517775326"/>
      <w:bookmarkStart w:id="1205" w:name="_Toc520107074"/>
      <w:bookmarkStart w:id="1206" w:name="_Toc523111699"/>
      <w:bookmarkStart w:id="1207" w:name="_Toc122833253"/>
      <w:bookmarkStart w:id="1208" w:name="_Toc122833820"/>
      <w:r>
        <w:rPr>
          <w:rStyle w:val="CharSectno"/>
        </w:rPr>
        <w:t>93C</w:t>
      </w:r>
      <w:r>
        <w:rPr>
          <w:snapToGrid w:val="0"/>
        </w:rPr>
        <w:t>.</w:t>
      </w:r>
      <w:r>
        <w:rPr>
          <w:snapToGrid w:val="0"/>
        </w:rPr>
        <w:tab/>
        <w:t>Limit on powers of courts</w:t>
      </w:r>
      <w:bookmarkEnd w:id="1203"/>
      <w:bookmarkEnd w:id="1204"/>
      <w:bookmarkEnd w:id="1205"/>
      <w:bookmarkEnd w:id="1206"/>
      <w:bookmarkEnd w:id="1207"/>
      <w:bookmarkEnd w:id="1208"/>
      <w:r>
        <w:rPr>
          <w:snapToGrid w:val="0"/>
        </w:rPr>
        <w:t xml:space="preserve"> </w:t>
      </w:r>
    </w:p>
    <w:p>
      <w:pPr>
        <w:pStyle w:val="Subsection"/>
        <w:spacing w:before="100"/>
        <w:rPr>
          <w:snapToGrid w:val="0"/>
        </w:rPr>
      </w:pPr>
      <w:r>
        <w:rPr>
          <w:snapToGrid w:val="0"/>
        </w:rPr>
        <w:tab/>
      </w:r>
      <w:r>
        <w:rPr>
          <w:snapToGrid w:val="0"/>
        </w:rPr>
        <w:tab/>
        <w:t xml:space="preserve">If this Division applies a court is not to award damages to a person contrary to this Division </w:t>
      </w:r>
      <w:r>
        <w:rPr>
          <w:snapToGrid w:val="0"/>
          <w:vertAlign w:val="superscript"/>
        </w:rPr>
        <w:t>8, 9</w:t>
      </w:r>
      <w:r>
        <w:rPr>
          <w:snapToGrid w:val="0"/>
        </w:rPr>
        <w:t>.</w:t>
      </w:r>
    </w:p>
    <w:p>
      <w:pPr>
        <w:pStyle w:val="Footnotesection"/>
      </w:pPr>
      <w:r>
        <w:tab/>
        <w:t>[Section 93C inserted by No. 48 of 1993 s. 4(3).]</w:t>
      </w:r>
    </w:p>
    <w:p>
      <w:pPr>
        <w:pStyle w:val="Heading4"/>
      </w:pPr>
      <w:bookmarkStart w:id="1209" w:name="_Toc87252893"/>
      <w:bookmarkStart w:id="1210" w:name="_Toc119132535"/>
      <w:bookmarkStart w:id="1211" w:name="_Toc119203205"/>
      <w:bookmarkStart w:id="1212" w:name="_Toc119203851"/>
      <w:bookmarkStart w:id="1213" w:name="_Toc119216181"/>
      <w:bookmarkStart w:id="1214" w:name="_Toc119300701"/>
      <w:bookmarkStart w:id="1215" w:name="_Toc119301268"/>
      <w:bookmarkStart w:id="1216" w:name="_Toc119301837"/>
      <w:bookmarkStart w:id="1217" w:name="_Toc119920024"/>
      <w:bookmarkStart w:id="1218" w:name="_Toc122774011"/>
      <w:bookmarkStart w:id="1219" w:name="_Toc122833254"/>
      <w:bookmarkStart w:id="1220" w:name="_Toc122833821"/>
      <w:bookmarkStart w:id="1221" w:name="_Toc517775327"/>
      <w:bookmarkStart w:id="1222" w:name="_Toc520107075"/>
      <w:bookmarkStart w:id="1223" w:name="_Toc523111700"/>
      <w:r>
        <w:t>Subdivision 2 — 1993 scheme</w:t>
      </w:r>
      <w:bookmarkEnd w:id="1209"/>
      <w:bookmarkEnd w:id="1210"/>
      <w:bookmarkEnd w:id="1211"/>
      <w:bookmarkEnd w:id="1212"/>
      <w:bookmarkEnd w:id="1213"/>
      <w:bookmarkEnd w:id="1214"/>
      <w:bookmarkEnd w:id="1215"/>
      <w:bookmarkEnd w:id="1216"/>
      <w:bookmarkEnd w:id="1217"/>
      <w:bookmarkEnd w:id="1218"/>
      <w:bookmarkEnd w:id="1219"/>
      <w:bookmarkEnd w:id="1220"/>
    </w:p>
    <w:p>
      <w:pPr>
        <w:pStyle w:val="Footnoteheading"/>
      </w:pPr>
      <w:r>
        <w:tab/>
        <w:t>[Heading inserted by No. 42 of 2004 s. 74.]</w:t>
      </w:r>
    </w:p>
    <w:p>
      <w:pPr>
        <w:pStyle w:val="Heading5"/>
      </w:pPr>
      <w:bookmarkStart w:id="1224" w:name="_Toc87252895"/>
      <w:bookmarkStart w:id="1225" w:name="_Toc122833255"/>
      <w:bookmarkStart w:id="1226" w:name="_Toc122833822"/>
      <w:r>
        <w:rPr>
          <w:rStyle w:val="CharSectno"/>
        </w:rPr>
        <w:t>93CA</w:t>
      </w:r>
      <w:r>
        <w:t>.</w:t>
      </w:r>
      <w:r>
        <w:tab/>
        <w:t>Meaning of “AMA Guides” in this Subdivision</w:t>
      </w:r>
      <w:bookmarkEnd w:id="1224"/>
      <w:bookmarkEnd w:id="1225"/>
      <w:bookmarkEnd w:id="1226"/>
    </w:p>
    <w:p>
      <w:pPr>
        <w:pStyle w:val="Subsection"/>
        <w:rPr>
          <w:snapToGrid w:val="0"/>
        </w:rPr>
      </w:pPr>
      <w:r>
        <w:tab/>
      </w:r>
      <w:r>
        <w:tab/>
      </w:r>
      <w:r>
        <w:rPr>
          <w:snapToGrid w:val="0"/>
        </w:rPr>
        <w:t>In this Subdivision —</w:t>
      </w:r>
    </w:p>
    <w:p>
      <w:pPr>
        <w:pStyle w:val="Defstart"/>
      </w:pPr>
      <w:r>
        <w:rPr>
          <w:b/>
        </w:rPr>
        <w:tab/>
        <w:t>“</w:t>
      </w:r>
      <w:r>
        <w:rPr>
          <w:rStyle w:val="CharDefText"/>
        </w:rPr>
        <w:t>AMA Guides</w:t>
      </w:r>
      <w:r>
        <w:rPr>
          <w:b/>
        </w:rPr>
        <w:t>”</w:t>
      </w:r>
      <w:r>
        <w:t xml:space="preserve"> means the edition of the Assessment of Disability Guide published by the Western Australian Branch of the Australian Medical Association Incorporated that is prescribed in the regulations.</w:t>
      </w:r>
    </w:p>
    <w:p>
      <w:pPr>
        <w:pStyle w:val="Footnotesection"/>
      </w:pPr>
      <w:r>
        <w:tab/>
        <w:t>[Section 93CA inserted by No. 42 of 2004 s. 75.]</w:t>
      </w:r>
    </w:p>
    <w:p>
      <w:pPr>
        <w:pStyle w:val="Heading5"/>
      </w:pPr>
      <w:bookmarkStart w:id="1227" w:name="_Toc87252896"/>
      <w:bookmarkStart w:id="1228" w:name="_Toc122833256"/>
      <w:bookmarkStart w:id="1229" w:name="_Toc122833823"/>
      <w:r>
        <w:rPr>
          <w:rStyle w:val="CharSectno"/>
        </w:rPr>
        <w:t>93CB</w:t>
      </w:r>
      <w:r>
        <w:t>.</w:t>
      </w:r>
      <w:r>
        <w:tab/>
        <w:t>Limits on application of this Subdivision</w:t>
      </w:r>
      <w:bookmarkEnd w:id="1227"/>
      <w:bookmarkEnd w:id="1228"/>
      <w:bookmarkEnd w:id="1229"/>
    </w:p>
    <w:p>
      <w:pPr>
        <w:pStyle w:val="Subsection"/>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p>
    <w:p>
      <w:pPr>
        <w:pStyle w:val="Subsection"/>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pPr>
      <w:bookmarkStart w:id="1230" w:name="_Toc87252897"/>
      <w:r>
        <w:tab/>
        <w:t>[Section 93CB inserted by No. 42 of 2004 s. 75.]</w:t>
      </w:r>
    </w:p>
    <w:p>
      <w:pPr>
        <w:pStyle w:val="Heading5"/>
      </w:pPr>
      <w:bookmarkStart w:id="1231" w:name="_Toc122833257"/>
      <w:bookmarkStart w:id="1232" w:name="_Toc122833824"/>
      <w:r>
        <w:rPr>
          <w:rStyle w:val="CharSectno"/>
        </w:rPr>
        <w:t>93CC</w:t>
      </w:r>
      <w:r>
        <w:t>.</w:t>
      </w:r>
      <w:r>
        <w:tab/>
        <w:t>Application of this Subdivision</w:t>
      </w:r>
      <w:bookmarkEnd w:id="1230"/>
      <w:bookmarkEnd w:id="1231"/>
      <w:bookmarkEnd w:id="1232"/>
    </w:p>
    <w:p>
      <w:pPr>
        <w:pStyle w:val="Subsection"/>
      </w:pPr>
      <w:r>
        <w:tab/>
        <w:t>(1)</w:t>
      </w:r>
      <w:r>
        <w:tab/>
        <w:t xml:space="preserve">This Subdivision applies to a cause of action arising before the day on which section 79 of the </w:t>
      </w:r>
      <w:r>
        <w:rPr>
          <w:i/>
        </w:rPr>
        <w:t xml:space="preserve">Workers’ Compensation Reform Act 2004 </w:t>
      </w:r>
      <w:r>
        <w:t xml:space="preserve">comes into operation, regardless of when the cause of action arose and whether proceedings in respect of the cause of action have commenced, unless —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 xml:space="preserve">Despite subsection (1) and section 93CB, this Subdivision applies to a worker who claims to be suffering an injury attributable to the inhalation of asbestos if, before 14 November 2005 — </w:t>
      </w:r>
    </w:p>
    <w:p>
      <w:pPr>
        <w:pStyle w:val="Indenta"/>
      </w:pPr>
      <w:r>
        <w:tab/>
        <w:t>(a)</w:t>
      </w:r>
      <w:r>
        <w:tab/>
        <w:t xml:space="preserve">the worker sought to agree the degree of the disability of the worker for the purposes of section 93E; or </w:t>
      </w:r>
    </w:p>
    <w:p>
      <w:pPr>
        <w:pStyle w:val="Indenta"/>
      </w:pPr>
      <w:r>
        <w:tab/>
        <w:t>(b)</w:t>
      </w:r>
      <w:r>
        <w:tab/>
        <w:t>a dispute as to the degree of the disability of the worker was referred under section 93D(11) to a medical panel for determination.</w:t>
      </w:r>
    </w:p>
    <w:p>
      <w:pPr>
        <w:pStyle w:val="Footnotesection"/>
      </w:pPr>
      <w:r>
        <w:tab/>
        <w:t>[Section 93CC inserted by No. 42 of 2004 s. 75; amended by No. 20 of 2005 s. 21.]</w:t>
      </w:r>
    </w:p>
    <w:p>
      <w:pPr>
        <w:pStyle w:val="Heading5"/>
        <w:spacing w:before="120"/>
      </w:pPr>
      <w:bookmarkStart w:id="1233" w:name="_Toc122833258"/>
      <w:bookmarkStart w:id="1234" w:name="_Toc122833825"/>
      <w:r>
        <w:rPr>
          <w:rStyle w:val="CharSectno"/>
        </w:rPr>
        <w:t>93D</w:t>
      </w:r>
      <w:r>
        <w:t>.</w:t>
      </w:r>
      <w:r>
        <w:tab/>
        <w:t>Assessment of disability</w:t>
      </w:r>
      <w:bookmarkEnd w:id="1221"/>
      <w:bookmarkEnd w:id="1222"/>
      <w:bookmarkEnd w:id="1223"/>
      <w:bookmarkEnd w:id="1233"/>
      <w:bookmarkEnd w:id="1234"/>
    </w:p>
    <w:p>
      <w:pPr>
        <w:pStyle w:val="Subsection"/>
        <w:spacing w:before="100"/>
      </w:pPr>
      <w:r>
        <w:tab/>
        <w:t>(1)</w:t>
      </w:r>
      <w:r>
        <w:tab/>
        <w:t xml:space="preserve">In this </w:t>
      </w:r>
      <w:r>
        <w:rPr>
          <w:snapToGrid w:val="0"/>
        </w:rPr>
        <w:t>section</w:t>
      </w:r>
      <w:r>
        <w:t> —</w:t>
      </w:r>
    </w:p>
    <w:p>
      <w:pPr>
        <w:pStyle w:val="Defstart"/>
      </w:pPr>
      <w:r>
        <w:tab/>
      </w:r>
      <w:r>
        <w:rPr>
          <w:b/>
        </w:rPr>
        <w:t>“</w:t>
      </w:r>
      <w:r>
        <w:rPr>
          <w:rStyle w:val="CharDefText"/>
        </w:rPr>
        <w:t>relevant level</w:t>
      </w:r>
      <w:r>
        <w:rPr>
          <w:b/>
        </w:rPr>
        <w:t>”</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spacing w:before="100"/>
      </w:pPr>
      <w:r>
        <w:tab/>
        <w:t>(2)</w:t>
      </w:r>
      <w:r>
        <w:tab/>
        <w:t xml:space="preserve">For the </w:t>
      </w:r>
      <w:r>
        <w:rPr>
          <w:snapToGrid w:val="0"/>
        </w:rPr>
        <w:t>purposes</w:t>
      </w:r>
      <w:r>
        <w:t xml:space="preserve"> of section 93E, the degree of disability of the worker is to be assessed — </w:t>
      </w:r>
    </w:p>
    <w:p>
      <w:pPr>
        <w:pStyle w:val="Indenta"/>
      </w:pPr>
      <w:r>
        <w:tab/>
        <w:t>(a)</w:t>
      </w:r>
      <w:r>
        <w:tab/>
        <w:t xml:space="preserve">so far as Schedule 2 Part 1 provides for an injury suffered by the worker, as a percentage equal to — </w:t>
      </w:r>
    </w:p>
    <w:p>
      <w:pPr>
        <w:pStyle w:val="Indenti"/>
      </w:pPr>
      <w:r>
        <w:tab/>
        <w:t>(i)</w:t>
      </w:r>
      <w:r>
        <w:tab/>
        <w:t>if only one item of that Part applies to the injury, the percentage of the prescribed amount provided for by that item, as read with section 25; or</w:t>
      </w:r>
    </w:p>
    <w:p>
      <w:pPr>
        <w:pStyle w:val="Indenti"/>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spacing w:before="100"/>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spacing w:before="100"/>
      </w:pPr>
      <w:r>
        <w:tab/>
        <w:t>(4)</w:t>
      </w:r>
      <w:r>
        <w:tab/>
        <w:t xml:space="preserve">If section 25 applies, the percentage under subsection (2)(a) is calculated in accordance with the formula — </w:t>
      </w:r>
    </w:p>
    <w:p>
      <w:pPr>
        <w:pStyle w:val="Equation"/>
        <w:tabs>
          <w:tab w:val="left" w:pos="1080"/>
        </w:tabs>
        <w:spacing w:before="120"/>
      </w:pPr>
      <w:r>
        <w:tab/>
      </w:r>
      <w:r>
        <w:rPr>
          <w:position w:val="-24"/>
        </w:rPr>
        <w:object w:dxaOrig="999"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25pt;height:30.75pt" o:ole="" fillcolor="window">
            <v:imagedata r:id="rId20" o:title=""/>
          </v:shape>
          <o:OLEObject Type="Embed" ProgID="Equation.3" ShapeID="_x0000_i1025" DrawAspect="Content" ObjectID="_1643825939" r:id="rId21"/>
        </w:object>
      </w:r>
    </w:p>
    <w:p>
      <w:pPr>
        <w:pStyle w:val="Subsection"/>
        <w:spacing w:before="100"/>
      </w:pPr>
      <w:r>
        <w:tab/>
      </w:r>
      <w:r>
        <w:tab/>
        <w:t xml:space="preserve">Where — </w:t>
      </w:r>
    </w:p>
    <w:p>
      <w:pPr>
        <w:pStyle w:val="Subsection"/>
        <w:spacing w:before="100"/>
      </w:pPr>
      <w:r>
        <w:tab/>
      </w:r>
      <w:r>
        <w:tab/>
      </w:r>
      <w:r>
        <w:rPr>
          <w:i/>
        </w:rPr>
        <w:t>PD</w:t>
      </w:r>
      <w:r>
        <w:t xml:space="preserve"> is the percentage of the diminution of full efficient use.</w:t>
      </w:r>
    </w:p>
    <w:p>
      <w:pPr>
        <w:pStyle w:val="Subsection"/>
        <w:spacing w:before="100"/>
      </w:pPr>
      <w:r>
        <w:tab/>
      </w:r>
      <w:r>
        <w:tab/>
      </w:r>
      <w:r>
        <w:rPr>
          <w:i/>
        </w:rPr>
        <w:t>TD</w:t>
      </w:r>
      <w:r>
        <w:t xml:space="preserve"> is the relevant percentage set out in Column 2 of Schedule 2.</w:t>
      </w:r>
    </w:p>
    <w:p>
      <w:pPr>
        <w:pStyle w:val="Subsection"/>
        <w:spacing w:before="100"/>
      </w:pPr>
      <w:r>
        <w:tab/>
      </w:r>
      <w:r>
        <w:tab/>
        <w:t>Example 1</w:t>
      </w:r>
    </w:p>
    <w:p>
      <w:pPr>
        <w:pStyle w:val="Subsection"/>
        <w:spacing w:before="100"/>
      </w:pPr>
      <w:r>
        <w:tab/>
      </w:r>
      <w:r>
        <w:tab/>
        <w:t>A worker loses 40% of the full efficient use of one eye.  The percentage under subsection (2)(a) is —</w:t>
      </w:r>
    </w:p>
    <w:p>
      <w:pPr>
        <w:pStyle w:val="Equation"/>
        <w:tabs>
          <w:tab w:val="left" w:pos="1080"/>
        </w:tabs>
        <w:spacing w:before="80"/>
      </w:pPr>
      <w:r>
        <w:tab/>
      </w:r>
      <w:r>
        <w:rPr>
          <w:position w:val="-24"/>
        </w:rPr>
        <w:object w:dxaOrig="1440" w:dyaOrig="620">
          <v:shape id="_x0000_i1026" type="#_x0000_t75" style="width:1in;height:30.75pt" o:ole="" fillcolor="window">
            <v:imagedata r:id="rId22" o:title=""/>
          </v:shape>
          <o:OLEObject Type="Embed" ProgID="Equation.3" ShapeID="_x0000_i1026" DrawAspect="Content" ObjectID="_1643825940" r:id="rId23"/>
        </w:object>
      </w:r>
    </w:p>
    <w:p>
      <w:pPr>
        <w:pStyle w:val="Subsection"/>
        <w:outlineLvl w:val="0"/>
      </w:pPr>
      <w:r>
        <w:tab/>
      </w:r>
      <w:r>
        <w:tab/>
        <w:t>Example 2</w:t>
      </w:r>
    </w:p>
    <w:p>
      <w:pPr>
        <w:pStyle w:val="Subsection"/>
        <w:spacing w:before="100"/>
      </w:pPr>
      <w:r>
        <w:tab/>
      </w:r>
      <w:r>
        <w:tab/>
        <w:t>A worker loses the little finger of the left hand, 30% of the full efficient use of one eye and 10% of the full efficient use of the right arm below the elbow.  The percentage under subsection (2)(a) is —</w:t>
      </w:r>
    </w:p>
    <w:p>
      <w:pPr>
        <w:pStyle w:val="Equation"/>
        <w:tabs>
          <w:tab w:val="left" w:pos="1080"/>
        </w:tabs>
        <w:spacing w:before="80"/>
      </w:pPr>
      <w:r>
        <w:tab/>
      </w:r>
      <w:r>
        <w:rPr>
          <w:position w:val="-28"/>
        </w:rPr>
        <w:object w:dxaOrig="4560" w:dyaOrig="680">
          <v:shape id="_x0000_i1027" type="#_x0000_t75" style="width:228pt;height:33.75pt" o:ole="" fillcolor="window">
            <v:imagedata r:id="rId24" o:title=""/>
          </v:shape>
          <o:OLEObject Type="Embed" ProgID="Equation.3" ShapeID="_x0000_i1027" DrawAspect="Content" ObjectID="_1643825941" r:id="rId25"/>
        </w:object>
      </w:r>
    </w:p>
    <w:p>
      <w:pPr>
        <w:pStyle w:val="Subsection"/>
        <w:outlineLvl w:val="0"/>
      </w:pPr>
      <w:r>
        <w:tab/>
      </w:r>
      <w:r>
        <w:tab/>
        <w:t>Example 3</w:t>
      </w:r>
    </w:p>
    <w:p>
      <w:pPr>
        <w:pStyle w:val="Subsection"/>
        <w:spacing w:before="100"/>
      </w:pPr>
      <w:r>
        <w:tab/>
      </w:r>
      <w:r>
        <w:tab/>
        <w:t>A worker loses 10% of the full efficient use of the back (including thoracic and lumbar spine) and 15% of the full efficient use of the neck (including cervical spine). The percentage under subsection (2)(a) (for the purposes of section 93E(4) only) is —</w:t>
      </w:r>
    </w:p>
    <w:p>
      <w:pPr>
        <w:pStyle w:val="Equation"/>
        <w:tabs>
          <w:tab w:val="left" w:pos="1080"/>
        </w:tabs>
        <w:spacing w:before="80"/>
      </w:pPr>
      <w:r>
        <w:tab/>
      </w:r>
      <w:r>
        <w:rPr>
          <w:position w:val="-28"/>
        </w:rPr>
        <w:object w:dxaOrig="3980" w:dyaOrig="680">
          <v:shape id="_x0000_i1028" type="#_x0000_t75" style="width:198.75pt;height:33.75pt" o:ole="" fillcolor="window">
            <v:imagedata r:id="rId26" o:title=""/>
          </v:shape>
          <o:OLEObject Type="Embed" ProgID="Equation.3" ShapeID="_x0000_i1028" DrawAspect="Content" ObjectID="_1643825942" r:id="rId27"/>
        </w:object>
      </w:r>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Subsection"/>
      </w:pPr>
      <w:r>
        <w:tab/>
        <w:t>(9)</w:t>
      </w:r>
      <w:r>
        <w:tab/>
        <w:t>The Director is to consider the dispute in consultation with the parties.</w:t>
      </w:r>
    </w:p>
    <w:p>
      <w:pPr>
        <w:pStyle w:val="Subsection"/>
      </w:pPr>
      <w:r>
        <w:tab/>
        <w:t>(10)</w:t>
      </w:r>
      <w:r>
        <w:tab/>
        <w:t xml:space="preserve">Except in a case to which subsection (11) applies, if the dispute is not resolved by agreement it is to be dealt with under Part XI, and for that purpose — </w:t>
      </w:r>
    </w:p>
    <w:p>
      <w:pPr>
        <w:pStyle w:val="Indenta"/>
      </w:pPr>
      <w:r>
        <w:tab/>
        <w:t>(a)</w:t>
      </w:r>
      <w:r>
        <w:tab/>
        <w:t>an application is taken to have been made by the worker under section 181; and</w:t>
      </w:r>
    </w:p>
    <w:p>
      <w:pPr>
        <w:pStyle w:val="Indenta"/>
      </w:pPr>
      <w:r>
        <w:tab/>
        <w:t>(b)</w:t>
      </w:r>
      <w:r>
        <w:tab/>
        <w:t>the requirement to give copies under section 182 does not apply.</w:t>
      </w:r>
    </w:p>
    <w:p>
      <w:pPr>
        <w:pStyle w:val="Subsection"/>
      </w:pPr>
      <w:r>
        <w:tab/>
        <w:t>(11)</w:t>
      </w:r>
      <w:r>
        <w:tab/>
        <w:t xml:space="preserve">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 </w:t>
      </w:r>
    </w:p>
    <w:p>
      <w:pPr>
        <w:pStyle w:val="Subsection"/>
      </w:pPr>
      <w:r>
        <w:tab/>
        <w:t>(12)</w:t>
      </w:r>
      <w:r>
        <w:tab/>
        <w:t xml:space="preserve">Unless notification is given by the employer under subsection (8), the employer is to be regarded as having agreed that the degree of disability is not less than the relevant level. </w:t>
      </w:r>
    </w:p>
    <w:p>
      <w:pPr>
        <w:pStyle w:val="Footnotesection"/>
      </w:pPr>
      <w:r>
        <w:tab/>
        <w:t>[Section 93D inserted by No. 34 of 1999 s. 32(5); amended by No. 42 of 2004 s. 76, 146 and 147.]</w:t>
      </w:r>
    </w:p>
    <w:p>
      <w:pPr>
        <w:pStyle w:val="Heading5"/>
      </w:pPr>
      <w:bookmarkStart w:id="1235" w:name="_Toc517775328"/>
      <w:bookmarkStart w:id="1236" w:name="_Toc520107076"/>
      <w:bookmarkStart w:id="1237" w:name="_Toc523111701"/>
      <w:bookmarkStart w:id="1238" w:name="_Toc122833259"/>
      <w:bookmarkStart w:id="1239" w:name="_Toc122833826"/>
      <w:r>
        <w:rPr>
          <w:rStyle w:val="CharSectno"/>
        </w:rPr>
        <w:t>93E</w:t>
      </w:r>
      <w:r>
        <w:t>.</w:t>
      </w:r>
      <w:r>
        <w:tab/>
        <w:t>Restrictions on awarding of damages and payment of compensation</w:t>
      </w:r>
      <w:bookmarkEnd w:id="1235"/>
      <w:bookmarkEnd w:id="1236"/>
      <w:bookmarkEnd w:id="1237"/>
      <w:bookmarkEnd w:id="1238"/>
      <w:bookmarkEnd w:id="1239"/>
    </w:p>
    <w:p>
      <w:pPr>
        <w:pStyle w:val="Subsection"/>
      </w:pPr>
      <w:r>
        <w:tab/>
        <w:t>(1)</w:t>
      </w:r>
      <w:r>
        <w:tab/>
        <w:t xml:space="preserve">In this section — </w:t>
      </w:r>
    </w:p>
    <w:p>
      <w:pPr>
        <w:pStyle w:val="Defstart"/>
      </w:pPr>
      <w:r>
        <w:tab/>
      </w:r>
      <w:r>
        <w:rPr>
          <w:b/>
        </w:rPr>
        <w:t>“</w:t>
      </w:r>
      <w:r>
        <w:rPr>
          <w:rStyle w:val="CharDefText"/>
        </w:rPr>
        <w:t>agreed</w:t>
      </w:r>
      <w:r>
        <w:rPr>
          <w:b/>
        </w:rPr>
        <w:t>”</w:t>
      </w:r>
      <w:r>
        <w:t xml:space="preserve"> means agreed between the worker and the employer, whether under section 93D(12) or otherwise;</w:t>
      </w:r>
    </w:p>
    <w:p>
      <w:pPr>
        <w:pStyle w:val="Defstart"/>
      </w:pPr>
      <w:r>
        <w:tab/>
      </w:r>
      <w:r>
        <w:rPr>
          <w:b/>
        </w:rPr>
        <w:t>“</w:t>
      </w:r>
      <w:r>
        <w:rPr>
          <w:rStyle w:val="CharDefText"/>
        </w:rPr>
        <w:t>degree of disability</w:t>
      </w:r>
      <w:r>
        <w:rPr>
          <w:b/>
        </w:rPr>
        <w:t>”</w:t>
      </w:r>
      <w:r>
        <w:t xml:space="preserve"> means the degree of disability of the worker assessed in accordance with section 93D(2);</w:t>
      </w:r>
    </w:p>
    <w:p>
      <w:pPr>
        <w:pStyle w:val="Defstart"/>
      </w:pPr>
      <w:r>
        <w:tab/>
      </w:r>
      <w:r>
        <w:rPr>
          <w:b/>
        </w:rPr>
        <w:t>“</w:t>
      </w:r>
      <w:r>
        <w:rPr>
          <w:rStyle w:val="CharDefText"/>
        </w:rPr>
        <w:t>determined</w:t>
      </w:r>
      <w:r>
        <w:rPr>
          <w:b/>
        </w:rPr>
        <w:t>”</w:t>
      </w:r>
      <w:r>
        <w:t xml:space="preserve"> means determined or decided when dealt with as described in section 93D(10) or (11);</w:t>
      </w:r>
    </w:p>
    <w:p>
      <w:pPr>
        <w:pStyle w:val="Defstart"/>
      </w:pPr>
      <w:r>
        <w:rPr>
          <w:b/>
        </w:rPr>
        <w:tab/>
        <w:t>“</w:t>
      </w:r>
      <w:r>
        <w:rPr>
          <w:rStyle w:val="CharDefText"/>
        </w:rPr>
        <w:t>termination day</w:t>
      </w:r>
      <w:r>
        <w:rPr>
          <w:b/>
        </w:rPr>
        <w:t>”</w:t>
      </w:r>
      <w:r>
        <w:t xml:space="preserve"> means the day that is 6 months after the day on which weekly payments commenced.</w:t>
      </w:r>
    </w:p>
    <w:p>
      <w:pPr>
        <w:pStyle w:val="Subsection"/>
      </w:pPr>
      <w:r>
        <w:tab/>
        <w:t>(2)</w:t>
      </w:r>
      <w:r>
        <w:tab/>
        <w:t xml:space="preserve">Weekly payments of compensation ordered by an arbitrator to commence are to be regarded for the purposes of this section as commencing or having commenced on — </w:t>
      </w:r>
    </w:p>
    <w:p>
      <w:pPr>
        <w:pStyle w:val="Indenta"/>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pPr>
      <w:r>
        <w:tab/>
      </w:r>
      <w:r>
        <w:tab/>
        <w:t>whichever is later.</w:t>
      </w:r>
    </w:p>
    <w:p>
      <w:pPr>
        <w:pStyle w:val="Subsection"/>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 xml:space="preserve">Despite subsection (5), if —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pPr>
      <w:r>
        <w:tab/>
        <w:t>(12)</w:t>
      </w:r>
      <w:r>
        <w:tab/>
        <w:t xml:space="preserve">In subsection (11) — </w:t>
      </w:r>
    </w:p>
    <w:p>
      <w:pPr>
        <w:pStyle w:val="Defstart"/>
      </w:pPr>
      <w:r>
        <w:rPr>
          <w:b/>
        </w:rPr>
        <w:tab/>
        <w:t>“</w:t>
      </w:r>
      <w:r>
        <w:rPr>
          <w:rStyle w:val="CharDefText"/>
        </w:rPr>
        <w:t>relevant period</w:t>
      </w:r>
      <w:r>
        <w:rPr>
          <w:b/>
        </w:rPr>
        <w:t>”</w:t>
      </w:r>
      <w:r>
        <w:t xml:space="preserve"> means any period —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by No. 34 of 1999 s. 32(5); amended by No. 44 of 2000 s. 4; No. 35 of 2004 s. 9; No. 42 of 2004 s. 77, 147 and 149.]</w:t>
      </w:r>
    </w:p>
    <w:p>
      <w:pPr>
        <w:pStyle w:val="Heading5"/>
      </w:pPr>
      <w:bookmarkStart w:id="1240" w:name="_Toc122833260"/>
      <w:bookmarkStart w:id="1241" w:name="_Toc122833827"/>
      <w:bookmarkStart w:id="1242" w:name="_Toc517775329"/>
      <w:bookmarkStart w:id="1243" w:name="_Toc520107077"/>
      <w:bookmarkStart w:id="1244" w:name="_Toc523111702"/>
      <w:r>
        <w:rPr>
          <w:rStyle w:val="CharSectno"/>
        </w:rPr>
        <w:t>93EA</w:t>
      </w:r>
      <w:r>
        <w:t>.</w:t>
      </w:r>
      <w:r>
        <w:tab/>
        <w:t>Referring questions with fresh evidence in particular cases</w:t>
      </w:r>
      <w:bookmarkEnd w:id="1240"/>
      <w:bookmarkEnd w:id="1241"/>
    </w:p>
    <w:p>
      <w:pPr>
        <w:pStyle w:val="Subsection"/>
        <w:keepNext/>
      </w:pPr>
      <w:r>
        <w:tab/>
        <w:t>(1)</w:t>
      </w:r>
      <w:r>
        <w:tab/>
        <w:t>Unless it does not apply because of subsection (2), subsection (3) applies if —</w:t>
      </w:r>
    </w:p>
    <w:p>
      <w:pPr>
        <w:pStyle w:val="Indenta"/>
        <w:keepNext/>
      </w:pPr>
      <w:r>
        <w:tab/>
        <w:t>(a)</w:t>
      </w:r>
      <w:r>
        <w:tab/>
        <w:t>on or before 30 September 2001, a worker —</w:t>
      </w:r>
    </w:p>
    <w:p>
      <w:pPr>
        <w:pStyle w:val="Indenti"/>
      </w:pPr>
      <w:r>
        <w:tab/>
        <w:t>(i)</w:t>
      </w:r>
      <w:r>
        <w:tab/>
        <w:t>sought to refer a question to the Director under section 93D(5); and</w:t>
      </w:r>
    </w:p>
    <w:p>
      <w:pPr>
        <w:pStyle w:val="Indenti"/>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pPr>
      <w:r>
        <w:tab/>
      </w:r>
      <w:r>
        <w:tab/>
        <w:t>and</w:t>
      </w:r>
    </w:p>
    <w:p>
      <w:pPr>
        <w:pStyle w:val="Indenta"/>
      </w:pPr>
      <w:r>
        <w:tab/>
        <w:t>(b)</w:t>
      </w:r>
      <w:r>
        <w:tab/>
        <w:t>the Director treated the question as having been referred under section 93D(5), after which, for a reason based on a failure to satisfy the requirements of section 93D(6) for a referral under section 93D(5) —</w:t>
      </w:r>
    </w:p>
    <w:p>
      <w:pPr>
        <w:pStyle w:val="Indenti"/>
      </w:pPr>
      <w:r>
        <w:tab/>
        <w:t>(i)</w:t>
      </w:r>
      <w:r>
        <w:tab/>
        <w:t>a review officer did not deal with the substance of the question; or</w:t>
      </w:r>
    </w:p>
    <w:p>
      <w:pPr>
        <w:pStyle w:val="Indenti"/>
      </w:pPr>
      <w:r>
        <w:tab/>
        <w:t>(ii)</w:t>
      </w:r>
      <w:r>
        <w:tab/>
        <w:t>a court set aside or quashed a decision of a review officer that dealt with the substance of the question.</w:t>
      </w:r>
    </w:p>
    <w:p>
      <w:pPr>
        <w:pStyle w:val="Subsection"/>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w:t>
      </w:r>
    </w:p>
    <w:p>
      <w:pPr>
        <w:pStyle w:val="Indenta"/>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 xml:space="preserve">comes into operation (called the </w:t>
      </w:r>
      <w:r>
        <w:rPr>
          <w:b/>
        </w:rPr>
        <w:t>“</w:t>
      </w:r>
      <w:r>
        <w:rPr>
          <w:rStyle w:val="CharDefText"/>
        </w:rPr>
        <w:t>commencement day</w:t>
      </w:r>
      <w:r>
        <w:rPr>
          <w:b/>
        </w:rPr>
        <w:t>”</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 xml:space="preserve">If a worker seeks to make a referral under section 93D(5) stating that it is also made under subsection (3) of this section, the Director is required, as soon as practicable, to notify the worker and the employer, in accordance with the regulations —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 xml:space="preserve">if the Director —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by No. 35 of 2004 s. 10; amended by No. 42 of 2004 s. 147.]</w:t>
      </w:r>
    </w:p>
    <w:p>
      <w:pPr>
        <w:pStyle w:val="Heading5"/>
      </w:pPr>
      <w:bookmarkStart w:id="1245" w:name="_Toc122833261"/>
      <w:bookmarkStart w:id="1246" w:name="_Toc122833828"/>
      <w:r>
        <w:rPr>
          <w:rStyle w:val="CharSectno"/>
        </w:rPr>
        <w:t>93EB</w:t>
      </w:r>
      <w:r>
        <w:t>.</w:t>
      </w:r>
      <w:r>
        <w:tab/>
        <w:t>Referring questions in certain other cases</w:t>
      </w:r>
      <w:bookmarkEnd w:id="1245"/>
      <w:bookmarkEnd w:id="1246"/>
    </w:p>
    <w:p>
      <w:pPr>
        <w:pStyle w:val="Subsection"/>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t>, a worker sought to refer a question to the Director under section 93D(5);</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w:t>
      </w:r>
      <w:r>
        <w:rPr>
          <w:i/>
        </w:rPr>
        <w:t> </w:t>
      </w:r>
      <w:r>
        <w:t>—</w:t>
      </w:r>
    </w:p>
    <w:p>
      <w:pPr>
        <w:pStyle w:val="Indenti"/>
      </w:pPr>
      <w:r>
        <w:tab/>
        <w:t>(i)</w:t>
      </w:r>
      <w:r>
        <w:tab/>
        <w:t>a review officer did not deal with the substance of the question; or</w:t>
      </w:r>
    </w:p>
    <w:p>
      <w:pPr>
        <w:pStyle w:val="Indenti"/>
      </w:pPr>
      <w:r>
        <w:tab/>
        <w:t>(ii)</w:t>
      </w:r>
      <w:r>
        <w:tab/>
        <w:t>a court set aside or quashed a decision of a review officer that dealt with the substance of the question;</w:t>
      </w:r>
    </w:p>
    <w:p>
      <w:pPr>
        <w:pStyle w:val="Indenta"/>
      </w:pPr>
      <w:r>
        <w:tab/>
      </w:r>
      <w:r>
        <w:tab/>
        <w:t>and</w:t>
      </w:r>
    </w:p>
    <w:p>
      <w:pPr>
        <w:pStyle w:val="Indenta"/>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pPr>
      <w:r>
        <w:tab/>
        <w:t>(2)</w:t>
      </w:r>
      <w:r>
        <w:tab/>
        <w:t>If the question is whether the worker’s degree of disability is not less than 16%, subsection (3) does not apply unless the purported referral of the question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w:t>
      </w:r>
    </w:p>
    <w:p>
      <w:pPr>
        <w:pStyle w:val="Indenta"/>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 xml:space="preserve">comes into operation (called the </w:t>
      </w:r>
      <w:r>
        <w:rPr>
          <w:b/>
        </w:rPr>
        <w:t>“</w:t>
      </w:r>
      <w:r>
        <w:rPr>
          <w:rStyle w:val="CharDefText"/>
        </w:rPr>
        <w:t>commencement day</w:t>
      </w:r>
      <w:r>
        <w:rPr>
          <w:b/>
        </w:rPr>
        <w:t>”</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 xml:space="preserve">If a worker seeks to make a referral under section 93D(5) stating that it is also made under subsection (3) of this section, the Director is required, as soon as practicable, to notify the worker and the employer, in accordance with the regulations —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 xml:space="preserve">if the Director —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by No. 35 of 2004 s. 10; amended by No. 42 of 2004 s. 147.]</w:t>
      </w:r>
    </w:p>
    <w:p>
      <w:pPr>
        <w:pStyle w:val="Heading5"/>
      </w:pPr>
      <w:bookmarkStart w:id="1247" w:name="_Toc122833262"/>
      <w:bookmarkStart w:id="1248" w:name="_Toc122833829"/>
      <w:r>
        <w:rPr>
          <w:rStyle w:val="CharSectno"/>
        </w:rPr>
        <w:t>93EC</w:t>
      </w:r>
      <w:r>
        <w:t>.</w:t>
      </w:r>
      <w:r>
        <w:tab/>
        <w:t>Extended time for commencing proceedings</w:t>
      </w:r>
      <w:bookmarkEnd w:id="1247"/>
      <w:bookmarkEnd w:id="1248"/>
    </w:p>
    <w:p>
      <w:pPr>
        <w:pStyle w:val="Subsection"/>
      </w:pPr>
      <w:r>
        <w:tab/>
      </w:r>
      <w:r>
        <w:tab/>
        <w:t xml:space="preserve">If —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 xml:space="preserve">the time limited by any written law for the commencement of an action seeking damages in respect of the injury — </w:t>
      </w:r>
    </w:p>
    <w:p>
      <w:pPr>
        <w:pStyle w:val="Indenti"/>
      </w:pPr>
      <w:r>
        <w:tab/>
        <w:t>(i)</w:t>
      </w:r>
      <w:r>
        <w:tab/>
        <w:t xml:space="preserve">has elapsed before the day on which the Director notifies the worker (the </w:t>
      </w:r>
      <w:r>
        <w:rPr>
          <w:b/>
        </w:rPr>
        <w:t>“</w:t>
      </w:r>
      <w:r>
        <w:rPr>
          <w:rStyle w:val="CharDefText"/>
        </w:rPr>
        <w:t>notification day</w:t>
      </w:r>
      <w:r>
        <w:rPr>
          <w:b/>
        </w:rPr>
        <w:t>”</w:t>
      </w:r>
      <w:r>
        <w:t>); or</w:t>
      </w:r>
    </w:p>
    <w:p>
      <w:pPr>
        <w:pStyle w:val="Indenti"/>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pPr>
      <w:r>
        <w:tab/>
        <w:t>[Section 93EC inserted by No. 35 of 2004 s. 10; amended by No. 42 of 2004 s. 146 and 147.]</w:t>
      </w:r>
    </w:p>
    <w:p>
      <w:pPr>
        <w:pStyle w:val="Heading5"/>
        <w:spacing w:before="120"/>
      </w:pPr>
      <w:bookmarkStart w:id="1249" w:name="_Toc122833263"/>
      <w:bookmarkStart w:id="1250" w:name="_Toc122833830"/>
      <w:r>
        <w:rPr>
          <w:rStyle w:val="CharSectno"/>
        </w:rPr>
        <w:t>93F</w:t>
      </w:r>
      <w:r>
        <w:t>.</w:t>
      </w:r>
      <w:r>
        <w:tab/>
        <w:t>Restrictions on awarding and amount of damages if disability less than 30%</w:t>
      </w:r>
      <w:bookmarkEnd w:id="1242"/>
      <w:bookmarkEnd w:id="1243"/>
      <w:bookmarkEnd w:id="1244"/>
      <w:bookmarkEnd w:id="1249"/>
      <w:bookmarkEnd w:id="1250"/>
    </w:p>
    <w:p>
      <w:pPr>
        <w:pStyle w:val="Subsection"/>
        <w:spacing w:before="100"/>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 xml:space="preserve">If — </w:t>
      </w:r>
    </w:p>
    <w:p>
      <w:pPr>
        <w:pStyle w:val="Indenta"/>
      </w:pPr>
      <w:r>
        <w:tab/>
        <w:t>(a)</w:t>
      </w:r>
      <w:r>
        <w:tab/>
        <w:t>section 93E(3) does not allow damages to be awarded in respect of the injury; or</w:t>
      </w:r>
    </w:p>
    <w:p>
      <w:pPr>
        <w:pStyle w:val="Indenta"/>
      </w:pPr>
      <w:r>
        <w:tab/>
        <w:t>(b)</w:t>
      </w:r>
      <w:r>
        <w:tab/>
        <w:t>damages in respect of the injury have been awarded in accordance with subsection (1),</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b/>
        </w:rPr>
        <w:t>“</w:t>
      </w:r>
      <w:r>
        <w:rPr>
          <w:rStyle w:val="CharDefText"/>
        </w:rPr>
        <w:t>Contribution Act</w:t>
      </w:r>
      <w:r>
        <w:rPr>
          <w:b/>
        </w:rPr>
        <w:t>”</w:t>
      </w:r>
      <w:r>
        <w:t>) in respect of damages awarded against another person in relation to the injury.</w:t>
      </w:r>
    </w:p>
    <w:p>
      <w:pPr>
        <w:pStyle w:val="Subsection"/>
      </w:pPr>
      <w:r>
        <w:tab/>
        <w:t>(5)</w:t>
      </w:r>
      <w:r>
        <w:tab/>
        <w:t xml:space="preserve">If section 93E(3)(b) allows damages to be awarded in respect of the injury —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spacing w:before="100"/>
      </w:pPr>
      <w:r>
        <w:tab/>
        <w:t>(8)</w:t>
      </w:r>
      <w:r>
        <w:tab/>
        <w:t xml:space="preserve">In this section — </w:t>
      </w:r>
    </w:p>
    <w:p>
      <w:pPr>
        <w:pStyle w:val="Defstart"/>
        <w:outlineLvl w:val="0"/>
      </w:pPr>
      <w:r>
        <w:tab/>
      </w:r>
      <w:r>
        <w:rPr>
          <w:b/>
        </w:rPr>
        <w:t>“</w:t>
      </w:r>
      <w:r>
        <w:rPr>
          <w:rStyle w:val="CharDefText"/>
        </w:rPr>
        <w:t>Amount A</w:t>
      </w:r>
      <w:r>
        <w:rPr>
          <w:b/>
        </w:rPr>
        <w:t>”</w:t>
      </w:r>
      <w:r>
        <w:t xml:space="preserve"> means — </w:t>
      </w:r>
    </w:p>
    <w:p>
      <w:pPr>
        <w:pStyle w:val="Defpara"/>
      </w:pPr>
      <w:r>
        <w:tab/>
        <w:t>(a)</w:t>
      </w:r>
      <w:r>
        <w:tab/>
        <w:t>in relation to the financial year ending on 30 June 2000, $250 000;</w:t>
      </w:r>
    </w:p>
    <w:p>
      <w:pPr>
        <w:pStyle w:val="Defpara"/>
      </w:pPr>
      <w:r>
        <w:tab/>
        <w:t>(b)</w:t>
      </w:r>
      <w:r>
        <w:tab/>
        <w:t xml:space="preserve">in relation to any subsequent financial year, the nearest whole number of dollars to — </w:t>
      </w:r>
    </w:p>
    <w:p>
      <w:pPr>
        <w:pStyle w:val="Defsubpara"/>
      </w:pPr>
      <w:r>
        <w:tab/>
        <w:t>(i)</w:t>
      </w:r>
      <w:r>
        <w:tab/>
        <w:t xml:space="preserve">the amount obtained by varying Amount A for the preceding financial year by the percentage by which the amount that the Australian Statistician published as the Wages Cost Index, ordinary time hourly rates of pay (excluding bonuses) for Western Australia (the </w:t>
      </w:r>
      <w:r>
        <w:rPr>
          <w:b/>
        </w:rPr>
        <w:t>“</w:t>
      </w:r>
      <w:r>
        <w:rPr>
          <w:rStyle w:val="CharDefText"/>
        </w:rPr>
        <w:t>WCI</w:t>
      </w:r>
      <w:r>
        <w:rPr>
          <w:b/>
        </w:rPr>
        <w:t>”</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WCI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by No. 34 of 1999 s. 32(5); amended by No. 42 of 2004 s. 147.]</w:t>
      </w:r>
    </w:p>
    <w:p>
      <w:pPr>
        <w:pStyle w:val="Heading5"/>
        <w:spacing w:before="120"/>
      </w:pPr>
      <w:bookmarkStart w:id="1251" w:name="_Toc517775330"/>
      <w:bookmarkStart w:id="1252" w:name="_Toc520107078"/>
      <w:bookmarkStart w:id="1253" w:name="_Toc523111703"/>
      <w:bookmarkStart w:id="1254" w:name="_Toc122833264"/>
      <w:bookmarkStart w:id="1255" w:name="_Toc122833831"/>
      <w:r>
        <w:rPr>
          <w:rStyle w:val="CharSectno"/>
        </w:rPr>
        <w:t>93G</w:t>
      </w:r>
      <w:r>
        <w:t>.</w:t>
      </w:r>
      <w:r>
        <w:tab/>
        <w:t>Regulations</w:t>
      </w:r>
      <w:bookmarkEnd w:id="1251"/>
      <w:bookmarkEnd w:id="1252"/>
      <w:bookmarkEnd w:id="1253"/>
      <w:bookmarkEnd w:id="1254"/>
      <w:bookmarkEnd w:id="1255"/>
    </w:p>
    <w:p>
      <w:pPr>
        <w:pStyle w:val="Subsection"/>
        <w:spacing w:before="100"/>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by No. 34 of 1999 s. 32(5); amended by No. 42 of 2004 s. 78.]</w:t>
      </w:r>
    </w:p>
    <w:p>
      <w:pPr>
        <w:pStyle w:val="Heading4"/>
      </w:pPr>
      <w:bookmarkStart w:id="1256" w:name="_Toc87252902"/>
      <w:bookmarkStart w:id="1257" w:name="_Toc119132546"/>
      <w:bookmarkStart w:id="1258" w:name="_Toc119203216"/>
      <w:bookmarkStart w:id="1259" w:name="_Toc119203862"/>
      <w:bookmarkStart w:id="1260" w:name="_Toc119216192"/>
      <w:bookmarkStart w:id="1261" w:name="_Toc119300712"/>
      <w:bookmarkStart w:id="1262" w:name="_Toc119301279"/>
      <w:bookmarkStart w:id="1263" w:name="_Toc119301848"/>
      <w:bookmarkStart w:id="1264" w:name="_Toc119920035"/>
      <w:bookmarkStart w:id="1265" w:name="_Toc122774022"/>
      <w:bookmarkStart w:id="1266" w:name="_Toc122833265"/>
      <w:bookmarkStart w:id="1267" w:name="_Toc122833832"/>
      <w:bookmarkStart w:id="1268" w:name="_Toc92705056"/>
      <w:bookmarkStart w:id="1269" w:name="_Toc93222524"/>
      <w:bookmarkStart w:id="1270" w:name="_Toc95022601"/>
      <w:bookmarkStart w:id="1271" w:name="_Toc95117873"/>
      <w:bookmarkStart w:id="1272" w:name="_Toc96498278"/>
      <w:bookmarkStart w:id="1273" w:name="_Toc96500756"/>
      <w:bookmarkStart w:id="1274" w:name="_Toc101779670"/>
      <w:bookmarkStart w:id="1275" w:name="_Toc103060118"/>
      <w:bookmarkStart w:id="1276" w:name="_Toc105471014"/>
      <w:bookmarkStart w:id="1277" w:name="_Toc105474928"/>
      <w:bookmarkStart w:id="1278" w:name="_Toc107308030"/>
      <w:bookmarkStart w:id="1279" w:name="_Toc109712263"/>
      <w:bookmarkStart w:id="1280" w:name="_Toc109724146"/>
      <w:bookmarkStart w:id="1281" w:name="_Toc110054018"/>
      <w:bookmarkStart w:id="1282" w:name="_Toc110054407"/>
      <w:bookmarkStart w:id="1283" w:name="_Toc110654487"/>
      <w:bookmarkStart w:id="1284" w:name="_Toc110735925"/>
      <w:bookmarkStart w:id="1285" w:name="_Toc110738661"/>
      <w:bookmarkStart w:id="1286" w:name="_Toc115691335"/>
      <w:bookmarkStart w:id="1287" w:name="_Toc115773632"/>
      <w:r>
        <w:t>Subdivision 3 — 2004 scheme</w:t>
      </w:r>
      <w:bookmarkEnd w:id="1256"/>
      <w:bookmarkEnd w:id="1257"/>
      <w:bookmarkEnd w:id="1258"/>
      <w:bookmarkEnd w:id="1259"/>
      <w:bookmarkEnd w:id="1260"/>
      <w:bookmarkEnd w:id="1261"/>
      <w:bookmarkEnd w:id="1262"/>
      <w:bookmarkEnd w:id="1263"/>
      <w:bookmarkEnd w:id="1264"/>
      <w:bookmarkEnd w:id="1265"/>
      <w:bookmarkEnd w:id="1266"/>
      <w:bookmarkEnd w:id="1267"/>
    </w:p>
    <w:p>
      <w:pPr>
        <w:pStyle w:val="Footnoteheading"/>
      </w:pPr>
      <w:bookmarkStart w:id="1288" w:name="_Toc87252903"/>
      <w:r>
        <w:tab/>
        <w:t>[Heading inserted by No. 42 of 2004 s. 79.]</w:t>
      </w:r>
    </w:p>
    <w:p>
      <w:pPr>
        <w:pStyle w:val="Heading5"/>
      </w:pPr>
      <w:bookmarkStart w:id="1289" w:name="_Toc122833266"/>
      <w:bookmarkStart w:id="1290" w:name="_Toc122833833"/>
      <w:r>
        <w:rPr>
          <w:rStyle w:val="CharSectno"/>
        </w:rPr>
        <w:t>93H</w:t>
      </w:r>
      <w:r>
        <w:t>.</w:t>
      </w:r>
      <w:r>
        <w:tab/>
        <w:t>Terms used in this Subdivision</w:t>
      </w:r>
      <w:bookmarkEnd w:id="1288"/>
      <w:bookmarkEnd w:id="1289"/>
      <w:bookmarkEnd w:id="1290"/>
    </w:p>
    <w:p>
      <w:pPr>
        <w:pStyle w:val="Subsection"/>
        <w:outlineLvl w:val="0"/>
      </w:pPr>
      <w:r>
        <w:tab/>
        <w:t>(1)</w:t>
      </w:r>
      <w:r>
        <w:tab/>
        <w:t xml:space="preserve">In this Subdivision — </w:t>
      </w:r>
    </w:p>
    <w:p>
      <w:pPr>
        <w:pStyle w:val="Defstart"/>
      </w:pPr>
      <w:r>
        <w:rPr>
          <w:b/>
        </w:rPr>
        <w:tab/>
        <w:t>“</w:t>
      </w:r>
      <w:r>
        <w:rPr>
          <w:rStyle w:val="CharDefText"/>
        </w:rPr>
        <w:t>degree of permanent whole of person impairment</w:t>
      </w:r>
      <w:r>
        <w:rPr>
          <w:b/>
        </w:rPr>
        <w: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t>“</w:t>
      </w:r>
      <w:r>
        <w:rPr>
          <w:rStyle w:val="CharDefText"/>
        </w:rPr>
        <w:t>election registration day</w:t>
      </w:r>
      <w:r>
        <w:rPr>
          <w:b/>
        </w:rPr>
        <w:t>”</w:t>
      </w:r>
      <w:r>
        <w:t xml:space="preserve"> means the day on which the Director registers the election under section 93K(4)(b).</w:t>
      </w:r>
    </w:p>
    <w:p>
      <w:pPr>
        <w:pStyle w:val="Subsection"/>
        <w:outlineLvl w:val="0"/>
      </w:pPr>
      <w:r>
        <w:tab/>
        <w:t>(2)</w:t>
      </w:r>
      <w:r>
        <w:tab/>
        <w:t xml:space="preserve">In the definition of “degree of permanent whole of person impairment” in subsection (1) — </w:t>
      </w:r>
    </w:p>
    <w:p>
      <w:pPr>
        <w:pStyle w:val="Defstart"/>
      </w:pPr>
      <w:r>
        <w:rPr>
          <w:b/>
        </w:rPr>
        <w:tab/>
        <w:t>“</w:t>
      </w:r>
      <w:r>
        <w:rPr>
          <w:rStyle w:val="CharDefText"/>
        </w:rPr>
        <w:t>event</w:t>
      </w:r>
      <w:r>
        <w:rPr>
          <w:b/>
        </w:rPr>
        <w: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bookmarkStart w:id="1291" w:name="_Toc87252904"/>
      <w:r>
        <w:tab/>
        <w:t>[Section 93H inserted by No. 42 of 2004 s. 79.]</w:t>
      </w:r>
    </w:p>
    <w:p>
      <w:pPr>
        <w:pStyle w:val="Heading5"/>
      </w:pPr>
      <w:bookmarkStart w:id="1292" w:name="_Toc122833267"/>
      <w:bookmarkStart w:id="1293" w:name="_Toc122833834"/>
      <w:r>
        <w:rPr>
          <w:rStyle w:val="CharSectno"/>
        </w:rPr>
        <w:t>93I</w:t>
      </w:r>
      <w:r>
        <w:t>.</w:t>
      </w:r>
      <w:r>
        <w:tab/>
        <w:t>Application of this Subdivision</w:t>
      </w:r>
      <w:bookmarkEnd w:id="1291"/>
      <w:bookmarkEnd w:id="1292"/>
      <w:bookmarkEnd w:id="1293"/>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p>
    <w:p>
      <w:pPr>
        <w:pStyle w:val="Subsection"/>
      </w:pPr>
      <w:r>
        <w:tab/>
        <w:t>(2)</w:t>
      </w:r>
      <w:r>
        <w:tab/>
        <w:t xml:space="preserve">Despite subsection (1), this Subdivision applies to a worker who claims to be suffering an injury attributable to the inhalation of asbestos if, on or after 14 November 2005 — </w:t>
      </w:r>
    </w:p>
    <w:p>
      <w:pPr>
        <w:pStyle w:val="Indenta"/>
      </w:pPr>
      <w:r>
        <w:tab/>
        <w:t>(a)</w:t>
      </w:r>
      <w:r>
        <w:tab/>
        <w:t xml:space="preserve">the worker seeks to agree the worker’s degree of permanent whole of person impairment for the purposes of section 93K; or </w:t>
      </w:r>
    </w:p>
    <w:p>
      <w:pPr>
        <w:pStyle w:val="Indenta"/>
      </w:pPr>
      <w:r>
        <w:tab/>
        <w:t>(b)</w:t>
      </w:r>
      <w:r>
        <w:tab/>
        <w:t>an assessment of a medical panel to evaluate the worker’s degree of permanent whole of person impairment is sought under section 93R.</w:t>
      </w:r>
    </w:p>
    <w:p>
      <w:pPr>
        <w:pStyle w:val="Footnotesection"/>
      </w:pPr>
      <w:bookmarkStart w:id="1294" w:name="_Toc87252905"/>
      <w:r>
        <w:tab/>
        <w:t>[Section 93I inserted by No. 42 of 2004 s. 79; amended by No. 20 of 2005 s. 22.]</w:t>
      </w:r>
    </w:p>
    <w:p>
      <w:pPr>
        <w:pStyle w:val="Heading5"/>
      </w:pPr>
      <w:bookmarkStart w:id="1295" w:name="_Toc122833268"/>
      <w:bookmarkStart w:id="1296" w:name="_Toc122833835"/>
      <w:r>
        <w:rPr>
          <w:rStyle w:val="CharSectno"/>
        </w:rPr>
        <w:t>93J</w:t>
      </w:r>
      <w:r>
        <w:t>.</w:t>
      </w:r>
      <w:r>
        <w:tab/>
        <w:t>No damages for noise induced hearing loss if not an injury</w:t>
      </w:r>
      <w:bookmarkEnd w:id="1294"/>
      <w:bookmarkEnd w:id="1295"/>
      <w:bookmarkEnd w:id="1296"/>
    </w:p>
    <w:p>
      <w:pPr>
        <w:pStyle w:val="Subsection"/>
        <w:rPr>
          <w:snapToGrid w:val="0"/>
        </w:rPr>
      </w:pPr>
      <w:bookmarkStart w:id="1297" w:name="_Toc48380340"/>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bookmarkStart w:id="1298" w:name="_Toc87252906"/>
      <w:r>
        <w:tab/>
        <w:t>[Section 93J inserted by No. 42 of 2004 s. 79.]</w:t>
      </w:r>
    </w:p>
    <w:p>
      <w:pPr>
        <w:pStyle w:val="Heading5"/>
      </w:pPr>
      <w:bookmarkStart w:id="1299" w:name="_Toc122833269"/>
      <w:bookmarkStart w:id="1300" w:name="_Toc122833836"/>
      <w:r>
        <w:rPr>
          <w:rStyle w:val="CharSectno"/>
        </w:rPr>
        <w:t>93K</w:t>
      </w:r>
      <w:r>
        <w:t>.</w:t>
      </w:r>
      <w:r>
        <w:tab/>
        <w:t>Restrictions on awarding, and amount of, damages</w:t>
      </w:r>
      <w:bookmarkEnd w:id="1298"/>
      <w:bookmarkEnd w:id="1299"/>
      <w:bookmarkEnd w:id="1300"/>
    </w:p>
    <w:p>
      <w:pPr>
        <w:pStyle w:val="Subsection"/>
      </w:pPr>
      <w:r>
        <w:tab/>
        <w:t>(1)</w:t>
      </w:r>
      <w:r>
        <w:tab/>
        <w:t>If the liability for an incapacity resulting from the injury has been redeemed under section 67, damages are not to be awarded in respect of the injury.</w:t>
      </w:r>
    </w:p>
    <w:p>
      <w:pPr>
        <w:pStyle w:val="Subsection"/>
      </w:pPr>
      <w:r>
        <w:tab/>
        <w:t>(2)</w:t>
      </w:r>
      <w:r>
        <w:tab/>
        <w:t>If a further additional sum has been allowed to the worker under clause 18A(1b) in relation to an injury that is compensable under this Act, damages are not to be awarded in respect of the injury.</w:t>
      </w:r>
    </w:p>
    <w:p>
      <w:pPr>
        <w:pStyle w:val="Subsection"/>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pPr>
      <w:r>
        <w:tab/>
        <w:t>(4)</w:t>
      </w:r>
      <w:r>
        <w:tab/>
        <w:t xml:space="preserve">Damages in respect of an injury can only be awarded if — </w:t>
      </w:r>
    </w:p>
    <w:p>
      <w:pPr>
        <w:pStyle w:val="Indenta"/>
      </w:pPr>
      <w:r>
        <w:tab/>
        <w:t>(a)</w:t>
      </w:r>
      <w:r>
        <w:tab/>
        <w:t>the worker elects, in the manner prescribed in the regulations, to retain the right to seek the damages;</w:t>
      </w:r>
    </w:p>
    <w:p>
      <w:pPr>
        <w:pStyle w:val="Indenta"/>
      </w:pPr>
      <w:r>
        <w:tab/>
        <w:t>(b)</w:t>
      </w:r>
      <w:r>
        <w:tab/>
        <w:t>the Director registers the election in accordance with the regulations;</w:t>
      </w:r>
    </w:p>
    <w:p>
      <w:pPr>
        <w:pStyle w:val="Indenta"/>
      </w:pPr>
      <w:r>
        <w:tab/>
        <w:t>(c)</w:t>
      </w:r>
      <w:r>
        <w:tab/>
        <w:t xml:space="preserve">court proceedings seeking the damages are commenced within — </w:t>
      </w:r>
    </w:p>
    <w:p>
      <w:pPr>
        <w:pStyle w:val="Indenti"/>
      </w:pPr>
      <w:r>
        <w:tab/>
        <w:t>(i)</w:t>
      </w:r>
      <w:r>
        <w:tab/>
        <w:t>the period of 30 days after the Director gives the worker written notice that the Director has registered the election; or</w:t>
      </w:r>
    </w:p>
    <w:p>
      <w:pPr>
        <w:pStyle w:val="Indenti"/>
      </w:pPr>
      <w:r>
        <w:tab/>
        <w:t>(ii)</w:t>
      </w:r>
      <w:r>
        <w:tab/>
        <w:t>any further time provided for in the regulations to allow for things to be done before court proceedings are commenced;</w:t>
      </w:r>
    </w:p>
    <w:p>
      <w:pPr>
        <w:pStyle w:val="Indenta"/>
      </w:pPr>
      <w:r>
        <w:tab/>
      </w:r>
      <w:r>
        <w:tab/>
        <w:t>and</w:t>
      </w:r>
    </w:p>
    <w:p>
      <w:pPr>
        <w:pStyle w:val="Indenta"/>
      </w:pPr>
      <w:r>
        <w:tab/>
        <w:t>(d)</w:t>
      </w:r>
      <w:r>
        <w:tab/>
        <w:t>the court is satisfied that the worker’s degree of permanent whole of person impairment is at least 15%.</w:t>
      </w:r>
    </w:p>
    <w:bookmarkEnd w:id="1297"/>
    <w:p>
      <w:pPr>
        <w:pStyle w:val="Subsection"/>
      </w:pPr>
      <w:r>
        <w:tab/>
        <w:t>(5)</w:t>
      </w:r>
      <w:r>
        <w:tab/>
        <w:t xml:space="preserve">Unless the court is satisfied that the worker’s degree of permanent whole of person impairment is at least 25% —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 xml:space="preserve">If —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b/>
        </w:rPr>
        <w:t>“</w:t>
      </w:r>
      <w:r>
        <w:rPr>
          <w:rStyle w:val="CharDefText"/>
        </w:rPr>
        <w:t>Contribution Act</w:t>
      </w:r>
      <w:r>
        <w:rPr>
          <w:b/>
        </w:rPr>
        <w:t>”</w:t>
      </w:r>
      <w:r>
        <w:t>) in respect of damages awarded against another person in relation to the injury.</w:t>
      </w:r>
    </w:p>
    <w:p>
      <w:pPr>
        <w:pStyle w:val="Subsection"/>
      </w:pPr>
      <w:r>
        <w:tab/>
        <w:t>(9)</w:t>
      </w:r>
      <w:r>
        <w:tab/>
        <w:t xml:space="preserve">If subsection (5) limits the damages that could have been awarded in respect of the injury —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pPr>
      <w:r>
        <w:tab/>
        <w:t>(10)</w:t>
      </w:r>
      <w:r>
        <w:tab/>
        <w:t>This section applies regardless of whether the damages are awarded against one or several employers.</w:t>
      </w:r>
    </w:p>
    <w:p>
      <w:pPr>
        <w:pStyle w:val="Subsection"/>
      </w:pPr>
      <w:r>
        <w:tab/>
        <w:t>(11)</w:t>
      </w:r>
      <w:r>
        <w:tab/>
        <w:t>An issue as to the amount of damages that may be awarded, is to be determined by reference to Amount A as in effect on the date on which the determination is made.</w:t>
      </w:r>
    </w:p>
    <w:p>
      <w:pPr>
        <w:pStyle w:val="Subsection"/>
      </w:pPr>
      <w:r>
        <w:tab/>
        <w:t>(12)</w:t>
      </w:r>
      <w:r>
        <w:tab/>
        <w:t xml:space="preserve">In this section — </w:t>
      </w:r>
    </w:p>
    <w:p>
      <w:pPr>
        <w:pStyle w:val="Defstart"/>
      </w:pPr>
      <w:r>
        <w:tab/>
      </w:r>
      <w:r>
        <w:rPr>
          <w:b/>
        </w:rPr>
        <w:t>“</w:t>
      </w:r>
      <w:r>
        <w:rPr>
          <w:rStyle w:val="CharDefText"/>
        </w:rPr>
        <w:t>Amount A</w:t>
      </w:r>
      <w:r>
        <w:rPr>
          <w:b/>
        </w:rPr>
        <w:t>”</w:t>
      </w:r>
      <w:r>
        <w:t xml:space="preserve"> means, in relation to a financial year, the amount that section 93F(8) defines to be Amount A in relation to that financial year.</w:t>
      </w:r>
    </w:p>
    <w:p>
      <w:pPr>
        <w:pStyle w:val="Subsection"/>
      </w:pPr>
      <w:bookmarkStart w:id="1301" w:name="_Toc48380341"/>
      <w:r>
        <w:tab/>
        <w:t>(13)</w:t>
      </w:r>
      <w:r>
        <w:tab/>
        <w:t>The court is not bound by an agreement or assessment recorded by the Director under section 93L(2), but may admit it as evidence relevant to the worker’s degree of permanent whole of person impairment.</w:t>
      </w:r>
    </w:p>
    <w:p>
      <w:pPr>
        <w:pStyle w:val="Footnotesection"/>
      </w:pPr>
      <w:bookmarkStart w:id="1302" w:name="_Toc87252907"/>
      <w:r>
        <w:tab/>
        <w:t>[Section 93K inserted by No. 42 of 2004 s. 79.]</w:t>
      </w:r>
    </w:p>
    <w:p>
      <w:pPr>
        <w:pStyle w:val="Heading5"/>
      </w:pPr>
      <w:bookmarkStart w:id="1303" w:name="_Toc122833270"/>
      <w:bookmarkStart w:id="1304" w:name="_Toc122833837"/>
      <w:r>
        <w:rPr>
          <w:rStyle w:val="CharSectno"/>
        </w:rPr>
        <w:t>93L</w:t>
      </w:r>
      <w:r>
        <w:t>.</w:t>
      </w:r>
      <w:r>
        <w:tab/>
        <w:t>Election to retain right to seek damages</w:t>
      </w:r>
      <w:bookmarkEnd w:id="1302"/>
      <w:bookmarkEnd w:id="1303"/>
      <w:bookmarkEnd w:id="1304"/>
    </w:p>
    <w:p>
      <w:pPr>
        <w:pStyle w:val="Subsection"/>
      </w:pPr>
      <w:r>
        <w:tab/>
        <w:t>(1)</w:t>
      </w:r>
      <w:r>
        <w:tab/>
        <w:t xml:space="preserve">In this section — </w:t>
      </w:r>
    </w:p>
    <w:p>
      <w:pPr>
        <w:pStyle w:val="Defstart"/>
      </w:pPr>
      <w:r>
        <w:rPr>
          <w:b/>
        </w:rPr>
        <w:tab/>
        <w:t>“</w:t>
      </w:r>
      <w:r>
        <w:rPr>
          <w:rStyle w:val="CharDefText"/>
        </w:rPr>
        <w:t>termination day</w:t>
      </w:r>
      <w:r>
        <w:rPr>
          <w:b/>
        </w:rPr>
        <w:t>”</w:t>
      </w:r>
      <w:r>
        <w:t xml:space="preserve"> has the meaning given in section 93M.</w:t>
      </w:r>
    </w:p>
    <w:p>
      <w:pPr>
        <w:pStyle w:val="Subsection"/>
      </w:pPr>
      <w:r>
        <w:tab/>
        <w:t>(2)</w:t>
      </w:r>
      <w:r>
        <w:tab/>
        <w:t xml:space="preserve">A worker can only elect under section 93K(4) to retain the right to seek damages if — </w:t>
      </w:r>
    </w:p>
    <w:p>
      <w:pPr>
        <w:pStyle w:val="Indenta"/>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Subsection"/>
      </w:pPr>
      <w:r>
        <w:tab/>
        <w:t>(4)</w:t>
      </w:r>
      <w:r>
        <w:tab/>
        <w:t>If a claim for compensation by way of weekly payments has been made wholly or partially with respect to the injury or injuries concerned, an election cannot be made after the termination day.</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bookmarkStart w:id="1305" w:name="_Toc87252908"/>
      <w:r>
        <w:tab/>
        <w:t>[Section 93L inserted by No. 42 of 2004 s. 79.]</w:t>
      </w:r>
    </w:p>
    <w:p>
      <w:pPr>
        <w:pStyle w:val="Heading5"/>
      </w:pPr>
      <w:bookmarkStart w:id="1306" w:name="_Toc122833271"/>
      <w:bookmarkStart w:id="1307" w:name="_Toc122833838"/>
      <w:r>
        <w:rPr>
          <w:rStyle w:val="CharSectno"/>
        </w:rPr>
        <w:t>93M</w:t>
      </w:r>
      <w:r>
        <w:t>.</w:t>
      </w:r>
      <w:r>
        <w:tab/>
        <w:t>Termination day</w:t>
      </w:r>
      <w:bookmarkEnd w:id="1305"/>
      <w:bookmarkEnd w:id="1306"/>
      <w:bookmarkEnd w:id="1307"/>
    </w:p>
    <w:p>
      <w:pPr>
        <w:pStyle w:val="Subsection"/>
      </w:pPr>
      <w:r>
        <w:tab/>
        <w:t>(1)</w:t>
      </w:r>
      <w:r>
        <w:tab/>
        <w:t>If a claim for compensation by way of weekly payments has been made wholly or partially with respect to an injury, the termination day for an election to retain the right to seek damages in respect of that injury is the last day of the period of one year after the day on which the claim for compensation by way of weekly payments is made unless a later day is fixed by subsection (3) or under subsection (4).</w:t>
      </w:r>
    </w:p>
    <w:p>
      <w:pPr>
        <w:pStyle w:val="Subsection"/>
      </w:pPr>
      <w:r>
        <w:tab/>
        <w:t>(2)</w:t>
      </w:r>
      <w:r>
        <w:tab/>
        <w:t xml:space="preserve">In subsection (1) — </w:t>
      </w:r>
    </w:p>
    <w:p>
      <w:pPr>
        <w:pStyle w:val="Defstart"/>
      </w:pPr>
      <w:r>
        <w:rPr>
          <w:b/>
        </w:rPr>
        <w:tab/>
        <w:t>“</w:t>
      </w:r>
      <w:r>
        <w:rPr>
          <w:rStyle w:val="CharDefText"/>
        </w:rPr>
        <w:t>claim for compensation by way of weekly payments</w:t>
      </w:r>
      <w:r>
        <w:rPr>
          <w:b/>
        </w:rPr>
        <w:t>”</w:t>
      </w:r>
      <w:r>
        <w:t xml:space="preserve"> means a claim for compensation by way of weekly payments for total or partial incapacity that has been made on an employer in accordance with section 178(1)(b).</w:t>
      </w:r>
    </w:p>
    <w:p>
      <w:pPr>
        <w:pStyle w:val="Subsection"/>
      </w:pPr>
      <w:r>
        <w:tab/>
        <w:t>(3)</w:t>
      </w:r>
      <w:r>
        <w:tab/>
        <w:t xml:space="preserve">If, after the expiry of the period of 3 months after the day on which the claim is made — </w:t>
      </w:r>
    </w:p>
    <w:p>
      <w:pPr>
        <w:pStyle w:val="Indenta"/>
      </w:pPr>
      <w:r>
        <w:tab/>
        <w:t>(a)</w:t>
      </w:r>
      <w:r>
        <w:tab/>
        <w:t>a dispute resolution authority,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termination day is the last day of the period of 9 months after the day of the act described in paragraph (a) or (b) that was most recently done unless a later day is fixed under subsection (4).</w:t>
      </w:r>
    </w:p>
    <w:p>
      <w:pPr>
        <w:pStyle w:val="Subsection"/>
      </w:pPr>
      <w:r>
        <w:tab/>
        <w:t>(4)</w:t>
      </w:r>
      <w:r>
        <w:tab/>
        <w:t xml:space="preserve">The Director may, in accordance with the regulations, from time to time extend the termination day, but only if — </w:t>
      </w:r>
    </w:p>
    <w:p>
      <w:pPr>
        <w:pStyle w:val="Indenta"/>
      </w:pPr>
      <w:r>
        <w:tab/>
        <w:t>(a)</w:t>
      </w:r>
      <w:r>
        <w:tab/>
        <w:t>before the termination day, an approved medical specialist, in writing —</w:t>
      </w:r>
    </w:p>
    <w:p>
      <w:pPr>
        <w:pStyle w:val="Indenti"/>
      </w:pPr>
      <w:r>
        <w:tab/>
        <w:t>(i)</w:t>
      </w:r>
      <w:r>
        <w:tab/>
        <w:t>certifies that the worker’s condition has not stabilised to the extent required for a normal evaluation of the worker’s degree of permanent whole of person impairment to be made in accordance with the WorkCover Guides as described in sections 146A and 146C; and</w:t>
      </w:r>
    </w:p>
    <w:p>
      <w:pPr>
        <w:pStyle w:val="Indenti"/>
      </w:pPr>
      <w:r>
        <w:tab/>
        <w:t>(ii)</w:t>
      </w:r>
      <w:r>
        <w:tab/>
        <w:t>recommends a day until which the termination day be extended;</w:t>
      </w:r>
    </w:p>
    <w:p>
      <w:pPr>
        <w:pStyle w:val="Indenta"/>
      </w:pPr>
      <w:r>
        <w:tab/>
        <w:t>(b)</w:t>
      </w:r>
      <w:r>
        <w:tab/>
        <w:t>the Director is satisfied that the employer has failed to comply with section 93O;</w:t>
      </w:r>
    </w:p>
    <w:p>
      <w:pPr>
        <w:pStyle w:val="Indenta"/>
      </w:pPr>
      <w:r>
        <w:tab/>
        <w:t>(c)</w:t>
      </w:r>
      <w:r>
        <w:tab/>
        <w:t>the Director is satisfied that the extension should be given because an approved medical specialist requires or required more than the time described in section 93O(1)(d) before being able to give the worker the documents required by section 146H; or</w:t>
      </w:r>
    </w:p>
    <w:p>
      <w:pPr>
        <w:pStyle w:val="Indenta"/>
      </w:pPr>
      <w:r>
        <w:tab/>
        <w:t>(d)</w:t>
      </w:r>
      <w:r>
        <w:tab/>
        <w:t xml:space="preserve">the Director is satisfied that — </w:t>
      </w:r>
    </w:p>
    <w:p>
      <w:pPr>
        <w:pStyle w:val="Indenti"/>
      </w:pPr>
      <w:r>
        <w:tab/>
        <w:t>(i)</w:t>
      </w:r>
      <w:r>
        <w:tab/>
        <w:t xml:space="preserve">the worker has, in accordance with the regulations, requested an approved medical specialist to assess the worker’s degree of permanent whole of person impairment other than as described in subparagraph (ii), allowing at least the time described in section 93O(1)(d) for the approved medical specialist to give the worker the documents required by section 146H at least 7 days before the termination day, but the worker was not given, or it would be impracticable to give, those documents at least 7 days before the termination </w:t>
      </w:r>
      <w:bookmarkStart w:id="1308" w:name="_Hlt61420641"/>
      <w:bookmarkEnd w:id="1308"/>
      <w:r>
        <w:t>day; or</w:t>
      </w:r>
    </w:p>
    <w:p>
      <w:pPr>
        <w:pStyle w:val="Indenti"/>
      </w:pPr>
      <w:r>
        <w:tab/>
        <w:t>(ii)</w:t>
      </w:r>
      <w:r>
        <w:tab/>
        <w:t>the worker has, in accordance with the regulations, requested an approved medical specialist to make an assessment that involves a special evaluation of the worker’s degree of permanent whole of person impairment, allowing at least 7 weeks for the approved medical specialist to make the assessment and give the worker the documents required by section 146H at least 7 days before the termination day, but the worker was not given, or it would be impracticable to give, those documents at least 7 days before the termination day.</w:t>
      </w:r>
    </w:p>
    <w:p>
      <w:pPr>
        <w:pStyle w:val="Subsection"/>
      </w:pPr>
      <w:r>
        <w:tab/>
        <w:t>(5)</w:t>
      </w:r>
      <w:r>
        <w:tab/>
        <w:t xml:space="preserve">In subsection (4) — </w:t>
      </w:r>
    </w:p>
    <w:p>
      <w:pPr>
        <w:pStyle w:val="Defstart"/>
      </w:pPr>
      <w:r>
        <w:rPr>
          <w:b/>
        </w:rPr>
        <w:tab/>
        <w:t>“</w:t>
      </w:r>
      <w:r>
        <w:rPr>
          <w:rStyle w:val="CharDefText"/>
        </w:rPr>
        <w:t>normal evaluation</w:t>
      </w:r>
      <w:r>
        <w:rPr>
          <w:b/>
        </w:rPr>
        <w:t>”</w:t>
      </w:r>
      <w:r>
        <w:t xml:space="preserve"> has the meaning given to that term in section 146C(3);</w:t>
      </w:r>
    </w:p>
    <w:p>
      <w:pPr>
        <w:pStyle w:val="Defstart"/>
      </w:pPr>
      <w:r>
        <w:rPr>
          <w:b/>
        </w:rPr>
        <w:tab/>
        <w:t>“</w:t>
      </w:r>
      <w:r>
        <w:rPr>
          <w:rStyle w:val="CharDefText"/>
        </w:rPr>
        <w:t>special evaluation</w:t>
      </w:r>
      <w:r>
        <w:rPr>
          <w:b/>
        </w:rPr>
        <w:t>”</w:t>
      </w:r>
      <w:r>
        <w:t xml:space="preserve"> has the meaning given to that term in section 146C(4).</w:t>
      </w:r>
    </w:p>
    <w:p>
      <w:pPr>
        <w:pStyle w:val="Subsection"/>
      </w:pPr>
      <w:r>
        <w:tab/>
        <w:t>(6)</w:t>
      </w:r>
      <w:r>
        <w:tab/>
        <w:t>An extension under subsection (4) is to be to a day that is not more than one year after the day that would have been the termination day had there been no extension under that subsection except that, in circumstances described in subsection (4)(d), the Director may give an extension for as long as the Director considers necessary to give the worker an opportunity to make an election.</w:t>
      </w:r>
    </w:p>
    <w:p>
      <w:pPr>
        <w:pStyle w:val="Subsection"/>
      </w:pPr>
      <w:r>
        <w:tab/>
        <w:t>(7)</w:t>
      </w:r>
      <w:r>
        <w:tab/>
        <w:t>An extension is to be in writing and the Director is required to give the worker and the employer each a copy of the extension.</w:t>
      </w:r>
    </w:p>
    <w:p>
      <w:pPr>
        <w:pStyle w:val="Subsection"/>
      </w:pPr>
      <w:r>
        <w:tab/>
        <w:t>(8)</w:t>
      </w:r>
      <w:r>
        <w:tab/>
        <w:t>An extension may be given even though the termination day has passed.</w:t>
      </w:r>
    </w:p>
    <w:p>
      <w:pPr>
        <w:pStyle w:val="Footnotesection"/>
      </w:pPr>
      <w:bookmarkStart w:id="1309" w:name="_Toc87252909"/>
      <w:r>
        <w:tab/>
        <w:t>[Section 93M inserted by No. 42 of 2004 s. 79.]</w:t>
      </w:r>
    </w:p>
    <w:p>
      <w:pPr>
        <w:pStyle w:val="Heading5"/>
      </w:pPr>
      <w:bookmarkStart w:id="1310" w:name="_Toc122833272"/>
      <w:bookmarkStart w:id="1311" w:name="_Toc122833839"/>
      <w:r>
        <w:rPr>
          <w:rStyle w:val="CharSectno"/>
        </w:rPr>
        <w:t>93N</w:t>
      </w:r>
      <w:r>
        <w:t>.</w:t>
      </w:r>
      <w:r>
        <w:tab/>
        <w:t>Special evaluation if condition has not sufficiently stabilised</w:t>
      </w:r>
      <w:bookmarkEnd w:id="1309"/>
      <w:bookmarkEnd w:id="1310"/>
      <w:bookmarkEnd w:id="1311"/>
    </w:p>
    <w:p>
      <w:pPr>
        <w:pStyle w:val="Subsection"/>
      </w:pPr>
      <w:r>
        <w:tab/>
        <w:t>(1)</w:t>
      </w:r>
      <w:r>
        <w:tab/>
        <w:t>This section applies if, after the expiry of the period of 6 months after the day that would have been the termination day had there been no extension under section 93M(4),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pPr>
      <w:r>
        <w:tab/>
        <w:t>(2)</w:t>
      </w:r>
      <w:r>
        <w:tab/>
        <w:t>The worker may request an approved medical specialist to make a special evaluation of the worker’s degree of permanent whole of person impairment in accordance with sections 146A and 146C.</w:t>
      </w:r>
    </w:p>
    <w:p>
      <w:pPr>
        <w:pStyle w:val="Subsection"/>
      </w:pPr>
      <w:r>
        <w:tab/>
        <w:t>(3)</w:t>
      </w:r>
      <w:r>
        <w:tab/>
        <w:t>The approved medical specialist requested to make a special evaluation may be the approved medical specialist who certified as described in subsection (1).</w:t>
      </w:r>
    </w:p>
    <w:p>
      <w:pPr>
        <w:pStyle w:val="Subsection"/>
      </w:pPr>
      <w:r>
        <w:tab/>
        <w:t>(4)</w:t>
      </w:r>
      <w:r>
        <w:tab/>
        <w:t>The request is to be made in accordance with the regulations not later than 8 weeks before the termination day and is to be accompanied by a copy of the certificate referred to in subsection (1).</w:t>
      </w:r>
    </w:p>
    <w:p>
      <w:pPr>
        <w:pStyle w:val="Subsection"/>
      </w:pPr>
      <w:r>
        <w:tab/>
        <w:t>(5)</w:t>
      </w:r>
      <w:r>
        <w:tab/>
        <w:t xml:space="preserve">The approved medical specialist is to make the special evaluation in accordance with </w:t>
      </w:r>
      <w:bookmarkStart w:id="1312" w:name="_Hlt61420829"/>
      <w:bookmarkEnd w:id="1312"/>
      <w:r>
        <w:t>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 xml:space="preserve">In this section — </w:t>
      </w:r>
    </w:p>
    <w:p>
      <w:pPr>
        <w:pStyle w:val="Defstart"/>
      </w:pPr>
      <w:r>
        <w:rPr>
          <w:b/>
        </w:rPr>
        <w:tab/>
        <w:t>“</w:t>
      </w:r>
      <w:r>
        <w:rPr>
          <w:rStyle w:val="CharDefText"/>
        </w:rPr>
        <w:t>normal evaluation</w:t>
      </w:r>
      <w:r>
        <w:rPr>
          <w:b/>
        </w:rPr>
        <w:t xml:space="preserve">” </w:t>
      </w:r>
      <w:r>
        <w:t>has the meaning given to that term in section 146C.</w:t>
      </w:r>
    </w:p>
    <w:p>
      <w:pPr>
        <w:pStyle w:val="Footnotesection"/>
      </w:pPr>
      <w:bookmarkStart w:id="1313" w:name="_Toc87252910"/>
      <w:bookmarkStart w:id="1314" w:name="_Toc67124398"/>
      <w:r>
        <w:tab/>
        <w:t>[Section 93N inserted by No. 42 of 2004 s. 79.]</w:t>
      </w:r>
    </w:p>
    <w:p>
      <w:pPr>
        <w:pStyle w:val="Heading5"/>
      </w:pPr>
      <w:bookmarkStart w:id="1315" w:name="_Toc122833273"/>
      <w:bookmarkStart w:id="1316" w:name="_Toc122833840"/>
      <w:r>
        <w:rPr>
          <w:rStyle w:val="CharSectno"/>
        </w:rPr>
        <w:t>93O</w:t>
      </w:r>
      <w:r>
        <w:t>.</w:t>
      </w:r>
      <w:r>
        <w:tab/>
        <w:t>Employer to give worker notice of certain things</w:t>
      </w:r>
      <w:bookmarkEnd w:id="1313"/>
      <w:bookmarkEnd w:id="1315"/>
      <w:bookmarkEnd w:id="1316"/>
    </w:p>
    <w:bookmarkEnd w:id="1314"/>
    <w:p>
      <w:pPr>
        <w:pStyle w:val="Subsection"/>
      </w:pPr>
      <w:r>
        <w:tab/>
        <w:t>(1)</w:t>
      </w:r>
      <w:r>
        <w:tab/>
        <w:t xml:space="preserve">At the time described in subsection (2), the employer is required to notify the worker in writing in accordance with the regulations — </w:t>
      </w:r>
    </w:p>
    <w:p>
      <w:pPr>
        <w:pStyle w:val="Indenta"/>
      </w:pPr>
      <w:r>
        <w:tab/>
        <w:t>(a)</w:t>
      </w:r>
      <w:r>
        <w:tab/>
        <w:t>of the day that would be the termination day if no later day were to be fixed under section 93M(4);</w:t>
      </w:r>
    </w:p>
    <w:p>
      <w:pPr>
        <w:pStyle w:val="Indenta"/>
      </w:pPr>
      <w:bookmarkStart w:id="1317" w:name="_Hlt62382714"/>
      <w:bookmarkEnd w:id="1317"/>
      <w:r>
        <w:tab/>
        <w:t>(b)</w:t>
      </w:r>
      <w:r>
        <w:tab/>
        <w:t>that about 6 months remains before the termination day;</w:t>
      </w:r>
    </w:p>
    <w:p>
      <w:pPr>
        <w:pStyle w:val="Indenta"/>
      </w:pPr>
      <w:r>
        <w:tab/>
        <w:t>(c)</w:t>
      </w:r>
      <w:r>
        <w:tab/>
        <w:t>of the significance of the termination day for the worker’s ability to seek damages; and</w:t>
      </w:r>
    </w:p>
    <w:p>
      <w:pPr>
        <w:pStyle w:val="Indenta"/>
      </w:pPr>
      <w:r>
        <w:tab/>
        <w:t>(d)</w:t>
      </w:r>
      <w:r>
        <w:tab/>
        <w:t>of the amount of time that, according to the regulations, an approved medical specialist can reasonably be expected to take, after a worker requests an assessment of the worker’s degree of permanent whole of person impairment, to give the worker the documents that an approved medical specialist is required by section 146H to give the worker.</w:t>
      </w:r>
    </w:p>
    <w:p>
      <w:pPr>
        <w:pStyle w:val="Subsection"/>
      </w:pPr>
      <w:r>
        <w:tab/>
        <w:t>(2)</w:t>
      </w:r>
      <w:r>
        <w:tab/>
        <w:t>The notice is required to be given within the period of 14 days commencing on the day that is 6 months and 14 days before the day that would be the termination day if no later day were to be fixed under section 93M(4).</w:t>
      </w:r>
    </w:p>
    <w:p>
      <w:pPr>
        <w:pStyle w:val="Footnotesection"/>
      </w:pPr>
      <w:bookmarkStart w:id="1318" w:name="_Toc87252911"/>
      <w:r>
        <w:tab/>
        <w:t>[Section 93O inserted by No. 42 of 2004 s. 79.]</w:t>
      </w:r>
    </w:p>
    <w:p>
      <w:pPr>
        <w:pStyle w:val="Heading5"/>
      </w:pPr>
      <w:bookmarkStart w:id="1319" w:name="_Toc122833274"/>
      <w:bookmarkStart w:id="1320" w:name="_Toc122833841"/>
      <w:r>
        <w:rPr>
          <w:rStyle w:val="CharSectno"/>
        </w:rPr>
        <w:t>93P</w:t>
      </w:r>
      <w:r>
        <w:t>.</w:t>
      </w:r>
      <w:r>
        <w:tab/>
        <w:t>How election may affect statutory compensation</w:t>
      </w:r>
      <w:bookmarkEnd w:id="1318"/>
      <w:bookmarkEnd w:id="1319"/>
      <w:bookmarkEnd w:id="1320"/>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 xml:space="preserve">If a worker elects under section 93K to retain the right to seek damages and this section applies —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 xml:space="preserve">no other compensation under this Act is payable in respect of the injury or injuries — </w:t>
      </w:r>
    </w:p>
    <w:p>
      <w:pPr>
        <w:pStyle w:val="Indenti"/>
      </w:pPr>
      <w:r>
        <w:tab/>
        <w:t>(i)</w:t>
      </w:r>
      <w:r>
        <w:tab/>
        <w:t>in relation to a time that is after the election registration day;</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 xml:space="preserve">In subsection (2) — </w:t>
      </w:r>
    </w:p>
    <w:p>
      <w:pPr>
        <w:pStyle w:val="Defstart"/>
      </w:pPr>
      <w:r>
        <w:rPr>
          <w:b/>
        </w:rPr>
        <w:tab/>
        <w:t>“</w:t>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pPr>
      <w:r>
        <w:tab/>
        <w:t>(4)</w:t>
      </w:r>
      <w:r>
        <w:tab/>
        <w:t xml:space="preserve">The amount of a weekly payment is —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bookmarkStart w:id="1321" w:name="_Toc87252912"/>
      <w:bookmarkStart w:id="1322" w:name="_Toc64776916"/>
      <w:bookmarkStart w:id="1323" w:name="_Toc67124400"/>
      <w:r>
        <w:tab/>
        <w:t>[Section 93P inserted by No. 42 of 2004 s. 79.]</w:t>
      </w:r>
    </w:p>
    <w:p>
      <w:pPr>
        <w:pStyle w:val="Heading5"/>
      </w:pPr>
      <w:bookmarkStart w:id="1324" w:name="_Toc122833275"/>
      <w:bookmarkStart w:id="1325" w:name="_Toc122833842"/>
      <w:r>
        <w:rPr>
          <w:rStyle w:val="CharSectno"/>
        </w:rPr>
        <w:t>93Q</w:t>
      </w:r>
      <w:r>
        <w:t>.</w:t>
      </w:r>
      <w:r>
        <w:tab/>
        <w:t>Special provisions about HIV and AIDS</w:t>
      </w:r>
      <w:bookmarkEnd w:id="1321"/>
      <w:bookmarkEnd w:id="1324"/>
      <w:bookmarkEnd w:id="1325"/>
    </w:p>
    <w:bookmarkEnd w:id="1322"/>
    <w:bookmarkEnd w:id="1323"/>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Subsection"/>
      </w:pPr>
      <w:r>
        <w:tab/>
        <w:t>(7)</w:t>
      </w:r>
      <w:r>
        <w:tab/>
        <w:t>Section 93L(4) and sections 93M, 93N, 93O, and 93P do not apply in the case of an action for damages in respect of the contraction of AIDS.</w:t>
      </w:r>
    </w:p>
    <w:p>
      <w:pPr>
        <w:pStyle w:val="Subsection"/>
      </w:pPr>
      <w:r>
        <w:tab/>
        <w:t>(8)</w:t>
      </w:r>
      <w:r>
        <w:tab/>
        <w:t xml:space="preserve">In this section — </w:t>
      </w:r>
    </w:p>
    <w:p>
      <w:pPr>
        <w:pStyle w:val="Defstart"/>
      </w:pPr>
      <w:r>
        <w:rPr>
          <w:b/>
        </w:rPr>
        <w:tab/>
        <w:t>“</w:t>
      </w:r>
      <w:r>
        <w:rPr>
          <w:rStyle w:val="CharDefText"/>
        </w:rPr>
        <w:t>AIDS</w:t>
      </w:r>
      <w:r>
        <w:rPr>
          <w:b/>
        </w:rPr>
        <w:t>”</w:t>
      </w:r>
      <w:r>
        <w:t xml:space="preserve"> means acquired immune deficiency syndrome;</w:t>
      </w:r>
    </w:p>
    <w:p>
      <w:pPr>
        <w:pStyle w:val="Defstart"/>
      </w:pPr>
      <w:r>
        <w:rPr>
          <w:b/>
        </w:rPr>
        <w:tab/>
        <w:t>“</w:t>
      </w:r>
      <w:r>
        <w:rPr>
          <w:rStyle w:val="CharDefText"/>
        </w:rPr>
        <w:t>HIV</w:t>
      </w:r>
      <w:r>
        <w:rPr>
          <w:b/>
        </w:rPr>
        <w:t>”</w:t>
      </w:r>
      <w:r>
        <w:t xml:space="preserve"> means human immunodeficiency virus;</w:t>
      </w:r>
    </w:p>
    <w:p>
      <w:pPr>
        <w:pStyle w:val="Defstart"/>
      </w:pPr>
      <w:r>
        <w:rPr>
          <w:b/>
        </w:rPr>
        <w:tab/>
        <w:t>“</w:t>
      </w:r>
      <w:r>
        <w:rPr>
          <w:rStyle w:val="CharDefText"/>
        </w:rPr>
        <w:t>prohibited drug</w:t>
      </w:r>
      <w:r>
        <w:rPr>
          <w:b/>
        </w:rPr>
        <w:t>”</w:t>
      </w:r>
      <w:r>
        <w:t xml:space="preserve"> has the meaning given to that term by the </w:t>
      </w:r>
      <w:r>
        <w:rPr>
          <w:i/>
        </w:rPr>
        <w:t>Misuse of Drugs Act 1981</w:t>
      </w:r>
      <w:r>
        <w:t xml:space="preserve"> section 3.</w:t>
      </w:r>
    </w:p>
    <w:p>
      <w:pPr>
        <w:pStyle w:val="Footnotesection"/>
      </w:pPr>
      <w:bookmarkStart w:id="1326" w:name="_Toc87252913"/>
      <w:r>
        <w:tab/>
        <w:t>[Section 93Q inserted by No. 42 of 2004 s. 79.]</w:t>
      </w:r>
    </w:p>
    <w:p>
      <w:pPr>
        <w:pStyle w:val="Heading5"/>
      </w:pPr>
      <w:bookmarkStart w:id="1327" w:name="_Toc122833276"/>
      <w:bookmarkStart w:id="1328" w:name="_Toc122833843"/>
      <w:r>
        <w:rPr>
          <w:rStyle w:val="CharSectno"/>
        </w:rPr>
        <w:t>93R</w:t>
      </w:r>
      <w:r>
        <w:t>.</w:t>
      </w:r>
      <w:r>
        <w:tab/>
        <w:t>Special provisions about specified industrial diseases</w:t>
      </w:r>
      <w:bookmarkEnd w:id="1326"/>
      <w:bookmarkEnd w:id="1327"/>
      <w:bookmarkEnd w:id="1328"/>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Subsection"/>
      </w:pPr>
      <w:r>
        <w:tab/>
        <w:t>(6)</w:t>
      </w:r>
      <w:r>
        <w:tab/>
        <w:t>There is no termination day for an election to retain the right to seek damages in respect of a disease described in subsection (1).</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pPr>
      <w:r>
        <w:tab/>
        <w:t>(8)</w:t>
      </w:r>
      <w:r>
        <w:tab/>
        <w:t xml:space="preserve">If the Director, under section 93L(2), records an assessment under this section —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pPr>
      <w:r>
        <w:tab/>
        <w:t>(b)</w:t>
      </w:r>
      <w:r>
        <w:tab/>
        <w:t>section 93K(13) does not apply.</w:t>
      </w:r>
    </w:p>
    <w:p>
      <w:pPr>
        <w:pStyle w:val="Footnotesection"/>
      </w:pPr>
      <w:bookmarkStart w:id="1329" w:name="_Toc87252914"/>
      <w:r>
        <w:tab/>
        <w:t>[Section 93R inserted by No. 42 of 2004 s. 79.]</w:t>
      </w:r>
    </w:p>
    <w:p>
      <w:pPr>
        <w:pStyle w:val="Heading5"/>
      </w:pPr>
      <w:bookmarkStart w:id="1330" w:name="_Toc122833277"/>
      <w:bookmarkStart w:id="1331" w:name="_Toc122833844"/>
      <w:r>
        <w:rPr>
          <w:rStyle w:val="CharSectno"/>
        </w:rPr>
        <w:t>93S</w:t>
      </w:r>
      <w:r>
        <w:t>.</w:t>
      </w:r>
      <w:r>
        <w:tab/>
        <w:t>Regulations</w:t>
      </w:r>
      <w:bookmarkEnd w:id="1329"/>
      <w:bookmarkEnd w:id="1330"/>
      <w:bookmarkEnd w:id="1331"/>
    </w:p>
    <w:bookmarkEnd w:id="1301"/>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Indenta"/>
      </w:pPr>
      <w:r>
        <w:tab/>
        <w:t>(e)</w:t>
      </w:r>
      <w:r>
        <w:tab/>
        <w:t>how and when a worker may apply for the Director to extend the termination day under section 93M(4), and the period for which the Director may give an extension.</w:t>
      </w:r>
    </w:p>
    <w:p>
      <w:pPr>
        <w:pStyle w:val="Footnotesection"/>
      </w:pPr>
      <w:r>
        <w:tab/>
        <w:t>[Section 93S inserted by No. 42 of 2004 s. 79.]</w:t>
      </w:r>
    </w:p>
    <w:p>
      <w:pPr>
        <w:pStyle w:val="Heading2"/>
      </w:pPr>
      <w:bookmarkStart w:id="1332" w:name="_Toc119132559"/>
      <w:bookmarkStart w:id="1333" w:name="_Toc119203229"/>
      <w:bookmarkStart w:id="1334" w:name="_Toc119203875"/>
      <w:bookmarkStart w:id="1335" w:name="_Toc119216205"/>
      <w:bookmarkStart w:id="1336" w:name="_Toc119300725"/>
      <w:bookmarkStart w:id="1337" w:name="_Toc119301292"/>
      <w:bookmarkStart w:id="1338" w:name="_Toc119301861"/>
      <w:bookmarkStart w:id="1339" w:name="_Toc119920048"/>
      <w:bookmarkStart w:id="1340" w:name="_Toc122774035"/>
      <w:bookmarkStart w:id="1341" w:name="_Toc122833278"/>
      <w:bookmarkStart w:id="1342" w:name="_Toc122833845"/>
      <w:r>
        <w:rPr>
          <w:rStyle w:val="CharPartNo"/>
        </w:rPr>
        <w:t>Part V </w:t>
      </w:r>
      <w:r>
        <w:t>—</w:t>
      </w:r>
      <w:r>
        <w:rPr>
          <w:b w:val="0"/>
        </w:rPr>
        <w:t> </w:t>
      </w:r>
      <w:r>
        <w:rPr>
          <w:rStyle w:val="CharPartText"/>
        </w:rPr>
        <w:t>WorkCover Western Australia Authority</w:t>
      </w:r>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332"/>
      <w:bookmarkEnd w:id="1333"/>
      <w:bookmarkEnd w:id="1334"/>
      <w:bookmarkEnd w:id="1335"/>
      <w:bookmarkEnd w:id="1336"/>
      <w:bookmarkEnd w:id="1337"/>
      <w:bookmarkEnd w:id="1338"/>
      <w:bookmarkEnd w:id="1339"/>
      <w:bookmarkEnd w:id="1340"/>
      <w:bookmarkEnd w:id="1341"/>
      <w:bookmarkEnd w:id="1342"/>
    </w:p>
    <w:p>
      <w:pPr>
        <w:pStyle w:val="Footnoteheading"/>
        <w:rPr>
          <w:snapToGrid w:val="0"/>
        </w:rPr>
      </w:pPr>
      <w:r>
        <w:rPr>
          <w:snapToGrid w:val="0"/>
        </w:rPr>
        <w:tab/>
        <w:t>[Heading inserted by No. 42 of 2004 s. 80.]</w:t>
      </w:r>
    </w:p>
    <w:p>
      <w:pPr>
        <w:pStyle w:val="Heading3"/>
        <w:spacing w:before="160"/>
        <w:rPr>
          <w:snapToGrid w:val="0"/>
        </w:rPr>
      </w:pPr>
      <w:bookmarkStart w:id="1343" w:name="_Toc86740067"/>
      <w:bookmarkStart w:id="1344" w:name="_Toc88562471"/>
      <w:bookmarkStart w:id="1345" w:name="_Toc88625388"/>
      <w:bookmarkStart w:id="1346" w:name="_Toc91386050"/>
      <w:bookmarkStart w:id="1347" w:name="_Toc92705057"/>
      <w:bookmarkStart w:id="1348" w:name="_Toc93222525"/>
      <w:bookmarkStart w:id="1349" w:name="_Toc95022602"/>
      <w:bookmarkStart w:id="1350" w:name="_Toc95117874"/>
      <w:bookmarkStart w:id="1351" w:name="_Toc96498279"/>
      <w:bookmarkStart w:id="1352" w:name="_Toc96500757"/>
      <w:bookmarkStart w:id="1353" w:name="_Toc101779671"/>
      <w:bookmarkStart w:id="1354" w:name="_Toc103060119"/>
      <w:bookmarkStart w:id="1355" w:name="_Toc105471015"/>
      <w:bookmarkStart w:id="1356" w:name="_Toc105474929"/>
      <w:bookmarkStart w:id="1357" w:name="_Toc107308031"/>
      <w:bookmarkStart w:id="1358" w:name="_Toc109712264"/>
      <w:bookmarkStart w:id="1359" w:name="_Toc109724147"/>
      <w:bookmarkStart w:id="1360" w:name="_Toc110054019"/>
      <w:bookmarkStart w:id="1361" w:name="_Toc110054408"/>
      <w:bookmarkStart w:id="1362" w:name="_Toc110654488"/>
      <w:bookmarkStart w:id="1363" w:name="_Toc110735926"/>
      <w:bookmarkStart w:id="1364" w:name="_Toc110738662"/>
      <w:bookmarkStart w:id="1365" w:name="_Toc115691336"/>
      <w:bookmarkStart w:id="1366" w:name="_Toc115773633"/>
      <w:bookmarkStart w:id="1367" w:name="_Toc119132560"/>
      <w:bookmarkStart w:id="1368" w:name="_Toc119203230"/>
      <w:bookmarkStart w:id="1369" w:name="_Toc119203876"/>
      <w:bookmarkStart w:id="1370" w:name="_Toc119216206"/>
      <w:bookmarkStart w:id="1371" w:name="_Toc119300726"/>
      <w:bookmarkStart w:id="1372" w:name="_Toc119301293"/>
      <w:bookmarkStart w:id="1373" w:name="_Toc119301862"/>
      <w:bookmarkStart w:id="1374" w:name="_Toc119920049"/>
      <w:bookmarkStart w:id="1375" w:name="_Toc122774036"/>
      <w:bookmarkStart w:id="1376" w:name="_Toc122833279"/>
      <w:bookmarkStart w:id="1377" w:name="_Toc122833846"/>
      <w:r>
        <w:rPr>
          <w:rStyle w:val="CharDivNo"/>
        </w:rPr>
        <w:t>Division 1</w:t>
      </w:r>
      <w:r>
        <w:rPr>
          <w:snapToGrid w:val="0"/>
        </w:rPr>
        <w:t> — </w:t>
      </w:r>
      <w:r>
        <w:rPr>
          <w:rStyle w:val="CharDivText"/>
        </w:rPr>
        <w:t>Constitution, purposes, and powers</w:t>
      </w:r>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r>
        <w:rPr>
          <w:rStyle w:val="CharDivText"/>
        </w:rPr>
        <w:t xml:space="preserve"> </w:t>
      </w:r>
    </w:p>
    <w:p>
      <w:pPr>
        <w:pStyle w:val="Heading5"/>
        <w:spacing w:before="160"/>
        <w:rPr>
          <w:snapToGrid w:val="0"/>
        </w:rPr>
      </w:pPr>
      <w:bookmarkStart w:id="1378" w:name="_Toc440877972"/>
      <w:bookmarkStart w:id="1379" w:name="_Toc517775331"/>
      <w:bookmarkStart w:id="1380" w:name="_Toc520107079"/>
      <w:bookmarkStart w:id="1381" w:name="_Toc523111704"/>
      <w:bookmarkStart w:id="1382" w:name="_Toc122833280"/>
      <w:bookmarkStart w:id="1383" w:name="_Toc122833847"/>
      <w:r>
        <w:rPr>
          <w:rStyle w:val="CharSectno"/>
        </w:rPr>
        <w:t>94</w:t>
      </w:r>
      <w:r>
        <w:rPr>
          <w:snapToGrid w:val="0"/>
        </w:rPr>
        <w:t>.</w:t>
      </w:r>
      <w:r>
        <w:rPr>
          <w:snapToGrid w:val="0"/>
        </w:rPr>
        <w:tab/>
      </w:r>
      <w:bookmarkEnd w:id="1378"/>
      <w:bookmarkEnd w:id="1379"/>
      <w:bookmarkEnd w:id="1380"/>
      <w:bookmarkEnd w:id="1381"/>
      <w:r>
        <w:rPr>
          <w:snapToGrid w:val="0"/>
        </w:rPr>
        <w:t>WorkCover Western Australia Authority</w:t>
      </w:r>
      <w:bookmarkEnd w:id="1382"/>
      <w:bookmarkEnd w:id="1383"/>
      <w:r>
        <w:rPr>
          <w:snapToGrid w:val="0"/>
        </w:rPr>
        <w:t xml:space="preserve"> </w:t>
      </w:r>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spacing w:before="80"/>
        <w:rPr>
          <w:snapToGrid w:val="0"/>
        </w:rPr>
      </w:pPr>
      <w:r>
        <w:rPr>
          <w:snapToGrid w:val="0"/>
        </w:rPr>
        <w:tab/>
        <w:t>(2)</w:t>
      </w:r>
      <w:r>
        <w:rPr>
          <w:snapToGrid w:val="0"/>
        </w:rPr>
        <w:tab/>
        <w:t>The</w:t>
      </w:r>
      <w:r>
        <w:t xml:space="preserve"> WorkCover Western Australia Authority</w:t>
      </w:r>
      <w:r>
        <w:rPr>
          <w:snapToGrid w:val="0"/>
        </w:rPr>
        <w:t> — </w:t>
      </w:r>
    </w:p>
    <w:p>
      <w:pPr>
        <w:pStyle w:val="Indenta"/>
        <w:rPr>
          <w:snapToGrid w:val="0"/>
        </w:rPr>
      </w:pPr>
      <w:r>
        <w:rPr>
          <w:snapToGrid w:val="0"/>
        </w:rPr>
        <w:tab/>
        <w:t>(a)</w:t>
      </w:r>
      <w:r>
        <w:rPr>
          <w:snapToGrid w:val="0"/>
        </w:rPr>
        <w:tab/>
        <w:t>is a body corporate with perpetual succession and a common seal;</w:t>
      </w:r>
    </w:p>
    <w:p>
      <w:pPr>
        <w:pStyle w:val="Indenta"/>
        <w:rPr>
          <w:snapToGrid w:val="0"/>
        </w:rPr>
      </w:pPr>
      <w:r>
        <w:rPr>
          <w:snapToGrid w:val="0"/>
        </w:rPr>
        <w:tab/>
        <w:t>(b)</w:t>
      </w:r>
      <w:r>
        <w:rPr>
          <w:snapToGrid w:val="0"/>
        </w:rPr>
        <w:tab/>
        <w:t>may acquire, hold, and dispose of real and personal property;</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spacing w:before="80"/>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spacing w:before="80"/>
        <w:rPr>
          <w:snapToGrid w:val="0"/>
        </w:rPr>
      </w:pPr>
      <w:r>
        <w:rPr>
          <w:snapToGrid w:val="0"/>
        </w:rPr>
        <w:tab/>
        <w:t>(4)</w:t>
      </w:r>
      <w:r>
        <w:rPr>
          <w:snapToGrid w:val="0"/>
        </w:rPr>
        <w:tab/>
        <w:t xml:space="preserve">A person other than </w:t>
      </w:r>
      <w:r>
        <w:t>WorkCover WA</w:t>
      </w:r>
      <w:r>
        <w:rPr>
          <w:snapToGrid w:val="0"/>
        </w:rPr>
        <w:t xml:space="preserve"> who uses or operates under the name mentioned in subsection (1), or any name that is so similar that it is likely to be misunderstood as referring to</w:t>
      </w:r>
      <w:r>
        <w:t xml:space="preserve"> WorkCover WA</w:t>
      </w:r>
      <w:r>
        <w:rPr>
          <w:snapToGrid w:val="0"/>
        </w:rPr>
        <w:t>, commits an offence.</w:t>
      </w:r>
    </w:p>
    <w:p>
      <w:pPr>
        <w:pStyle w:val="Footnotesection"/>
        <w:keepLines w:val="0"/>
        <w:spacing w:before="80"/>
        <w:ind w:left="890" w:hanging="890"/>
      </w:pPr>
      <w:r>
        <w:tab/>
        <w:t xml:space="preserve">[Section 94 amended by No. 86 of 1986 s. 8; No. 48 of 1993 s. 40; No. 42 of 2004 s. 81 and 150.] </w:t>
      </w:r>
    </w:p>
    <w:p>
      <w:pPr>
        <w:pStyle w:val="Heading5"/>
      </w:pPr>
      <w:bookmarkStart w:id="1384" w:name="_Toc122833281"/>
      <w:bookmarkStart w:id="1385" w:name="_Toc122833848"/>
      <w:bookmarkStart w:id="1386" w:name="_Toc440877974"/>
      <w:bookmarkStart w:id="1387" w:name="_Toc517775333"/>
      <w:bookmarkStart w:id="1388" w:name="_Toc520107081"/>
      <w:bookmarkStart w:id="1389" w:name="_Toc523111706"/>
      <w:r>
        <w:rPr>
          <w:rStyle w:val="CharSectno"/>
        </w:rPr>
        <w:t>95</w:t>
      </w:r>
      <w:r>
        <w:t>.</w:t>
      </w:r>
      <w:r>
        <w:tab/>
        <w:t>WorkCover WA’s governing body</w:t>
      </w:r>
      <w:bookmarkEnd w:id="1384"/>
      <w:bookmarkEnd w:id="1385"/>
    </w:p>
    <w:p>
      <w:pPr>
        <w:pStyle w:val="Subsection"/>
        <w:rPr>
          <w:snapToGrid w:val="0"/>
        </w:rPr>
      </w:pPr>
      <w:r>
        <w:tab/>
        <w:t>(1)</w:t>
      </w:r>
      <w:r>
        <w:tab/>
      </w:r>
      <w:r>
        <w:rPr>
          <w:snapToGrid w:val="0"/>
        </w:rPr>
        <w:t>WorkCover WA’s governing body is to consist of —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4 persons appointed by the Governor, on the recommendation of the Minister, as members of WorkCover WA’s governing body and referred to as nominee members of whom — </w:t>
      </w:r>
    </w:p>
    <w:p>
      <w:pPr>
        <w:pStyle w:val="Indenti"/>
        <w:rPr>
          <w:snapToGrid w:val="0"/>
        </w:rPr>
      </w:pPr>
      <w:r>
        <w:tab/>
        <w:t>(i)</w:t>
      </w:r>
      <w:r>
        <w:tab/>
      </w:r>
      <w:r>
        <w:rPr>
          <w:snapToGrid w:val="0"/>
        </w:rPr>
        <w:t>one is a person experienced in employers’ interests;</w:t>
      </w:r>
    </w:p>
    <w:p>
      <w:pPr>
        <w:pStyle w:val="Indenti"/>
        <w:rPr>
          <w:snapToGrid w:val="0"/>
        </w:rPr>
      </w:pPr>
      <w:r>
        <w:rPr>
          <w:snapToGrid w:val="0"/>
        </w:rPr>
        <w:tab/>
        <w:t>(ii)</w:t>
      </w:r>
      <w:r>
        <w:rPr>
          <w:snapToGrid w:val="0"/>
        </w:rPr>
        <w:tab/>
        <w:t>one is a person experienced in workers’ interests;</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WorkCover WA’s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by No. 42 of 2004 s. 82.]</w:t>
      </w:r>
    </w:p>
    <w:p>
      <w:pPr>
        <w:pStyle w:val="Heading5"/>
        <w:rPr>
          <w:snapToGrid w:val="0"/>
        </w:rPr>
      </w:pPr>
      <w:bookmarkStart w:id="1390" w:name="_Toc122833282"/>
      <w:bookmarkStart w:id="1391" w:name="_Toc122833849"/>
      <w:r>
        <w:rPr>
          <w:rStyle w:val="CharSectno"/>
        </w:rPr>
        <w:t>96</w:t>
      </w:r>
      <w:r>
        <w:rPr>
          <w:snapToGrid w:val="0"/>
        </w:rPr>
        <w:t>.</w:t>
      </w:r>
      <w:r>
        <w:rPr>
          <w:snapToGrid w:val="0"/>
        </w:rPr>
        <w:tab/>
        <w:t>Term of office</w:t>
      </w:r>
      <w:bookmarkEnd w:id="1386"/>
      <w:bookmarkEnd w:id="1387"/>
      <w:bookmarkEnd w:id="1388"/>
      <w:bookmarkEnd w:id="1389"/>
      <w:bookmarkEnd w:id="1390"/>
      <w:bookmarkEnd w:id="1391"/>
      <w:r>
        <w:rPr>
          <w:snapToGrid w:val="0"/>
        </w:rPr>
        <w:t xml:space="preserve"> </w:t>
      </w:r>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spacing w:before="80"/>
        <w:rPr>
          <w:snapToGrid w:val="0"/>
        </w:rPr>
      </w:pPr>
      <w:r>
        <w:rPr>
          <w:snapToGrid w:val="0"/>
        </w:rPr>
        <w:tab/>
        <w:t>(2)</w:t>
      </w:r>
      <w:r>
        <w:rPr>
          <w:snapToGrid w:val="0"/>
        </w:rPr>
        <w:tab/>
        <w:t>The Minister on such terms as he thinks fit may grant leave of absence to a nominee member.</w:t>
      </w:r>
    </w:p>
    <w:p>
      <w:pPr>
        <w:pStyle w:val="Subsection"/>
        <w:spacing w:before="80"/>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spacing w:before="80"/>
        <w:rPr>
          <w:snapToGrid w:val="0"/>
        </w:rPr>
      </w:pPr>
      <w:r>
        <w:rPr>
          <w:snapToGrid w:val="0"/>
        </w:rPr>
        <w:tab/>
        <w:t>(4)</w:t>
      </w:r>
      <w:r>
        <w:rPr>
          <w:snapToGrid w:val="0"/>
        </w:rPr>
        <w:tab/>
        <w:t>The Governor may terminate the appointment of a nominee member —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spacing w:before="80"/>
        <w:rPr>
          <w:snapToGrid w:val="0"/>
        </w:rPr>
      </w:pPr>
      <w:r>
        <w:rPr>
          <w:snapToGrid w:val="0"/>
        </w:rPr>
        <w:tab/>
        <w:t>(5)</w:t>
      </w:r>
      <w:r>
        <w:rPr>
          <w:snapToGrid w:val="0"/>
        </w:rPr>
        <w:tab/>
        <w:t>If a nominee member — </w:t>
      </w:r>
    </w:p>
    <w:p>
      <w:pPr>
        <w:pStyle w:val="Indenta"/>
        <w:rPr>
          <w:snapToGrid w:val="0"/>
        </w:rPr>
      </w:pPr>
      <w:r>
        <w:rPr>
          <w:snapToGrid w:val="0"/>
        </w:rPr>
        <w:tab/>
        <w:t>(a)</w:t>
      </w:r>
      <w:r>
        <w:rPr>
          <w:snapToGrid w:val="0"/>
        </w:rPr>
        <w:tab/>
        <w:t>is an undischarged bankrupt or a person whose property is subject to an order or arrangement under the laws relating to bankruptcy;</w:t>
      </w:r>
    </w:p>
    <w:p>
      <w:pPr>
        <w:pStyle w:val="Indenta"/>
        <w:rPr>
          <w:snapToGrid w:val="0"/>
        </w:rPr>
      </w:pPr>
      <w:r>
        <w:rPr>
          <w:snapToGrid w:val="0"/>
        </w:rPr>
        <w:tab/>
        <w:t>(b)</w:t>
      </w:r>
      <w:r>
        <w:rPr>
          <w:snapToGrid w:val="0"/>
        </w:rPr>
        <w:tab/>
        <w:t>absents himself except on leave granted by the Minister from 3 consecutive meetings of</w:t>
      </w:r>
      <w:r>
        <w:t xml:space="preserve"> WorkCover WA’s governing body</w:t>
      </w:r>
      <w:r>
        <w:rPr>
          <w:snapToGrid w:val="0"/>
        </w:rPr>
        <w:t>;</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spacing w:before="80"/>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by No. 42 of 2004 s. 83 and 151.]</w:t>
      </w:r>
    </w:p>
    <w:p>
      <w:pPr>
        <w:pStyle w:val="Heading5"/>
        <w:spacing w:before="160"/>
        <w:rPr>
          <w:snapToGrid w:val="0"/>
        </w:rPr>
      </w:pPr>
      <w:bookmarkStart w:id="1392" w:name="_Toc440877975"/>
      <w:bookmarkStart w:id="1393" w:name="_Toc517775334"/>
      <w:bookmarkStart w:id="1394" w:name="_Toc520107082"/>
      <w:bookmarkStart w:id="1395" w:name="_Toc523111707"/>
      <w:bookmarkStart w:id="1396" w:name="_Toc122833283"/>
      <w:bookmarkStart w:id="1397" w:name="_Toc122833850"/>
      <w:r>
        <w:rPr>
          <w:rStyle w:val="CharSectno"/>
        </w:rPr>
        <w:t>97</w:t>
      </w:r>
      <w:r>
        <w:rPr>
          <w:snapToGrid w:val="0"/>
        </w:rPr>
        <w:t>.</w:t>
      </w:r>
      <w:r>
        <w:rPr>
          <w:snapToGrid w:val="0"/>
        </w:rPr>
        <w:tab/>
        <w:t>Meetings</w:t>
      </w:r>
      <w:bookmarkEnd w:id="1392"/>
      <w:bookmarkEnd w:id="1393"/>
      <w:bookmarkEnd w:id="1394"/>
      <w:bookmarkEnd w:id="1395"/>
      <w:bookmarkEnd w:id="1396"/>
      <w:bookmarkEnd w:id="1397"/>
      <w:r>
        <w:rPr>
          <w:snapToGrid w:val="0"/>
        </w:rPr>
        <w:t xml:space="preserve"> </w:t>
      </w:r>
    </w:p>
    <w:p>
      <w:pPr>
        <w:pStyle w:val="Subsection"/>
        <w:spacing w:before="80"/>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spacing w:before="80"/>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spacing w:before="80"/>
        <w:rPr>
          <w:snapToGrid w:val="0"/>
        </w:rPr>
      </w:pPr>
      <w:r>
        <w:rPr>
          <w:snapToGrid w:val="0"/>
        </w:rPr>
        <w:tab/>
        <w:t>(3)</w:t>
      </w:r>
      <w:r>
        <w:rPr>
          <w:snapToGrid w:val="0"/>
        </w:rPr>
        <w:tab/>
        <w:t xml:space="preserve">At a meeting of </w:t>
      </w:r>
      <w:r>
        <w:t>WorkCover WA’s governing body</w:t>
      </w:r>
      <w:r>
        <w:rPr>
          <w:snapToGrid w:val="0"/>
        </w:rPr>
        <w:t xml:space="preserve"> 4 members constitute a quorum.</w:t>
      </w:r>
    </w:p>
    <w:p>
      <w:pPr>
        <w:pStyle w:val="Subsection"/>
        <w:spacing w:before="80"/>
        <w:rPr>
          <w:snapToGrid w:val="0"/>
        </w:rPr>
      </w:pPr>
      <w:r>
        <w:rPr>
          <w:snapToGrid w:val="0"/>
        </w:rPr>
        <w:tab/>
        <w:t>(4)</w:t>
      </w:r>
      <w:r>
        <w:rPr>
          <w:snapToGrid w:val="0"/>
        </w:rPr>
        <w:tab/>
        <w:t>Any question arising at a meeting is to be decided by a majority of the members present and voting.</w:t>
      </w:r>
    </w:p>
    <w:p>
      <w:pPr>
        <w:pStyle w:val="Subsection"/>
        <w:spacing w:before="80"/>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Division 1AA is about a member of WorkCover WA’s governing body having a material personal interest in a matter being considered or about to be considered by the governing body.</w:t>
      </w:r>
    </w:p>
    <w:p>
      <w:pPr>
        <w:pStyle w:val="Subsection"/>
        <w:spacing w:before="80"/>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spacing w:before="80"/>
        <w:rPr>
          <w:snapToGrid w:val="0"/>
        </w:rPr>
      </w:pPr>
      <w:r>
        <w:rPr>
          <w:snapToGrid w:val="0"/>
        </w:rPr>
        <w:tab/>
        <w:t>(7)</w:t>
      </w:r>
      <w:r>
        <w:rPr>
          <w:snapToGrid w:val="0"/>
        </w:rPr>
        <w:tab/>
        <w:t xml:space="preserve">To the extent that it is not prescribed </w:t>
      </w:r>
      <w:r>
        <w:t>WorkCover WA’s governing body</w:t>
      </w:r>
      <w:r>
        <w:rPr>
          <w:snapToGrid w:val="0"/>
        </w:rPr>
        <w:t xml:space="preserve"> may determine its own procedure.</w:t>
      </w:r>
    </w:p>
    <w:p>
      <w:pPr>
        <w:pStyle w:val="Footnotesection"/>
      </w:pPr>
      <w:r>
        <w:tab/>
        <w:t>[Section 97 amended by No. 42 of 2004 s. 84, 150 and 151.]</w:t>
      </w:r>
    </w:p>
    <w:p>
      <w:pPr>
        <w:pStyle w:val="Heading5"/>
        <w:spacing w:before="160"/>
        <w:rPr>
          <w:snapToGrid w:val="0"/>
        </w:rPr>
      </w:pPr>
      <w:bookmarkStart w:id="1398" w:name="_Toc440877976"/>
      <w:bookmarkStart w:id="1399" w:name="_Toc517775335"/>
      <w:bookmarkStart w:id="1400" w:name="_Toc520107083"/>
      <w:bookmarkStart w:id="1401" w:name="_Toc523111708"/>
      <w:bookmarkStart w:id="1402" w:name="_Toc122833284"/>
      <w:bookmarkStart w:id="1403" w:name="_Toc122833851"/>
      <w:r>
        <w:rPr>
          <w:rStyle w:val="CharSectno"/>
        </w:rPr>
        <w:t>98</w:t>
      </w:r>
      <w:r>
        <w:rPr>
          <w:snapToGrid w:val="0"/>
        </w:rPr>
        <w:t>.</w:t>
      </w:r>
      <w:r>
        <w:rPr>
          <w:snapToGrid w:val="0"/>
        </w:rPr>
        <w:tab/>
        <w:t>Defects not to invalidate proceedings</w:t>
      </w:r>
      <w:bookmarkEnd w:id="1398"/>
      <w:bookmarkEnd w:id="1399"/>
      <w:bookmarkEnd w:id="1400"/>
      <w:bookmarkEnd w:id="1401"/>
      <w:bookmarkEnd w:id="1402"/>
      <w:bookmarkEnd w:id="1403"/>
      <w:r>
        <w:rPr>
          <w:snapToGrid w:val="0"/>
        </w:rPr>
        <w:t xml:space="preserve"> </w:t>
      </w:r>
    </w:p>
    <w:p>
      <w:pPr>
        <w:pStyle w:val="Subsection"/>
        <w:rPr>
          <w:snapToGrid w:val="0"/>
        </w:rPr>
      </w:pPr>
      <w:r>
        <w:rPr>
          <w:snapToGrid w:val="0"/>
        </w:rPr>
        <w:tab/>
      </w:r>
      <w:r>
        <w:rPr>
          <w:snapToGrid w:val="0"/>
        </w:rPr>
        <w:tab/>
        <w:t xml:space="preserve">An act, proceeding, or determination of </w:t>
      </w:r>
      <w:r>
        <w:t>WorkCover WA</w:t>
      </w:r>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by No. 42 of 2004 s. 85 and 150.]</w:t>
      </w:r>
    </w:p>
    <w:p>
      <w:pPr>
        <w:pStyle w:val="Heading5"/>
        <w:spacing w:before="160"/>
        <w:rPr>
          <w:rStyle w:val="CharSectno"/>
        </w:rPr>
      </w:pPr>
      <w:bookmarkStart w:id="1404" w:name="_Toc440877977"/>
      <w:bookmarkStart w:id="1405" w:name="_Toc517775336"/>
      <w:bookmarkStart w:id="1406" w:name="_Toc520107084"/>
      <w:bookmarkStart w:id="1407" w:name="_Toc523111709"/>
      <w:bookmarkStart w:id="1408" w:name="_Toc122833285"/>
      <w:bookmarkStart w:id="1409" w:name="_Toc122833852"/>
      <w:r>
        <w:rPr>
          <w:rStyle w:val="CharSectno"/>
        </w:rPr>
        <w:t>99.</w:t>
      </w:r>
      <w:r>
        <w:rPr>
          <w:rStyle w:val="CharSectno"/>
        </w:rPr>
        <w:tab/>
      </w:r>
      <w:r>
        <w:rPr>
          <w:snapToGrid w:val="0"/>
        </w:rPr>
        <w:t>Conditions of appointment</w:t>
      </w:r>
      <w:bookmarkEnd w:id="1404"/>
      <w:bookmarkEnd w:id="1405"/>
      <w:bookmarkEnd w:id="1406"/>
      <w:bookmarkEnd w:id="1407"/>
      <w:bookmarkEnd w:id="1408"/>
      <w:bookmarkEnd w:id="1409"/>
      <w:r>
        <w:rPr>
          <w:snapToGrid w:val="0"/>
        </w:rPr>
        <w:t xml:space="preserve"> </w:t>
      </w:r>
    </w:p>
    <w:p>
      <w:pPr>
        <w:pStyle w:val="Subsection"/>
        <w:spacing w:before="80"/>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spacing w:before="80"/>
        <w:rPr>
          <w:snapToGrid w:val="0"/>
        </w:rPr>
      </w:pPr>
      <w:r>
        <w:rPr>
          <w:snapToGrid w:val="0"/>
        </w:rPr>
        <w:tab/>
        <w:t>(2)</w:t>
      </w:r>
      <w:r>
        <w:rPr>
          <w:snapToGrid w:val="0"/>
        </w:rPr>
        <w:tab/>
        <w:t xml:space="preserve">A member other than one who is in the Public Service is to be paid such fees and allowances as may be fixed by the Minister on the recommendation of the </w:t>
      </w:r>
      <w:r>
        <w:t>Minister for Public Sector Management.</w:t>
      </w:r>
    </w:p>
    <w:p>
      <w:pPr>
        <w:pStyle w:val="Footnotesection"/>
        <w:keepLines w:val="0"/>
      </w:pPr>
      <w:r>
        <w:tab/>
        <w:t xml:space="preserve">[Section 99 amended by No. 86 of 1986 s. 5; No. 42 of 2004 s. 86.] </w:t>
      </w:r>
    </w:p>
    <w:p>
      <w:pPr>
        <w:pStyle w:val="Heading5"/>
        <w:spacing w:before="120"/>
        <w:rPr>
          <w:snapToGrid w:val="0"/>
        </w:rPr>
      </w:pPr>
      <w:bookmarkStart w:id="1410" w:name="_Toc440877978"/>
      <w:bookmarkStart w:id="1411" w:name="_Toc517775337"/>
      <w:bookmarkStart w:id="1412" w:name="_Toc520107085"/>
      <w:bookmarkStart w:id="1413" w:name="_Toc523111710"/>
      <w:bookmarkStart w:id="1414" w:name="_Toc122833286"/>
      <w:bookmarkStart w:id="1415" w:name="_Toc122833853"/>
      <w:r>
        <w:rPr>
          <w:rStyle w:val="CharSectno"/>
        </w:rPr>
        <w:t>100</w:t>
      </w:r>
      <w:r>
        <w:rPr>
          <w:snapToGrid w:val="0"/>
        </w:rPr>
        <w:t>.</w:t>
      </w:r>
      <w:r>
        <w:rPr>
          <w:snapToGrid w:val="0"/>
        </w:rPr>
        <w:tab/>
        <w:t xml:space="preserve">Functions of </w:t>
      </w:r>
      <w:bookmarkEnd w:id="1410"/>
      <w:bookmarkEnd w:id="1411"/>
      <w:bookmarkEnd w:id="1412"/>
      <w:bookmarkEnd w:id="1413"/>
      <w:r>
        <w:rPr>
          <w:snapToGrid w:val="0"/>
        </w:rPr>
        <w:t>WorkCover WA</w:t>
      </w:r>
      <w:bookmarkEnd w:id="1414"/>
      <w:bookmarkEnd w:id="1415"/>
      <w:r>
        <w:rPr>
          <w:snapToGrid w:val="0"/>
        </w:rPr>
        <w:t xml:space="preserve"> </w:t>
      </w:r>
    </w:p>
    <w:p>
      <w:pPr>
        <w:pStyle w:val="Subsection"/>
        <w:spacing w:before="100"/>
        <w:rPr>
          <w:snapToGrid w:val="0"/>
        </w:rPr>
      </w:pPr>
      <w:r>
        <w:rPr>
          <w:snapToGrid w:val="0"/>
        </w:rPr>
        <w:tab/>
      </w:r>
      <w:r>
        <w:rPr>
          <w:snapToGrid w:val="0"/>
        </w:rPr>
        <w:tab/>
        <w:t xml:space="preserve">The functions of </w:t>
      </w:r>
      <w:r>
        <w:t>WorkCover WA</w:t>
      </w:r>
      <w:r>
        <w:rPr>
          <w:snapToGrid w:val="0"/>
        </w:rPr>
        <w:t xml:space="preserve"> are to administer this Act and without limiting the generality of the foregoing — </w:t>
      </w:r>
    </w:p>
    <w:p>
      <w:pPr>
        <w:pStyle w:val="Indenta"/>
        <w:rPr>
          <w:snapToGrid w:val="0"/>
        </w:rPr>
      </w:pPr>
      <w:r>
        <w:rPr>
          <w:snapToGrid w:val="0"/>
        </w:rPr>
        <w:tab/>
        <w:t>(a)</w:t>
      </w:r>
      <w:r>
        <w:rPr>
          <w:snapToGrid w:val="0"/>
        </w:rPr>
        <w:tab/>
        <w:t>to control and administer the General Fund and the Trust Fund;</w:t>
      </w:r>
    </w:p>
    <w:p>
      <w:pPr>
        <w:pStyle w:val="Indenta"/>
        <w:rPr>
          <w:snapToGrid w:val="0"/>
        </w:rPr>
      </w:pPr>
      <w:r>
        <w:rPr>
          <w:snapToGrid w:val="0"/>
        </w:rPr>
        <w:tab/>
        <w:t>(b)</w:t>
      </w:r>
      <w:r>
        <w:rPr>
          <w:snapToGrid w:val="0"/>
        </w:rPr>
        <w:tab/>
        <w:t>where necessary or desirable, to participate in research into the causes, incidence, and methods of prevention of accidents, injuries, losses of functions, and diseases in respect of which compensation may be payable under this Act;</w:t>
      </w:r>
    </w:p>
    <w:p>
      <w:pPr>
        <w:pStyle w:val="Indenta"/>
        <w:rPr>
          <w:snapToGrid w:val="0"/>
        </w:rPr>
      </w:pPr>
      <w:r>
        <w:rPr>
          <w:snapToGrid w:val="0"/>
        </w:rPr>
        <w:tab/>
        <w:t>(c)</w:t>
      </w:r>
      <w:r>
        <w:rPr>
          <w:snapToGrid w:val="0"/>
        </w:rPr>
        <w:tab/>
        <w:t>where necessary or desirable, to assist in encouraging the prevention or minimizing of accidents, injuries, losses of functions, and diseases in respect of which compensation may be payable under this Act;</w:t>
      </w:r>
    </w:p>
    <w:p>
      <w:pPr>
        <w:pStyle w:val="Ednotepara"/>
        <w:rPr>
          <w:snapToGrid w:val="0"/>
        </w:rPr>
      </w:pPr>
      <w:r>
        <w:rPr>
          <w:snapToGrid w:val="0"/>
        </w:rPr>
        <w:tab/>
        <w:t>[(d)</w:t>
      </w:r>
      <w:r>
        <w:rPr>
          <w:snapToGrid w:val="0"/>
        </w:rPr>
        <w:tab/>
        <w:t>deleted]</w:t>
      </w:r>
    </w:p>
    <w:p>
      <w:pPr>
        <w:pStyle w:val="Indenta"/>
      </w:pPr>
      <w:r>
        <w:tab/>
        <w:t>(da)</w:t>
      </w:r>
      <w:r>
        <w:tab/>
        <w:t>to promote injury management;</w:t>
      </w:r>
    </w:p>
    <w:p>
      <w:pPr>
        <w:pStyle w:val="Indenta"/>
        <w:rPr>
          <w:snapToGrid w:val="0"/>
        </w:rPr>
      </w:pPr>
      <w:r>
        <w:rPr>
          <w:snapToGrid w:val="0"/>
        </w:rPr>
        <w:tab/>
        <w:t>(e)</w:t>
      </w:r>
      <w:r>
        <w:rPr>
          <w:snapToGrid w:val="0"/>
        </w:rPr>
        <w:tab/>
        <w:t>to coordinate arrangements generally to secure the care, supervision, and assistance of workers suffering injury in respect of which compensation is or may be payable under this Act;</w:t>
      </w:r>
    </w:p>
    <w:p>
      <w:pPr>
        <w:pStyle w:val="Indenta"/>
        <w:rPr>
          <w:snapToGrid w:val="0"/>
        </w:rPr>
      </w:pPr>
      <w:r>
        <w:rPr>
          <w:snapToGrid w:val="0"/>
        </w:rPr>
        <w:tab/>
        <w:t>(f)</w:t>
      </w:r>
      <w:r>
        <w:rPr>
          <w:snapToGrid w:val="0"/>
        </w:rPr>
        <w:tab/>
        <w:t xml:space="preserve">to obtain from </w:t>
      </w:r>
      <w:r>
        <w:t>p</w:t>
      </w:r>
      <w:r>
        <w:rPr>
          <w:snapToGrid w:val="0"/>
        </w:rPr>
        <w:t>ersons who are insurers or self</w:t>
      </w:r>
      <w:r>
        <w:rPr>
          <w:snapToGrid w:val="0"/>
        </w:rPr>
        <w:noBreakHyphen/>
        <w:t xml:space="preserve">insurers or are referred to in section 292(2)(a) or (b) or (3) </w:t>
      </w:r>
      <w:r>
        <w:t>and from courts</w:t>
      </w:r>
      <w:r>
        <w:rPr>
          <w:snapToGrid w:val="0"/>
        </w:rPr>
        <w:t xml:space="preserve"> information and returns enabling </w:t>
      </w:r>
      <w:r>
        <w:t>WorkCover WA</w:t>
      </w:r>
      <w:r>
        <w:rPr>
          <w:snapToGrid w:val="0"/>
        </w:rPr>
        <w:t xml:space="preserve"> to compile and record such statistics, records, and reports as it considers desirable for the better administration of this Act;</w:t>
      </w:r>
    </w:p>
    <w:p>
      <w:pPr>
        <w:pStyle w:val="Indenta"/>
        <w:rPr>
          <w:snapToGrid w:val="0"/>
        </w:rPr>
      </w:pPr>
      <w:r>
        <w:rPr>
          <w:snapToGrid w:val="0"/>
        </w:rPr>
        <w:tab/>
        <w:t>(fa)</w:t>
      </w:r>
      <w:r>
        <w:rPr>
          <w:snapToGrid w:val="0"/>
        </w:rPr>
        <w:tab/>
        <w:t xml:space="preserve">to keep under review the sufficiency of the information provided to </w:t>
      </w:r>
      <w:r>
        <w:t>WorkCover WA</w:t>
      </w:r>
      <w:r>
        <w:rPr>
          <w:snapToGrid w:val="0"/>
        </w:rPr>
        <w:t xml:space="preserve"> by</w:t>
      </w:r>
      <w:r>
        <w:t xml:space="preserve"> persons who are insurers or self</w:t>
      </w:r>
      <w:r>
        <w:noBreakHyphen/>
        <w:t>insurers or are referred to in section 292(2)(a) or (b) or (3)</w:t>
      </w:r>
      <w:r>
        <w:rPr>
          <w:snapToGrid w:val="0"/>
        </w:rPr>
        <w:t xml:space="preserve">, and whether or not criteria developed by </w:t>
      </w:r>
      <w:r>
        <w:t>WorkCover WA</w:t>
      </w:r>
      <w:r>
        <w:rPr>
          <w:snapToGrid w:val="0"/>
        </w:rPr>
        <w:t xml:space="preserve"> or prescribed by the regulations for assessing the performance of those persons are being met;</w:t>
      </w:r>
    </w:p>
    <w:p>
      <w:pPr>
        <w:pStyle w:val="Indenta"/>
        <w:rPr>
          <w:snapToGrid w:val="0"/>
        </w:rPr>
      </w:pPr>
      <w:r>
        <w:rPr>
          <w:snapToGrid w:val="0"/>
        </w:rPr>
        <w:tab/>
        <w:t>(g)</w:t>
      </w:r>
      <w:r>
        <w:rPr>
          <w:snapToGrid w:val="0"/>
        </w:rPr>
        <w:tab/>
        <w:t>where necessary or desirable, to assist in investigating all matters relating to accidents, injuries, losses of functions, or diseases in respect of which compensation is or may be payable under this Act, to study the causes and various methods of treatment and the results of treatment of such accidents, injuries, losses of functions, and diseases;</w:t>
      </w:r>
    </w:p>
    <w:p>
      <w:pPr>
        <w:pStyle w:val="Ednotepara"/>
        <w:rPr>
          <w:snapToGrid w:val="0"/>
        </w:rPr>
      </w:pPr>
      <w:r>
        <w:rPr>
          <w:snapToGrid w:val="0"/>
        </w:rPr>
        <w:tab/>
        <w:t>[(h)</w:t>
      </w:r>
      <w:r>
        <w:rPr>
          <w:snapToGrid w:val="0"/>
        </w:rPr>
        <w:tab/>
        <w:t>deleted]</w:t>
      </w:r>
    </w:p>
    <w:p>
      <w:pPr>
        <w:pStyle w:val="Indenta"/>
        <w:rPr>
          <w:snapToGrid w:val="0"/>
        </w:rPr>
      </w:pPr>
      <w:r>
        <w:rPr>
          <w:snapToGrid w:val="0"/>
        </w:rPr>
        <w:tab/>
        <w:t>(i)</w:t>
      </w:r>
      <w:r>
        <w:rPr>
          <w:snapToGrid w:val="0"/>
        </w:rPr>
        <w:tab/>
        <w:t xml:space="preserve">to provide support services to any medical panel established under section 36 and to any medical assessment </w:t>
      </w:r>
      <w:r>
        <w:t>panel, approved medical specialist panel or specialised retraining assessment panel;</w:t>
      </w:r>
    </w:p>
    <w:p>
      <w:pPr>
        <w:pStyle w:val="Indenta"/>
        <w:rPr>
          <w:snapToGrid w:val="0"/>
        </w:rPr>
      </w:pPr>
      <w:r>
        <w:tab/>
        <w:t>(j)</w:t>
      </w:r>
      <w:r>
        <w:tab/>
      </w:r>
      <w:r>
        <w:rPr>
          <w:snapToGrid w:val="0"/>
        </w:rPr>
        <w:t>to collect such statistics, records, reports, and other information as it may require to enable it to perform its obligations under section 151(a), and ensure that its functions under Part VIII are performed efficiently; and</w:t>
      </w:r>
    </w:p>
    <w:p>
      <w:pPr>
        <w:pStyle w:val="Indenta"/>
        <w:rPr>
          <w:snapToGrid w:val="0"/>
        </w:rPr>
      </w:pPr>
      <w:r>
        <w:rPr>
          <w:snapToGrid w:val="0"/>
        </w:rPr>
        <w:tab/>
        <w:t>(k)</w:t>
      </w:r>
      <w:r>
        <w:rPr>
          <w:snapToGrid w:val="0"/>
        </w:rPr>
        <w:tab/>
        <w:t xml:space="preserve">to advise the Minister on — </w:t>
      </w:r>
    </w:p>
    <w:p>
      <w:pPr>
        <w:pStyle w:val="Indenti"/>
        <w:rPr>
          <w:snapToGrid w:val="0"/>
        </w:rPr>
      </w:pPr>
      <w:r>
        <w:rPr>
          <w:snapToGrid w:val="0"/>
        </w:rPr>
        <w:tab/>
        <w:t>(i)</w:t>
      </w:r>
      <w:r>
        <w:rPr>
          <w:snapToGrid w:val="0"/>
        </w:rPr>
        <w:tab/>
        <w:t>matters to do with insurance that is required by this Act;</w:t>
      </w:r>
    </w:p>
    <w:p>
      <w:pPr>
        <w:pStyle w:val="Indenti"/>
        <w:rPr>
          <w:snapToGrid w:val="0"/>
        </w:rPr>
      </w:pPr>
      <w:r>
        <w:rPr>
          <w:snapToGrid w:val="0"/>
        </w:rPr>
        <w:tab/>
        <w:t>(ii)</w:t>
      </w:r>
      <w:r>
        <w:rPr>
          <w:snapToGrid w:val="0"/>
        </w:rPr>
        <w:tab/>
        <w:t>WorkCover WA’s functions under this Act;</w:t>
      </w:r>
    </w:p>
    <w:p>
      <w:pPr>
        <w:pStyle w:val="Indenti"/>
        <w:rPr>
          <w:snapToGrid w:val="0"/>
        </w:rPr>
      </w:pPr>
      <w:r>
        <w:rPr>
          <w:snapToGrid w:val="0"/>
        </w:rPr>
        <w:tab/>
        <w:t>(iii)</w:t>
      </w:r>
      <w:r>
        <w:rPr>
          <w:snapToGrid w:val="0"/>
        </w:rPr>
        <w:tab/>
        <w:t>the policy to be followed in the State with regard to workers’ compensation; and</w:t>
      </w:r>
    </w:p>
    <w:p>
      <w:pPr>
        <w:pStyle w:val="Indenti"/>
        <w:rPr>
          <w:snapToGrid w:val="0"/>
        </w:rPr>
      </w:pPr>
      <w:r>
        <w:rPr>
          <w:snapToGrid w:val="0"/>
        </w:rPr>
        <w:tab/>
        <w:t>(iv)</w:t>
      </w:r>
      <w:r>
        <w:rPr>
          <w:snapToGrid w:val="0"/>
        </w:rPr>
        <w:tab/>
        <w:t>any other matter referred by the Minister to WorkCover WA for its advice.</w:t>
      </w:r>
    </w:p>
    <w:p>
      <w:pPr>
        <w:pStyle w:val="Footnotesection"/>
      </w:pPr>
      <w:r>
        <w:tab/>
        <w:t xml:space="preserve">[Section 100 amended by No. 96 of 1990 s. 21; No. 48 of 1993 s. 28(1); No. 42 of 2004 s. 87 and 150.] </w:t>
      </w:r>
    </w:p>
    <w:p>
      <w:pPr>
        <w:pStyle w:val="Heading5"/>
        <w:spacing w:before="120"/>
        <w:rPr>
          <w:snapToGrid w:val="0"/>
        </w:rPr>
      </w:pPr>
      <w:bookmarkStart w:id="1416" w:name="_Toc440877979"/>
      <w:bookmarkStart w:id="1417" w:name="_Toc517775338"/>
      <w:bookmarkStart w:id="1418" w:name="_Toc520107086"/>
      <w:bookmarkStart w:id="1419" w:name="_Toc523111711"/>
      <w:bookmarkStart w:id="1420" w:name="_Toc122833287"/>
      <w:bookmarkStart w:id="1421" w:name="_Toc122833854"/>
      <w:r>
        <w:rPr>
          <w:rStyle w:val="CharSectno"/>
        </w:rPr>
        <w:t>100A</w:t>
      </w:r>
      <w:r>
        <w:rPr>
          <w:snapToGrid w:val="0"/>
        </w:rPr>
        <w:t>.</w:t>
      </w:r>
      <w:r>
        <w:rPr>
          <w:snapToGrid w:val="0"/>
        </w:rPr>
        <w:tab/>
        <w:t>Advisory committees</w:t>
      </w:r>
      <w:bookmarkEnd w:id="1416"/>
      <w:bookmarkEnd w:id="1417"/>
      <w:bookmarkEnd w:id="1418"/>
      <w:bookmarkEnd w:id="1419"/>
      <w:bookmarkEnd w:id="1420"/>
      <w:bookmarkEnd w:id="1421"/>
      <w:r>
        <w:rPr>
          <w:snapToGrid w:val="0"/>
        </w:rPr>
        <w:t xml:space="preserve"> </w:t>
      </w:r>
    </w:p>
    <w:p>
      <w:pPr>
        <w:pStyle w:val="Subsection"/>
        <w:spacing w:before="100"/>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spacing w:before="100"/>
        <w:rPr>
          <w:snapToGrid w:val="0"/>
        </w:rPr>
      </w:pPr>
      <w:r>
        <w:rPr>
          <w:snapToGrid w:val="0"/>
        </w:rPr>
        <w:tab/>
        <w:t>(2)</w:t>
      </w:r>
      <w:r>
        <w:rPr>
          <w:snapToGrid w:val="0"/>
        </w:rPr>
        <w:tab/>
        <w:t xml:space="preserve">Subject to this section, an advisory committee shall consist of such number of persons as are appointed by </w:t>
      </w:r>
      <w:r>
        <w:t>WorkCover WA</w:t>
      </w:r>
      <w:r>
        <w:rPr>
          <w:snapToGrid w:val="0"/>
        </w:rPr>
        <w:t xml:space="preserve"> and at least one of them is to be a member of WorkCover WA’s governing body.</w:t>
      </w:r>
    </w:p>
    <w:p>
      <w:pPr>
        <w:pStyle w:val="Subsection"/>
        <w:spacing w:before="100"/>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spacing w:before="100"/>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Minister for Public Sector Management</w:t>
      </w:r>
      <w:r>
        <w:rPr>
          <w:snapToGrid w:val="0"/>
        </w:rPr>
        <w:t>.</w:t>
      </w:r>
    </w:p>
    <w:p>
      <w:pPr>
        <w:pStyle w:val="Subsection"/>
        <w:spacing w:before="100"/>
        <w:rPr>
          <w:snapToGrid w:val="0"/>
        </w:rPr>
      </w:pPr>
      <w:r>
        <w:rPr>
          <w:snapToGrid w:val="0"/>
        </w:rPr>
        <w:tab/>
        <w:t>(5)</w:t>
      </w:r>
      <w:r>
        <w:rPr>
          <w:snapToGrid w:val="0"/>
        </w:rPr>
        <w:tab/>
        <w:t xml:space="preserve">The fees and allowances mentioned in subsection (4) shall be paid by </w:t>
      </w:r>
      <w:r>
        <w:t>WorkCover WA</w:t>
      </w:r>
      <w:r>
        <w:rPr>
          <w:snapToGrid w:val="0"/>
        </w:rPr>
        <w:t xml:space="preserve"> from moneys standing to the credit of the General Fund.</w:t>
      </w:r>
    </w:p>
    <w:p>
      <w:pPr>
        <w:pStyle w:val="Subsection"/>
        <w:spacing w:before="100"/>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at least one member of WorkCover WA’s govering body appointed by WorkCover WA;</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such other members as are appointed by WorkCover WA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 xml:space="preserve">[Section 100A inserted by No. 96 of 1990 s. 22; amended by No. 49 of 1996 s. 64; No. 42 of 2004 s. 88 and 150.] </w:t>
      </w:r>
    </w:p>
    <w:p>
      <w:pPr>
        <w:pStyle w:val="Heading5"/>
      </w:pPr>
      <w:bookmarkStart w:id="1422" w:name="_Toc122833288"/>
      <w:bookmarkStart w:id="1423" w:name="_Toc122833855"/>
      <w:bookmarkStart w:id="1424" w:name="_Toc440877980"/>
      <w:bookmarkStart w:id="1425" w:name="_Toc517775339"/>
      <w:bookmarkStart w:id="1426" w:name="_Toc520107087"/>
      <w:bookmarkStart w:id="1427" w:name="_Toc523111712"/>
      <w:r>
        <w:rPr>
          <w:rStyle w:val="CharSectno"/>
        </w:rPr>
        <w:t>100B</w:t>
      </w:r>
      <w:r>
        <w:t>.</w:t>
      </w:r>
      <w:r>
        <w:tab/>
        <w:t>Disclosure of information</w:t>
      </w:r>
      <w:bookmarkEnd w:id="1422"/>
      <w:bookmarkEnd w:id="1423"/>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by No. 42 of 2004 s. 89.]</w:t>
      </w:r>
    </w:p>
    <w:p>
      <w:pPr>
        <w:pStyle w:val="Heading5"/>
        <w:spacing w:before="120"/>
        <w:rPr>
          <w:snapToGrid w:val="0"/>
        </w:rPr>
      </w:pPr>
      <w:bookmarkStart w:id="1428" w:name="_Toc122833289"/>
      <w:bookmarkStart w:id="1429" w:name="_Toc122833856"/>
      <w:r>
        <w:rPr>
          <w:rStyle w:val="CharSectno"/>
        </w:rPr>
        <w:t>101</w:t>
      </w:r>
      <w:r>
        <w:rPr>
          <w:snapToGrid w:val="0"/>
        </w:rPr>
        <w:t>.</w:t>
      </w:r>
      <w:r>
        <w:rPr>
          <w:snapToGrid w:val="0"/>
        </w:rPr>
        <w:tab/>
        <w:t>Powers</w:t>
      </w:r>
      <w:bookmarkEnd w:id="1424"/>
      <w:bookmarkEnd w:id="1425"/>
      <w:bookmarkEnd w:id="1426"/>
      <w:bookmarkEnd w:id="1427"/>
      <w:bookmarkEnd w:id="1428"/>
      <w:bookmarkEnd w:id="1429"/>
      <w:r>
        <w:rPr>
          <w:snapToGrid w:val="0"/>
        </w:rPr>
        <w:t xml:space="preserve"> </w:t>
      </w:r>
    </w:p>
    <w:p>
      <w:pPr>
        <w:pStyle w:val="Subsection"/>
        <w:spacing w:before="100"/>
        <w:rPr>
          <w:snapToGrid w:val="0"/>
        </w:rPr>
      </w:pPr>
      <w:r>
        <w:rPr>
          <w:snapToGrid w:val="0"/>
        </w:rPr>
        <w:tab/>
      </w:r>
      <w:r>
        <w:rPr>
          <w:snapToGrid w:val="0"/>
        </w:rPr>
        <w:tab/>
      </w:r>
      <w:r>
        <w:t>WorkCover WA</w:t>
      </w:r>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w:t>
      </w:r>
    </w:p>
    <w:p>
      <w:pPr>
        <w:pStyle w:val="Indenta"/>
        <w:spacing w:before="60"/>
        <w:rPr>
          <w:snapToGrid w:val="0"/>
        </w:rPr>
      </w:pPr>
      <w:r>
        <w:rPr>
          <w:snapToGrid w:val="0"/>
        </w:rPr>
        <w:tab/>
        <w:t>(aa)</w:t>
      </w:r>
      <w:r>
        <w:rPr>
          <w:snapToGrid w:val="0"/>
        </w:rPr>
        <w:tab/>
        <w:t>to charge for the provision of any service that it makes available such fees as it determines;</w:t>
      </w:r>
    </w:p>
    <w:p>
      <w:pPr>
        <w:pStyle w:val="Indenta"/>
        <w:spacing w:before="60"/>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w:t>
      </w:r>
    </w:p>
    <w:p>
      <w:pPr>
        <w:pStyle w:val="Indenta"/>
        <w:spacing w:before="60"/>
        <w:rPr>
          <w:snapToGrid w:val="0"/>
        </w:rPr>
      </w:pPr>
      <w:r>
        <w:rPr>
          <w:snapToGrid w:val="0"/>
        </w:rPr>
        <w:tab/>
        <w:t>(c)</w:t>
      </w:r>
      <w:r>
        <w:rPr>
          <w:snapToGrid w:val="0"/>
        </w:rPr>
        <w:tab/>
        <w:t>with the written approval of the Treasurer, to invest moneys from the General Fund in such investments or securities, and subject to such conditions, as are specified in the instruments of approval;</w:t>
      </w:r>
    </w:p>
    <w:p>
      <w:pPr>
        <w:pStyle w:val="Indenta"/>
        <w:spacing w:before="60"/>
        <w:rPr>
          <w:snapToGrid w:val="0"/>
        </w:rPr>
      </w:pPr>
      <w:r>
        <w:rPr>
          <w:snapToGrid w:val="0"/>
        </w:rPr>
        <w:tab/>
        <w:t>(ca)</w:t>
      </w:r>
      <w:r>
        <w:rPr>
          <w:snapToGrid w:val="0"/>
        </w:rPr>
        <w:tab/>
        <w:t>to purchase, sell, lease, take on lease, mortgage, exchange or otherwise acquire, deal in or dispose of real and personal property;</w:t>
      </w:r>
    </w:p>
    <w:p>
      <w:pPr>
        <w:pStyle w:val="Indenta"/>
        <w:spacing w:before="60"/>
        <w:rPr>
          <w:snapToGrid w:val="0"/>
        </w:rPr>
      </w:pPr>
      <w:r>
        <w:rPr>
          <w:snapToGrid w:val="0"/>
        </w:rPr>
        <w:tab/>
        <w:t>(cb)</w:t>
      </w:r>
      <w:r>
        <w:rPr>
          <w:snapToGrid w:val="0"/>
        </w:rPr>
        <w:tab/>
        <w:t>to improve, develop or alter real property;</w:t>
      </w:r>
    </w:p>
    <w:p>
      <w:pPr>
        <w:pStyle w:val="Indenta"/>
        <w:spacing w:before="60"/>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spacing w:before="60"/>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spacing w:before="80"/>
        <w:ind w:left="890" w:hanging="890"/>
      </w:pPr>
      <w:r>
        <w:tab/>
        <w:t xml:space="preserve">[Section 101 amended by No. 104 of 1984 s. 4; No. 86 of 1986 s. 5; No. 96 of 1990 s. 23; No. 34 of 1999 s. 34; No. 42 of 2004 s. 90 and 150.] </w:t>
      </w:r>
    </w:p>
    <w:p>
      <w:pPr>
        <w:pStyle w:val="Heading5"/>
        <w:spacing w:before="120"/>
      </w:pPr>
      <w:bookmarkStart w:id="1430" w:name="_Toc122833290"/>
      <w:bookmarkStart w:id="1431" w:name="_Toc122833857"/>
      <w:bookmarkStart w:id="1432" w:name="_Toc440877981"/>
      <w:bookmarkStart w:id="1433" w:name="_Toc517775340"/>
      <w:bookmarkStart w:id="1434" w:name="_Toc520107088"/>
      <w:bookmarkStart w:id="1435" w:name="_Toc523111713"/>
      <w:r>
        <w:rPr>
          <w:rStyle w:val="CharSectno"/>
        </w:rPr>
        <w:t>101AA</w:t>
      </w:r>
      <w:r>
        <w:t>.</w:t>
      </w:r>
      <w:r>
        <w:tab/>
        <w:t>Delegation by WorkCover WA</w:t>
      </w:r>
      <w:bookmarkEnd w:id="1430"/>
      <w:bookmarkEnd w:id="1431"/>
    </w:p>
    <w:p>
      <w:pPr>
        <w:pStyle w:val="Subsection"/>
        <w:spacing w:before="100"/>
      </w:pPr>
      <w:r>
        <w:tab/>
        <w:t>(1)</w:t>
      </w:r>
      <w:r>
        <w:tab/>
        <w:t>WorkCover WA may delegate to the chief executive officer or another officer of WorkCover WA or to any other member, or any group of members, of WorkCover WA’s governing body any power or duty of WorkCover WA under another provision of this Act except if it is under Part VIII.</w:t>
      </w:r>
    </w:p>
    <w:p>
      <w:pPr>
        <w:pStyle w:val="Subsection"/>
      </w:pPr>
      <w:r>
        <w:tab/>
        <w:t>(2)</w:t>
      </w:r>
      <w:r>
        <w:tab/>
        <w:t>The delegation must be in writing executed by WorkCover WA.</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WorkCover WA to perform a function through an officer or agent.</w:t>
      </w:r>
    </w:p>
    <w:p>
      <w:pPr>
        <w:pStyle w:val="Footnotesection"/>
      </w:pPr>
      <w:r>
        <w:tab/>
        <w:t>[Section 101AA inserted by No. 42 of 2004 s. 91.]</w:t>
      </w:r>
    </w:p>
    <w:p>
      <w:pPr>
        <w:pStyle w:val="Heading5"/>
        <w:keepLines w:val="0"/>
        <w:spacing w:before="160"/>
        <w:rPr>
          <w:snapToGrid w:val="0"/>
        </w:rPr>
      </w:pPr>
      <w:bookmarkStart w:id="1436" w:name="_Toc122833291"/>
      <w:bookmarkStart w:id="1437" w:name="_Toc122833858"/>
      <w:r>
        <w:rPr>
          <w:rStyle w:val="CharSectno"/>
        </w:rPr>
        <w:t>101A</w:t>
      </w:r>
      <w:r>
        <w:rPr>
          <w:snapToGrid w:val="0"/>
        </w:rPr>
        <w:t>.</w:t>
      </w:r>
      <w:r>
        <w:rPr>
          <w:snapToGrid w:val="0"/>
        </w:rPr>
        <w:tab/>
        <w:t xml:space="preserve">Borrowings by </w:t>
      </w:r>
      <w:bookmarkEnd w:id="1432"/>
      <w:bookmarkEnd w:id="1433"/>
      <w:bookmarkEnd w:id="1434"/>
      <w:bookmarkEnd w:id="1435"/>
      <w:r>
        <w:t>WorkCover WA</w:t>
      </w:r>
      <w:bookmarkEnd w:id="1436"/>
      <w:bookmarkEnd w:id="1437"/>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 </w:t>
      </w:r>
    </w:p>
    <w:p>
      <w:pPr>
        <w:pStyle w:val="Indenta"/>
        <w:rPr>
          <w:snapToGrid w:val="0"/>
        </w:rPr>
      </w:pPr>
      <w:r>
        <w:rPr>
          <w:snapToGrid w:val="0"/>
        </w:rPr>
        <w:tab/>
        <w:t>(a)</w:t>
      </w:r>
      <w:r>
        <w:rPr>
          <w:snapToGrid w:val="0"/>
        </w:rPr>
        <w:tab/>
        <w:t>the terms and particulars of the proposed loan;</w:t>
      </w:r>
    </w:p>
    <w:p>
      <w:pPr>
        <w:pStyle w:val="Indenta"/>
        <w:rPr>
          <w:snapToGrid w:val="0"/>
        </w:rPr>
      </w:pPr>
      <w:r>
        <w:rPr>
          <w:snapToGrid w:val="0"/>
        </w:rPr>
        <w:tab/>
        <w:t>(b)</w:t>
      </w:r>
      <w:r>
        <w:rPr>
          <w:snapToGrid w:val="0"/>
        </w:rPr>
        <w:tab/>
        <w:t>the rate of interest to be paid on that loan;</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 xml:space="preserve">[Section 101A inserted by No. 104 of 1984 s. 5; amended by No. 42 of 2004 s. 150.] </w:t>
      </w:r>
    </w:p>
    <w:p>
      <w:pPr>
        <w:pStyle w:val="Heading5"/>
        <w:rPr>
          <w:snapToGrid w:val="0"/>
        </w:rPr>
      </w:pPr>
      <w:bookmarkStart w:id="1438" w:name="_Toc440877982"/>
      <w:bookmarkStart w:id="1439" w:name="_Toc517775341"/>
      <w:bookmarkStart w:id="1440" w:name="_Toc520107089"/>
      <w:bookmarkStart w:id="1441" w:name="_Toc523111714"/>
      <w:bookmarkStart w:id="1442" w:name="_Toc122833292"/>
      <w:bookmarkStart w:id="1443" w:name="_Toc122833859"/>
      <w:r>
        <w:rPr>
          <w:rStyle w:val="CharSectno"/>
        </w:rPr>
        <w:t>101B</w:t>
      </w:r>
      <w:r>
        <w:rPr>
          <w:snapToGrid w:val="0"/>
        </w:rPr>
        <w:t>.</w:t>
      </w:r>
      <w:r>
        <w:rPr>
          <w:snapToGrid w:val="0"/>
        </w:rPr>
        <w:tab/>
        <w:t>Guarantees of borrowings</w:t>
      </w:r>
      <w:bookmarkEnd w:id="1438"/>
      <w:bookmarkEnd w:id="1439"/>
      <w:bookmarkEnd w:id="1440"/>
      <w:bookmarkEnd w:id="1441"/>
      <w:bookmarkEnd w:id="1442"/>
      <w:bookmarkEnd w:id="1443"/>
      <w:r>
        <w:rPr>
          <w:snapToGrid w:val="0"/>
        </w:rPr>
        <w:t xml:space="preserve"> </w:t>
      </w:r>
    </w:p>
    <w:p>
      <w:pPr>
        <w:pStyle w:val="Subsection"/>
        <w:rPr>
          <w:snapToGrid w:val="0"/>
        </w:rPr>
      </w:pPr>
      <w:r>
        <w:rPr>
          <w:snapToGrid w:val="0"/>
        </w:rPr>
        <w:tab/>
        <w:t>(1)</w:t>
      </w:r>
      <w:r>
        <w:rPr>
          <w:snapToGrid w:val="0"/>
        </w:rPr>
        <w:tab/>
        <w:t>The Treasurer is hereby authorised to guarantee —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r>
        <w:t>WorkCover WA</w:t>
      </w:r>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Consolidated Fund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Fund.</w:t>
      </w:r>
    </w:p>
    <w:p>
      <w:pPr>
        <w:pStyle w:val="Footnotesection"/>
      </w:pPr>
      <w:r>
        <w:tab/>
        <w:t xml:space="preserve">[Section 101B inserted by No. 104 of 1984 s. 5; amended by No. 6 of 1993 s. 11; No. 49 of 1996 s. 64; No. 42 of 2004 s. 150.] </w:t>
      </w:r>
    </w:p>
    <w:p>
      <w:pPr>
        <w:pStyle w:val="Heading5"/>
        <w:spacing w:before="120"/>
        <w:rPr>
          <w:snapToGrid w:val="0"/>
        </w:rPr>
      </w:pPr>
      <w:bookmarkStart w:id="1444" w:name="_Toc440877983"/>
      <w:bookmarkStart w:id="1445" w:name="_Toc517775342"/>
      <w:bookmarkStart w:id="1446" w:name="_Toc520107090"/>
      <w:bookmarkStart w:id="1447" w:name="_Toc523111715"/>
      <w:bookmarkStart w:id="1448" w:name="_Toc122833293"/>
      <w:bookmarkStart w:id="1449" w:name="_Toc122833860"/>
      <w:r>
        <w:rPr>
          <w:rStyle w:val="CharSectno"/>
        </w:rPr>
        <w:t>102</w:t>
      </w:r>
      <w:r>
        <w:rPr>
          <w:snapToGrid w:val="0"/>
        </w:rPr>
        <w:t>.</w:t>
      </w:r>
      <w:r>
        <w:rPr>
          <w:snapToGrid w:val="0"/>
        </w:rPr>
        <w:tab/>
        <w:t>Limitation on powers</w:t>
      </w:r>
      <w:bookmarkEnd w:id="1444"/>
      <w:bookmarkEnd w:id="1445"/>
      <w:bookmarkEnd w:id="1446"/>
      <w:bookmarkEnd w:id="1447"/>
      <w:bookmarkEnd w:id="1448"/>
      <w:bookmarkEnd w:id="1449"/>
      <w:r>
        <w:rPr>
          <w:snapToGrid w:val="0"/>
        </w:rPr>
        <w:t xml:space="preserve"> </w:t>
      </w:r>
    </w:p>
    <w:p>
      <w:pPr>
        <w:pStyle w:val="Subsection"/>
        <w:rPr>
          <w:snapToGrid w:val="0"/>
        </w:rPr>
      </w:pPr>
      <w:r>
        <w:rPr>
          <w:snapToGrid w:val="0"/>
        </w:rPr>
        <w:tab/>
      </w:r>
      <w:r>
        <w:rPr>
          <w:snapToGrid w:val="0"/>
        </w:rPr>
        <w:tab/>
        <w:t xml:space="preserve">Apart from coordinating arrangements in the matters referred to in section 100(e), </w:t>
      </w:r>
      <w:r>
        <w:t>WorkCover WA</w:t>
      </w:r>
      <w:r>
        <w:rPr>
          <w:snapToGrid w:val="0"/>
        </w:rPr>
        <w:t xml:space="preserve"> or its officers shall not provide facilities or perform services for or in respect of those matters unless directed to do so by the Minister.</w:t>
      </w:r>
    </w:p>
    <w:p>
      <w:pPr>
        <w:pStyle w:val="Footnotesection"/>
      </w:pPr>
      <w:r>
        <w:tab/>
        <w:t>[Section 102 amended by No. 42 of 2004 s. 92 and 150.]</w:t>
      </w:r>
    </w:p>
    <w:p>
      <w:pPr>
        <w:pStyle w:val="Ednotesection"/>
      </w:pPr>
      <w:r>
        <w:t>[</w:t>
      </w:r>
      <w:r>
        <w:rPr>
          <w:b/>
        </w:rPr>
        <w:t>103.</w:t>
      </w:r>
      <w:r>
        <w:rPr>
          <w:b/>
        </w:rPr>
        <w:tab/>
      </w:r>
      <w:r>
        <w:t>Repealed by No. 34 of 1999 s. 35.]</w:t>
      </w:r>
    </w:p>
    <w:p>
      <w:pPr>
        <w:pStyle w:val="Heading5"/>
        <w:rPr>
          <w:snapToGrid w:val="0"/>
        </w:rPr>
      </w:pPr>
      <w:bookmarkStart w:id="1450" w:name="_Toc440877985"/>
      <w:bookmarkStart w:id="1451" w:name="_Toc517775343"/>
      <w:bookmarkStart w:id="1452" w:name="_Toc520107091"/>
      <w:bookmarkStart w:id="1453" w:name="_Toc523111716"/>
      <w:bookmarkStart w:id="1454" w:name="_Toc122833294"/>
      <w:bookmarkStart w:id="1455" w:name="_Toc122833861"/>
      <w:r>
        <w:rPr>
          <w:rStyle w:val="CharSectno"/>
        </w:rPr>
        <w:t>103A</w:t>
      </w:r>
      <w:r>
        <w:rPr>
          <w:snapToGrid w:val="0"/>
        </w:rPr>
        <w:t>.</w:t>
      </w:r>
      <w:r>
        <w:rPr>
          <w:snapToGrid w:val="0"/>
        </w:rPr>
        <w:tab/>
        <w:t>Returns</w:t>
      </w:r>
      <w:bookmarkEnd w:id="1450"/>
      <w:bookmarkEnd w:id="1451"/>
      <w:bookmarkEnd w:id="1452"/>
      <w:bookmarkEnd w:id="1453"/>
      <w:bookmarkEnd w:id="1454"/>
      <w:bookmarkEnd w:id="1455"/>
      <w:r>
        <w:rPr>
          <w:snapToGrid w:val="0"/>
        </w:rPr>
        <w:t xml:space="preserve"> </w:t>
      </w:r>
    </w:p>
    <w:p>
      <w:pPr>
        <w:pStyle w:val="Subsection"/>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pPr>
      <w:r>
        <w:tab/>
        <w:t>(2)</w:t>
      </w:r>
      <w:r>
        <w:tab/>
        <w:t>A person who furnishes to WorkCover WA under subsection (1) any information or return that is false in a material particular commits an offence.</w:t>
      </w:r>
    </w:p>
    <w:p>
      <w:pPr>
        <w:pStyle w:val="Penstart"/>
        <w:rPr>
          <w:snapToGrid w:val="0"/>
        </w:rPr>
      </w:pPr>
      <w:r>
        <w:tab/>
        <w:t>Penalty: $2 000.</w:t>
      </w:r>
    </w:p>
    <w:p>
      <w:pPr>
        <w:pStyle w:val="Footnotesection"/>
      </w:pPr>
      <w:r>
        <w:tab/>
        <w:t xml:space="preserve">[Section 103A inserted by No. 44 of 1985 s. 24; amended by No. 96 of 1990 s. 25; No. 42 of 2004 s. 93 and 150.] </w:t>
      </w:r>
    </w:p>
    <w:p>
      <w:pPr>
        <w:pStyle w:val="Heading5"/>
        <w:rPr>
          <w:snapToGrid w:val="0"/>
        </w:rPr>
      </w:pPr>
      <w:bookmarkStart w:id="1456" w:name="_Toc440877986"/>
      <w:bookmarkStart w:id="1457" w:name="_Toc517775344"/>
      <w:bookmarkStart w:id="1458" w:name="_Toc520107092"/>
      <w:bookmarkStart w:id="1459" w:name="_Toc523111717"/>
      <w:bookmarkStart w:id="1460" w:name="_Toc122833295"/>
      <w:bookmarkStart w:id="1461" w:name="_Toc122833862"/>
      <w:r>
        <w:rPr>
          <w:rStyle w:val="CharSectno"/>
        </w:rPr>
        <w:t>104</w:t>
      </w:r>
      <w:r>
        <w:rPr>
          <w:snapToGrid w:val="0"/>
        </w:rPr>
        <w:t>.</w:t>
      </w:r>
      <w:r>
        <w:rPr>
          <w:snapToGrid w:val="0"/>
        </w:rPr>
        <w:tab/>
        <w:t>Publishing and furnishing information</w:t>
      </w:r>
      <w:bookmarkEnd w:id="1456"/>
      <w:bookmarkEnd w:id="1457"/>
      <w:bookmarkEnd w:id="1458"/>
      <w:bookmarkEnd w:id="1459"/>
      <w:bookmarkEnd w:id="1460"/>
      <w:bookmarkEnd w:id="1461"/>
      <w:r>
        <w:rPr>
          <w:snapToGrid w:val="0"/>
        </w:rPr>
        <w:t xml:space="preserve"> </w:t>
      </w:r>
    </w:p>
    <w:p>
      <w:pPr>
        <w:pStyle w:val="Subsection"/>
        <w:keepNext/>
        <w:keepLines/>
        <w:rPr>
          <w:snapToGrid w:val="0"/>
        </w:rPr>
      </w:pPr>
      <w:r>
        <w:rPr>
          <w:snapToGrid w:val="0"/>
        </w:rPr>
        <w:tab/>
      </w:r>
      <w:r>
        <w:rPr>
          <w:snapToGrid w:val="0"/>
        </w:rPr>
        <w:tab/>
      </w:r>
      <w:r>
        <w:t>WorkCover WA</w:t>
      </w:r>
      <w:r>
        <w:rPr>
          <w:snapToGrid w:val="0"/>
        </w:rPr>
        <w:t xml:space="preserve"> may —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by No. 42 of 2004 s. 94 and 150.]</w:t>
      </w:r>
    </w:p>
    <w:p>
      <w:pPr>
        <w:pStyle w:val="Heading3"/>
      </w:pPr>
      <w:bookmarkStart w:id="1462" w:name="_Toc92705075"/>
      <w:bookmarkStart w:id="1463" w:name="_Toc93222542"/>
      <w:bookmarkStart w:id="1464" w:name="_Toc95022619"/>
      <w:bookmarkStart w:id="1465" w:name="_Toc95117891"/>
      <w:bookmarkStart w:id="1466" w:name="_Toc96498296"/>
      <w:bookmarkStart w:id="1467" w:name="_Toc96500774"/>
      <w:bookmarkStart w:id="1468" w:name="_Toc101779688"/>
      <w:bookmarkStart w:id="1469" w:name="_Toc103060136"/>
      <w:bookmarkStart w:id="1470" w:name="_Toc105471032"/>
      <w:bookmarkStart w:id="1471" w:name="_Toc105474946"/>
      <w:bookmarkStart w:id="1472" w:name="_Toc107308048"/>
      <w:bookmarkStart w:id="1473" w:name="_Toc109712281"/>
      <w:bookmarkStart w:id="1474" w:name="_Toc109724164"/>
      <w:bookmarkStart w:id="1475" w:name="_Toc110054036"/>
      <w:bookmarkStart w:id="1476" w:name="_Toc110054425"/>
      <w:bookmarkStart w:id="1477" w:name="_Toc110654505"/>
      <w:bookmarkStart w:id="1478" w:name="_Toc110735943"/>
      <w:bookmarkStart w:id="1479" w:name="_Toc110738679"/>
      <w:bookmarkStart w:id="1480" w:name="_Toc115691353"/>
      <w:bookmarkStart w:id="1481" w:name="_Toc115773650"/>
      <w:bookmarkStart w:id="1482" w:name="_Toc119132577"/>
      <w:bookmarkStart w:id="1483" w:name="_Toc119203247"/>
      <w:bookmarkStart w:id="1484" w:name="_Toc119203893"/>
      <w:bookmarkStart w:id="1485" w:name="_Toc119216223"/>
      <w:bookmarkStart w:id="1486" w:name="_Toc119300743"/>
      <w:bookmarkStart w:id="1487" w:name="_Toc119301310"/>
      <w:bookmarkStart w:id="1488" w:name="_Toc119301879"/>
      <w:bookmarkStart w:id="1489" w:name="_Toc119920066"/>
      <w:bookmarkStart w:id="1490" w:name="_Toc122774053"/>
      <w:bookmarkStart w:id="1491" w:name="_Toc122833296"/>
      <w:bookmarkStart w:id="1492" w:name="_Toc122833863"/>
      <w:bookmarkStart w:id="1493" w:name="_Toc86740082"/>
      <w:bookmarkStart w:id="1494" w:name="_Toc88562486"/>
      <w:bookmarkStart w:id="1495" w:name="_Toc88625403"/>
      <w:bookmarkStart w:id="1496" w:name="_Toc91386065"/>
      <w:r>
        <w:rPr>
          <w:rStyle w:val="CharDivNo"/>
        </w:rPr>
        <w:t>Division 1AA</w:t>
      </w:r>
      <w:r>
        <w:t> — </w:t>
      </w:r>
      <w:r>
        <w:rPr>
          <w:rStyle w:val="CharDivText"/>
        </w:rPr>
        <w:t>Personal interest</w:t>
      </w:r>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p>
    <w:p>
      <w:pPr>
        <w:pStyle w:val="Footnoteheading"/>
        <w:tabs>
          <w:tab w:val="left" w:pos="851"/>
        </w:tabs>
      </w:pPr>
      <w:r>
        <w:tab/>
        <w:t>[Heading inserted by No. 42 of 2004 s. 95.]</w:t>
      </w:r>
    </w:p>
    <w:p>
      <w:pPr>
        <w:pStyle w:val="Heading5"/>
        <w:rPr>
          <w:snapToGrid w:val="0"/>
        </w:rPr>
      </w:pPr>
      <w:bookmarkStart w:id="1497" w:name="_Toc122833297"/>
      <w:bookmarkStart w:id="1498" w:name="_Toc122833864"/>
      <w:r>
        <w:rPr>
          <w:rStyle w:val="CharSectno"/>
        </w:rPr>
        <w:t>104AA</w:t>
      </w:r>
      <w:r>
        <w:t>.</w:t>
      </w:r>
      <w:r>
        <w:tab/>
        <w:t>D</w:t>
      </w:r>
      <w:r>
        <w:rPr>
          <w:snapToGrid w:val="0"/>
        </w:rPr>
        <w:t>isclosure of interests</w:t>
      </w:r>
      <w:bookmarkEnd w:id="1497"/>
      <w:bookmarkEnd w:id="1498"/>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by No. 42 of 2004 s. 95.]</w:t>
      </w:r>
    </w:p>
    <w:p>
      <w:pPr>
        <w:pStyle w:val="Heading5"/>
        <w:rPr>
          <w:snapToGrid w:val="0"/>
        </w:rPr>
      </w:pPr>
      <w:bookmarkStart w:id="1499" w:name="_Toc122833298"/>
      <w:bookmarkStart w:id="1500" w:name="_Toc122833865"/>
      <w:r>
        <w:rPr>
          <w:rStyle w:val="CharSectno"/>
        </w:rPr>
        <w:t>104AB</w:t>
      </w:r>
      <w:r>
        <w:rPr>
          <w:snapToGrid w:val="0"/>
        </w:rPr>
        <w:t>.</w:t>
      </w:r>
      <w:r>
        <w:rPr>
          <w:snapToGrid w:val="0"/>
        </w:rPr>
        <w:tab/>
        <w:t>Exclusion of interested member</w:t>
      </w:r>
      <w:bookmarkEnd w:id="1499"/>
      <w:bookmarkEnd w:id="1500"/>
    </w:p>
    <w:p>
      <w:pPr>
        <w:pStyle w:val="Subsection"/>
        <w:rPr>
          <w:snapToGrid w:val="0"/>
        </w:rPr>
      </w:pPr>
      <w:r>
        <w:rPr>
          <w:snapToGrid w:val="0"/>
        </w:rPr>
        <w:tab/>
        <w:t>(1)</w:t>
      </w:r>
      <w:r>
        <w:rPr>
          <w:snapToGrid w:val="0"/>
        </w:rPr>
        <w:tab/>
        <w:t>A member of WorkCover WA’s governing body who has a material personal interest in a matter that is being considered by the governing body — </w:t>
      </w:r>
    </w:p>
    <w:p>
      <w:pPr>
        <w:pStyle w:val="Indenta"/>
        <w:rPr>
          <w:snapToGrid w:val="0"/>
        </w:rPr>
      </w:pPr>
      <w:r>
        <w:rPr>
          <w:snapToGrid w:val="0"/>
        </w:rPr>
        <w:tab/>
        <w:t>(a)</w:t>
      </w:r>
      <w:r>
        <w:rPr>
          <w:snapToGrid w:val="0"/>
        </w:rPr>
        <w:tab/>
        <w:t>must not vote on the matter; and</w:t>
      </w:r>
    </w:p>
    <w:p>
      <w:pPr>
        <w:pStyle w:val="Indenta"/>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by No. 42 of 2004 s. 95.]</w:t>
      </w:r>
    </w:p>
    <w:p>
      <w:pPr>
        <w:pStyle w:val="Heading5"/>
        <w:rPr>
          <w:snapToGrid w:val="0"/>
        </w:rPr>
      </w:pPr>
      <w:bookmarkStart w:id="1501" w:name="_Toc122833299"/>
      <w:bookmarkStart w:id="1502" w:name="_Toc122833866"/>
      <w:r>
        <w:rPr>
          <w:rStyle w:val="CharSectno"/>
        </w:rPr>
        <w:t>104AC</w:t>
      </w:r>
      <w:r>
        <w:rPr>
          <w:snapToGrid w:val="0"/>
        </w:rPr>
        <w:t>.</w:t>
      </w:r>
      <w:r>
        <w:rPr>
          <w:snapToGrid w:val="0"/>
        </w:rPr>
        <w:tab/>
        <w:t>Resolution that section 104AB inapplicable</w:t>
      </w:r>
      <w:bookmarkEnd w:id="1501"/>
      <w:bookmarkEnd w:id="1502"/>
      <w:r>
        <w:rPr>
          <w:snapToGrid w:val="0"/>
        </w:rPr>
        <w:t xml:space="preserve"> </w:t>
      </w:r>
    </w:p>
    <w:p>
      <w:pPr>
        <w:pStyle w:val="Subsection"/>
        <w:rPr>
          <w:snapToGrid w:val="0"/>
        </w:rPr>
      </w:pPr>
      <w:r>
        <w:rPr>
          <w:snapToGrid w:val="0"/>
        </w:rPr>
        <w:tab/>
      </w:r>
      <w:r>
        <w:rPr>
          <w:snapToGrid w:val="0"/>
        </w:rPr>
        <w:tab/>
        <w:t>Section 104AB does not apply if the governing body has at any time passed a resolution that — </w:t>
      </w:r>
    </w:p>
    <w:p>
      <w:pPr>
        <w:pStyle w:val="Indenta"/>
        <w:rPr>
          <w:snapToGrid w:val="0"/>
        </w:rPr>
      </w:pPr>
      <w:r>
        <w:rPr>
          <w:snapToGrid w:val="0"/>
        </w:rPr>
        <w:tab/>
        <w:t>(a)</w:t>
      </w:r>
      <w:r>
        <w:rPr>
          <w:snapToGrid w:val="0"/>
        </w:rPr>
        <w:tab/>
        <w:t>specifies the member, the interest, and the matter; and</w:t>
      </w:r>
    </w:p>
    <w:p>
      <w:pPr>
        <w:pStyle w:val="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by No. 42 of 2004 s. 95.]</w:t>
      </w:r>
    </w:p>
    <w:p>
      <w:pPr>
        <w:pStyle w:val="Heading5"/>
        <w:rPr>
          <w:snapToGrid w:val="0"/>
        </w:rPr>
      </w:pPr>
      <w:bookmarkStart w:id="1503" w:name="_Toc122833300"/>
      <w:bookmarkStart w:id="1504" w:name="_Toc122833867"/>
      <w:r>
        <w:rPr>
          <w:rStyle w:val="CharSectno"/>
        </w:rPr>
        <w:t>104AD</w:t>
      </w:r>
      <w:r>
        <w:rPr>
          <w:snapToGrid w:val="0"/>
        </w:rPr>
        <w:t>.</w:t>
      </w:r>
      <w:r>
        <w:rPr>
          <w:snapToGrid w:val="0"/>
        </w:rPr>
        <w:tab/>
        <w:t>Quorum where section 104AB applies</w:t>
      </w:r>
      <w:bookmarkEnd w:id="1503"/>
      <w:bookmarkEnd w:id="1504"/>
      <w:r>
        <w:rPr>
          <w:snapToGrid w:val="0"/>
        </w:rPr>
        <w:t xml:space="preserve"> </w:t>
      </w:r>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by No. 42 of 2004 s. 95.]</w:t>
      </w:r>
    </w:p>
    <w:p>
      <w:pPr>
        <w:pStyle w:val="Heading5"/>
        <w:rPr>
          <w:snapToGrid w:val="0"/>
        </w:rPr>
      </w:pPr>
      <w:bookmarkStart w:id="1505" w:name="_Toc122833301"/>
      <w:bookmarkStart w:id="1506" w:name="_Toc122833868"/>
      <w:r>
        <w:rPr>
          <w:rStyle w:val="CharSectno"/>
        </w:rPr>
        <w:t>104AE</w:t>
      </w:r>
      <w:r>
        <w:rPr>
          <w:snapToGrid w:val="0"/>
        </w:rPr>
        <w:t>.</w:t>
      </w:r>
      <w:r>
        <w:rPr>
          <w:snapToGrid w:val="0"/>
        </w:rPr>
        <w:tab/>
        <w:t>Minister may declare sections 104AB and 104AD inapplicable</w:t>
      </w:r>
      <w:bookmarkEnd w:id="1505"/>
      <w:bookmarkEnd w:id="1506"/>
      <w:r>
        <w:rPr>
          <w:snapToGrid w:val="0"/>
        </w:rPr>
        <w:t xml:space="preserve"> </w:t>
      </w:r>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by No. 42 of 2004 s. 95.]</w:t>
      </w:r>
    </w:p>
    <w:bookmarkEnd w:id="1493"/>
    <w:bookmarkEnd w:id="1494"/>
    <w:bookmarkEnd w:id="1495"/>
    <w:bookmarkEnd w:id="1496"/>
    <w:p>
      <w:pPr>
        <w:pStyle w:val="Ednotedivision"/>
      </w:pPr>
      <w:r>
        <w:t>[Division 1A (s. 104A, 104B) repealed by No. 42 of 2004 s. 96.]</w:t>
      </w:r>
    </w:p>
    <w:p>
      <w:pPr>
        <w:pStyle w:val="Heading3"/>
        <w:rPr>
          <w:snapToGrid w:val="0"/>
        </w:rPr>
      </w:pPr>
      <w:bookmarkStart w:id="1507" w:name="_Toc86740085"/>
      <w:bookmarkStart w:id="1508" w:name="_Toc88562489"/>
      <w:bookmarkStart w:id="1509" w:name="_Toc88625406"/>
      <w:bookmarkStart w:id="1510" w:name="_Toc91386068"/>
      <w:bookmarkStart w:id="1511" w:name="_Toc92705084"/>
      <w:bookmarkStart w:id="1512" w:name="_Toc93222551"/>
      <w:bookmarkStart w:id="1513" w:name="_Toc95022628"/>
      <w:bookmarkStart w:id="1514" w:name="_Toc95117900"/>
      <w:bookmarkStart w:id="1515" w:name="_Toc96498305"/>
      <w:bookmarkStart w:id="1516" w:name="_Toc96500783"/>
      <w:bookmarkStart w:id="1517" w:name="_Toc101779697"/>
      <w:bookmarkStart w:id="1518" w:name="_Toc103060145"/>
      <w:bookmarkStart w:id="1519" w:name="_Toc105471041"/>
      <w:bookmarkStart w:id="1520" w:name="_Toc105474955"/>
      <w:bookmarkStart w:id="1521" w:name="_Toc107308057"/>
      <w:bookmarkStart w:id="1522" w:name="_Toc109712290"/>
      <w:bookmarkStart w:id="1523" w:name="_Toc109724173"/>
      <w:bookmarkStart w:id="1524" w:name="_Toc110054045"/>
      <w:bookmarkStart w:id="1525" w:name="_Toc110054434"/>
      <w:bookmarkStart w:id="1526" w:name="_Toc110654514"/>
      <w:bookmarkStart w:id="1527" w:name="_Toc110735952"/>
      <w:bookmarkStart w:id="1528" w:name="_Toc110738688"/>
      <w:bookmarkStart w:id="1529" w:name="_Toc115691362"/>
      <w:bookmarkStart w:id="1530" w:name="_Toc115773659"/>
      <w:bookmarkStart w:id="1531" w:name="_Toc119132583"/>
      <w:bookmarkStart w:id="1532" w:name="_Toc119203253"/>
      <w:bookmarkStart w:id="1533" w:name="_Toc119203899"/>
      <w:bookmarkStart w:id="1534" w:name="_Toc119216229"/>
      <w:bookmarkStart w:id="1535" w:name="_Toc119300749"/>
      <w:bookmarkStart w:id="1536" w:name="_Toc119301316"/>
      <w:bookmarkStart w:id="1537" w:name="_Toc119301885"/>
      <w:bookmarkStart w:id="1538" w:name="_Toc119920072"/>
      <w:bookmarkStart w:id="1539" w:name="_Toc122774059"/>
      <w:bookmarkStart w:id="1540" w:name="_Toc122833302"/>
      <w:bookmarkStart w:id="1541" w:name="_Toc122833869"/>
      <w:r>
        <w:rPr>
          <w:rStyle w:val="CharDivNo"/>
        </w:rPr>
        <w:t>Division 2</w:t>
      </w:r>
      <w:r>
        <w:rPr>
          <w:snapToGrid w:val="0"/>
        </w:rPr>
        <w:t> — </w:t>
      </w:r>
      <w:r>
        <w:rPr>
          <w:rStyle w:val="CharDivText"/>
        </w:rPr>
        <w:t>Accounts and audit</w:t>
      </w:r>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r>
        <w:rPr>
          <w:rStyle w:val="CharDivText"/>
        </w:rPr>
        <w:t xml:space="preserve"> </w:t>
      </w:r>
    </w:p>
    <w:p>
      <w:pPr>
        <w:pStyle w:val="Heading5"/>
        <w:spacing w:before="160"/>
        <w:rPr>
          <w:snapToGrid w:val="0"/>
        </w:rPr>
      </w:pPr>
      <w:bookmarkStart w:id="1542" w:name="_Toc440877989"/>
      <w:bookmarkStart w:id="1543" w:name="_Toc517775347"/>
      <w:bookmarkStart w:id="1544" w:name="_Toc520107095"/>
      <w:bookmarkStart w:id="1545" w:name="_Toc523111720"/>
      <w:bookmarkStart w:id="1546" w:name="_Toc122833303"/>
      <w:bookmarkStart w:id="1547" w:name="_Toc122833870"/>
      <w:r>
        <w:rPr>
          <w:rStyle w:val="CharSectno"/>
        </w:rPr>
        <w:t>105</w:t>
      </w:r>
      <w:r>
        <w:rPr>
          <w:snapToGrid w:val="0"/>
        </w:rPr>
        <w:t>.</w:t>
      </w:r>
      <w:r>
        <w:rPr>
          <w:rStyle w:val="CharSectno"/>
        </w:rPr>
        <w:tab/>
      </w:r>
      <w:r>
        <w:rPr>
          <w:snapToGrid w:val="0"/>
        </w:rPr>
        <w:t xml:space="preserve">Application of </w:t>
      </w:r>
      <w:r>
        <w:rPr>
          <w:i/>
          <w:snapToGrid w:val="0"/>
        </w:rPr>
        <w:t>Financial Administration and Audit Act 1985</w:t>
      </w:r>
      <w:bookmarkEnd w:id="1542"/>
      <w:bookmarkEnd w:id="1543"/>
      <w:bookmarkEnd w:id="1544"/>
      <w:bookmarkEnd w:id="1545"/>
      <w:bookmarkEnd w:id="1546"/>
      <w:bookmarkEnd w:id="1547"/>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w:t>
      </w:r>
      <w:r>
        <w:t>WorkCover WA</w:t>
      </w:r>
      <w:r>
        <w:rPr>
          <w:snapToGrid w:val="0"/>
        </w:rPr>
        <w:t xml:space="preserve"> and its operations.</w:t>
      </w:r>
    </w:p>
    <w:p>
      <w:pPr>
        <w:pStyle w:val="Footnotesection"/>
      </w:pPr>
      <w:r>
        <w:tab/>
        <w:t xml:space="preserve">[Section 105 inserted by No. 98 of 1985 s. 3; amended by No. 42 of 2004 s. 150.] </w:t>
      </w:r>
    </w:p>
    <w:p>
      <w:pPr>
        <w:pStyle w:val="Heading3"/>
        <w:rPr>
          <w:snapToGrid w:val="0"/>
        </w:rPr>
      </w:pPr>
      <w:bookmarkStart w:id="1548" w:name="_Toc86740087"/>
      <w:bookmarkStart w:id="1549" w:name="_Toc88562491"/>
      <w:bookmarkStart w:id="1550" w:name="_Toc88625408"/>
      <w:bookmarkStart w:id="1551" w:name="_Toc91386070"/>
      <w:bookmarkStart w:id="1552" w:name="_Toc92705086"/>
      <w:bookmarkStart w:id="1553" w:name="_Toc93222553"/>
      <w:bookmarkStart w:id="1554" w:name="_Toc95022630"/>
      <w:bookmarkStart w:id="1555" w:name="_Toc95117902"/>
      <w:bookmarkStart w:id="1556" w:name="_Toc96498307"/>
      <w:bookmarkStart w:id="1557" w:name="_Toc96500785"/>
      <w:bookmarkStart w:id="1558" w:name="_Toc101779699"/>
      <w:bookmarkStart w:id="1559" w:name="_Toc103060147"/>
      <w:bookmarkStart w:id="1560" w:name="_Toc105471043"/>
      <w:bookmarkStart w:id="1561" w:name="_Toc105474957"/>
      <w:bookmarkStart w:id="1562" w:name="_Toc107308059"/>
      <w:bookmarkStart w:id="1563" w:name="_Toc109712292"/>
      <w:bookmarkStart w:id="1564" w:name="_Toc109724175"/>
      <w:bookmarkStart w:id="1565" w:name="_Toc110054047"/>
      <w:bookmarkStart w:id="1566" w:name="_Toc110054436"/>
      <w:bookmarkStart w:id="1567" w:name="_Toc110654516"/>
      <w:bookmarkStart w:id="1568" w:name="_Toc110735954"/>
      <w:bookmarkStart w:id="1569" w:name="_Toc110738690"/>
      <w:bookmarkStart w:id="1570" w:name="_Toc115691364"/>
      <w:bookmarkStart w:id="1571" w:name="_Toc115773661"/>
      <w:bookmarkStart w:id="1572" w:name="_Toc119132585"/>
      <w:bookmarkStart w:id="1573" w:name="_Toc119203255"/>
      <w:bookmarkStart w:id="1574" w:name="_Toc119203901"/>
      <w:bookmarkStart w:id="1575" w:name="_Toc119216231"/>
      <w:bookmarkStart w:id="1576" w:name="_Toc119300751"/>
      <w:bookmarkStart w:id="1577" w:name="_Toc119301318"/>
      <w:bookmarkStart w:id="1578" w:name="_Toc119301887"/>
      <w:bookmarkStart w:id="1579" w:name="_Toc119920074"/>
      <w:bookmarkStart w:id="1580" w:name="_Toc122774061"/>
      <w:bookmarkStart w:id="1581" w:name="_Toc122833304"/>
      <w:bookmarkStart w:id="1582" w:name="_Toc122833871"/>
      <w:r>
        <w:rPr>
          <w:rStyle w:val="CharDivNo"/>
        </w:rPr>
        <w:t>Division 3</w:t>
      </w:r>
      <w:r>
        <w:rPr>
          <w:snapToGrid w:val="0"/>
        </w:rPr>
        <w:t> — </w:t>
      </w:r>
      <w:r>
        <w:rPr>
          <w:rStyle w:val="CharDivText"/>
        </w:rPr>
        <w:t>Workers’ Compensation and Injury Management General Fund</w:t>
      </w:r>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r>
        <w:rPr>
          <w:rStyle w:val="CharDivText"/>
        </w:rPr>
        <w:t xml:space="preserve"> </w:t>
      </w:r>
    </w:p>
    <w:p>
      <w:pPr>
        <w:pStyle w:val="Footnoteheading"/>
        <w:rPr>
          <w:snapToGrid w:val="0"/>
        </w:rPr>
      </w:pPr>
      <w:r>
        <w:rPr>
          <w:snapToGrid w:val="0"/>
        </w:rPr>
        <w:tab/>
        <w:t>[Heading inserted by No. 86 of 1986 s. 7; amended by No. 42 of 2004 s. 97.]</w:t>
      </w:r>
    </w:p>
    <w:p>
      <w:pPr>
        <w:pStyle w:val="Heading5"/>
        <w:keepNext w:val="0"/>
        <w:keepLines w:val="0"/>
        <w:rPr>
          <w:snapToGrid w:val="0"/>
        </w:rPr>
      </w:pPr>
      <w:bookmarkStart w:id="1583" w:name="_Toc440877990"/>
      <w:bookmarkStart w:id="1584" w:name="_Toc517775348"/>
      <w:bookmarkStart w:id="1585" w:name="_Toc520107096"/>
      <w:bookmarkStart w:id="1586" w:name="_Toc523111721"/>
      <w:bookmarkStart w:id="1587" w:name="_Toc122833305"/>
      <w:bookmarkStart w:id="1588" w:name="_Toc122833872"/>
      <w:r>
        <w:rPr>
          <w:rStyle w:val="CharSectno"/>
        </w:rPr>
        <w:t>106</w:t>
      </w:r>
      <w:r>
        <w:rPr>
          <w:snapToGrid w:val="0"/>
        </w:rPr>
        <w:t>.</w:t>
      </w:r>
      <w:r>
        <w:rPr>
          <w:snapToGrid w:val="0"/>
        </w:rPr>
        <w:tab/>
        <w:t>General Fund</w:t>
      </w:r>
      <w:bookmarkEnd w:id="1583"/>
      <w:bookmarkEnd w:id="1584"/>
      <w:bookmarkEnd w:id="1585"/>
      <w:bookmarkEnd w:id="1586"/>
      <w:bookmarkEnd w:id="1587"/>
      <w:bookmarkEnd w:id="1588"/>
      <w:r>
        <w:rPr>
          <w:snapToGrid w:val="0"/>
        </w:rPr>
        <w:t xml:space="preserve"> </w:t>
      </w:r>
    </w:p>
    <w:p>
      <w:pPr>
        <w:pStyle w:val="Subsection"/>
        <w:rPr>
          <w:snapToGrid w:val="0"/>
        </w:rPr>
      </w:pPr>
      <w:r>
        <w:rPr>
          <w:snapToGrid w:val="0"/>
        </w:rPr>
        <w:tab/>
        <w:t>(1)</w:t>
      </w:r>
      <w:r>
        <w:rPr>
          <w:snapToGrid w:val="0"/>
        </w:rPr>
        <w:tab/>
        <w:t xml:space="preserve">For the purposes of this Act, there shall be established and maintained an account to be called the Workers’ Compensation and </w:t>
      </w:r>
      <w:r>
        <w:t>Injury Management</w:t>
      </w:r>
      <w:r>
        <w:rPr>
          <w:snapToGrid w:val="0"/>
        </w:rPr>
        <w:t xml:space="preserve"> General Fund and that account shall be kept — </w:t>
      </w:r>
    </w:p>
    <w:p>
      <w:pPr>
        <w:pStyle w:val="Indenta"/>
        <w:rPr>
          <w:snapToGrid w:val="0"/>
        </w:rPr>
      </w:pPr>
      <w:r>
        <w:rPr>
          <w:snapToGrid w:val="0"/>
        </w:rPr>
        <w:tab/>
        <w:t>(a)</w:t>
      </w:r>
      <w:r>
        <w:rPr>
          <w:snapToGrid w:val="0"/>
        </w:rPr>
        <w:tab/>
        <w:t xml:space="preserve">as part of the Trust Fund constituted under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 xml:space="preserve">at a bank approved by the Treasurer under section 21 of the </w:t>
      </w:r>
      <w:r>
        <w:rPr>
          <w:i/>
          <w:snapToGrid w:val="0"/>
        </w:rPr>
        <w:t>Financial Administration and Audit Act 1985</w:t>
      </w:r>
      <w:r>
        <w:rPr>
          <w:snapToGrid w:val="0"/>
        </w:rPr>
        <w:t>.</w:t>
      </w:r>
    </w:p>
    <w:p>
      <w:pPr>
        <w:pStyle w:val="Subsection"/>
        <w:rPr>
          <w:snapToGrid w:val="0"/>
        </w:rPr>
      </w:pPr>
      <w:r>
        <w:rPr>
          <w:snapToGrid w:val="0"/>
        </w:rPr>
        <w:tab/>
        <w:t>(2)</w:t>
      </w:r>
      <w:r>
        <w:rPr>
          <w:snapToGrid w:val="0"/>
        </w:rPr>
        <w:tab/>
        <w:t>There shall be credited to the General Fund — </w:t>
      </w:r>
    </w:p>
    <w:p>
      <w:pPr>
        <w:pStyle w:val="Ednotepara"/>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 Fund, whether from levies, contributions, penalties, fines, interest or other sources, received by or for </w:t>
      </w:r>
      <w:r>
        <w:t>WorkCover WA</w:t>
      </w:r>
      <w:r>
        <w:rPr>
          <w:snapToGrid w:val="0"/>
        </w:rPr>
        <w:t xml:space="preserve"> in the exercise of its functions under this Act;</w:t>
      </w:r>
    </w:p>
    <w:p>
      <w:pPr>
        <w:pStyle w:val="Indenta"/>
        <w:rPr>
          <w:snapToGrid w:val="0"/>
        </w:rPr>
      </w:pPr>
      <w:r>
        <w:rPr>
          <w:snapToGrid w:val="0"/>
        </w:rPr>
        <w:tab/>
        <w:t>(c)</w:t>
      </w:r>
      <w:r>
        <w:rPr>
          <w:snapToGrid w:val="0"/>
        </w:rPr>
        <w:tab/>
        <w:t xml:space="preserve">all moneys borrowed by </w:t>
      </w:r>
      <w:r>
        <w:t>WorkCover WA</w:t>
      </w:r>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General Fund under section 6A(1) of the </w:t>
      </w:r>
      <w:r>
        <w:rPr>
          <w:i/>
          <w:snapToGrid w:val="0"/>
        </w:rPr>
        <w:t>Employers’ Indemnity Supplementation Fund Act 1980</w:t>
      </w:r>
      <w:r>
        <w:rPr>
          <w:snapToGrid w:val="0"/>
        </w:rPr>
        <w:t>.</w:t>
      </w:r>
    </w:p>
    <w:p>
      <w:pPr>
        <w:pStyle w:val="Subsection"/>
        <w:rPr>
          <w:snapToGrid w:val="0"/>
        </w:rPr>
      </w:pPr>
      <w:r>
        <w:rPr>
          <w:snapToGrid w:val="0"/>
        </w:rPr>
        <w:tab/>
        <w:t>(3)</w:t>
      </w:r>
      <w:r>
        <w:rPr>
          <w:snapToGrid w:val="0"/>
        </w:rPr>
        <w:tab/>
        <w:t>There shall be paid from moneys standing to the credit of the General Fund — </w:t>
      </w:r>
    </w:p>
    <w:p>
      <w:pPr>
        <w:pStyle w:val="Indenta"/>
      </w:pPr>
      <w:r>
        <w:tab/>
        <w:t>(a)</w:t>
      </w:r>
      <w:r>
        <w:tab/>
      </w:r>
      <w:r>
        <w:rPr>
          <w:snapToGrid w:val="0"/>
        </w:rPr>
        <w:t>all moneys required for the remuneration and allowances of members of the governing body of WorkCover WA and of WorkCover WA’s staff;</w:t>
      </w:r>
    </w:p>
    <w:p>
      <w:pPr>
        <w:pStyle w:val="Indenta"/>
        <w:rPr>
          <w:snapToGrid w:val="0"/>
        </w:rPr>
      </w:pPr>
      <w:r>
        <w:rPr>
          <w:snapToGrid w:val="0"/>
        </w:rPr>
        <w:tab/>
        <w:t>(b)</w:t>
      </w:r>
      <w:r>
        <w:rPr>
          <w:snapToGrid w:val="0"/>
        </w:rPr>
        <w:tab/>
        <w:t>compensation payable by the General Fund to a worker pursuant to this Act;</w:t>
      </w:r>
    </w:p>
    <w:p>
      <w:pPr>
        <w:pStyle w:val="Ednotepara"/>
        <w:rPr>
          <w:snapToGrid w:val="0"/>
        </w:rPr>
      </w:pPr>
      <w:r>
        <w:rPr>
          <w:snapToGrid w:val="0"/>
        </w:rPr>
        <w:tab/>
        <w:t>[(c)</w:t>
      </w:r>
      <w:r>
        <w:rPr>
          <w:snapToGrid w:val="0"/>
        </w:rPr>
        <w:tab/>
        <w:t>deleted]</w:t>
      </w:r>
    </w:p>
    <w:p>
      <w:pPr>
        <w:pStyle w:val="Indenta"/>
        <w:rPr>
          <w:snapToGrid w:val="0"/>
        </w:rPr>
      </w:pPr>
      <w:r>
        <w:rPr>
          <w:snapToGrid w:val="0"/>
        </w:rPr>
        <w:tab/>
        <w:t>(ca)</w:t>
      </w:r>
      <w:r>
        <w:rPr>
          <w:snapToGrid w:val="0"/>
        </w:rPr>
        <w:tab/>
        <w:t xml:space="preserve">interest on and repayments of money borrowed by </w:t>
      </w:r>
      <w:r>
        <w:t>WorkCover WA</w:t>
      </w:r>
      <w:r>
        <w:rPr>
          <w:snapToGrid w:val="0"/>
        </w:rPr>
        <w:t xml:space="preserve"> under section 101A and charges in respect of such borrowings;</w:t>
      </w:r>
    </w:p>
    <w:p>
      <w:pPr>
        <w:pStyle w:val="Indenta"/>
        <w:rPr>
          <w:snapToGrid w:val="0"/>
        </w:rPr>
      </w:pPr>
      <w:r>
        <w:rPr>
          <w:snapToGrid w:val="0"/>
        </w:rPr>
        <w:tab/>
        <w:t>(d)</w:t>
      </w:r>
      <w:r>
        <w:rPr>
          <w:snapToGrid w:val="0"/>
        </w:rPr>
        <w:tab/>
        <w:t xml:space="preserve">the costs of and incidental to proceedings instituted by </w:t>
      </w:r>
      <w:r>
        <w:t>WorkCover WA</w:t>
      </w:r>
      <w:r>
        <w:rPr>
          <w:snapToGrid w:val="0"/>
        </w:rPr>
        <w:t xml:space="preserve"> under this Act;</w:t>
      </w:r>
    </w:p>
    <w:p>
      <w:pPr>
        <w:pStyle w:val="Indenta"/>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w:t>
      </w:r>
    </w:p>
    <w:p>
      <w:pPr>
        <w:pStyle w:val="Indenta"/>
        <w:rPr>
          <w:snapToGrid w:val="0"/>
        </w:rPr>
      </w:pPr>
      <w:r>
        <w:rPr>
          <w:snapToGrid w:val="0"/>
        </w:rPr>
        <w:tab/>
        <w:t>(e)</w:t>
      </w:r>
      <w:r>
        <w:rPr>
          <w:snapToGrid w:val="0"/>
        </w:rPr>
        <w:tab/>
        <w:t xml:space="preserve">all other moneys, except those to be charged to the Trust Fund, required by </w:t>
      </w:r>
      <w:r>
        <w:t>WorkCover WA</w:t>
      </w:r>
      <w:r>
        <w:rPr>
          <w:snapToGrid w:val="0"/>
        </w:rPr>
        <w:t xml:space="preserve"> and </w:t>
      </w:r>
      <w:r>
        <w:t>the DRD</w:t>
      </w:r>
      <w:r>
        <w:rPr>
          <w:snapToGrid w:val="0"/>
        </w:rPr>
        <w:t xml:space="preserve"> for carrying out their respective functions under this Act; and</w:t>
      </w:r>
    </w:p>
    <w:p>
      <w:pPr>
        <w:pStyle w:val="Indenta"/>
        <w:keepNext/>
        <w:rPr>
          <w:snapToGrid w:val="0"/>
        </w:rPr>
      </w:pPr>
      <w:r>
        <w:rPr>
          <w:snapToGrid w:val="0"/>
        </w:rPr>
        <w:tab/>
        <w:t>(f)</w:t>
      </w:r>
      <w:r>
        <w:rPr>
          <w:snapToGrid w:val="0"/>
        </w:rPr>
        <w:tab/>
        <w:t>any other moneys so required to be paid under this Act or any other enactment.</w:t>
      </w:r>
    </w:p>
    <w:p>
      <w:pPr>
        <w:pStyle w:val="Footnotesection"/>
      </w:pPr>
      <w:r>
        <w:tab/>
        <w:t xml:space="preserve">[Section 106 amended by No. 79 of 1983 s. 3; No. 104 of 1984 s. 6; No. 86 of 1986 s. 9; No. 96 of 1990 s. 26; No. 1 of 1993 s. 14; No. 48 of 1993 s. 28(1); No. 49 of 1996 s. 64; No. 42 of 2004 s. 98 and 150.] </w:t>
      </w:r>
    </w:p>
    <w:p>
      <w:pPr>
        <w:pStyle w:val="Heading5"/>
        <w:rPr>
          <w:snapToGrid w:val="0"/>
        </w:rPr>
      </w:pPr>
      <w:bookmarkStart w:id="1589" w:name="_Toc440877991"/>
      <w:bookmarkStart w:id="1590" w:name="_Toc517775349"/>
      <w:bookmarkStart w:id="1591" w:name="_Toc520107097"/>
      <w:bookmarkStart w:id="1592" w:name="_Toc523111722"/>
      <w:bookmarkStart w:id="1593" w:name="_Toc122833306"/>
      <w:bookmarkStart w:id="1594" w:name="_Toc122833873"/>
      <w:r>
        <w:rPr>
          <w:rStyle w:val="CharSectno"/>
        </w:rPr>
        <w:t>107</w:t>
      </w:r>
      <w:r>
        <w:rPr>
          <w:snapToGrid w:val="0"/>
        </w:rPr>
        <w:t>.</w:t>
      </w:r>
      <w:r>
        <w:rPr>
          <w:snapToGrid w:val="0"/>
        </w:rPr>
        <w:tab/>
        <w:t>Estimates</w:t>
      </w:r>
      <w:bookmarkEnd w:id="1589"/>
      <w:bookmarkEnd w:id="1590"/>
      <w:bookmarkEnd w:id="1591"/>
      <w:bookmarkEnd w:id="1592"/>
      <w:bookmarkEnd w:id="1593"/>
      <w:bookmarkEnd w:id="1594"/>
      <w:r>
        <w:rPr>
          <w:snapToGrid w:val="0"/>
        </w:rPr>
        <w:t xml:space="preserve"> </w:t>
      </w:r>
    </w:p>
    <w:p>
      <w:pPr>
        <w:pStyle w:val="Subsection"/>
        <w:rPr>
          <w:snapToGrid w:val="0"/>
        </w:rPr>
      </w:pPr>
      <w:r>
        <w:rPr>
          <w:snapToGrid w:val="0"/>
        </w:rPr>
        <w:tab/>
        <w:t>(1)</w:t>
      </w:r>
      <w:r>
        <w:rPr>
          <w:snapToGrid w:val="0"/>
        </w:rPr>
        <w:tab/>
        <w:t xml:space="preserve">Notwithstanding the provisions of the </w:t>
      </w:r>
      <w:r>
        <w:rPr>
          <w:i/>
          <w:snapToGrid w:val="0"/>
        </w:rPr>
        <w:t>Financial Administration and Audit Act 1985</w:t>
      </w:r>
      <w:r>
        <w:rPr>
          <w:snapToGrid w:val="0"/>
        </w:rPr>
        <w:t xml:space="preserve">, </w:t>
      </w:r>
      <w:r>
        <w:t>WorkCover WA</w:t>
      </w:r>
      <w:r>
        <w:rPr>
          <w:snapToGrid w:val="0"/>
        </w:rPr>
        <w:t xml:space="preserve"> shall in each year prepare an estimate of the amount necessary to be raised by way of levies and contributions payable to the General Fund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rPr>
          <w:snapToGrid w:val="0"/>
        </w:rPr>
      </w:pPr>
      <w:r>
        <w:rPr>
          <w:snapToGrid w:val="0"/>
        </w:rPr>
        <w:tab/>
        <w:t>(2)</w:t>
      </w:r>
      <w:r>
        <w:rPr>
          <w:snapToGrid w:val="0"/>
        </w:rPr>
        <w:tab/>
        <w:t>If the General Fund is in surplus at the commencement of the year for which the estimate is being prepared, the estimate shall be calculated by deducting from the estimated expenditures the sum of — </w:t>
      </w:r>
    </w:p>
    <w:p>
      <w:pPr>
        <w:pStyle w:val="Indenta"/>
        <w:rPr>
          <w:snapToGrid w:val="0"/>
        </w:rPr>
      </w:pPr>
      <w:r>
        <w:rPr>
          <w:snapToGrid w:val="0"/>
        </w:rPr>
        <w:tab/>
        <w:t>(a)</w:t>
      </w:r>
      <w:r>
        <w:rPr>
          <w:snapToGrid w:val="0"/>
        </w:rPr>
        <w:tab/>
        <w:t>the estimated receipts of the General Fund from all sources other than the levy and contributions; and</w:t>
      </w:r>
    </w:p>
    <w:p>
      <w:pPr>
        <w:pStyle w:val="Indenta"/>
        <w:rPr>
          <w:snapToGrid w:val="0"/>
        </w:rPr>
      </w:pPr>
      <w:r>
        <w:rPr>
          <w:snapToGrid w:val="0"/>
        </w:rPr>
        <w:tab/>
        <w:t>(b)</w:t>
      </w:r>
      <w:r>
        <w:rPr>
          <w:snapToGrid w:val="0"/>
        </w:rPr>
        <w:tab/>
        <w:t>the balance of the General Fund at the commencement of the year.</w:t>
      </w:r>
    </w:p>
    <w:p>
      <w:pPr>
        <w:pStyle w:val="Subsection"/>
        <w:rPr>
          <w:snapToGrid w:val="0"/>
        </w:rPr>
      </w:pPr>
      <w:r>
        <w:rPr>
          <w:snapToGrid w:val="0"/>
        </w:rPr>
        <w:tab/>
        <w:t>(3)</w:t>
      </w:r>
      <w:r>
        <w:rPr>
          <w:snapToGrid w:val="0"/>
        </w:rPr>
        <w:tab/>
        <w:t>If the General Fund is in deficit at the commencement of the year for which the estimate is being prepared, the estimate shall be calculated by deducting the estimated receipts of the General Fund arising from all sources other than the levy and contributions, from the sum of —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the balance of the General Fund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 Fund.</w:t>
      </w:r>
    </w:p>
    <w:p>
      <w:pPr>
        <w:pStyle w:val="Footnotesection"/>
      </w:pPr>
      <w:r>
        <w:tab/>
        <w:t xml:space="preserve">[Section 107 amended by No. 98 of 1985 s. 3; No. 96 of 1990 s. 27; No. 42 of 2004 s. 150.] </w:t>
      </w:r>
    </w:p>
    <w:p>
      <w:pPr>
        <w:pStyle w:val="Heading5"/>
        <w:rPr>
          <w:snapToGrid w:val="0"/>
        </w:rPr>
      </w:pPr>
      <w:bookmarkStart w:id="1595" w:name="_Toc440877992"/>
      <w:bookmarkStart w:id="1596" w:name="_Toc517775350"/>
      <w:bookmarkStart w:id="1597" w:name="_Toc520107098"/>
      <w:bookmarkStart w:id="1598" w:name="_Toc523111723"/>
      <w:bookmarkStart w:id="1599" w:name="_Toc122833307"/>
      <w:bookmarkStart w:id="1600" w:name="_Toc122833874"/>
      <w:r>
        <w:rPr>
          <w:rStyle w:val="CharSectno"/>
        </w:rPr>
        <w:t>108</w:t>
      </w:r>
      <w:r>
        <w:rPr>
          <w:snapToGrid w:val="0"/>
        </w:rPr>
        <w:t>.</w:t>
      </w:r>
      <w:r>
        <w:rPr>
          <w:snapToGrid w:val="0"/>
        </w:rPr>
        <w:tab/>
        <w:t>Total contributions</w:t>
      </w:r>
      <w:bookmarkEnd w:id="1595"/>
      <w:bookmarkEnd w:id="1596"/>
      <w:bookmarkEnd w:id="1597"/>
      <w:bookmarkEnd w:id="1598"/>
      <w:bookmarkEnd w:id="1599"/>
      <w:bookmarkEnd w:id="1600"/>
      <w:r>
        <w:rPr>
          <w:snapToGrid w:val="0"/>
        </w:rPr>
        <w:t xml:space="preserve"> </w:t>
      </w:r>
    </w:p>
    <w:p>
      <w:pPr>
        <w:pStyle w:val="Subsection"/>
        <w:rPr>
          <w:snapToGrid w:val="0"/>
        </w:rPr>
      </w:pPr>
      <w:r>
        <w:rPr>
          <w:snapToGrid w:val="0"/>
        </w:rPr>
        <w:tab/>
      </w:r>
      <w:r>
        <w:rPr>
          <w:snapToGrid w:val="0"/>
        </w:rPr>
        <w:tab/>
        <w:t xml:space="preserve">For any one year </w:t>
      </w:r>
      <w:r>
        <w:t>WorkCover WA</w:t>
      </w:r>
      <w:r>
        <w:rPr>
          <w:snapToGrid w:val="0"/>
        </w:rPr>
        <w:t xml:space="preserve"> may levy as total contributions to the General Fund an amount equal to the estimate for that year.</w:t>
      </w:r>
    </w:p>
    <w:p>
      <w:pPr>
        <w:pStyle w:val="Footnotesection"/>
      </w:pPr>
      <w:r>
        <w:tab/>
        <w:t>[Section 108 amended by No. 42 of 2004 s. 150.]</w:t>
      </w:r>
    </w:p>
    <w:p>
      <w:pPr>
        <w:pStyle w:val="Heading5"/>
        <w:rPr>
          <w:snapToGrid w:val="0"/>
        </w:rPr>
      </w:pPr>
      <w:bookmarkStart w:id="1601" w:name="_Toc440877993"/>
      <w:bookmarkStart w:id="1602" w:name="_Toc517775351"/>
      <w:bookmarkStart w:id="1603" w:name="_Toc520107099"/>
      <w:bookmarkStart w:id="1604" w:name="_Toc523111724"/>
      <w:bookmarkStart w:id="1605" w:name="_Toc122833308"/>
      <w:bookmarkStart w:id="1606" w:name="_Toc122833875"/>
      <w:r>
        <w:rPr>
          <w:rStyle w:val="CharSectno"/>
        </w:rPr>
        <w:t>109</w:t>
      </w:r>
      <w:r>
        <w:rPr>
          <w:snapToGrid w:val="0"/>
        </w:rPr>
        <w:t>.</w:t>
      </w:r>
      <w:r>
        <w:rPr>
          <w:snapToGrid w:val="0"/>
        </w:rPr>
        <w:tab/>
        <w:t>Contributions to General Fund by insurers</w:t>
      </w:r>
      <w:bookmarkEnd w:id="1601"/>
      <w:bookmarkEnd w:id="1602"/>
      <w:bookmarkEnd w:id="1603"/>
      <w:bookmarkEnd w:id="1604"/>
      <w:bookmarkEnd w:id="1605"/>
      <w:bookmarkEnd w:id="1606"/>
      <w:r>
        <w:rPr>
          <w:snapToGrid w:val="0"/>
        </w:rPr>
        <w:t xml:space="preserve"> </w:t>
      </w:r>
    </w:p>
    <w:p>
      <w:pPr>
        <w:pStyle w:val="Subsection"/>
        <w:rPr>
          <w:snapToGrid w:val="0"/>
        </w:rPr>
      </w:pPr>
      <w:r>
        <w:rPr>
          <w:snapToGrid w:val="0"/>
        </w:rPr>
        <w:tab/>
        <w:t>(1)</w:t>
      </w:r>
      <w:r>
        <w:rPr>
          <w:snapToGrid w:val="0"/>
        </w:rPr>
        <w:tab/>
        <w:t>Each insurer shall contribute annually to the General Fund a sum equal to —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rPr>
          <w:snapToGrid w:val="0"/>
        </w:rPr>
      </w:pPr>
      <w:r>
        <w:rPr>
          <w:snapToGrid w:val="0"/>
        </w:rPr>
        <w:tab/>
        <w:t>(2a)</w:t>
      </w:r>
      <w:r>
        <w:rPr>
          <w:snapToGrid w:val="0"/>
        </w:rPr>
        <w:tab/>
      </w:r>
      <w:r>
        <w:t>WorkCover WA</w:t>
      </w:r>
      <w:r>
        <w:rPr>
          <w:snapToGrid w:val="0"/>
        </w:rPr>
        <w:t xml:space="preserve"> shall give insurers and self</w:t>
      </w:r>
      <w:r>
        <w:rPr>
          <w:snapToGrid w:val="0"/>
        </w:rPr>
        <w:noBreakHyphen/>
        <w:t>insurers at least 30 days written notice of any day determined under subsection (2).</w:t>
      </w:r>
    </w:p>
    <w:p>
      <w:pPr>
        <w:pStyle w:val="Subsection"/>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self</w:t>
      </w:r>
      <w:r>
        <w:rPr>
          <w:snapToGrid w:val="0"/>
        </w:rPr>
        <w:noBreakHyphen/>
        <w:t>insurer shall, in respect of any period for which contributions to the General Fund are payable by insurers, contribute to the General Fund a sum equal to —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r>
        <w:t>WorkCover WA</w:t>
      </w:r>
      <w:r>
        <w:rPr>
          <w:snapToGrid w:val="0"/>
        </w:rPr>
        <w:t xml:space="preserve"> considers reasonable, assessed upon the wages, salaries, or other remuneration, including amounts paid to workers employed under an agreement to perform — </w:t>
      </w:r>
    </w:p>
    <w:p>
      <w:pPr>
        <w:pStyle w:val="Indenti"/>
        <w:rPr>
          <w:snapToGrid w:val="0"/>
        </w:rPr>
      </w:pPr>
      <w:r>
        <w:rPr>
          <w:snapToGrid w:val="0"/>
        </w:rPr>
        <w:tab/>
        <w:t>(i)</w:t>
      </w:r>
      <w:r>
        <w:rPr>
          <w:snapToGrid w:val="0"/>
        </w:rPr>
        <w:tab/>
        <w:t>a specified quantity of work for a specified sum;</w:t>
      </w:r>
    </w:p>
    <w:p>
      <w:pPr>
        <w:pStyle w:val="Indenti"/>
        <w:rPr>
          <w:snapToGrid w:val="0"/>
        </w:rPr>
      </w:pPr>
      <w:r>
        <w:rPr>
          <w:snapToGrid w:val="0"/>
        </w:rPr>
        <w:tab/>
        <w:t>(ii)</w:t>
      </w:r>
      <w:r>
        <w:rPr>
          <w:snapToGrid w:val="0"/>
        </w:rPr>
        <w:tab/>
        <w:t>work on piece rates;</w:t>
      </w:r>
    </w:p>
    <w:p>
      <w:pPr>
        <w:pStyle w:val="Indenti"/>
        <w:rPr>
          <w:snapToGrid w:val="0"/>
        </w:rPr>
      </w:pPr>
      <w:r>
        <w:rPr>
          <w:snapToGrid w:val="0"/>
        </w:rPr>
        <w:tab/>
        <w:t>(iii)</w:t>
      </w:r>
      <w:r>
        <w:rPr>
          <w:snapToGrid w:val="0"/>
        </w:rPr>
        <w:tab/>
        <w:t>work on a bonus or commission system; or</w:t>
      </w:r>
    </w:p>
    <w:p>
      <w:pPr>
        <w:pStyle w:val="Indenti"/>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spacing w:before="80"/>
        <w:rPr>
          <w:snapToGrid w:val="0"/>
        </w:rPr>
      </w:pPr>
      <w:r>
        <w:rPr>
          <w:snapToGrid w:val="0"/>
        </w:rPr>
        <w:tab/>
      </w:r>
      <w:r>
        <w:rPr>
          <w:snapToGrid w:val="0"/>
        </w:rPr>
        <w:tab/>
        <w:t>whichever is the greater, and the self</w:t>
      </w:r>
      <w:r>
        <w:rPr>
          <w:snapToGrid w:val="0"/>
        </w:rPr>
        <w:noBreakHyphen/>
        <w:t xml:space="preserve">insurer shall upon demand and within such time as </w:t>
      </w:r>
      <w:r>
        <w:t>WorkCover WA</w:t>
      </w:r>
      <w:r>
        <w:rPr>
          <w:snapToGrid w:val="0"/>
        </w:rPr>
        <w:t xml:space="preserve"> may specify supply </w:t>
      </w:r>
      <w:r>
        <w:t>WorkCover WA</w:t>
      </w:r>
      <w:r>
        <w:rPr>
          <w:snapToGrid w:val="0"/>
        </w:rPr>
        <w:t xml:space="preserve"> with such particulars of the wages, salaries, or other remuneration paid by him during that period as are required by</w:t>
      </w:r>
      <w:r>
        <w:t xml:space="preserve"> WorkCover WA</w:t>
      </w:r>
      <w:r>
        <w:rPr>
          <w:snapToGrid w:val="0"/>
        </w:rPr>
        <w:t>.</w:t>
      </w:r>
    </w:p>
    <w:p>
      <w:pPr>
        <w:pStyle w:val="Subsection"/>
        <w:spacing w:before="80"/>
        <w:rPr>
          <w:snapToGrid w:val="0"/>
        </w:rPr>
      </w:pPr>
      <w:r>
        <w:rPr>
          <w:snapToGrid w:val="0"/>
        </w:rPr>
        <w:tab/>
        <w:t>(4a)</w:t>
      </w:r>
      <w:r>
        <w:rPr>
          <w:snapToGrid w:val="0"/>
        </w:rPr>
        <w:tab/>
        <w:t>If a self</w:t>
      </w:r>
      <w:r>
        <w:rPr>
          <w:snapToGrid w:val="0"/>
        </w:rPr>
        <w:noBreakHyphen/>
        <w:t xml:space="preserve">insurer furnishes particulars to </w:t>
      </w:r>
      <w:r>
        <w:t>WorkCover WA</w:t>
      </w:r>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spacing w:before="100"/>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 xml:space="preserve">[Section 109 amended by No. 44 of 1985 s. 25; No. 85 of 1986 s. 7; No. 34 of 1999 s. 57; No. 42 of 2004 s. 99 and 150.] </w:t>
      </w:r>
    </w:p>
    <w:p>
      <w:pPr>
        <w:pStyle w:val="Heading3"/>
        <w:spacing w:before="120"/>
        <w:rPr>
          <w:snapToGrid w:val="0"/>
        </w:rPr>
      </w:pPr>
      <w:bookmarkStart w:id="1607" w:name="_Toc86740092"/>
      <w:bookmarkStart w:id="1608" w:name="_Toc88562496"/>
      <w:bookmarkStart w:id="1609" w:name="_Toc88625413"/>
      <w:bookmarkStart w:id="1610" w:name="_Toc91386075"/>
      <w:bookmarkStart w:id="1611" w:name="_Toc92705091"/>
      <w:bookmarkStart w:id="1612" w:name="_Toc93222558"/>
      <w:bookmarkStart w:id="1613" w:name="_Toc95022635"/>
      <w:bookmarkStart w:id="1614" w:name="_Toc95117907"/>
      <w:bookmarkStart w:id="1615" w:name="_Toc96498312"/>
      <w:bookmarkStart w:id="1616" w:name="_Toc96500790"/>
      <w:bookmarkStart w:id="1617" w:name="_Toc101779704"/>
      <w:bookmarkStart w:id="1618" w:name="_Toc103060152"/>
      <w:bookmarkStart w:id="1619" w:name="_Toc105471048"/>
      <w:bookmarkStart w:id="1620" w:name="_Toc105474962"/>
      <w:bookmarkStart w:id="1621" w:name="_Toc107308064"/>
      <w:bookmarkStart w:id="1622" w:name="_Toc109712297"/>
      <w:bookmarkStart w:id="1623" w:name="_Toc109724180"/>
      <w:bookmarkStart w:id="1624" w:name="_Toc110054052"/>
      <w:bookmarkStart w:id="1625" w:name="_Toc110054441"/>
      <w:bookmarkStart w:id="1626" w:name="_Toc110654521"/>
      <w:bookmarkStart w:id="1627" w:name="_Toc110735959"/>
      <w:bookmarkStart w:id="1628" w:name="_Toc110738695"/>
      <w:bookmarkStart w:id="1629" w:name="_Toc115691369"/>
      <w:bookmarkStart w:id="1630" w:name="_Toc115773666"/>
      <w:bookmarkStart w:id="1631" w:name="_Toc119132590"/>
      <w:bookmarkStart w:id="1632" w:name="_Toc119203260"/>
      <w:bookmarkStart w:id="1633" w:name="_Toc119203906"/>
      <w:bookmarkStart w:id="1634" w:name="_Toc119216236"/>
      <w:bookmarkStart w:id="1635" w:name="_Toc119300756"/>
      <w:bookmarkStart w:id="1636" w:name="_Toc119301323"/>
      <w:bookmarkStart w:id="1637" w:name="_Toc119301892"/>
      <w:bookmarkStart w:id="1638" w:name="_Toc119920079"/>
      <w:bookmarkStart w:id="1639" w:name="_Toc122774066"/>
      <w:bookmarkStart w:id="1640" w:name="_Toc122833309"/>
      <w:bookmarkStart w:id="1641" w:name="_Toc122833876"/>
      <w:r>
        <w:rPr>
          <w:rStyle w:val="CharDivNo"/>
        </w:rPr>
        <w:t>Division 4</w:t>
      </w:r>
      <w:r>
        <w:rPr>
          <w:snapToGrid w:val="0"/>
        </w:rPr>
        <w:t> — </w:t>
      </w:r>
      <w:r>
        <w:rPr>
          <w:rStyle w:val="CharDivText"/>
        </w:rPr>
        <w:t>Workers’ Compensation and Injury Management Trust Fund</w:t>
      </w:r>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r>
        <w:rPr>
          <w:rStyle w:val="CharDivText"/>
        </w:rPr>
        <w:t xml:space="preserve"> </w:t>
      </w:r>
    </w:p>
    <w:p>
      <w:pPr>
        <w:pStyle w:val="Footnoteheading"/>
        <w:rPr>
          <w:snapToGrid w:val="0"/>
        </w:rPr>
      </w:pPr>
      <w:r>
        <w:rPr>
          <w:snapToGrid w:val="0"/>
        </w:rPr>
        <w:tab/>
        <w:t>[Heading inserted by No. 86 of 1986 s. 7; amended by No. 42 of 2004 s. 100.]</w:t>
      </w:r>
    </w:p>
    <w:p>
      <w:pPr>
        <w:pStyle w:val="Heading5"/>
        <w:spacing w:before="120"/>
        <w:rPr>
          <w:snapToGrid w:val="0"/>
        </w:rPr>
      </w:pPr>
      <w:bookmarkStart w:id="1642" w:name="_Toc440877994"/>
      <w:bookmarkStart w:id="1643" w:name="_Toc517775352"/>
      <w:bookmarkStart w:id="1644" w:name="_Toc520107100"/>
      <w:bookmarkStart w:id="1645" w:name="_Toc523111725"/>
      <w:bookmarkStart w:id="1646" w:name="_Toc122833310"/>
      <w:bookmarkStart w:id="1647" w:name="_Toc122833877"/>
      <w:r>
        <w:rPr>
          <w:rStyle w:val="CharSectno"/>
        </w:rPr>
        <w:t>110</w:t>
      </w:r>
      <w:r>
        <w:rPr>
          <w:snapToGrid w:val="0"/>
        </w:rPr>
        <w:t>.</w:t>
      </w:r>
      <w:r>
        <w:rPr>
          <w:snapToGrid w:val="0"/>
        </w:rPr>
        <w:tab/>
        <w:t>Trust Fund</w:t>
      </w:r>
      <w:bookmarkEnd w:id="1642"/>
      <w:bookmarkEnd w:id="1643"/>
      <w:bookmarkEnd w:id="1644"/>
      <w:bookmarkEnd w:id="1645"/>
      <w:bookmarkEnd w:id="1646"/>
      <w:bookmarkEnd w:id="1647"/>
      <w:r>
        <w:rPr>
          <w:snapToGrid w:val="0"/>
        </w:rPr>
        <w:t xml:space="preserve"> </w:t>
      </w:r>
    </w:p>
    <w:p>
      <w:pPr>
        <w:pStyle w:val="Subsection"/>
        <w:rPr>
          <w:snapToGrid w:val="0"/>
        </w:rPr>
      </w:pPr>
      <w:r>
        <w:rPr>
          <w:snapToGrid w:val="0"/>
        </w:rPr>
        <w:tab/>
        <w:t>(1)</w:t>
      </w:r>
      <w:r>
        <w:rPr>
          <w:snapToGrid w:val="0"/>
        </w:rPr>
        <w:tab/>
        <w:t>For the purposes of this Act, there shall be established and maintained an account to be called the Workers’ Compensation and Injury Management Trust Fund and that account shall be kept — </w:t>
      </w:r>
    </w:p>
    <w:p>
      <w:pPr>
        <w:pStyle w:val="Indenta"/>
        <w:rPr>
          <w:snapToGrid w:val="0"/>
        </w:rPr>
      </w:pPr>
      <w:r>
        <w:rPr>
          <w:snapToGrid w:val="0"/>
        </w:rPr>
        <w:tab/>
        <w:t>(a)</w:t>
      </w:r>
      <w:r>
        <w:rPr>
          <w:snapToGrid w:val="0"/>
        </w:rPr>
        <w:tab/>
        <w:t xml:space="preserve">as part of the Trust Fund constituted under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 xml:space="preserve">at a bank approved by the Treasurer under section 21 of the </w:t>
      </w:r>
      <w:r>
        <w:rPr>
          <w:i/>
          <w:snapToGrid w:val="0"/>
        </w:rPr>
        <w:t>Financial Administration and Audit Act 1985</w:t>
      </w:r>
      <w:r>
        <w:rPr>
          <w:snapToGrid w:val="0"/>
        </w:rPr>
        <w:t>.</w:t>
      </w:r>
    </w:p>
    <w:p>
      <w:pPr>
        <w:pStyle w:val="Subsection"/>
        <w:rPr>
          <w:snapToGrid w:val="0"/>
        </w:rPr>
      </w:pPr>
      <w:r>
        <w:rPr>
          <w:snapToGrid w:val="0"/>
        </w:rPr>
        <w:tab/>
        <w:t>(2)</w:t>
      </w:r>
      <w:r>
        <w:rPr>
          <w:snapToGrid w:val="0"/>
        </w:rPr>
        <w:tab/>
        <w:t xml:space="preserve">There shall be credited to the Trust Fund all moneys paid to </w:t>
      </w:r>
      <w:r>
        <w:t>WorkCover WA</w:t>
      </w:r>
      <w:r>
        <w:rPr>
          <w:snapToGrid w:val="0"/>
        </w:rPr>
        <w:t xml:space="preserve"> under </w:t>
      </w:r>
      <w:r>
        <w:t>section 218.</w:t>
      </w:r>
    </w:p>
    <w:p>
      <w:pPr>
        <w:pStyle w:val="Subsection"/>
        <w:rPr>
          <w:snapToGrid w:val="0"/>
        </w:rPr>
      </w:pPr>
      <w:r>
        <w:rPr>
          <w:snapToGrid w:val="0"/>
        </w:rPr>
        <w:tab/>
        <w:t>(3)</w:t>
      </w:r>
      <w:r>
        <w:rPr>
          <w:snapToGrid w:val="0"/>
        </w:rPr>
        <w:tab/>
        <w:t>Moneys standing to the credit of the Trust Fund shall become one common fund to be invested by</w:t>
      </w:r>
      <w:r>
        <w:t xml:space="preserve"> WorkCover WA</w:t>
      </w:r>
      <w:r>
        <w:rPr>
          <w:snapToGrid w:val="0"/>
        </w:rPr>
        <w:t>.</w:t>
      </w:r>
    </w:p>
    <w:p>
      <w:pPr>
        <w:pStyle w:val="Subsection"/>
        <w:rPr>
          <w:snapToGrid w:val="0"/>
        </w:rPr>
      </w:pPr>
      <w:r>
        <w:rPr>
          <w:snapToGrid w:val="0"/>
        </w:rPr>
        <w:tab/>
        <w:t>(4)</w:t>
      </w:r>
      <w:r>
        <w:rPr>
          <w:snapToGrid w:val="0"/>
        </w:rPr>
        <w:tab/>
        <w:t>Investments made from the Trust Fund shall not be made on account of or belong to any particular person.</w:t>
      </w:r>
    </w:p>
    <w:p>
      <w:pPr>
        <w:pStyle w:val="Subsection"/>
        <w:rPr>
          <w:snapToGrid w:val="0"/>
        </w:rPr>
      </w:pPr>
      <w:r>
        <w:rPr>
          <w:snapToGrid w:val="0"/>
        </w:rPr>
        <w:tab/>
        <w:t>(5)</w:t>
      </w:r>
      <w:r>
        <w:rPr>
          <w:snapToGrid w:val="0"/>
        </w:rPr>
        <w:tab/>
        <w:t>Interest or income earned by such investments shall be credited to the Trust Fund.</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Fund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 </w:t>
      </w:r>
    </w:p>
    <w:p>
      <w:pPr>
        <w:pStyle w:val="Indenta"/>
        <w:rPr>
          <w:snapToGrid w:val="0"/>
        </w:rPr>
      </w:pPr>
      <w:r>
        <w:rPr>
          <w:snapToGrid w:val="0"/>
        </w:rPr>
        <w:tab/>
        <w:t>(a)</w:t>
      </w:r>
      <w:r>
        <w:rPr>
          <w:snapToGrid w:val="0"/>
        </w:rPr>
        <w:tab/>
        <w:t>the rate of interest payable to the respective persons entitled to money standing to the credit of the Trust Fund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the proportion of the costs of administration of the Trust Fund and investments from it to be charged to the respective persons entitled to money in the Trust Fund.</w:t>
      </w:r>
    </w:p>
    <w:p>
      <w:pPr>
        <w:pStyle w:val="Subsection"/>
        <w:rPr>
          <w:snapToGrid w:val="0"/>
        </w:rPr>
      </w:pPr>
      <w:r>
        <w:rPr>
          <w:snapToGrid w:val="0"/>
        </w:rPr>
        <w:tab/>
        <w:t>(8)</w:t>
      </w:r>
      <w:r>
        <w:rPr>
          <w:snapToGrid w:val="0"/>
        </w:rPr>
        <w:tab/>
        <w:t>There shall be paid from moneys standing to the credit of the Trust Fund — </w:t>
      </w:r>
    </w:p>
    <w:p>
      <w:pPr>
        <w:pStyle w:val="Indenta"/>
        <w:rPr>
          <w:snapToGrid w:val="0"/>
        </w:rPr>
      </w:pPr>
      <w:r>
        <w:rPr>
          <w:snapToGrid w:val="0"/>
        </w:rPr>
        <w:tab/>
        <w:t>(a)</w:t>
      </w:r>
      <w:r>
        <w:rPr>
          <w:snapToGrid w:val="0"/>
        </w:rPr>
        <w:tab/>
        <w:t xml:space="preserve">to </w:t>
      </w:r>
      <w:r>
        <w:t>WorkCover WA</w:t>
      </w:r>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 Fund,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 xml:space="preserve">[Section 110 amended by No. 86 of 1986 s. 10; No. 96 of 1990 s. 28; No. 48 of 1993 s. 28(1); No. 49 of 1996 s. 64; No. 34 of 1999 s. 36; No. 42 of 2004 s. 101 and 150.] </w:t>
      </w:r>
    </w:p>
    <w:p>
      <w:pPr>
        <w:pStyle w:val="Heading3"/>
        <w:rPr>
          <w:snapToGrid w:val="0"/>
        </w:rPr>
      </w:pPr>
      <w:bookmarkStart w:id="1648" w:name="_Toc86740094"/>
      <w:bookmarkStart w:id="1649" w:name="_Toc88562498"/>
      <w:bookmarkStart w:id="1650" w:name="_Toc88625415"/>
      <w:bookmarkStart w:id="1651" w:name="_Toc91386077"/>
      <w:bookmarkStart w:id="1652" w:name="_Toc92705093"/>
      <w:bookmarkStart w:id="1653" w:name="_Toc93222560"/>
      <w:bookmarkStart w:id="1654" w:name="_Toc95022637"/>
      <w:bookmarkStart w:id="1655" w:name="_Toc95117909"/>
      <w:bookmarkStart w:id="1656" w:name="_Toc96498314"/>
      <w:bookmarkStart w:id="1657" w:name="_Toc96500792"/>
      <w:bookmarkStart w:id="1658" w:name="_Toc101779706"/>
      <w:bookmarkStart w:id="1659" w:name="_Toc103060154"/>
      <w:bookmarkStart w:id="1660" w:name="_Toc105471050"/>
      <w:bookmarkStart w:id="1661" w:name="_Toc105474964"/>
      <w:bookmarkStart w:id="1662" w:name="_Toc107308066"/>
      <w:bookmarkStart w:id="1663" w:name="_Toc109712299"/>
      <w:bookmarkStart w:id="1664" w:name="_Toc109724182"/>
      <w:bookmarkStart w:id="1665" w:name="_Toc110054054"/>
      <w:bookmarkStart w:id="1666" w:name="_Toc110054443"/>
      <w:bookmarkStart w:id="1667" w:name="_Toc110654523"/>
      <w:bookmarkStart w:id="1668" w:name="_Toc110735961"/>
      <w:bookmarkStart w:id="1669" w:name="_Toc110738697"/>
      <w:bookmarkStart w:id="1670" w:name="_Toc115691371"/>
      <w:bookmarkStart w:id="1671" w:name="_Toc115773668"/>
      <w:bookmarkStart w:id="1672" w:name="_Toc119132592"/>
      <w:bookmarkStart w:id="1673" w:name="_Toc119203262"/>
      <w:bookmarkStart w:id="1674" w:name="_Toc119203908"/>
      <w:bookmarkStart w:id="1675" w:name="_Toc119216238"/>
      <w:bookmarkStart w:id="1676" w:name="_Toc119300758"/>
      <w:bookmarkStart w:id="1677" w:name="_Toc119301325"/>
      <w:bookmarkStart w:id="1678" w:name="_Toc119301894"/>
      <w:bookmarkStart w:id="1679" w:name="_Toc119920081"/>
      <w:bookmarkStart w:id="1680" w:name="_Toc122774068"/>
      <w:bookmarkStart w:id="1681" w:name="_Toc122833311"/>
      <w:bookmarkStart w:id="1682" w:name="_Toc122833878"/>
      <w:r>
        <w:rPr>
          <w:rStyle w:val="CharDivNo"/>
        </w:rPr>
        <w:t>Division 5</w:t>
      </w:r>
      <w:r>
        <w:rPr>
          <w:snapToGrid w:val="0"/>
        </w:rPr>
        <w:t> — </w:t>
      </w:r>
      <w:r>
        <w:rPr>
          <w:rStyle w:val="CharDivText"/>
        </w:rPr>
        <w:t>Ministerial control</w:t>
      </w:r>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r>
        <w:rPr>
          <w:rStyle w:val="CharDivText"/>
        </w:rPr>
        <w:t xml:space="preserve"> </w:t>
      </w:r>
    </w:p>
    <w:p>
      <w:pPr>
        <w:pStyle w:val="Heading5"/>
        <w:rPr>
          <w:snapToGrid w:val="0"/>
        </w:rPr>
      </w:pPr>
      <w:bookmarkStart w:id="1683" w:name="_Toc440877995"/>
      <w:bookmarkStart w:id="1684" w:name="_Toc517775353"/>
      <w:bookmarkStart w:id="1685" w:name="_Toc520107101"/>
      <w:bookmarkStart w:id="1686" w:name="_Toc523111726"/>
      <w:bookmarkStart w:id="1687" w:name="_Toc122833312"/>
      <w:bookmarkStart w:id="1688" w:name="_Toc122833879"/>
      <w:r>
        <w:rPr>
          <w:rStyle w:val="CharSectno"/>
        </w:rPr>
        <w:t>111</w:t>
      </w:r>
      <w:r>
        <w:rPr>
          <w:snapToGrid w:val="0"/>
        </w:rPr>
        <w:t>.</w:t>
      </w:r>
      <w:r>
        <w:rPr>
          <w:snapToGrid w:val="0"/>
        </w:rPr>
        <w:tab/>
        <w:t>Minister may give directions</w:t>
      </w:r>
      <w:bookmarkEnd w:id="1683"/>
      <w:bookmarkEnd w:id="1684"/>
      <w:bookmarkEnd w:id="1685"/>
      <w:bookmarkEnd w:id="1686"/>
      <w:bookmarkEnd w:id="1687"/>
      <w:bookmarkEnd w:id="1688"/>
      <w:r>
        <w:rPr>
          <w:snapToGrid w:val="0"/>
        </w:rPr>
        <w:t xml:space="preserve"> </w:t>
      </w:r>
    </w:p>
    <w:p>
      <w:pPr>
        <w:pStyle w:val="Subsection"/>
        <w:rPr>
          <w:snapToGrid w:val="0"/>
        </w:rPr>
      </w:pPr>
      <w:r>
        <w:rPr>
          <w:snapToGrid w:val="0"/>
        </w:rPr>
        <w:tab/>
        <w:t>(1)</w:t>
      </w:r>
      <w:r>
        <w:rPr>
          <w:snapToGrid w:val="0"/>
        </w:rPr>
        <w:tab/>
        <w:t xml:space="preserve">The Minister may give directions in writing to </w:t>
      </w:r>
      <w:r>
        <w:t>WorkCover WA</w:t>
      </w:r>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r>
        <w:t>WorkCover WA</w:t>
      </w:r>
      <w:r>
        <w:rPr>
          <w:snapToGrid w:val="0"/>
        </w:rPr>
        <w:t xml:space="preserve"> shall give effect to any such direction.</w:t>
      </w:r>
    </w:p>
    <w:p>
      <w:pPr>
        <w:pStyle w:val="Subsection"/>
      </w:pPr>
      <w:r>
        <w:tab/>
        <w:t>(1a)</w:t>
      </w:r>
      <w:r>
        <w:tab/>
      </w:r>
      <w:r>
        <w:rPr>
          <w:snapToGrid w:val="0"/>
        </w:rPr>
        <w:t>The Minister cannot give to WorkCover WA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r>
        <w:t>WorkCover WA</w:t>
      </w:r>
      <w:r>
        <w:rPr>
          <w:snapToGrid w:val="0"/>
        </w:rPr>
        <w:t xml:space="preserve"> under section 66 of the </w:t>
      </w:r>
      <w:r>
        <w:rPr>
          <w:i/>
          <w:snapToGrid w:val="0"/>
        </w:rPr>
        <w:t>Financial Administration and Audit Act 1985</w:t>
      </w:r>
      <w:r>
        <w:rPr>
          <w:snapToGrid w:val="0"/>
        </w:rPr>
        <w:t>.</w:t>
      </w:r>
    </w:p>
    <w:p>
      <w:pPr>
        <w:pStyle w:val="Footnotesection"/>
      </w:pPr>
      <w:r>
        <w:tab/>
        <w:t xml:space="preserve">[Section 111 inserted by No. 72 of 1992 s. 14; amended by No. 42 of 2004 s. 102 and 150.] </w:t>
      </w:r>
    </w:p>
    <w:p>
      <w:pPr>
        <w:pStyle w:val="Heading5"/>
        <w:spacing w:before="160"/>
        <w:rPr>
          <w:snapToGrid w:val="0"/>
        </w:rPr>
      </w:pPr>
      <w:bookmarkStart w:id="1689" w:name="_Toc440877996"/>
      <w:bookmarkStart w:id="1690" w:name="_Toc517775354"/>
      <w:bookmarkStart w:id="1691" w:name="_Toc520107102"/>
      <w:bookmarkStart w:id="1692" w:name="_Toc523111727"/>
      <w:bookmarkStart w:id="1693" w:name="_Toc122833313"/>
      <w:bookmarkStart w:id="1694" w:name="_Toc122833880"/>
      <w:r>
        <w:rPr>
          <w:rStyle w:val="CharSectno"/>
        </w:rPr>
        <w:t>111A</w:t>
      </w:r>
      <w:r>
        <w:rPr>
          <w:snapToGrid w:val="0"/>
        </w:rPr>
        <w:t>.</w:t>
      </w:r>
      <w:r>
        <w:rPr>
          <w:snapToGrid w:val="0"/>
        </w:rPr>
        <w:tab/>
        <w:t>Minister to have access to information</w:t>
      </w:r>
      <w:bookmarkEnd w:id="1689"/>
      <w:bookmarkEnd w:id="1690"/>
      <w:bookmarkEnd w:id="1691"/>
      <w:bookmarkEnd w:id="1692"/>
      <w:bookmarkEnd w:id="1693"/>
      <w:bookmarkEnd w:id="1694"/>
      <w:r>
        <w:rPr>
          <w:snapToGrid w:val="0"/>
        </w:rPr>
        <w:t xml:space="preserve"> </w:t>
      </w:r>
    </w:p>
    <w:p>
      <w:pPr>
        <w:pStyle w:val="Subsection"/>
        <w:spacing w:before="80"/>
        <w:rPr>
          <w:snapToGrid w:val="0"/>
        </w:rPr>
      </w:pPr>
      <w:r>
        <w:rPr>
          <w:snapToGrid w:val="0"/>
        </w:rPr>
        <w:tab/>
        <w:t>(1)</w:t>
      </w:r>
      <w:r>
        <w:rPr>
          <w:snapToGrid w:val="0"/>
        </w:rPr>
        <w:tab/>
        <w:t>For parliamentary purposes or for the proper conduct of the Minister’s public business, the Minister is entitled — </w:t>
      </w:r>
    </w:p>
    <w:p>
      <w:pPr>
        <w:pStyle w:val="Indenta"/>
        <w:rPr>
          <w:snapToGrid w:val="0"/>
        </w:rPr>
      </w:pPr>
      <w:r>
        <w:rPr>
          <w:snapToGrid w:val="0"/>
        </w:rPr>
        <w:tab/>
        <w:t>(a)</w:t>
      </w:r>
      <w:r>
        <w:rPr>
          <w:snapToGrid w:val="0"/>
        </w:rPr>
        <w:tab/>
        <w:t>to have information in the possession of</w:t>
      </w:r>
      <w:r>
        <w:t xml:space="preserve"> WorkCover WA</w:t>
      </w:r>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spacing w:before="80"/>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 xml:space="preserve">request </w:t>
      </w:r>
      <w:r>
        <w:t>WorkCover WA</w:t>
      </w:r>
      <w:r>
        <w:rPr>
          <w:snapToGrid w:val="0"/>
        </w:rPr>
        <w:t xml:space="preserve"> to furnish information to the Minister;</w:t>
      </w:r>
    </w:p>
    <w:p>
      <w:pPr>
        <w:pStyle w:val="Indenta"/>
        <w:rPr>
          <w:snapToGrid w:val="0"/>
        </w:rPr>
      </w:pPr>
      <w:r>
        <w:rPr>
          <w:snapToGrid w:val="0"/>
        </w:rPr>
        <w:tab/>
        <w:t>(b)</w:t>
      </w:r>
      <w:r>
        <w:rPr>
          <w:snapToGrid w:val="0"/>
        </w:rPr>
        <w:tab/>
        <w:t xml:space="preserve">request </w:t>
      </w:r>
      <w:r>
        <w:t>WorkCover WA</w:t>
      </w:r>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r>
        <w:t>WorkCover WA</w:t>
      </w:r>
      <w:r>
        <w:rPr>
          <w:snapToGrid w:val="0"/>
        </w:rPr>
        <w:t xml:space="preserve"> to obtain the information and furnish it to the Minister.</w:t>
      </w:r>
    </w:p>
    <w:p>
      <w:pPr>
        <w:pStyle w:val="Subsection"/>
        <w:spacing w:before="80"/>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spacing w:before="80"/>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WorkCover WA;</w:t>
      </w:r>
    </w:p>
    <w:p>
      <w:pPr>
        <w:pStyle w:val="Defstart"/>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 xml:space="preserve">[Section 111A inserted by No. 72 of 1992 s. 14; amended by No. 42 of 2004 s. 150.] </w:t>
      </w:r>
    </w:p>
    <w:p>
      <w:pPr>
        <w:pStyle w:val="Ednotepart"/>
        <w:ind w:left="1440" w:hanging="1440"/>
      </w:pPr>
      <w:r>
        <w:t>[Part VI:</w:t>
      </w:r>
      <w:r>
        <w:tab/>
        <w:t>s. 112-120 repealed by No. 42 of 2004 s. 103;</w:t>
      </w:r>
      <w:r>
        <w:br/>
        <w:t>s. 121-144 repealed by No. 48 of 1993 s. 24.]</w:t>
      </w:r>
    </w:p>
    <w:p>
      <w:pPr>
        <w:pStyle w:val="Heading2"/>
        <w:rPr>
          <w:rStyle w:val="CharPartText"/>
        </w:rPr>
      </w:pPr>
      <w:bookmarkStart w:id="1695" w:name="_Toc87252950"/>
      <w:bookmarkStart w:id="1696" w:name="_Toc119132595"/>
      <w:bookmarkStart w:id="1697" w:name="_Toc119203265"/>
      <w:bookmarkStart w:id="1698" w:name="_Toc119203911"/>
      <w:bookmarkStart w:id="1699" w:name="_Toc119216241"/>
      <w:bookmarkStart w:id="1700" w:name="_Toc119300761"/>
      <w:bookmarkStart w:id="1701" w:name="_Toc119301328"/>
      <w:bookmarkStart w:id="1702" w:name="_Toc119301897"/>
      <w:bookmarkStart w:id="1703" w:name="_Toc119920084"/>
      <w:bookmarkStart w:id="1704" w:name="_Toc122774071"/>
      <w:bookmarkStart w:id="1705" w:name="_Toc122833314"/>
      <w:bookmarkStart w:id="1706" w:name="_Toc122833881"/>
      <w:bookmarkStart w:id="1707" w:name="_Toc440878005"/>
      <w:bookmarkStart w:id="1708" w:name="_Toc517775363"/>
      <w:bookmarkStart w:id="1709" w:name="_Toc520107111"/>
      <w:bookmarkStart w:id="1710" w:name="_Toc523111736"/>
      <w:r>
        <w:rPr>
          <w:rStyle w:val="CharPartNo"/>
        </w:rPr>
        <w:t>Part VII</w:t>
      </w:r>
      <w:r>
        <w:rPr>
          <w:b w:val="0"/>
        </w:rPr>
        <w:t> </w:t>
      </w:r>
      <w:r>
        <w:t>—</w:t>
      </w:r>
      <w:r>
        <w:rPr>
          <w:b w:val="0"/>
        </w:rPr>
        <w:t> </w:t>
      </w:r>
      <w:r>
        <w:rPr>
          <w:rStyle w:val="CharPartText"/>
        </w:rPr>
        <w:t>Medical assessment and assessment for specialised retraining programs</w:t>
      </w:r>
      <w:bookmarkEnd w:id="1695"/>
      <w:bookmarkEnd w:id="1696"/>
      <w:bookmarkEnd w:id="1697"/>
      <w:bookmarkEnd w:id="1698"/>
      <w:bookmarkEnd w:id="1699"/>
      <w:bookmarkEnd w:id="1700"/>
      <w:bookmarkEnd w:id="1701"/>
      <w:bookmarkEnd w:id="1702"/>
      <w:bookmarkEnd w:id="1703"/>
      <w:bookmarkEnd w:id="1704"/>
      <w:bookmarkEnd w:id="1705"/>
      <w:bookmarkEnd w:id="1706"/>
    </w:p>
    <w:p>
      <w:pPr>
        <w:pStyle w:val="Footnoteheading"/>
      </w:pPr>
      <w:r>
        <w:tab/>
        <w:t>[Heading inserted by No. 42 of 2004 s. 104.]</w:t>
      </w:r>
    </w:p>
    <w:p>
      <w:pPr>
        <w:pStyle w:val="Heading3"/>
      </w:pPr>
      <w:bookmarkStart w:id="1711" w:name="_Toc87252951"/>
      <w:bookmarkStart w:id="1712" w:name="_Toc119132596"/>
      <w:bookmarkStart w:id="1713" w:name="_Toc119203266"/>
      <w:bookmarkStart w:id="1714" w:name="_Toc119203912"/>
      <w:bookmarkStart w:id="1715" w:name="_Toc119216242"/>
      <w:bookmarkStart w:id="1716" w:name="_Toc119300762"/>
      <w:bookmarkStart w:id="1717" w:name="_Toc119301329"/>
      <w:bookmarkStart w:id="1718" w:name="_Toc119301898"/>
      <w:bookmarkStart w:id="1719" w:name="_Toc119920085"/>
      <w:bookmarkStart w:id="1720" w:name="_Toc122774072"/>
      <w:bookmarkStart w:id="1721" w:name="_Toc122833315"/>
      <w:bookmarkStart w:id="1722" w:name="_Toc122833882"/>
      <w:r>
        <w:rPr>
          <w:rStyle w:val="CharDivNo"/>
        </w:rPr>
        <w:t>Division 1</w:t>
      </w:r>
      <w:r>
        <w:t> — </w:t>
      </w:r>
      <w:r>
        <w:rPr>
          <w:rStyle w:val="CharDivText"/>
        </w:rPr>
        <w:t>Medical assessment panels</w:t>
      </w:r>
      <w:bookmarkEnd w:id="1711"/>
      <w:bookmarkEnd w:id="1712"/>
      <w:bookmarkEnd w:id="1713"/>
      <w:bookmarkEnd w:id="1714"/>
      <w:bookmarkEnd w:id="1715"/>
      <w:bookmarkEnd w:id="1716"/>
      <w:bookmarkEnd w:id="1717"/>
      <w:bookmarkEnd w:id="1718"/>
      <w:bookmarkEnd w:id="1719"/>
      <w:bookmarkEnd w:id="1720"/>
      <w:bookmarkEnd w:id="1721"/>
      <w:bookmarkEnd w:id="1722"/>
    </w:p>
    <w:p>
      <w:pPr>
        <w:pStyle w:val="Footnoteheading"/>
      </w:pPr>
      <w:r>
        <w:tab/>
        <w:t>[Heading inserted by No. 42 of 2004 s. 104.]</w:t>
      </w:r>
    </w:p>
    <w:p>
      <w:pPr>
        <w:pStyle w:val="Heading5"/>
        <w:spacing w:before="160"/>
        <w:rPr>
          <w:snapToGrid w:val="0"/>
        </w:rPr>
      </w:pPr>
      <w:bookmarkStart w:id="1723" w:name="_Toc122833316"/>
      <w:bookmarkStart w:id="1724" w:name="_Toc122833883"/>
      <w:r>
        <w:rPr>
          <w:rStyle w:val="CharSectno"/>
        </w:rPr>
        <w:t>145</w:t>
      </w:r>
      <w:r>
        <w:rPr>
          <w:snapToGrid w:val="0"/>
        </w:rPr>
        <w:t>.</w:t>
      </w:r>
      <w:r>
        <w:rPr>
          <w:snapToGrid w:val="0"/>
        </w:rPr>
        <w:tab/>
        <w:t>Exclusion</w:t>
      </w:r>
      <w:bookmarkEnd w:id="1707"/>
      <w:bookmarkEnd w:id="1708"/>
      <w:bookmarkEnd w:id="1709"/>
      <w:bookmarkEnd w:id="1710"/>
      <w:bookmarkEnd w:id="1723"/>
      <w:bookmarkEnd w:id="1724"/>
      <w:r>
        <w:rPr>
          <w:snapToGrid w:val="0"/>
        </w:rPr>
        <w:t xml:space="preserve"> </w:t>
      </w:r>
    </w:p>
    <w:p>
      <w:pPr>
        <w:pStyle w:val="Subsection"/>
        <w:spacing w:before="80"/>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pPr>
      <w:r>
        <w:tab/>
        <w:t>[Section 145 inserted by No. 48 of 1993 s. 25.]</w:t>
      </w:r>
    </w:p>
    <w:p>
      <w:pPr>
        <w:pStyle w:val="Heading5"/>
        <w:spacing w:before="160"/>
        <w:rPr>
          <w:rStyle w:val="CharSectno"/>
        </w:rPr>
      </w:pPr>
      <w:bookmarkStart w:id="1725" w:name="_Toc440878006"/>
      <w:bookmarkStart w:id="1726" w:name="_Toc517775364"/>
      <w:bookmarkStart w:id="1727" w:name="_Toc520107112"/>
      <w:bookmarkStart w:id="1728" w:name="_Toc523111737"/>
      <w:bookmarkStart w:id="1729" w:name="_Toc122833317"/>
      <w:bookmarkStart w:id="1730" w:name="_Toc122833884"/>
      <w:r>
        <w:rPr>
          <w:rStyle w:val="CharSectno"/>
        </w:rPr>
        <w:t>145A.</w:t>
      </w:r>
      <w:r>
        <w:rPr>
          <w:rStyle w:val="CharSectno"/>
        </w:rPr>
        <w:tab/>
        <w:t>Questions that have to be referred</w:t>
      </w:r>
      <w:bookmarkEnd w:id="1725"/>
      <w:bookmarkEnd w:id="1726"/>
      <w:bookmarkEnd w:id="1727"/>
      <w:bookmarkEnd w:id="1728"/>
      <w:bookmarkEnd w:id="1729"/>
      <w:bookmarkEnd w:id="1730"/>
      <w:r>
        <w:rPr>
          <w:rStyle w:val="CharSectno"/>
        </w:rPr>
        <w:t xml:space="preserve"> </w:t>
      </w:r>
    </w:p>
    <w:p>
      <w:pPr>
        <w:pStyle w:val="Subsection"/>
        <w:spacing w:before="80"/>
        <w:rPr>
          <w:snapToGrid w:val="0"/>
        </w:rPr>
      </w:pPr>
      <w:r>
        <w:rPr>
          <w:snapToGrid w:val="0"/>
        </w:rPr>
        <w:tab/>
        <w:t>(1)</w:t>
      </w:r>
      <w:r>
        <w:rPr>
          <w:snapToGrid w:val="0"/>
        </w:rPr>
        <w:tab/>
        <w:t xml:space="preserve">Subject to subsection (2), a question may be referred for determination by a medical assessment panel </w:t>
      </w:r>
      <w:r>
        <w:t xml:space="preserve">under section 210 </w:t>
      </w:r>
      <w:r>
        <w:rPr>
          <w:snapToGrid w:val="0"/>
        </w:rPr>
        <w:t>only if — </w:t>
      </w:r>
    </w:p>
    <w:p>
      <w:pPr>
        <w:pStyle w:val="Indenta"/>
        <w:rPr>
          <w:snapToGrid w:val="0"/>
        </w:rPr>
      </w:pPr>
      <w:r>
        <w:rPr>
          <w:snapToGrid w:val="0"/>
        </w:rPr>
        <w:tab/>
        <w:t>(a)</w:t>
      </w:r>
      <w:r>
        <w:rPr>
          <w:snapToGrid w:val="0"/>
        </w:rPr>
        <w:tab/>
        <w:t>there is a conflict of medical opinion on the question between —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210 </w:t>
      </w:r>
      <w:r>
        <w:rPr>
          <w:snapToGrid w:val="0"/>
        </w:rPr>
        <w:t>if — </w:t>
      </w:r>
    </w:p>
    <w:p>
      <w:pPr>
        <w:pStyle w:val="Indenta"/>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 xml:space="preserve">[Section 145A inserted by No. 48 of 1993 s. 25; amended by No. 34 of 1999 s. 37; No. 42 of 2004 s. 105.] </w:t>
      </w:r>
    </w:p>
    <w:p>
      <w:pPr>
        <w:pStyle w:val="Heading5"/>
        <w:rPr>
          <w:snapToGrid w:val="0"/>
        </w:rPr>
      </w:pPr>
      <w:bookmarkStart w:id="1731" w:name="_Toc440878007"/>
      <w:bookmarkStart w:id="1732" w:name="_Toc517775365"/>
      <w:bookmarkStart w:id="1733" w:name="_Toc520107113"/>
      <w:bookmarkStart w:id="1734" w:name="_Toc523111738"/>
      <w:bookmarkStart w:id="1735" w:name="_Toc122833318"/>
      <w:bookmarkStart w:id="1736" w:name="_Toc122833885"/>
      <w:r>
        <w:rPr>
          <w:rStyle w:val="CharSectno"/>
        </w:rPr>
        <w:t>145B</w:t>
      </w:r>
      <w:r>
        <w:rPr>
          <w:snapToGrid w:val="0"/>
        </w:rPr>
        <w:t>.</w:t>
      </w:r>
      <w:r>
        <w:rPr>
          <w:snapToGrid w:val="0"/>
        </w:rPr>
        <w:tab/>
        <w:t>Register for panel membership</w:t>
      </w:r>
      <w:bookmarkEnd w:id="1731"/>
      <w:bookmarkEnd w:id="1732"/>
      <w:bookmarkEnd w:id="1733"/>
      <w:bookmarkEnd w:id="1734"/>
      <w:bookmarkEnd w:id="1735"/>
      <w:bookmarkEnd w:id="1736"/>
      <w:r>
        <w:rPr>
          <w:snapToGrid w:val="0"/>
        </w:rPr>
        <w:t xml:space="preserve"> </w:t>
      </w:r>
    </w:p>
    <w:p>
      <w:pPr>
        <w:pStyle w:val="Subsection"/>
        <w:rPr>
          <w:snapToGrid w:val="0"/>
        </w:rPr>
      </w:pPr>
      <w:r>
        <w:rPr>
          <w:snapToGrid w:val="0"/>
        </w:rPr>
        <w:tab/>
        <w:t>(1)</w:t>
      </w:r>
      <w:r>
        <w:rPr>
          <w:snapToGrid w:val="0"/>
        </w:rPr>
        <w:tab/>
        <w:t>The Director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by No. 48 of 1993 s. 25.]</w:t>
      </w:r>
    </w:p>
    <w:p>
      <w:pPr>
        <w:pStyle w:val="Heading5"/>
        <w:rPr>
          <w:snapToGrid w:val="0"/>
        </w:rPr>
      </w:pPr>
      <w:bookmarkStart w:id="1737" w:name="_Toc440878008"/>
      <w:bookmarkStart w:id="1738" w:name="_Toc517775366"/>
      <w:bookmarkStart w:id="1739" w:name="_Toc520107114"/>
      <w:bookmarkStart w:id="1740" w:name="_Toc523111739"/>
      <w:bookmarkStart w:id="1741" w:name="_Toc122833319"/>
      <w:bookmarkStart w:id="1742" w:name="_Toc122833886"/>
      <w:r>
        <w:rPr>
          <w:rStyle w:val="CharSectno"/>
        </w:rPr>
        <w:t>145C</w:t>
      </w:r>
      <w:r>
        <w:rPr>
          <w:snapToGrid w:val="0"/>
        </w:rPr>
        <w:t>.</w:t>
      </w:r>
      <w:r>
        <w:rPr>
          <w:snapToGrid w:val="0"/>
        </w:rPr>
        <w:tab/>
        <w:t>Panel to be constituted</w:t>
      </w:r>
      <w:bookmarkEnd w:id="1737"/>
      <w:bookmarkEnd w:id="1738"/>
      <w:bookmarkEnd w:id="1739"/>
      <w:bookmarkEnd w:id="1740"/>
      <w:bookmarkEnd w:id="1741"/>
      <w:bookmarkEnd w:id="1742"/>
      <w:r>
        <w:rPr>
          <w:snapToGrid w:val="0"/>
        </w:rPr>
        <w:t xml:space="preserve"> </w:t>
      </w:r>
    </w:p>
    <w:p>
      <w:pPr>
        <w:pStyle w:val="Subsection"/>
        <w:rPr>
          <w:snapToGrid w:val="0"/>
        </w:rPr>
      </w:pPr>
      <w:r>
        <w:rPr>
          <w:snapToGrid w:val="0"/>
        </w:rPr>
        <w:tab/>
        <w:t>(1)</w:t>
      </w:r>
      <w:r>
        <w:rPr>
          <w:snapToGrid w:val="0"/>
        </w:rPr>
        <w:tab/>
        <w:t>On a question being referred for determination by a medical assessment panel, the Director is to select 3 medical practitioners who are registered under section 145B to be the panel that is to determine the question.</w:t>
      </w:r>
    </w:p>
    <w:p>
      <w:pPr>
        <w:pStyle w:val="Subsection"/>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pPr>
      <w:r>
        <w:tab/>
        <w:t>(2a)</w:t>
      </w:r>
      <w:r>
        <w:tab/>
        <w:t>Despite subsection (2), if the question is referred under clause 18A(2ab), each practitioner selected is to be a specialist in a branch of medicine or surgery that is relevant to the question.</w:t>
      </w:r>
    </w:p>
    <w:p>
      <w:pPr>
        <w:pStyle w:val="Subsection"/>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rPr>
          <w:snapToGrid w:val="0"/>
        </w:rPr>
      </w:pPr>
      <w:r>
        <w:rPr>
          <w:snapToGrid w:val="0"/>
        </w:rPr>
        <w:tab/>
        <w:t>(4)</w:t>
      </w:r>
      <w:r>
        <w:rPr>
          <w:snapToGrid w:val="0"/>
        </w:rPr>
        <w:tab/>
        <w:t>The Director is to nominate one of the members of the panel to be its Chairman.</w:t>
      </w:r>
    </w:p>
    <w:p>
      <w:pPr>
        <w:pStyle w:val="Footnotesection"/>
      </w:pPr>
      <w:r>
        <w:tab/>
        <w:t>[Section 145C inserted by No. 48 of 1993 s. 25; amended by No. 34 of 1999 s. 38; No. 42 of 2004 s. 106.]</w:t>
      </w:r>
    </w:p>
    <w:p>
      <w:pPr>
        <w:pStyle w:val="Heading5"/>
        <w:rPr>
          <w:snapToGrid w:val="0"/>
        </w:rPr>
      </w:pPr>
      <w:bookmarkStart w:id="1743" w:name="_Toc440878009"/>
      <w:bookmarkStart w:id="1744" w:name="_Toc517775367"/>
      <w:bookmarkStart w:id="1745" w:name="_Toc520107115"/>
      <w:bookmarkStart w:id="1746" w:name="_Toc523111740"/>
      <w:bookmarkStart w:id="1747" w:name="_Toc122833320"/>
      <w:bookmarkStart w:id="1748" w:name="_Toc122833887"/>
      <w:r>
        <w:rPr>
          <w:rStyle w:val="CharSectno"/>
        </w:rPr>
        <w:t>145D</w:t>
      </w:r>
      <w:r>
        <w:rPr>
          <w:snapToGrid w:val="0"/>
        </w:rPr>
        <w:t>.</w:t>
      </w:r>
      <w:r>
        <w:rPr>
          <w:snapToGrid w:val="0"/>
        </w:rPr>
        <w:tab/>
        <w:t>Procedures</w:t>
      </w:r>
      <w:bookmarkEnd w:id="1743"/>
      <w:bookmarkEnd w:id="1744"/>
      <w:bookmarkEnd w:id="1745"/>
      <w:bookmarkEnd w:id="1746"/>
      <w:bookmarkEnd w:id="1747"/>
      <w:bookmarkEnd w:id="1748"/>
      <w:r>
        <w:rPr>
          <w:snapToGrid w:val="0"/>
        </w:rPr>
        <w:t xml:space="preserve"> </w:t>
      </w:r>
    </w:p>
    <w:p>
      <w:pPr>
        <w:pStyle w:val="Subsection"/>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rPr>
          <w:snapToGrid w:val="0"/>
        </w:rPr>
      </w:pPr>
      <w:r>
        <w:rPr>
          <w:snapToGrid w:val="0"/>
        </w:rPr>
        <w:tab/>
        <w:t>(2)</w:t>
      </w:r>
      <w:r>
        <w:rPr>
          <w:snapToGrid w:val="0"/>
        </w:rPr>
        <w:tab/>
        <w:t>The panel may, for the purposes of assisting it in determining the question, require the worker concerned to — </w:t>
      </w:r>
    </w:p>
    <w:p>
      <w:pPr>
        <w:pStyle w:val="Indenta"/>
        <w:rPr>
          <w:snapToGrid w:val="0"/>
        </w:rPr>
      </w:pPr>
      <w:r>
        <w:rPr>
          <w:snapToGrid w:val="0"/>
        </w:rPr>
        <w:tab/>
        <w:t>(a)</w:t>
      </w:r>
      <w:r>
        <w:rPr>
          <w:snapToGrid w:val="0"/>
        </w:rPr>
        <w:tab/>
        <w:t>attend before the panel;</w:t>
      </w:r>
    </w:p>
    <w:p>
      <w:pPr>
        <w:pStyle w:val="Indenta"/>
        <w:rPr>
          <w:snapToGrid w:val="0"/>
        </w:rPr>
      </w:pPr>
      <w:r>
        <w:rPr>
          <w:snapToGrid w:val="0"/>
        </w:rPr>
        <w:tab/>
        <w:t>(b)</w:t>
      </w:r>
      <w:r>
        <w:rPr>
          <w:snapToGrid w:val="0"/>
        </w:rPr>
        <w:tab/>
        <w:t>answer questions put by the panel;</w:t>
      </w:r>
    </w:p>
    <w:p>
      <w:pPr>
        <w:pStyle w:val="Indenta"/>
        <w:rPr>
          <w:snapToGrid w:val="0"/>
        </w:rPr>
      </w:pPr>
      <w:r>
        <w:rPr>
          <w:snapToGrid w:val="0"/>
        </w:rPr>
        <w:tab/>
        <w:t>(c)</w:t>
      </w:r>
      <w:r>
        <w:rPr>
          <w:snapToGrid w:val="0"/>
        </w:rPr>
        <w:tab/>
        <w:t>produce documents to the panel, or consent to another person who has relevant documents producing them to the panel;</w:t>
      </w:r>
    </w:p>
    <w:p>
      <w:pPr>
        <w:pStyle w:val="Indenta"/>
        <w:rPr>
          <w:snapToGrid w:val="0"/>
        </w:rPr>
      </w:pPr>
      <w:r>
        <w:rPr>
          <w:snapToGrid w:val="0"/>
        </w:rPr>
        <w:tab/>
        <w:t>(d)</w:t>
      </w:r>
      <w:r>
        <w:rPr>
          <w:snapToGrid w:val="0"/>
        </w:rPr>
        <w:tab/>
        <w:t>submit to medical examination by the panel,</w:t>
      </w:r>
    </w:p>
    <w:p>
      <w:pPr>
        <w:pStyle w:val="Subsection"/>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an arbitrator</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an arbitrator</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 xml:space="preserve">[Section 145D inserted by No. 48 of 1993 s. 25; amended by No. 42 of 2004 s. 107.] </w:t>
      </w:r>
    </w:p>
    <w:p>
      <w:pPr>
        <w:pStyle w:val="Heading5"/>
        <w:rPr>
          <w:snapToGrid w:val="0"/>
        </w:rPr>
      </w:pPr>
      <w:bookmarkStart w:id="1749" w:name="_Toc440878010"/>
      <w:bookmarkStart w:id="1750" w:name="_Toc517775368"/>
      <w:bookmarkStart w:id="1751" w:name="_Toc520107116"/>
      <w:bookmarkStart w:id="1752" w:name="_Toc523111741"/>
      <w:bookmarkStart w:id="1753" w:name="_Toc122833321"/>
      <w:bookmarkStart w:id="1754" w:name="_Toc122833888"/>
      <w:r>
        <w:rPr>
          <w:rStyle w:val="CharSectno"/>
        </w:rPr>
        <w:t>145E</w:t>
      </w:r>
      <w:r>
        <w:rPr>
          <w:snapToGrid w:val="0"/>
        </w:rPr>
        <w:t>.</w:t>
      </w:r>
      <w:r>
        <w:rPr>
          <w:snapToGrid w:val="0"/>
        </w:rPr>
        <w:tab/>
        <w:t>Determinations</w:t>
      </w:r>
      <w:bookmarkEnd w:id="1749"/>
      <w:bookmarkEnd w:id="1750"/>
      <w:bookmarkEnd w:id="1751"/>
      <w:bookmarkEnd w:id="1752"/>
      <w:bookmarkEnd w:id="1753"/>
      <w:bookmarkEnd w:id="1754"/>
      <w:r>
        <w:rPr>
          <w:snapToGrid w:val="0"/>
        </w:rPr>
        <w:t xml:space="preserve"> </w:t>
      </w:r>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The determination and the reasons for making it are to be given in writing signed by the Chairman in a form approved by the Director, and are to be given to the Director within 7 days after the day on which the determination is made.</w:t>
      </w:r>
    </w:p>
    <w:p>
      <w:pPr>
        <w:pStyle w:val="Subsection"/>
        <w:rPr>
          <w:snapToGrid w:val="0"/>
        </w:rPr>
      </w:pPr>
      <w:r>
        <w:rPr>
          <w:snapToGrid w:val="0"/>
        </w:rPr>
        <w:tab/>
        <w:t>(4)</w:t>
      </w:r>
      <w:r>
        <w:rPr>
          <w:snapToGrid w:val="0"/>
        </w:rPr>
        <w:tab/>
        <w:t>The Director is to give the determination and reasons to the person who referred the question to the panel and the worker concerned within 7 days after the day on which the Director receives them.</w:t>
      </w:r>
    </w:p>
    <w:p>
      <w:pPr>
        <w:pStyle w:val="Subsection"/>
      </w:pPr>
      <w:r>
        <w:tab/>
        <w:t>(5)</w:t>
      </w:r>
      <w:r>
        <w:tab/>
        <w:t xml:space="preserve">The determination is not relevant in relation to — </w:t>
      </w:r>
    </w:p>
    <w:p>
      <w:pPr>
        <w:pStyle w:val="Indenta"/>
      </w:pPr>
      <w:r>
        <w:tab/>
        <w:t>(a)</w:t>
      </w:r>
      <w:r>
        <w:tab/>
        <w:t>a determination of an arbitrator under Part III Division 2A as to the permanent or other impairment of the efficient use of any part or faculty of the body for the purposes of Part III Division 2A, or the degree of that impairment;</w:t>
      </w:r>
    </w:p>
    <w:p>
      <w:pPr>
        <w:pStyle w:val="Indenta"/>
      </w:pPr>
      <w:r>
        <w:tab/>
        <w:t>(b)</w:t>
      </w:r>
      <w:r>
        <w:tab/>
        <w:t>an action for damages independently of this Act if Part IV Division 2 Subdivision 3 applies to the awarding of damages in the action;</w:t>
      </w:r>
    </w:p>
    <w:p>
      <w:pPr>
        <w:pStyle w:val="Indenta"/>
      </w:pPr>
      <w:r>
        <w:tab/>
        <w:t>(c)</w:t>
      </w:r>
      <w:r>
        <w:tab/>
        <w:t>a determination of an arbitrator under section 158C or 158D; or</w:t>
      </w:r>
    </w:p>
    <w:p>
      <w:pPr>
        <w:pStyle w:val="Indenta"/>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 xml:space="preserve">A determination of a medical assessment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pPr>
      <w:r>
        <w:tab/>
        <w:t>[Section 145E inserted by No. 48 of 1993 s. 25; amended by No. 42 of 2004 s. 108.]</w:t>
      </w:r>
    </w:p>
    <w:p>
      <w:pPr>
        <w:pStyle w:val="Heading5"/>
        <w:rPr>
          <w:snapToGrid w:val="0"/>
        </w:rPr>
      </w:pPr>
      <w:bookmarkStart w:id="1755" w:name="_Toc440878011"/>
      <w:bookmarkStart w:id="1756" w:name="_Toc517775369"/>
      <w:bookmarkStart w:id="1757" w:name="_Toc520107117"/>
      <w:bookmarkStart w:id="1758" w:name="_Toc523111742"/>
      <w:bookmarkStart w:id="1759" w:name="_Toc122833322"/>
      <w:bookmarkStart w:id="1760" w:name="_Toc122833889"/>
      <w:r>
        <w:rPr>
          <w:rStyle w:val="CharSectno"/>
        </w:rPr>
        <w:t>145F</w:t>
      </w:r>
      <w:r>
        <w:rPr>
          <w:snapToGrid w:val="0"/>
        </w:rPr>
        <w:t>.</w:t>
      </w:r>
      <w:r>
        <w:rPr>
          <w:snapToGrid w:val="0"/>
        </w:rPr>
        <w:tab/>
        <w:t>Review</w:t>
      </w:r>
      <w:bookmarkEnd w:id="1755"/>
      <w:bookmarkEnd w:id="1756"/>
      <w:bookmarkEnd w:id="1757"/>
      <w:bookmarkEnd w:id="1758"/>
      <w:bookmarkEnd w:id="1759"/>
      <w:bookmarkEnd w:id="1760"/>
      <w:r>
        <w:rPr>
          <w:snapToGrid w:val="0"/>
        </w:rPr>
        <w:t xml:space="preserve"> </w:t>
      </w:r>
    </w:p>
    <w:p>
      <w:pPr>
        <w:pStyle w:val="Subsection"/>
        <w:rPr>
          <w:snapToGrid w:val="0"/>
        </w:rPr>
      </w:pPr>
      <w:r>
        <w:rPr>
          <w:snapToGrid w:val="0"/>
        </w:rPr>
        <w:tab/>
        <w:t>(1)</w:t>
      </w:r>
      <w:r>
        <w:rPr>
          <w:snapToGrid w:val="0"/>
        </w:rPr>
        <w:tab/>
        <w:t>If at least 60 days after the determination is made a person who is affected by the determination satisfies the Director that there is any new evidence that could not have been submitted to the panel and would be likely to affect the determination of the question if it were to be reconsidered by the panel the Director may again refer the question to the panel.</w:t>
      </w:r>
    </w:p>
    <w:p>
      <w:pPr>
        <w:pStyle w:val="Subsection"/>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rPr>
          <w:snapToGrid w:val="0"/>
        </w:rPr>
      </w:pPr>
      <w:r>
        <w:rPr>
          <w:snapToGrid w:val="0"/>
        </w:rPr>
        <w:tab/>
        <w:t>(3)</w:t>
      </w:r>
      <w:r>
        <w:rPr>
          <w:snapToGrid w:val="0"/>
        </w:rPr>
        <w:tab/>
        <w:t>The panel may vary its previous determination or rescind it and make a new determination.</w:t>
      </w:r>
    </w:p>
    <w:p>
      <w:pPr>
        <w:pStyle w:val="Subsection"/>
        <w:rPr>
          <w:snapToGrid w:val="0"/>
        </w:rPr>
      </w:pPr>
      <w:r>
        <w:rPr>
          <w:snapToGrid w:val="0"/>
        </w:rPr>
        <w:tab/>
        <w:t>(4)</w:t>
      </w:r>
      <w:r>
        <w:rPr>
          <w:snapToGrid w:val="0"/>
        </w:rPr>
        <w:tab/>
        <w:t>Sections 145D and 145E and this section also apply in relation to a determination under this section.</w:t>
      </w:r>
    </w:p>
    <w:p>
      <w:pPr>
        <w:pStyle w:val="Footnotesection"/>
      </w:pPr>
      <w:r>
        <w:tab/>
        <w:t>[Section 145F inserted by No. 48 of 1993 s. 25.]</w:t>
      </w:r>
    </w:p>
    <w:p>
      <w:pPr>
        <w:pStyle w:val="Heading5"/>
        <w:rPr>
          <w:snapToGrid w:val="0"/>
        </w:rPr>
      </w:pPr>
      <w:bookmarkStart w:id="1761" w:name="_Toc440878012"/>
      <w:bookmarkStart w:id="1762" w:name="_Toc517775370"/>
      <w:bookmarkStart w:id="1763" w:name="_Toc520107118"/>
      <w:bookmarkStart w:id="1764" w:name="_Toc523111743"/>
      <w:bookmarkStart w:id="1765" w:name="_Toc122833323"/>
      <w:bookmarkStart w:id="1766" w:name="_Toc122833890"/>
      <w:r>
        <w:rPr>
          <w:rStyle w:val="CharSectno"/>
        </w:rPr>
        <w:t>145G</w:t>
      </w:r>
      <w:r>
        <w:rPr>
          <w:snapToGrid w:val="0"/>
        </w:rPr>
        <w:t>.</w:t>
      </w:r>
      <w:r>
        <w:rPr>
          <w:snapToGrid w:val="0"/>
        </w:rPr>
        <w:tab/>
        <w:t>Remuneration</w:t>
      </w:r>
      <w:bookmarkEnd w:id="1761"/>
      <w:bookmarkEnd w:id="1762"/>
      <w:bookmarkEnd w:id="1763"/>
      <w:bookmarkEnd w:id="1764"/>
      <w:bookmarkEnd w:id="1765"/>
      <w:bookmarkEnd w:id="1766"/>
      <w:r>
        <w:rPr>
          <w:snapToGrid w:val="0"/>
        </w:rPr>
        <w:t xml:space="preserve"> </w:t>
      </w:r>
    </w:p>
    <w:p>
      <w:pPr>
        <w:pStyle w:val="Subsection"/>
        <w:keepNext/>
        <w:rPr>
          <w:snapToGrid w:val="0"/>
        </w:rPr>
      </w:pPr>
      <w:r>
        <w:rPr>
          <w:snapToGrid w:val="0"/>
        </w:rPr>
        <w:tab/>
        <w:t>(1)</w:t>
      </w:r>
      <w:r>
        <w:rPr>
          <w:snapToGrid w:val="0"/>
        </w:rPr>
        <w:tab/>
        <w:t>A member of a medical assessment panel is entitled to such fees and allowances as may be determined by the Minister.</w:t>
      </w:r>
    </w:p>
    <w:p>
      <w:pPr>
        <w:pStyle w:val="Subsection"/>
        <w:keepNext/>
        <w:rPr>
          <w:snapToGrid w:val="0"/>
        </w:rPr>
      </w:pPr>
      <w:r>
        <w:rPr>
          <w:snapToGrid w:val="0"/>
        </w:rPr>
        <w:tab/>
        <w:t>(2)</w:t>
      </w:r>
      <w:r>
        <w:rPr>
          <w:snapToGrid w:val="0"/>
        </w:rPr>
        <w:tab/>
        <w:t xml:space="preserve">The fees and allowances mentioned in subsection (1) shall be paid by </w:t>
      </w:r>
      <w:r>
        <w:t>WorkCover WA</w:t>
      </w:r>
      <w:r>
        <w:rPr>
          <w:snapToGrid w:val="0"/>
        </w:rPr>
        <w:t xml:space="preserve"> from moneys standing to the credit of the General Fund.</w:t>
      </w:r>
    </w:p>
    <w:p>
      <w:pPr>
        <w:pStyle w:val="Footnotesection"/>
      </w:pPr>
      <w:r>
        <w:tab/>
        <w:t>[Section 145G inserted by No. 48 of 1993 s. 25; amended by No. 49 of 1996 s. 64; No. 42 of 2004 s. 150.]</w:t>
      </w:r>
    </w:p>
    <w:p>
      <w:pPr>
        <w:pStyle w:val="Heading3"/>
      </w:pPr>
      <w:bookmarkStart w:id="1767" w:name="_Toc87252957"/>
      <w:bookmarkStart w:id="1768" w:name="_Toc119132605"/>
      <w:bookmarkStart w:id="1769" w:name="_Toc119203275"/>
      <w:bookmarkStart w:id="1770" w:name="_Toc119203921"/>
      <w:bookmarkStart w:id="1771" w:name="_Toc119216251"/>
      <w:bookmarkStart w:id="1772" w:name="_Toc119300771"/>
      <w:bookmarkStart w:id="1773" w:name="_Toc119301338"/>
      <w:bookmarkStart w:id="1774" w:name="_Toc119301907"/>
      <w:bookmarkStart w:id="1775" w:name="_Toc119920094"/>
      <w:bookmarkStart w:id="1776" w:name="_Toc122774081"/>
      <w:bookmarkStart w:id="1777" w:name="_Toc122833324"/>
      <w:bookmarkStart w:id="1778" w:name="_Toc122833891"/>
      <w:bookmarkStart w:id="1779" w:name="_Toc86740115"/>
      <w:bookmarkStart w:id="1780" w:name="_Toc88562519"/>
      <w:bookmarkStart w:id="1781" w:name="_Toc88625436"/>
      <w:bookmarkStart w:id="1782" w:name="_Toc91386098"/>
      <w:bookmarkStart w:id="1783" w:name="_Toc92705114"/>
      <w:bookmarkStart w:id="1784" w:name="_Toc93222581"/>
      <w:bookmarkStart w:id="1785" w:name="_Toc95022658"/>
      <w:bookmarkStart w:id="1786" w:name="_Toc95117930"/>
      <w:bookmarkStart w:id="1787" w:name="_Toc96498335"/>
      <w:bookmarkStart w:id="1788" w:name="_Toc96500813"/>
      <w:bookmarkStart w:id="1789" w:name="_Toc101779728"/>
      <w:bookmarkStart w:id="1790" w:name="_Toc103060176"/>
      <w:bookmarkStart w:id="1791" w:name="_Toc105471072"/>
      <w:bookmarkStart w:id="1792" w:name="_Toc105474986"/>
      <w:bookmarkStart w:id="1793" w:name="_Toc107308088"/>
      <w:bookmarkStart w:id="1794" w:name="_Toc109712321"/>
      <w:bookmarkStart w:id="1795" w:name="_Toc109724204"/>
      <w:bookmarkStart w:id="1796" w:name="_Toc110054076"/>
      <w:bookmarkStart w:id="1797" w:name="_Toc110054465"/>
      <w:bookmarkStart w:id="1798" w:name="_Toc110654545"/>
      <w:bookmarkStart w:id="1799" w:name="_Toc110735983"/>
      <w:bookmarkStart w:id="1800" w:name="_Toc110738719"/>
      <w:bookmarkStart w:id="1801" w:name="_Toc115691393"/>
      <w:bookmarkStart w:id="1802" w:name="_Toc115773690"/>
      <w:r>
        <w:rPr>
          <w:rStyle w:val="CharDivNo"/>
        </w:rPr>
        <w:t>Division 2</w:t>
      </w:r>
      <w:r>
        <w:t> — </w:t>
      </w:r>
      <w:r>
        <w:rPr>
          <w:rStyle w:val="CharDivText"/>
        </w:rPr>
        <w:t>Assessing degree of impairment</w:t>
      </w:r>
      <w:bookmarkEnd w:id="1767"/>
      <w:bookmarkEnd w:id="1768"/>
      <w:bookmarkEnd w:id="1769"/>
      <w:bookmarkEnd w:id="1770"/>
      <w:bookmarkEnd w:id="1771"/>
      <w:bookmarkEnd w:id="1772"/>
      <w:bookmarkEnd w:id="1773"/>
      <w:bookmarkEnd w:id="1774"/>
      <w:bookmarkEnd w:id="1775"/>
      <w:bookmarkEnd w:id="1776"/>
      <w:bookmarkEnd w:id="1777"/>
      <w:bookmarkEnd w:id="1778"/>
    </w:p>
    <w:p>
      <w:pPr>
        <w:pStyle w:val="Footnoteheading"/>
      </w:pPr>
      <w:bookmarkStart w:id="1803" w:name="_Toc87252958"/>
      <w:r>
        <w:tab/>
        <w:t>[Heading inserted by No. 42 of 2004 s. 109.]</w:t>
      </w:r>
    </w:p>
    <w:p>
      <w:pPr>
        <w:pStyle w:val="Heading5"/>
      </w:pPr>
      <w:bookmarkStart w:id="1804" w:name="_Toc122833325"/>
      <w:bookmarkStart w:id="1805" w:name="_Toc122833892"/>
      <w:r>
        <w:rPr>
          <w:rStyle w:val="CharSectno"/>
        </w:rPr>
        <w:t>146</w:t>
      </w:r>
      <w:r>
        <w:t>.</w:t>
      </w:r>
      <w:r>
        <w:tab/>
        <w:t>Degree of impairment</w:t>
      </w:r>
      <w:bookmarkEnd w:id="1803"/>
      <w:bookmarkEnd w:id="1804"/>
      <w:bookmarkEnd w:id="1805"/>
    </w:p>
    <w:p>
      <w:pPr>
        <w:pStyle w:val="Subsection"/>
      </w:pPr>
      <w:r>
        <w:tab/>
      </w:r>
      <w:r>
        <w:tab/>
        <w:t xml:space="preserve">In this Part — </w:t>
      </w:r>
    </w:p>
    <w:p>
      <w:pPr>
        <w:pStyle w:val="Defstart"/>
      </w:pPr>
      <w:r>
        <w:rPr>
          <w:b/>
        </w:rPr>
        <w:tab/>
        <w:t>“</w:t>
      </w:r>
      <w:r>
        <w:rPr>
          <w:rStyle w:val="CharDefText"/>
        </w:rPr>
        <w:t>degree of impairment</w:t>
      </w:r>
      <w:r>
        <w:rPr>
          <w:b/>
        </w:rPr>
        <w:t>”</w:t>
      </w:r>
      <w:r>
        <w:t xml:space="preserve">, in relation to a worker, means —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t>“</w:t>
      </w:r>
      <w:r>
        <w:rPr>
          <w:rStyle w:val="CharDefText"/>
        </w:rPr>
        <w:t>secondary condition</w:t>
      </w:r>
      <w:r>
        <w:rPr>
          <w:b/>
        </w:rPr>
        <w:t>”</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by No. 42 of 2004 s. 109.]</w:t>
      </w:r>
    </w:p>
    <w:p>
      <w:pPr>
        <w:pStyle w:val="Heading5"/>
      </w:pPr>
      <w:bookmarkStart w:id="1806" w:name="_Toc87252959"/>
      <w:bookmarkStart w:id="1807" w:name="_Toc122833326"/>
      <w:bookmarkStart w:id="1808" w:name="_Toc122833893"/>
      <w:r>
        <w:rPr>
          <w:rStyle w:val="CharSectno"/>
        </w:rPr>
        <w:t>146A</w:t>
      </w:r>
      <w:r>
        <w:t>.</w:t>
      </w:r>
      <w:r>
        <w:tab/>
        <w:t>Evaluation of impairment generally</w:t>
      </w:r>
      <w:bookmarkEnd w:id="1806"/>
      <w:bookmarkEnd w:id="1807"/>
      <w:bookmarkEnd w:id="1808"/>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bookmarkStart w:id="1809" w:name="_Toc87252960"/>
      <w:r>
        <w:tab/>
        <w:t>[Section 146A inserted by No. 42 of 2004 s. 109.]</w:t>
      </w:r>
    </w:p>
    <w:p>
      <w:pPr>
        <w:pStyle w:val="Heading5"/>
      </w:pPr>
      <w:bookmarkStart w:id="1810" w:name="_Toc122833327"/>
      <w:bookmarkStart w:id="1811" w:name="_Toc122833894"/>
      <w:r>
        <w:rPr>
          <w:rStyle w:val="CharSectno"/>
        </w:rPr>
        <w:t>146B</w:t>
      </w:r>
      <w:r>
        <w:t>.</w:t>
      </w:r>
      <w:r>
        <w:tab/>
        <w:t>Evaluation for the purposes of Part III Division 2A</w:t>
      </w:r>
      <w:bookmarkEnd w:id="1809"/>
      <w:bookmarkEnd w:id="1810"/>
      <w:bookmarkEnd w:id="1811"/>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bookmarkStart w:id="1812" w:name="_Toc87252961"/>
      <w:r>
        <w:tab/>
        <w:t>[Section 146B inserted by No. 42 of 2004 s. 109.]</w:t>
      </w:r>
    </w:p>
    <w:p>
      <w:pPr>
        <w:pStyle w:val="Heading5"/>
      </w:pPr>
      <w:bookmarkStart w:id="1813" w:name="_Toc122833328"/>
      <w:bookmarkStart w:id="1814" w:name="_Toc122833895"/>
      <w:r>
        <w:rPr>
          <w:rStyle w:val="CharSectno"/>
        </w:rPr>
        <w:t>146C</w:t>
      </w:r>
      <w:r>
        <w:t>.</w:t>
      </w:r>
      <w:r>
        <w:tab/>
        <w:t>Evaluation for purposes of Part IV Division 2 Subdivision 3</w:t>
      </w:r>
      <w:bookmarkEnd w:id="1812"/>
      <w:bookmarkEnd w:id="1813"/>
      <w:bookmarkEnd w:id="1814"/>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 xml:space="preserve">In subsection (2) — </w:t>
      </w:r>
    </w:p>
    <w:p>
      <w:pPr>
        <w:pStyle w:val="Defstart"/>
      </w:pPr>
      <w:r>
        <w:rPr>
          <w:b/>
        </w:rPr>
        <w:tab/>
        <w:t>“</w:t>
      </w:r>
      <w:r>
        <w:rPr>
          <w:rStyle w:val="CharDefText"/>
        </w:rPr>
        <w:t>normal evaluation</w:t>
      </w:r>
      <w:r>
        <w:rPr>
          <w:b/>
        </w:rPr>
        <w:t>”</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b/>
        </w:rPr>
        <w:t>“</w:t>
      </w:r>
      <w:r>
        <w:rPr>
          <w:rStyle w:val="CharDefText"/>
        </w:rPr>
        <w:t>special evaluation</w:t>
      </w:r>
      <w:r>
        <w:rPr>
          <w:b/>
        </w:rPr>
        <w:t>”</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bookmarkStart w:id="1815" w:name="_Toc87252962"/>
      <w:r>
        <w:tab/>
        <w:t>[Section 146C inserted by No. 42 of 2004 s. 109.]</w:t>
      </w:r>
    </w:p>
    <w:p>
      <w:pPr>
        <w:pStyle w:val="Heading5"/>
      </w:pPr>
      <w:bookmarkStart w:id="1816" w:name="_Toc122833329"/>
      <w:bookmarkStart w:id="1817" w:name="_Toc122833896"/>
      <w:r>
        <w:rPr>
          <w:rStyle w:val="CharSectno"/>
        </w:rPr>
        <w:t>146D</w:t>
      </w:r>
      <w:r>
        <w:t>.</w:t>
      </w:r>
      <w:r>
        <w:tab/>
        <w:t>Evaluation for the purposes of Part IXA</w:t>
      </w:r>
      <w:bookmarkEnd w:id="1815"/>
      <w:bookmarkEnd w:id="1816"/>
      <w:bookmarkEnd w:id="1817"/>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bookmarkStart w:id="1818" w:name="_Toc87252963"/>
      <w:r>
        <w:tab/>
        <w:t>[Section 146D inserted by No. 42 of 2004 s. 109.]</w:t>
      </w:r>
    </w:p>
    <w:p>
      <w:pPr>
        <w:pStyle w:val="Heading5"/>
      </w:pPr>
      <w:bookmarkStart w:id="1819" w:name="_Toc122833330"/>
      <w:bookmarkStart w:id="1820" w:name="_Toc122833897"/>
      <w:r>
        <w:rPr>
          <w:rStyle w:val="CharSectno"/>
        </w:rPr>
        <w:t>146E</w:t>
      </w:r>
      <w:r>
        <w:t>.</w:t>
      </w:r>
      <w:r>
        <w:tab/>
        <w:t>Evaluation for the purposes of clause 18A</w:t>
      </w:r>
      <w:bookmarkEnd w:id="1818"/>
      <w:bookmarkEnd w:id="1819"/>
      <w:bookmarkEnd w:id="1820"/>
    </w:p>
    <w:p>
      <w:pPr>
        <w:pStyle w:val="Subsection"/>
      </w:pPr>
      <w:r>
        <w:tab/>
        <w:t>(1)</w:t>
      </w:r>
      <w:r>
        <w:tab/>
        <w:t>This section applies to an evaluation of a worker’s degree of permanent whole of person impairment for the purposes of clause 18A.</w:t>
      </w:r>
    </w:p>
    <w:p>
      <w:pPr>
        <w:pStyle w:val="Subsection"/>
      </w:pPr>
      <w:r>
        <w:tab/>
        <w:t>(2)</w:t>
      </w:r>
      <w:r>
        <w:tab/>
        <w:t xml:space="preserve">The evaluation (a </w:t>
      </w:r>
      <w:r>
        <w:rPr>
          <w:b/>
        </w:rPr>
        <w:t>“</w:t>
      </w:r>
      <w:r>
        <w:rPr>
          <w:rStyle w:val="CharDefText"/>
        </w:rPr>
        <w:t>special evaluation</w:t>
      </w:r>
      <w:r>
        <w:rPr>
          <w:b/>
        </w:rPr>
        <w:t>”</w:t>
      </w:r>
      <w:r>
        <w:t xml:space="preserve">) is to be made even if the worker’s condition has not stabilised —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bookmarkStart w:id="1821" w:name="_Toc87252964"/>
      <w:r>
        <w:tab/>
        <w:t>[Section 146E inserted by No. 42 of 2004 s. 109.]</w:t>
      </w:r>
    </w:p>
    <w:p>
      <w:pPr>
        <w:pStyle w:val="Heading5"/>
      </w:pPr>
      <w:bookmarkStart w:id="1822" w:name="_Toc122833331"/>
      <w:bookmarkStart w:id="1823" w:name="_Toc122833898"/>
      <w:r>
        <w:rPr>
          <w:rStyle w:val="CharSectno"/>
        </w:rPr>
        <w:t>146F</w:t>
      </w:r>
      <w:r>
        <w:t>.</w:t>
      </w:r>
      <w:r>
        <w:tab/>
        <w:t>Approved medical specialist</w:t>
      </w:r>
      <w:bookmarkEnd w:id="1821"/>
      <w:bookmarkEnd w:id="1822"/>
      <w:bookmarkEnd w:id="1823"/>
    </w:p>
    <w:p>
      <w:pPr>
        <w:pStyle w:val="Subsection"/>
      </w:pPr>
      <w:r>
        <w:tab/>
        <w:t>(1)</w:t>
      </w:r>
      <w:r>
        <w:tab/>
        <w:t xml:space="preserve">WorkCover WA may, by order published in the </w:t>
      </w:r>
      <w:r>
        <w:rPr>
          <w:i/>
        </w:rPr>
        <w:t>Gazette</w:t>
      </w:r>
      <w:r>
        <w:t>, designate a person as an approved medical specialist if the person is a medical practitioner who in WorkCover WA’s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WorkCover WA may require an approved medical specialist to enter into a written agreement with WorkCover WA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 xml:space="preserve">The Director is to keep a register identifying persons who have been designated as approved medical specialists showing —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Director is to make the register available for inspection at any reasonable time by any member of the public.</w:t>
      </w:r>
    </w:p>
    <w:p>
      <w:pPr>
        <w:pStyle w:val="Footnotesection"/>
      </w:pPr>
      <w:bookmarkStart w:id="1824" w:name="_Toc87252965"/>
      <w:r>
        <w:tab/>
        <w:t>[Section 146F inserted by No. 42 of 2004 s. 109.]</w:t>
      </w:r>
    </w:p>
    <w:p>
      <w:pPr>
        <w:pStyle w:val="Heading5"/>
      </w:pPr>
      <w:bookmarkStart w:id="1825" w:name="_Toc122833332"/>
      <w:bookmarkStart w:id="1826" w:name="_Toc122833899"/>
      <w:r>
        <w:rPr>
          <w:rStyle w:val="CharSectno"/>
        </w:rPr>
        <w:t>146G</w:t>
      </w:r>
      <w:r>
        <w:t>.</w:t>
      </w:r>
      <w:r>
        <w:tab/>
        <w:t>Powers of approved medical specialist</w:t>
      </w:r>
      <w:bookmarkEnd w:id="1824"/>
      <w:bookmarkEnd w:id="1825"/>
      <w:bookmarkEnd w:id="1826"/>
    </w:p>
    <w:p>
      <w:pPr>
        <w:pStyle w:val="Subsection"/>
      </w:pPr>
      <w:r>
        <w:tab/>
        <w:t>(1)</w:t>
      </w:r>
      <w:r>
        <w:tab/>
        <w:t xml:space="preserve">On being requested to assess a worker’s degree of impairment, an approved medical specialist may — </w:t>
      </w:r>
    </w:p>
    <w:p>
      <w:pPr>
        <w:pStyle w:val="Indenta"/>
      </w:pPr>
      <w:r>
        <w:tab/>
        <w:t>(a)</w:t>
      </w:r>
      <w:r>
        <w:tab/>
        <w:t>in accordance with the regulations, require the worker to attend at a place specified by the approved medical specialist;</w:t>
      </w:r>
    </w:p>
    <w:p>
      <w:pPr>
        <w:pStyle w:val="Indenta"/>
      </w:pPr>
      <w:r>
        <w:tab/>
        <w:t>(b)</w:t>
      </w:r>
      <w:r>
        <w:tab/>
        <w:t>require the worker to answer any question about the injury;</w:t>
      </w:r>
    </w:p>
    <w:p>
      <w:pPr>
        <w:pStyle w:val="Indenta"/>
      </w:pPr>
      <w:r>
        <w:tab/>
        <w:t>(c)</w:t>
      </w:r>
      <w:r>
        <w:tab/>
        <w:t xml:space="preserve">in accordance with the regulations, require the worker, the employer, or the employer’s insurer to — </w:t>
      </w:r>
    </w:p>
    <w:p>
      <w:pPr>
        <w:pStyle w:val="Indenti"/>
      </w:pPr>
      <w:r>
        <w:tab/>
        <w:t>(i)</w:t>
      </w:r>
      <w:r>
        <w:tab/>
        <w:t>produce to the approved medical specialist any relevant document or information; or</w:t>
      </w:r>
    </w:p>
    <w:p>
      <w:pPr>
        <w:pStyle w:val="Indenti"/>
      </w:pPr>
      <w:r>
        <w:tab/>
        <w:t>(ii)</w:t>
      </w:r>
      <w:r>
        <w:tab/>
        <w:t>consent to another person who has any relevant document or information producing it to the approved medical specialist;</w:t>
      </w:r>
    </w:p>
    <w:p>
      <w:pPr>
        <w:pStyle w:val="Indenta"/>
      </w:pPr>
      <w:r>
        <w:tab/>
        <w:t>(d)</w:t>
      </w:r>
      <w:r>
        <w:tab/>
        <w:t>require the worker to submit to examination by, or as requested by, the approved medical specialist.</w:t>
      </w:r>
    </w:p>
    <w:p>
      <w:pPr>
        <w:pStyle w:val="Subsection"/>
      </w:pPr>
      <w:r>
        <w:tab/>
        <w:t>(2)</w:t>
      </w:r>
      <w:r>
        <w:tab/>
        <w:t xml:space="preserve">Regulations may be made —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bookmarkStart w:id="1827" w:name="_Toc87252966"/>
      <w:r>
        <w:tab/>
        <w:t>[Section 146G inserted by No. 42 of 2004 s. 109.]</w:t>
      </w:r>
    </w:p>
    <w:p>
      <w:pPr>
        <w:pStyle w:val="Heading5"/>
      </w:pPr>
      <w:bookmarkStart w:id="1828" w:name="_Toc122833333"/>
      <w:bookmarkStart w:id="1829" w:name="_Toc122833900"/>
      <w:r>
        <w:rPr>
          <w:rStyle w:val="CharSectno"/>
        </w:rPr>
        <w:t>146H</w:t>
      </w:r>
      <w:r>
        <w:t>.</w:t>
      </w:r>
      <w:r>
        <w:tab/>
        <w:t>Outcome of assessment</w:t>
      </w:r>
      <w:bookmarkEnd w:id="1827"/>
      <w:bookmarkEnd w:id="1828"/>
      <w:bookmarkEnd w:id="1829"/>
    </w:p>
    <w:p>
      <w:pPr>
        <w:pStyle w:val="Subsection"/>
      </w:pPr>
      <w:r>
        <w:tab/>
        <w:t>(1)</w:t>
      </w:r>
      <w:r>
        <w:tab/>
        <w:t xml:space="preserve">An approved medical specialist making an assessment for the purposes of Part III Division 2A, Part IV Division 2 Subdivision 3, Part IXA or clause 18A is required to give to each of the worker and the employer, in writing in accordance with the regulations —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(2)</w:t>
      </w:r>
      <w:r>
        <w:tab/>
        <w:t xml:space="preserve">An approved medical specialist giving a certificate —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 xml:space="preserve">is required to give to each of the worker and the employer, in writing in accordance with the regulations —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 xml:space="preserve">A certificate for the purposes of — </w:t>
      </w:r>
    </w:p>
    <w:p>
      <w:pPr>
        <w:pStyle w:val="Indenta"/>
      </w:pPr>
      <w:r>
        <w:tab/>
        <w:t>(a)</w:t>
      </w:r>
      <w:r>
        <w:tab/>
        <w:t>Part III Division 2A;</w:t>
      </w:r>
    </w:p>
    <w:p>
      <w:pPr>
        <w:pStyle w:val="Indenta"/>
      </w:pPr>
      <w:r>
        <w:tab/>
        <w:t>(b)</w:t>
      </w:r>
      <w:r>
        <w:tab/>
        <w:t>Part IV Division 2 Subdivision 3;</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Subsection"/>
      </w:pPr>
      <w:r>
        <w:tab/>
        <w:t>(4)</w:t>
      </w:r>
      <w:r>
        <w:tab/>
        <w:t xml:space="preserve">A certificate for the purposes of the provisions referred to in one of paragraphs (a), (b), (c) or (d) of subsection (3) — </w:t>
      </w:r>
    </w:p>
    <w:p>
      <w:pPr>
        <w:pStyle w:val="Indenta"/>
      </w:pPr>
      <w:r>
        <w:tab/>
        <w:t>(a)</w:t>
      </w:r>
      <w:r>
        <w:tab/>
        <w:t>is not to be given for the purposes of the provisions referred to in any of the other paragraphs; and</w:t>
      </w:r>
    </w:p>
    <w:p>
      <w:pPr>
        <w:pStyle w:val="Indenta"/>
      </w:pPr>
      <w:r>
        <w:tab/>
        <w:t>(b)</w:t>
      </w:r>
      <w:r>
        <w:tab/>
        <w:t>has no effect for the purposes of the provisions referred to in any of the other paragraphs.</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bookmarkStart w:id="1830" w:name="_Toc87252967"/>
      <w:r>
        <w:tab/>
        <w:t>[Section 146H inserted by No. 42 of 2004 s. 109; amended by No. 16 of 2005 s. 18.]</w:t>
      </w:r>
    </w:p>
    <w:p>
      <w:pPr>
        <w:pStyle w:val="Heading5"/>
      </w:pPr>
      <w:bookmarkStart w:id="1831" w:name="_Toc122833334"/>
      <w:bookmarkStart w:id="1832" w:name="_Toc122833901"/>
      <w:r>
        <w:rPr>
          <w:rStyle w:val="CharSectno"/>
        </w:rPr>
        <w:t>146I</w:t>
      </w:r>
      <w:r>
        <w:t>.</w:t>
      </w:r>
      <w:r>
        <w:tab/>
        <w:t>Release of information relevant to assessment</w:t>
      </w:r>
      <w:bookmarkEnd w:id="1830"/>
      <w:bookmarkEnd w:id="1831"/>
      <w:bookmarkEnd w:id="1832"/>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pPr>
      <w:bookmarkStart w:id="1833" w:name="_Toc87252968"/>
      <w:r>
        <w:tab/>
        <w:t>[Section 146I inserted by No. 42 of 2004 s. 109.]</w:t>
      </w:r>
    </w:p>
    <w:p>
      <w:pPr>
        <w:pStyle w:val="Heading5"/>
      </w:pPr>
      <w:bookmarkStart w:id="1834" w:name="_Toc122833335"/>
      <w:bookmarkStart w:id="1835" w:name="_Toc122833902"/>
      <w:r>
        <w:rPr>
          <w:rStyle w:val="CharSectno"/>
        </w:rPr>
        <w:t>146J</w:t>
      </w:r>
      <w:r>
        <w:t>.</w:t>
      </w:r>
      <w:r>
        <w:tab/>
        <w:t>Decisions of approved medical specialist</w:t>
      </w:r>
      <w:bookmarkEnd w:id="1833"/>
      <w:bookmarkEnd w:id="1834"/>
      <w:bookmarkEnd w:id="1835"/>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 xml:space="preserve">In subsection (1) — </w:t>
      </w:r>
    </w:p>
    <w:p>
      <w:pPr>
        <w:pStyle w:val="Defstart"/>
      </w:pPr>
      <w:r>
        <w:rPr>
          <w:b/>
        </w:rPr>
        <w:tab/>
        <w:t>“</w:t>
      </w:r>
      <w:r>
        <w:rPr>
          <w:rStyle w:val="CharDefText"/>
        </w:rPr>
        <w:t>decision of an approved medical specialist</w:t>
      </w:r>
      <w:r>
        <w:rPr>
          <w:b/>
        </w:rPr>
        <w:t>”</w:t>
      </w:r>
      <w:r>
        <w:t xml:space="preserve"> means an opinion, assessment, or other decision of an approved medical specialist that is relevant to the operation of Part III Division 2A, Part IV Division 2, Part IXA or clause 18A.</w:t>
      </w:r>
    </w:p>
    <w:p>
      <w:pPr>
        <w:pStyle w:val="Footnotesection"/>
      </w:pPr>
      <w:bookmarkStart w:id="1836" w:name="_Toc87252969"/>
      <w:r>
        <w:tab/>
        <w:t>[Section 146J inserted by No. 42 of 2004 s. 109.]</w:t>
      </w:r>
    </w:p>
    <w:p>
      <w:pPr>
        <w:pStyle w:val="Heading3"/>
      </w:pPr>
      <w:bookmarkStart w:id="1837" w:name="_Toc119132617"/>
      <w:bookmarkStart w:id="1838" w:name="_Toc119203287"/>
      <w:bookmarkStart w:id="1839" w:name="_Toc119203933"/>
      <w:bookmarkStart w:id="1840" w:name="_Toc119216263"/>
      <w:bookmarkStart w:id="1841" w:name="_Toc119300783"/>
      <w:bookmarkStart w:id="1842" w:name="_Toc119301350"/>
      <w:bookmarkStart w:id="1843" w:name="_Toc119301919"/>
      <w:bookmarkStart w:id="1844" w:name="_Toc119920106"/>
      <w:bookmarkStart w:id="1845" w:name="_Toc122774093"/>
      <w:bookmarkStart w:id="1846" w:name="_Toc122833336"/>
      <w:bookmarkStart w:id="1847" w:name="_Toc122833903"/>
      <w:r>
        <w:rPr>
          <w:rStyle w:val="CharDivNo"/>
        </w:rPr>
        <w:t>Division 3</w:t>
      </w:r>
      <w:r>
        <w:t> — </w:t>
      </w:r>
      <w:r>
        <w:rPr>
          <w:rStyle w:val="CharDivText"/>
        </w:rPr>
        <w:t>Approved medical specialist panels</w:t>
      </w:r>
      <w:bookmarkEnd w:id="1836"/>
      <w:bookmarkEnd w:id="1837"/>
      <w:bookmarkEnd w:id="1838"/>
      <w:bookmarkEnd w:id="1839"/>
      <w:bookmarkEnd w:id="1840"/>
      <w:bookmarkEnd w:id="1841"/>
      <w:bookmarkEnd w:id="1842"/>
      <w:bookmarkEnd w:id="1843"/>
      <w:bookmarkEnd w:id="1844"/>
      <w:bookmarkEnd w:id="1845"/>
      <w:bookmarkEnd w:id="1846"/>
      <w:bookmarkEnd w:id="1847"/>
    </w:p>
    <w:p>
      <w:pPr>
        <w:pStyle w:val="Footnoteheading"/>
      </w:pPr>
      <w:bookmarkStart w:id="1848" w:name="_Toc87252970"/>
      <w:r>
        <w:tab/>
        <w:t>[Heading inserted by No. 42 of 2004 s. 109.]</w:t>
      </w:r>
    </w:p>
    <w:p>
      <w:pPr>
        <w:pStyle w:val="Heading5"/>
      </w:pPr>
      <w:bookmarkStart w:id="1849" w:name="_Toc122833337"/>
      <w:bookmarkStart w:id="1850" w:name="_Toc122833904"/>
      <w:r>
        <w:rPr>
          <w:rStyle w:val="CharSectno"/>
        </w:rPr>
        <w:t>146K</w:t>
      </w:r>
      <w:r>
        <w:t>.</w:t>
      </w:r>
      <w:r>
        <w:tab/>
        <w:t>Panel to be constituted</w:t>
      </w:r>
      <w:bookmarkEnd w:id="1848"/>
      <w:bookmarkEnd w:id="1849"/>
      <w:bookmarkEnd w:id="1850"/>
    </w:p>
    <w:p>
      <w:pPr>
        <w:pStyle w:val="Subsection"/>
      </w:pPr>
      <w:r>
        <w:tab/>
        <w:t>(1)</w:t>
      </w:r>
      <w:r>
        <w:tab/>
        <w:t>On a question being referred under section 31D(4), 158C(2)(b) or clause 18C for assessment by an approved medical specialist panel, the Director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If a referral is made to an approved medical specialist panel, WorkCover WA may, with the consent of the worker, disclose to the panel any information that it has in relation to the worker that may be relevant to the assessment.</w:t>
      </w:r>
    </w:p>
    <w:p>
      <w:pPr>
        <w:pStyle w:val="Footnotesection"/>
      </w:pPr>
      <w:bookmarkStart w:id="1851" w:name="_Toc87252971"/>
      <w:r>
        <w:tab/>
        <w:t>[Section 146K inserted by No. 42 of 2004 s. 109.]</w:t>
      </w:r>
    </w:p>
    <w:p>
      <w:pPr>
        <w:pStyle w:val="Heading5"/>
      </w:pPr>
      <w:bookmarkStart w:id="1852" w:name="_Toc122833338"/>
      <w:bookmarkStart w:id="1853" w:name="_Toc122833905"/>
      <w:r>
        <w:rPr>
          <w:rStyle w:val="CharSectno"/>
        </w:rPr>
        <w:t>146L</w:t>
      </w:r>
      <w:r>
        <w:t>.</w:t>
      </w:r>
      <w:r>
        <w:tab/>
        <w:t>Procedures</w:t>
      </w:r>
      <w:bookmarkEnd w:id="1851"/>
      <w:bookmarkEnd w:id="1852"/>
      <w:bookmarkEnd w:id="1853"/>
    </w:p>
    <w:p>
      <w:pPr>
        <w:pStyle w:val="Subsection"/>
      </w:pPr>
      <w:r>
        <w:tab/>
        <w:t>(1)</w:t>
      </w:r>
      <w:r>
        <w:tab/>
        <w:t xml:space="preserve">In assessing the degree of impairment the approved medical specialist panel —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 xml:space="preserve">On being referred a question as to a worker’s degree of impairment, an approved medical specialist panel may —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 xml:space="preserve">in accordance with the regulations, require the worker, the employer, or the employer’s insurer to —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 xml:space="preserve">Regulations may be made —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bookmarkStart w:id="1854" w:name="_Toc87252972"/>
      <w:r>
        <w:tab/>
        <w:t>[Section 146L inserted by No. 42 of 2004 s. 109.]</w:t>
      </w:r>
    </w:p>
    <w:p>
      <w:pPr>
        <w:pStyle w:val="Heading5"/>
      </w:pPr>
      <w:bookmarkStart w:id="1855" w:name="_Toc122833339"/>
      <w:bookmarkStart w:id="1856" w:name="_Toc122833906"/>
      <w:r>
        <w:rPr>
          <w:rStyle w:val="CharSectno"/>
        </w:rPr>
        <w:t>146M</w:t>
      </w:r>
      <w:r>
        <w:t>.</w:t>
      </w:r>
      <w:r>
        <w:tab/>
        <w:t>Failure to comply with requirement of approved medical specialist panel</w:t>
      </w:r>
      <w:bookmarkEnd w:id="1854"/>
      <w:bookmarkEnd w:id="1855"/>
      <w:bookmarkEnd w:id="1856"/>
    </w:p>
    <w:p>
      <w:pPr>
        <w:pStyle w:val="Subsection"/>
      </w:pPr>
      <w:r>
        <w:tab/>
        <w:t>(1)</w:t>
      </w:r>
      <w:r>
        <w:tab/>
        <w:t xml:space="preserve">If a worker — </w:t>
      </w:r>
    </w:p>
    <w:p>
      <w:pPr>
        <w:pStyle w:val="Indenta"/>
      </w:pPr>
      <w:r>
        <w:tab/>
        <w:t>(a)</w:t>
      </w:r>
      <w:r>
        <w:tab/>
        <w:t>fails to comply with a requirement made by an approved medical specialist panel under section 146L(2)(a), (b) or (c); or</w:t>
      </w:r>
    </w:p>
    <w:p>
      <w:pPr>
        <w:pStyle w:val="Indenta"/>
      </w:pPr>
      <w:r>
        <w:tab/>
        <w:t>(b)</w:t>
      </w:r>
      <w:r>
        <w:tab/>
        <w:t xml:space="preserve">on being required to submit to examination by the panel refuses or fails to do so or in any way obstructs the examination, </w:t>
      </w:r>
    </w:p>
    <w:p>
      <w:pPr>
        <w:pStyle w:val="Subsection"/>
      </w:pPr>
      <w:r>
        <w:tab/>
      </w:r>
      <w:r>
        <w:tab/>
        <w:t>an arbitrator may issue a certificate to that effect and upon the issue of that certificate the making of an assessment of the worker’s degree of impairment is suspended until an arbitrator certifies that the suspension is removed.</w:t>
      </w:r>
    </w:p>
    <w:p>
      <w:pPr>
        <w:pStyle w:val="Subsection"/>
      </w:pPr>
      <w:r>
        <w:tab/>
        <w:t>(2)</w:t>
      </w:r>
      <w:r>
        <w:tab/>
        <w:t>An arbitrator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bookmarkStart w:id="1857" w:name="_Toc87252973"/>
      <w:r>
        <w:tab/>
        <w:t>[Section 146M inserted by No. 42 of 2004 s. 109.]</w:t>
      </w:r>
    </w:p>
    <w:p>
      <w:pPr>
        <w:pStyle w:val="Heading5"/>
      </w:pPr>
      <w:bookmarkStart w:id="1858" w:name="_Toc122833340"/>
      <w:bookmarkStart w:id="1859" w:name="_Toc122833907"/>
      <w:r>
        <w:rPr>
          <w:rStyle w:val="CharSectno"/>
        </w:rPr>
        <w:t>146N</w:t>
      </w:r>
      <w:r>
        <w:t>.</w:t>
      </w:r>
      <w:r>
        <w:tab/>
        <w:t>Assessment of impairment by approved medical specialist panel</w:t>
      </w:r>
      <w:bookmarkEnd w:id="1857"/>
      <w:bookmarkEnd w:id="1858"/>
      <w:bookmarkEnd w:id="1859"/>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bookmarkStart w:id="1860" w:name="_Toc87252974"/>
      <w:r>
        <w:tab/>
        <w:t>[Section 146N inserted by No. 42 of 2004 s. 109.]</w:t>
      </w:r>
    </w:p>
    <w:p>
      <w:pPr>
        <w:pStyle w:val="Heading5"/>
      </w:pPr>
      <w:bookmarkStart w:id="1861" w:name="_Toc122833341"/>
      <w:bookmarkStart w:id="1862" w:name="_Toc122833908"/>
      <w:r>
        <w:rPr>
          <w:rStyle w:val="CharSectno"/>
        </w:rPr>
        <w:t>146O</w:t>
      </w:r>
      <w:r>
        <w:t>.</w:t>
      </w:r>
      <w:r>
        <w:tab/>
        <w:t>Outcome of assessment by approved medical specialist panel</w:t>
      </w:r>
      <w:bookmarkEnd w:id="1860"/>
      <w:bookmarkEnd w:id="1861"/>
      <w:bookmarkEnd w:id="1862"/>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 xml:space="preserve">An approved medical specialist panel is required to give to the Director in writing in accordance with the regulations —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Director is to give copies of the report and certificate to the arbitrator who referred the question to the panel, the worker concerned, and the employer of the worker concerned, within 7 days after the day on which the Director receives them.</w:t>
      </w:r>
    </w:p>
    <w:p>
      <w:pPr>
        <w:pStyle w:val="Subsection"/>
      </w:pPr>
      <w:r>
        <w:tab/>
        <w:t>(4)</w:t>
      </w:r>
      <w:r>
        <w:tab/>
        <w:t xml:space="preserve">The assessment is —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 xml:space="preserve">An assessment of an approved medical specialist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 xml:space="preserve">In subsection (6) — </w:t>
      </w:r>
    </w:p>
    <w:p>
      <w:pPr>
        <w:pStyle w:val="Defstart"/>
      </w:pPr>
      <w:r>
        <w:rPr>
          <w:b/>
        </w:rPr>
        <w:tab/>
        <w:t>“</w:t>
      </w:r>
      <w:r>
        <w:rPr>
          <w:rStyle w:val="CharDefText"/>
        </w:rPr>
        <w:t>decision of an approved medical specialist panel</w:t>
      </w:r>
      <w:r>
        <w:rPr>
          <w:b/>
        </w:rPr>
        <w:t>”</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any of the documents described in subsection (1) or (2), the Director may reject the document and require the approved medical specialist panel to replace it with a correct document which the Director is to give to each of the recipients of the document that contained the error.</w:t>
      </w:r>
    </w:p>
    <w:p>
      <w:pPr>
        <w:pStyle w:val="Footnotesection"/>
      </w:pPr>
      <w:bookmarkStart w:id="1863" w:name="_Toc87252975"/>
      <w:r>
        <w:tab/>
        <w:t>[Section 146O inserted by No. 42 of 2004 s. 109; amended by No. 16 of 2005 s. 19.]</w:t>
      </w:r>
    </w:p>
    <w:p>
      <w:pPr>
        <w:pStyle w:val="Heading5"/>
      </w:pPr>
      <w:bookmarkStart w:id="1864" w:name="_Toc122833342"/>
      <w:bookmarkStart w:id="1865" w:name="_Toc122833909"/>
      <w:r>
        <w:rPr>
          <w:rStyle w:val="CharSectno"/>
        </w:rPr>
        <w:t>146P</w:t>
      </w:r>
      <w:r>
        <w:t>.</w:t>
      </w:r>
      <w:r>
        <w:tab/>
        <w:t>No assessment without unanimous agreement</w:t>
      </w:r>
      <w:bookmarkEnd w:id="1863"/>
      <w:bookmarkEnd w:id="1864"/>
      <w:bookmarkEnd w:id="1865"/>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bookmarkStart w:id="1866" w:name="_Toc87252976"/>
      <w:r>
        <w:tab/>
        <w:t>[Section 146P inserted by No. 42 of 2004 s. 109.]</w:t>
      </w:r>
    </w:p>
    <w:p>
      <w:pPr>
        <w:pStyle w:val="Heading5"/>
      </w:pPr>
      <w:bookmarkStart w:id="1867" w:name="_Toc122833343"/>
      <w:bookmarkStart w:id="1868" w:name="_Toc122833910"/>
      <w:r>
        <w:rPr>
          <w:rStyle w:val="CharSectno"/>
        </w:rPr>
        <w:t>146Q</w:t>
      </w:r>
      <w:r>
        <w:t>.</w:t>
      </w:r>
      <w:r>
        <w:tab/>
        <w:t>Remuneration</w:t>
      </w:r>
      <w:bookmarkEnd w:id="1866"/>
      <w:bookmarkEnd w:id="1867"/>
      <w:bookmarkEnd w:id="1868"/>
    </w:p>
    <w:p>
      <w:pPr>
        <w:pStyle w:val="Subsection"/>
      </w:pPr>
      <w:r>
        <w:tab/>
        <w:t>(1)</w:t>
      </w:r>
      <w:r>
        <w:tab/>
        <w:t>A member of an approved medical specialist panel is entitled to such fees and allowances as may be determined by the Minister.</w:t>
      </w:r>
    </w:p>
    <w:p>
      <w:pPr>
        <w:pStyle w:val="Subsection"/>
      </w:pPr>
      <w:r>
        <w:tab/>
        <w:t>(2)</w:t>
      </w:r>
      <w:r>
        <w:tab/>
        <w:t>The fees and allowances mentioned in subsection (1) are to be paid by WorkCover WA from moneys standing to the credit of the General Fund.</w:t>
      </w:r>
    </w:p>
    <w:p>
      <w:pPr>
        <w:pStyle w:val="Footnotesection"/>
      </w:pPr>
      <w:bookmarkStart w:id="1869" w:name="_Toc87252977"/>
      <w:r>
        <w:tab/>
        <w:t>[Section 146Q inserted by No. 42 of 2004 s. 109.]</w:t>
      </w:r>
    </w:p>
    <w:p>
      <w:pPr>
        <w:pStyle w:val="Heading3"/>
      </w:pPr>
      <w:bookmarkStart w:id="1870" w:name="_Toc119132625"/>
      <w:bookmarkStart w:id="1871" w:name="_Toc119203295"/>
      <w:bookmarkStart w:id="1872" w:name="_Toc119203941"/>
      <w:bookmarkStart w:id="1873" w:name="_Toc119216271"/>
      <w:bookmarkStart w:id="1874" w:name="_Toc119300791"/>
      <w:bookmarkStart w:id="1875" w:name="_Toc119301358"/>
      <w:bookmarkStart w:id="1876" w:name="_Toc119301927"/>
      <w:bookmarkStart w:id="1877" w:name="_Toc119920114"/>
      <w:bookmarkStart w:id="1878" w:name="_Toc122774101"/>
      <w:bookmarkStart w:id="1879" w:name="_Toc122833344"/>
      <w:bookmarkStart w:id="1880" w:name="_Toc122833911"/>
      <w:r>
        <w:rPr>
          <w:rStyle w:val="CharDivNo"/>
        </w:rPr>
        <w:t>Division 4</w:t>
      </w:r>
      <w:r>
        <w:t xml:space="preserve"> — </w:t>
      </w:r>
      <w:r>
        <w:rPr>
          <w:rStyle w:val="CharDivText"/>
        </w:rPr>
        <w:t>WorkCover Guides</w:t>
      </w:r>
      <w:bookmarkEnd w:id="1869"/>
      <w:bookmarkEnd w:id="1870"/>
      <w:bookmarkEnd w:id="1871"/>
      <w:bookmarkEnd w:id="1872"/>
      <w:bookmarkEnd w:id="1873"/>
      <w:bookmarkEnd w:id="1874"/>
      <w:bookmarkEnd w:id="1875"/>
      <w:bookmarkEnd w:id="1876"/>
      <w:bookmarkEnd w:id="1877"/>
      <w:bookmarkEnd w:id="1878"/>
      <w:bookmarkEnd w:id="1879"/>
      <w:bookmarkEnd w:id="1880"/>
    </w:p>
    <w:p>
      <w:pPr>
        <w:pStyle w:val="Footnoteheading"/>
      </w:pPr>
      <w:bookmarkStart w:id="1881" w:name="_Toc87252978"/>
      <w:r>
        <w:tab/>
        <w:t>[Heading inserted by No. 42 of 2004 s. 109.]</w:t>
      </w:r>
    </w:p>
    <w:p>
      <w:pPr>
        <w:pStyle w:val="Heading5"/>
      </w:pPr>
      <w:bookmarkStart w:id="1882" w:name="_Toc122833345"/>
      <w:bookmarkStart w:id="1883" w:name="_Toc122833912"/>
      <w:r>
        <w:rPr>
          <w:rStyle w:val="CharSectno"/>
        </w:rPr>
        <w:t>146R</w:t>
      </w:r>
      <w:r>
        <w:t>.</w:t>
      </w:r>
      <w:r>
        <w:tab/>
        <w:t>WorkCover Guides</w:t>
      </w:r>
      <w:bookmarkEnd w:id="1881"/>
      <w:bookmarkEnd w:id="1882"/>
      <w:bookmarkEnd w:id="1883"/>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by No. 42 of 2004 s. 109.]</w:t>
      </w:r>
    </w:p>
    <w:p>
      <w:pPr>
        <w:pStyle w:val="Heading3"/>
      </w:pPr>
      <w:bookmarkStart w:id="1884" w:name="_Toc87252980"/>
      <w:bookmarkStart w:id="1885" w:name="_Toc119132627"/>
      <w:bookmarkStart w:id="1886" w:name="_Toc119203297"/>
      <w:bookmarkStart w:id="1887" w:name="_Toc119203943"/>
      <w:bookmarkStart w:id="1888" w:name="_Toc119216273"/>
      <w:bookmarkStart w:id="1889" w:name="_Toc119300793"/>
      <w:bookmarkStart w:id="1890" w:name="_Toc119301360"/>
      <w:bookmarkStart w:id="1891" w:name="_Toc119301929"/>
      <w:bookmarkStart w:id="1892" w:name="_Toc119920116"/>
      <w:bookmarkStart w:id="1893" w:name="_Toc122774103"/>
      <w:bookmarkStart w:id="1894" w:name="_Toc122833346"/>
      <w:bookmarkStart w:id="1895" w:name="_Toc122833913"/>
      <w:r>
        <w:rPr>
          <w:rStyle w:val="CharDivNo"/>
        </w:rPr>
        <w:t>Division 5</w:t>
      </w:r>
      <w:r>
        <w:t> — </w:t>
      </w:r>
      <w:r>
        <w:rPr>
          <w:rStyle w:val="CharDivText"/>
        </w:rPr>
        <w:t>Assessment for specialised retraining programs</w:t>
      </w:r>
      <w:bookmarkEnd w:id="1884"/>
      <w:bookmarkEnd w:id="1885"/>
      <w:bookmarkEnd w:id="1886"/>
      <w:bookmarkEnd w:id="1887"/>
      <w:bookmarkEnd w:id="1888"/>
      <w:bookmarkEnd w:id="1889"/>
      <w:bookmarkEnd w:id="1890"/>
      <w:bookmarkEnd w:id="1891"/>
      <w:bookmarkEnd w:id="1892"/>
      <w:bookmarkEnd w:id="1893"/>
      <w:bookmarkEnd w:id="1894"/>
      <w:bookmarkEnd w:id="1895"/>
    </w:p>
    <w:p>
      <w:pPr>
        <w:pStyle w:val="Footnoteheading"/>
      </w:pPr>
      <w:bookmarkStart w:id="1896" w:name="_Toc87252981"/>
      <w:r>
        <w:tab/>
        <w:t>[Heading inserted by No. 42 of 2004 s. 110.]</w:t>
      </w:r>
    </w:p>
    <w:p>
      <w:pPr>
        <w:pStyle w:val="Heading5"/>
      </w:pPr>
      <w:bookmarkStart w:id="1897" w:name="_Toc122833347"/>
      <w:bookmarkStart w:id="1898" w:name="_Toc122833914"/>
      <w:r>
        <w:rPr>
          <w:rStyle w:val="CharSectno"/>
        </w:rPr>
        <w:t>146S</w:t>
      </w:r>
      <w:r>
        <w:t>.</w:t>
      </w:r>
      <w:r>
        <w:tab/>
        <w:t>Register for panel membership</w:t>
      </w:r>
      <w:bookmarkEnd w:id="1896"/>
      <w:bookmarkEnd w:id="1897"/>
      <w:bookmarkEnd w:id="1898"/>
    </w:p>
    <w:p>
      <w:pPr>
        <w:pStyle w:val="Subsection"/>
      </w:pPr>
      <w:r>
        <w:tab/>
        <w:t>(1)</w:t>
      </w:r>
      <w:r>
        <w:tab/>
        <w:t>The Director is to keep a register, with such divisions as the Director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bookmarkStart w:id="1899" w:name="_Toc87252982"/>
      <w:r>
        <w:tab/>
        <w:t>[Section 146S inserted by No. 42 of 2004 s. 110.]</w:t>
      </w:r>
    </w:p>
    <w:p>
      <w:pPr>
        <w:pStyle w:val="Heading5"/>
      </w:pPr>
      <w:bookmarkStart w:id="1900" w:name="_Toc122833348"/>
      <w:bookmarkStart w:id="1901" w:name="_Toc122833915"/>
      <w:r>
        <w:rPr>
          <w:rStyle w:val="CharSectno"/>
        </w:rPr>
        <w:t>146T</w:t>
      </w:r>
      <w:r>
        <w:t>.</w:t>
      </w:r>
      <w:r>
        <w:tab/>
        <w:t>Panel to be constituted</w:t>
      </w:r>
      <w:bookmarkEnd w:id="1899"/>
      <w:bookmarkEnd w:id="1900"/>
      <w:bookmarkEnd w:id="1901"/>
    </w:p>
    <w:p>
      <w:pPr>
        <w:pStyle w:val="Subsection"/>
      </w:pPr>
      <w:r>
        <w:tab/>
        <w:t>(1)</w:t>
      </w:r>
      <w:r>
        <w:tab/>
        <w:t xml:space="preserve">On a question being referred under section 158D(2) for assessment by a specialised retraining assessment panel, the Director is to select 3 persons who are registered under section 146S to be the panel that is to make the assessment. </w:t>
      </w:r>
    </w:p>
    <w:p>
      <w:pPr>
        <w:pStyle w:val="Subsection"/>
      </w:pPr>
      <w:r>
        <w:tab/>
        <w:t>(2)</w:t>
      </w:r>
      <w:r>
        <w:tab/>
        <w:t xml:space="preserve">Of the members of the panel — </w:t>
      </w:r>
    </w:p>
    <w:p>
      <w:pPr>
        <w:pStyle w:val="Indenta"/>
      </w:pPr>
      <w:r>
        <w:tab/>
        <w:t>(a)</w:t>
      </w:r>
      <w:r>
        <w:tab/>
        <w:t>one is to be an occupational physician who is an approved medical specialist;</w:t>
      </w:r>
    </w:p>
    <w:p>
      <w:pPr>
        <w:pStyle w:val="Indenta"/>
      </w:pPr>
      <w:r>
        <w:tab/>
        <w:t>(b)</w:t>
      </w:r>
      <w:r>
        <w:tab/>
        <w:t xml:space="preserve">one is to be a person — </w:t>
      </w:r>
    </w:p>
    <w:p>
      <w:pPr>
        <w:pStyle w:val="Indenti"/>
      </w:pPr>
      <w:r>
        <w:tab/>
        <w:t>(i)</w:t>
      </w:r>
      <w:r>
        <w:tab/>
        <w:t>who in the opinion of WorkCover WA, has knowledge of, and experience in, matters relating to the labour market; and</w:t>
      </w:r>
    </w:p>
    <w:p>
      <w:pPr>
        <w:pStyle w:val="Indenti"/>
      </w:pPr>
      <w:r>
        <w:tab/>
        <w:t>(ii)</w:t>
      </w:r>
      <w:r>
        <w:tab/>
        <w:t>who is not an officer of WorkCover WA;</w:t>
      </w:r>
    </w:p>
    <w:p>
      <w:pPr>
        <w:pStyle w:val="Indenta"/>
      </w:pPr>
      <w:r>
        <w:tab/>
        <w:t>(c)</w:t>
      </w:r>
      <w:r>
        <w:tab/>
        <w:t>one is to be an officer of WorkCover WA who is experienced in the review of injury management.</w:t>
      </w:r>
    </w:p>
    <w:p>
      <w:pPr>
        <w:pStyle w:val="Subsection"/>
      </w:pPr>
      <w:r>
        <w:tab/>
        <w:t>(3)</w:t>
      </w:r>
      <w:r>
        <w:tab/>
        <w:t xml:space="preserve">A person is not eligible to be a member of the panel if the person —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pPr>
      <w:r>
        <w:tab/>
        <w:t>(4)</w:t>
      </w:r>
      <w:r>
        <w:tab/>
        <w:t>The Director is to nominate one of the members of the panel to be its chairman.</w:t>
      </w:r>
    </w:p>
    <w:p>
      <w:pPr>
        <w:pStyle w:val="Footnotesection"/>
      </w:pPr>
      <w:bookmarkStart w:id="1902" w:name="_Toc87252983"/>
      <w:r>
        <w:tab/>
        <w:t>[Section 146T inserted by No. 42 of 2004 s. 110.]</w:t>
      </w:r>
    </w:p>
    <w:p>
      <w:pPr>
        <w:pStyle w:val="Heading5"/>
      </w:pPr>
      <w:bookmarkStart w:id="1903" w:name="_Toc122833349"/>
      <w:bookmarkStart w:id="1904" w:name="_Toc122833916"/>
      <w:r>
        <w:rPr>
          <w:rStyle w:val="CharSectno"/>
        </w:rPr>
        <w:t>146U</w:t>
      </w:r>
      <w:r>
        <w:t>.</w:t>
      </w:r>
      <w:r>
        <w:tab/>
        <w:t>Procedures</w:t>
      </w:r>
      <w:bookmarkEnd w:id="1902"/>
      <w:bookmarkEnd w:id="1903"/>
      <w:bookmarkEnd w:id="1904"/>
    </w:p>
    <w:p>
      <w:pPr>
        <w:pStyle w:val="Subsection"/>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pPr>
      <w:r>
        <w:tab/>
        <w:t>(2)</w:t>
      </w:r>
      <w:r>
        <w:tab/>
        <w:t xml:space="preserve">For the purposes of assisting it in making an assessment a specialised retraining assessment panel may request the worker, employer, insurer, medical practitioner or approved vocational rehabilitation provider concerned — </w:t>
      </w:r>
    </w:p>
    <w:p>
      <w:pPr>
        <w:pStyle w:val="Indenta"/>
      </w:pPr>
      <w:r>
        <w:tab/>
        <w:t>(a)</w:t>
      </w:r>
      <w:r>
        <w:tab/>
        <w:t>to attend before the panel;</w:t>
      </w:r>
    </w:p>
    <w:p>
      <w:pPr>
        <w:pStyle w:val="Indenta"/>
      </w:pPr>
      <w:r>
        <w:tab/>
        <w:t>(b)</w:t>
      </w:r>
      <w:r>
        <w:tab/>
        <w:t>to answer questions put by the panel;</w:t>
      </w:r>
    </w:p>
    <w:p>
      <w:pPr>
        <w:pStyle w:val="Indenta"/>
      </w:pPr>
      <w:r>
        <w:tab/>
        <w:t>(c)</w:t>
      </w:r>
      <w:r>
        <w:tab/>
        <w:t xml:space="preserve">to produce to the panel any relevant document; or </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bookmarkStart w:id="1905" w:name="_Toc87252984"/>
      <w:r>
        <w:tab/>
        <w:t>[Section 146U inserted by No. 42 of 2004 s. 110.]</w:t>
      </w:r>
    </w:p>
    <w:p>
      <w:pPr>
        <w:pStyle w:val="Heading5"/>
      </w:pPr>
      <w:bookmarkStart w:id="1906" w:name="_Toc122833350"/>
      <w:bookmarkStart w:id="1907" w:name="_Toc122833917"/>
      <w:r>
        <w:rPr>
          <w:rStyle w:val="CharSectno"/>
        </w:rPr>
        <w:t>146V</w:t>
      </w:r>
      <w:r>
        <w:t>.</w:t>
      </w:r>
      <w:r>
        <w:tab/>
        <w:t>Assessments</w:t>
      </w:r>
      <w:bookmarkEnd w:id="1905"/>
      <w:bookmarkEnd w:id="1906"/>
      <w:bookmarkEnd w:id="1907"/>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Director, and are to be given to the Director within 7 days after the day on which the assessment is made.</w:t>
      </w:r>
    </w:p>
    <w:p>
      <w:pPr>
        <w:pStyle w:val="Subsection"/>
      </w:pPr>
      <w:r>
        <w:tab/>
        <w:t>(4)</w:t>
      </w:r>
      <w:r>
        <w:tab/>
        <w:t>The Director is to give the assessment and reasons to the person who referred the question to the panel and the worker concerned within 7 days after the day on which the Director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 xml:space="preserve">The assessment is —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pPr>
      <w:r>
        <w:tab/>
        <w:t>(7)</w:t>
      </w:r>
      <w:r>
        <w:tab/>
        <w:t xml:space="preserve">An assessment of a specialised retraining assessment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pPr>
      <w:r>
        <w:tab/>
        <w:t>(9)</w:t>
      </w:r>
      <w:r>
        <w:tab/>
        <w:t xml:space="preserve">In subsection (8) — </w:t>
      </w:r>
    </w:p>
    <w:p>
      <w:pPr>
        <w:pStyle w:val="Defstart"/>
      </w:pPr>
      <w:r>
        <w:rPr>
          <w:b/>
        </w:rPr>
        <w:tab/>
        <w:t>“</w:t>
      </w:r>
      <w:r>
        <w:rPr>
          <w:rStyle w:val="CharDefText"/>
        </w:rPr>
        <w:t>decision of a specialised retraining assessment panel</w:t>
      </w:r>
      <w:r>
        <w:rPr>
          <w:b/>
        </w:rPr>
        <w:t>”</w:t>
      </w:r>
      <w:r>
        <w:t xml:space="preserve"> means an opinion, assessment, or other decision of a specialised retraining assessment panel that is relevant to the operation of Part IXA.</w:t>
      </w:r>
    </w:p>
    <w:p>
      <w:pPr>
        <w:pStyle w:val="Footnotesection"/>
      </w:pPr>
      <w:bookmarkStart w:id="1908" w:name="_Toc87252985"/>
      <w:r>
        <w:tab/>
        <w:t>[Section 146V inserted by No. 42 of 2004 s. 110.]</w:t>
      </w:r>
    </w:p>
    <w:p>
      <w:pPr>
        <w:pStyle w:val="Heading5"/>
      </w:pPr>
      <w:bookmarkStart w:id="1909" w:name="_Toc122833351"/>
      <w:bookmarkStart w:id="1910" w:name="_Toc122833918"/>
      <w:r>
        <w:rPr>
          <w:rStyle w:val="CharSectno"/>
        </w:rPr>
        <w:t>146W</w:t>
      </w:r>
      <w:r>
        <w:t>.</w:t>
      </w:r>
      <w:r>
        <w:tab/>
        <w:t>Remuneration</w:t>
      </w:r>
      <w:bookmarkEnd w:id="1908"/>
      <w:bookmarkEnd w:id="1909"/>
      <w:bookmarkEnd w:id="1910"/>
    </w:p>
    <w:p>
      <w:pPr>
        <w:pStyle w:val="Subsection"/>
      </w:pPr>
      <w:r>
        <w:tab/>
        <w:t>(1)</w:t>
      </w:r>
      <w:r>
        <w:tab/>
        <w:t>A member of a specialised retraining assessment panel who is not an officer of WorkCover WA is entitled to such fees and allowances as may be determined by the Minister.</w:t>
      </w:r>
    </w:p>
    <w:p>
      <w:pPr>
        <w:pStyle w:val="Subsection"/>
      </w:pPr>
      <w:r>
        <w:tab/>
        <w:t>(2)</w:t>
      </w:r>
      <w:r>
        <w:tab/>
        <w:t>The fees and allowances mentioned in subsection (1) shall be paid by WorkCover WA from moneys standing to the credit of the General Fund.</w:t>
      </w:r>
    </w:p>
    <w:p>
      <w:pPr>
        <w:pStyle w:val="Footnotesection"/>
      </w:pPr>
      <w:r>
        <w:tab/>
        <w:t>[Section 146W inserted by No. 42 of 2004 s. 110.]</w:t>
      </w:r>
    </w:p>
    <w:p>
      <w:pPr>
        <w:pStyle w:val="Heading2"/>
      </w:pPr>
      <w:bookmarkStart w:id="1911" w:name="_Toc119132633"/>
      <w:bookmarkStart w:id="1912" w:name="_Toc119203303"/>
      <w:bookmarkStart w:id="1913" w:name="_Toc119203949"/>
      <w:bookmarkStart w:id="1914" w:name="_Toc119216279"/>
      <w:bookmarkStart w:id="1915" w:name="_Toc119300799"/>
      <w:bookmarkStart w:id="1916" w:name="_Toc119301366"/>
      <w:bookmarkStart w:id="1917" w:name="_Toc119301935"/>
      <w:bookmarkStart w:id="1918" w:name="_Toc119920122"/>
      <w:bookmarkStart w:id="1919" w:name="_Toc122774109"/>
      <w:bookmarkStart w:id="1920" w:name="_Toc122833352"/>
      <w:bookmarkStart w:id="1921" w:name="_Toc122833919"/>
      <w:r>
        <w:rPr>
          <w:rStyle w:val="CharPartNo"/>
        </w:rPr>
        <w:t>Part VIII</w:t>
      </w:r>
      <w:r>
        <w:rPr>
          <w:rStyle w:val="CharDivNo"/>
        </w:rPr>
        <w:t> </w:t>
      </w:r>
      <w:r>
        <w:t>—</w:t>
      </w:r>
      <w:r>
        <w:rPr>
          <w:rStyle w:val="CharDivText"/>
        </w:rPr>
        <w:t> </w:t>
      </w:r>
      <w:r>
        <w:rPr>
          <w:rStyle w:val="CharPartText"/>
        </w:rPr>
        <w:t>Premium Rates</w:t>
      </w:r>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911"/>
      <w:bookmarkEnd w:id="1912"/>
      <w:bookmarkEnd w:id="1913"/>
      <w:bookmarkEnd w:id="1914"/>
      <w:bookmarkEnd w:id="1915"/>
      <w:bookmarkEnd w:id="1916"/>
      <w:bookmarkEnd w:id="1917"/>
      <w:bookmarkEnd w:id="1918"/>
      <w:bookmarkEnd w:id="1919"/>
      <w:bookmarkEnd w:id="1920"/>
      <w:bookmarkEnd w:id="1921"/>
    </w:p>
    <w:p>
      <w:pPr>
        <w:pStyle w:val="Footnoteheading"/>
        <w:tabs>
          <w:tab w:val="left" w:pos="851"/>
        </w:tabs>
      </w:pPr>
      <w:r>
        <w:tab/>
        <w:t>[Heading amended by No. 42 of 2004 s. 111.]</w:t>
      </w:r>
    </w:p>
    <w:p>
      <w:pPr>
        <w:pStyle w:val="Ednotesection"/>
        <w:rPr>
          <w:b/>
        </w:rPr>
      </w:pPr>
      <w:r>
        <w:t>[</w:t>
      </w:r>
      <w:r>
        <w:rPr>
          <w:b/>
        </w:rPr>
        <w:t>147</w:t>
      </w:r>
      <w:r>
        <w:rPr>
          <w:b/>
        </w:rPr>
        <w:noBreakHyphen/>
        <w:t>150.</w:t>
      </w:r>
      <w:r>
        <w:rPr>
          <w:b/>
        </w:rPr>
        <w:tab/>
      </w:r>
      <w:r>
        <w:t>Repealed by No. 42 of 2004 s. 112.]</w:t>
      </w:r>
    </w:p>
    <w:p>
      <w:pPr>
        <w:pStyle w:val="Heading5"/>
        <w:spacing w:before="120"/>
        <w:rPr>
          <w:snapToGrid w:val="0"/>
        </w:rPr>
      </w:pPr>
      <w:bookmarkStart w:id="1922" w:name="_Toc440878017"/>
      <w:bookmarkStart w:id="1923" w:name="_Toc517775375"/>
      <w:bookmarkStart w:id="1924" w:name="_Toc520107123"/>
      <w:bookmarkStart w:id="1925" w:name="_Toc523111748"/>
      <w:bookmarkStart w:id="1926" w:name="_Toc122833353"/>
      <w:bookmarkStart w:id="1927" w:name="_Toc122833920"/>
      <w:r>
        <w:rPr>
          <w:rStyle w:val="CharSectno"/>
        </w:rPr>
        <w:t>151</w:t>
      </w:r>
      <w:r>
        <w:rPr>
          <w:snapToGrid w:val="0"/>
        </w:rPr>
        <w:t>.</w:t>
      </w:r>
      <w:r>
        <w:rPr>
          <w:snapToGrid w:val="0"/>
        </w:rPr>
        <w:tab/>
        <w:t>Fixing premiums</w:t>
      </w:r>
      <w:bookmarkEnd w:id="1922"/>
      <w:bookmarkEnd w:id="1923"/>
      <w:bookmarkEnd w:id="1924"/>
      <w:bookmarkEnd w:id="1925"/>
      <w:bookmarkEnd w:id="1926"/>
      <w:bookmarkEnd w:id="1927"/>
      <w:r>
        <w:rPr>
          <w:snapToGrid w:val="0"/>
        </w:rPr>
        <w:t xml:space="preserve"> </w:t>
      </w:r>
    </w:p>
    <w:p>
      <w:pPr>
        <w:pStyle w:val="Subsection"/>
        <w:spacing w:before="100"/>
        <w:rPr>
          <w:snapToGrid w:val="0"/>
        </w:rPr>
      </w:pPr>
      <w:r>
        <w:rPr>
          <w:snapToGrid w:val="0"/>
        </w:rPr>
        <w:tab/>
      </w:r>
      <w:r>
        <w:rPr>
          <w:snapToGrid w:val="0"/>
        </w:rPr>
        <w:tab/>
        <w:t>For the purpose of fixing premium rates to be charged for insurance in respect of all insurable risks under this Act, the following provisions apply — </w:t>
      </w:r>
    </w:p>
    <w:p>
      <w:pPr>
        <w:pStyle w:val="Indenta"/>
        <w:rPr>
          <w:snapToGrid w:val="0"/>
        </w:rPr>
      </w:pPr>
      <w:r>
        <w:rPr>
          <w:snapToGrid w:val="0"/>
        </w:rPr>
        <w:tab/>
        <w:t>(a)</w:t>
      </w:r>
      <w:r>
        <w:rPr>
          <w:snapToGrid w:val="0"/>
        </w:rPr>
        <w:tab/>
      </w:r>
      <w:r>
        <w:t>WorkCover WA</w:t>
      </w:r>
      <w:r>
        <w:rPr>
          <w:snapToGrid w:val="0"/>
        </w:rPr>
        <w:t xml:space="preserve"> shall from time to time —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pneumoconiosis and mesothelioma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r>
        <w:t>WorkCover WA</w:t>
      </w:r>
      <w:r>
        <w:rPr>
          <w:snapToGrid w:val="0"/>
        </w:rPr>
        <w:t xml:space="preserve"> for that class.</w:t>
      </w:r>
    </w:p>
    <w:p>
      <w:pPr>
        <w:pStyle w:val="Footnotesection"/>
      </w:pPr>
      <w:r>
        <w:tab/>
        <w:t xml:space="preserve">[Section 151 amended by No. 44 of 1985 s. 30; No. 96 of 1990 s. 30; No. 42 of 2004 s. 113 and 153.] </w:t>
      </w:r>
    </w:p>
    <w:p>
      <w:pPr>
        <w:pStyle w:val="Heading5"/>
        <w:spacing w:before="120"/>
        <w:rPr>
          <w:snapToGrid w:val="0"/>
        </w:rPr>
      </w:pPr>
      <w:bookmarkStart w:id="1928" w:name="_Toc440878018"/>
      <w:bookmarkStart w:id="1929" w:name="_Toc517775376"/>
      <w:bookmarkStart w:id="1930" w:name="_Toc520107124"/>
      <w:bookmarkStart w:id="1931" w:name="_Toc523111749"/>
      <w:bookmarkStart w:id="1932" w:name="_Toc122833354"/>
      <w:bookmarkStart w:id="1933" w:name="_Toc122833921"/>
      <w:r>
        <w:rPr>
          <w:rStyle w:val="CharSectno"/>
        </w:rPr>
        <w:t>151A</w:t>
      </w:r>
      <w:r>
        <w:rPr>
          <w:snapToGrid w:val="0"/>
        </w:rPr>
        <w:t>.</w:t>
      </w:r>
      <w:r>
        <w:rPr>
          <w:snapToGrid w:val="0"/>
        </w:rPr>
        <w:tab/>
        <w:t>Report as to rates</w:t>
      </w:r>
      <w:bookmarkEnd w:id="1928"/>
      <w:bookmarkEnd w:id="1929"/>
      <w:bookmarkEnd w:id="1930"/>
      <w:bookmarkEnd w:id="1931"/>
      <w:bookmarkEnd w:id="1932"/>
      <w:bookmarkEnd w:id="1933"/>
      <w:r>
        <w:rPr>
          <w:snapToGrid w:val="0"/>
        </w:rPr>
        <w:t xml:space="preserve"> </w:t>
      </w:r>
    </w:p>
    <w:p>
      <w:pPr>
        <w:pStyle w:val="Subsection"/>
        <w:spacing w:before="80"/>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keepNext/>
        <w:spacing w:before="80"/>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 xml:space="preserve">[Section 151A inserted by No. 96 of 1990 s. 31; amended by No. 42 of 2004 s. 153.] </w:t>
      </w:r>
    </w:p>
    <w:p>
      <w:pPr>
        <w:pStyle w:val="Heading5"/>
        <w:spacing w:before="160"/>
      </w:pPr>
      <w:bookmarkStart w:id="1934" w:name="_Toc122833355"/>
      <w:bookmarkStart w:id="1935" w:name="_Toc122833922"/>
      <w:bookmarkStart w:id="1936" w:name="_Toc440878020"/>
      <w:r>
        <w:rPr>
          <w:rStyle w:val="CharSectno"/>
        </w:rPr>
        <w:t>152</w:t>
      </w:r>
      <w:r>
        <w:t>.</w:t>
      </w:r>
      <w:r>
        <w:tab/>
        <w:t>Loading not to exceed 100% unless permitted by WorkCover WA</w:t>
      </w:r>
      <w:bookmarkEnd w:id="1934"/>
      <w:bookmarkEnd w:id="1935"/>
    </w:p>
    <w:p>
      <w:pPr>
        <w:pStyle w:val="Subsection"/>
        <w:spacing w:before="80"/>
      </w:pPr>
      <w:r>
        <w:tab/>
      </w:r>
      <w:r>
        <w:tab/>
        <w:t>Unless permitted by WorkCover WA to do so, an insurer shall not charge a loading on a recommended premium rate of more than 75% of that rate.</w:t>
      </w:r>
    </w:p>
    <w:p>
      <w:pPr>
        <w:pStyle w:val="Penstart"/>
      </w:pPr>
      <w:r>
        <w:tab/>
        <w:t>Penalty: $1 000.</w:t>
      </w:r>
    </w:p>
    <w:p>
      <w:pPr>
        <w:pStyle w:val="Footnotesection"/>
      </w:pPr>
      <w:r>
        <w:tab/>
        <w:t>[Section 152 inserted by No. 34 of 1999 s. 40; amended by No. 42 of 2004 s. 114(1), (2) and 150.]</w:t>
      </w:r>
    </w:p>
    <w:p>
      <w:pPr>
        <w:pStyle w:val="Heading5"/>
        <w:spacing w:before="160"/>
        <w:rPr>
          <w:snapToGrid w:val="0"/>
        </w:rPr>
      </w:pPr>
      <w:bookmarkStart w:id="1937" w:name="_Toc517775378"/>
      <w:bookmarkStart w:id="1938" w:name="_Toc520107126"/>
      <w:bookmarkStart w:id="1939" w:name="_Toc523111751"/>
      <w:bookmarkStart w:id="1940" w:name="_Toc122833356"/>
      <w:bookmarkStart w:id="1941" w:name="_Toc122833923"/>
      <w:r>
        <w:rPr>
          <w:rStyle w:val="CharSectno"/>
        </w:rPr>
        <w:t>153.</w:t>
      </w:r>
      <w:r>
        <w:rPr>
          <w:rStyle w:val="CharSectno"/>
        </w:rPr>
        <w:tab/>
      </w:r>
      <w:r>
        <w:rPr>
          <w:snapToGrid w:val="0"/>
        </w:rPr>
        <w:t>Fixing maximum loading or discount</w:t>
      </w:r>
      <w:bookmarkEnd w:id="1936"/>
      <w:bookmarkEnd w:id="1937"/>
      <w:bookmarkEnd w:id="1938"/>
      <w:bookmarkEnd w:id="1939"/>
      <w:bookmarkEnd w:id="1940"/>
      <w:bookmarkEnd w:id="1941"/>
      <w:r>
        <w:rPr>
          <w:snapToGrid w:val="0"/>
        </w:rPr>
        <w:t xml:space="preserve"> </w:t>
      </w:r>
    </w:p>
    <w:p>
      <w:pPr>
        <w:pStyle w:val="Subsection"/>
        <w:spacing w:before="80"/>
        <w:rPr>
          <w:snapToGrid w:val="0"/>
        </w:rPr>
      </w:pPr>
      <w:r>
        <w:rPr>
          <w:snapToGrid w:val="0"/>
        </w:rPr>
        <w:tab/>
      </w:r>
      <w:r>
        <w:rPr>
          <w:snapToGrid w:val="0"/>
        </w:rPr>
        <w:tab/>
        <w:t xml:space="preserve">Subject to section 152, </w:t>
      </w:r>
      <w:r>
        <w:t>WorkCover WA</w:t>
      </w:r>
      <w:r>
        <w:rPr>
          <w:snapToGrid w:val="0"/>
        </w:rPr>
        <w:t xml:space="preserve"> may set the maximum permissible loading or the maximum permissible discount which may be charged or given in respect of a recommended premium rate.</w:t>
      </w:r>
    </w:p>
    <w:p>
      <w:pPr>
        <w:pStyle w:val="Footnotesection"/>
      </w:pPr>
      <w:r>
        <w:tab/>
        <w:t>[Section 153 amended by No. 42 of 2004 s. 115 and 150.]</w:t>
      </w:r>
    </w:p>
    <w:p>
      <w:pPr>
        <w:pStyle w:val="Heading5"/>
        <w:rPr>
          <w:snapToGrid w:val="0"/>
        </w:rPr>
      </w:pPr>
      <w:bookmarkStart w:id="1942" w:name="_Toc440878021"/>
      <w:bookmarkStart w:id="1943" w:name="_Toc517775379"/>
      <w:bookmarkStart w:id="1944" w:name="_Toc520107127"/>
      <w:bookmarkStart w:id="1945" w:name="_Toc523111752"/>
      <w:bookmarkStart w:id="1946" w:name="_Toc122833357"/>
      <w:bookmarkStart w:id="1947" w:name="_Toc122833924"/>
      <w:r>
        <w:rPr>
          <w:rStyle w:val="CharSectno"/>
        </w:rPr>
        <w:t>153A</w:t>
      </w:r>
      <w:r>
        <w:rPr>
          <w:snapToGrid w:val="0"/>
        </w:rPr>
        <w:t>.</w:t>
      </w:r>
      <w:r>
        <w:rPr>
          <w:snapToGrid w:val="0"/>
        </w:rPr>
        <w:tab/>
        <w:t>Minimum premiums</w:t>
      </w:r>
      <w:bookmarkEnd w:id="1942"/>
      <w:bookmarkEnd w:id="1943"/>
      <w:bookmarkEnd w:id="1944"/>
      <w:bookmarkEnd w:id="1945"/>
      <w:bookmarkEnd w:id="1946"/>
      <w:bookmarkEnd w:id="1947"/>
      <w:r>
        <w:rPr>
          <w:snapToGrid w:val="0"/>
        </w:rPr>
        <w:t xml:space="preserve"> </w:t>
      </w:r>
    </w:p>
    <w:p>
      <w:pPr>
        <w:pStyle w:val="Subsection"/>
        <w:rPr>
          <w:snapToGrid w:val="0"/>
        </w:rPr>
      </w:pPr>
      <w:r>
        <w:rPr>
          <w:snapToGrid w:val="0"/>
        </w:rPr>
        <w:tab/>
      </w:r>
      <w:r>
        <w:rPr>
          <w:snapToGrid w:val="0"/>
        </w:rPr>
        <w:tab/>
      </w:r>
      <w:r>
        <w:t>WorkCover WA</w:t>
      </w:r>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pPr>
      <w:r>
        <w:tab/>
        <w:t xml:space="preserve">[Section 153A inserted by No. 33 of 1986 s. 6; amended by No. 42 of 2004 s. 153.] </w:t>
      </w:r>
    </w:p>
    <w:p>
      <w:pPr>
        <w:pStyle w:val="Heading5"/>
        <w:rPr>
          <w:snapToGrid w:val="0"/>
        </w:rPr>
      </w:pPr>
      <w:bookmarkStart w:id="1948" w:name="_Toc440878022"/>
      <w:bookmarkStart w:id="1949" w:name="_Toc517775380"/>
      <w:bookmarkStart w:id="1950" w:name="_Toc520107128"/>
      <w:bookmarkStart w:id="1951" w:name="_Toc523111753"/>
      <w:bookmarkStart w:id="1952" w:name="_Toc122833358"/>
      <w:bookmarkStart w:id="1953" w:name="_Toc122833925"/>
      <w:r>
        <w:rPr>
          <w:rStyle w:val="CharSectno"/>
        </w:rPr>
        <w:t>154</w:t>
      </w:r>
      <w:r>
        <w:rPr>
          <w:snapToGrid w:val="0"/>
        </w:rPr>
        <w:t>.</w:t>
      </w:r>
      <w:r>
        <w:rPr>
          <w:snapToGrid w:val="0"/>
        </w:rPr>
        <w:tab/>
        <w:t>Appeals</w:t>
      </w:r>
      <w:bookmarkEnd w:id="1948"/>
      <w:bookmarkEnd w:id="1949"/>
      <w:bookmarkEnd w:id="1950"/>
      <w:bookmarkEnd w:id="1951"/>
      <w:bookmarkEnd w:id="1952"/>
      <w:bookmarkEnd w:id="1953"/>
      <w:r>
        <w:rPr>
          <w:snapToGrid w:val="0"/>
        </w:rPr>
        <w:t xml:space="preserve"> </w:t>
      </w:r>
    </w:p>
    <w:p>
      <w:pPr>
        <w:pStyle w:val="Subsection"/>
        <w:rPr>
          <w:snapToGrid w:val="0"/>
        </w:rPr>
      </w:pPr>
      <w:r>
        <w:rPr>
          <w:snapToGrid w:val="0"/>
        </w:rPr>
        <w:tab/>
        <w:t>(1)</w:t>
      </w:r>
      <w:r>
        <w:rPr>
          <w:snapToGrid w:val="0"/>
        </w:rPr>
        <w:tab/>
        <w:t>An employer who is dissatisfied with — </w:t>
      </w:r>
    </w:p>
    <w:p>
      <w:pPr>
        <w:pStyle w:val="Indenta"/>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rPr>
          <w:snapToGrid w:val="0"/>
        </w:rPr>
      </w:pPr>
      <w:r>
        <w:rPr>
          <w:snapToGrid w:val="0"/>
        </w:rPr>
        <w:tab/>
      </w:r>
      <w:r>
        <w:rPr>
          <w:snapToGrid w:val="0"/>
        </w:rPr>
        <w:tab/>
        <w:t xml:space="preserve">may appeal against the classification or assessment to </w:t>
      </w:r>
      <w:r>
        <w:t>WorkCover WA</w:t>
      </w:r>
      <w:r>
        <w:rPr>
          <w:snapToGrid w:val="0"/>
        </w:rPr>
        <w:t xml:space="preserve"> in the manner and within the time provided in subsections (2) and (4).</w:t>
      </w:r>
    </w:p>
    <w:p>
      <w:pPr>
        <w:pStyle w:val="Subsection"/>
        <w:rPr>
          <w:snapToGrid w:val="0"/>
        </w:rPr>
      </w:pPr>
      <w:r>
        <w:rPr>
          <w:snapToGrid w:val="0"/>
        </w:rPr>
        <w:tab/>
        <w:t>(2)</w:t>
      </w:r>
      <w:r>
        <w:rPr>
          <w:snapToGrid w:val="0"/>
        </w:rPr>
        <w:tab/>
        <w:t>The appeal is made by giving written notice of it —</w:t>
      </w:r>
    </w:p>
    <w:p>
      <w:pPr>
        <w:pStyle w:val="Indenta"/>
        <w:rPr>
          <w:snapToGrid w:val="0"/>
        </w:rPr>
      </w:pPr>
      <w:r>
        <w:rPr>
          <w:snapToGrid w:val="0"/>
        </w:rPr>
        <w:tab/>
        <w:t>(a)</w:t>
      </w:r>
      <w:r>
        <w:rPr>
          <w:snapToGrid w:val="0"/>
        </w:rPr>
        <w:tab/>
      </w:r>
      <w:r>
        <w:t>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allow;</w:t>
      </w:r>
    </w:p>
    <w:p>
      <w:pPr>
        <w:pStyle w:val="Ednotepara"/>
        <w:rPr>
          <w:snapToGrid w:val="0"/>
        </w:rPr>
      </w:pPr>
      <w:r>
        <w:rPr>
          <w:snapToGrid w:val="0"/>
        </w:rPr>
        <w:tab/>
        <w:t>[(b)</w:t>
      </w:r>
      <w:r>
        <w:rPr>
          <w:snapToGrid w:val="0"/>
        </w:rPr>
        <w:tab/>
        <w:t>deleted]</w:t>
      </w:r>
    </w:p>
    <w:p>
      <w:pPr>
        <w:pStyle w:val="Subsection"/>
        <w:rPr>
          <w:snapToGrid w:val="0"/>
        </w:rPr>
      </w:pPr>
      <w:r>
        <w:rPr>
          <w:snapToGrid w:val="0"/>
        </w:rPr>
        <w:tab/>
      </w:r>
      <w:r>
        <w:rPr>
          <w:snapToGrid w:val="0"/>
        </w:rPr>
        <w:tab/>
        <w:t>stating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by No. 51 of 1986 s. 46(2); No. 96 of 1990 s. 32; No. 34 of 1999 s. 41; No. 42 of 2004 s. 116, 150 and 153.]</w:t>
      </w:r>
    </w:p>
    <w:p>
      <w:pPr>
        <w:pStyle w:val="Heading5"/>
      </w:pPr>
      <w:bookmarkStart w:id="1954" w:name="_Toc122833359"/>
      <w:bookmarkStart w:id="1955" w:name="_Toc122833926"/>
      <w:r>
        <w:rPr>
          <w:rStyle w:val="CharSectno"/>
        </w:rPr>
        <w:t>154A</w:t>
      </w:r>
      <w:r>
        <w:t>.</w:t>
      </w:r>
      <w:r>
        <w:tab/>
        <w:t>Regulations for provision of information</w:t>
      </w:r>
      <w:bookmarkEnd w:id="1954"/>
      <w:bookmarkEnd w:id="1955"/>
    </w:p>
    <w:p>
      <w:pPr>
        <w:pStyle w:val="Subsection"/>
        <w:outlineLvl w:val="0"/>
      </w:pPr>
      <w:r>
        <w:tab/>
        <w:t>(1)</w:t>
      </w:r>
      <w:r>
        <w:tab/>
        <w:t xml:space="preserve">Regulations may provide for an insurer to inform an employer of —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outlineLvl w:val="0"/>
      </w:pPr>
      <w:r>
        <w:tab/>
        <w:t>(2)</w:t>
      </w:r>
      <w:r>
        <w:tab/>
        <w:t>In subsection (1) —</w:t>
      </w:r>
    </w:p>
    <w:p>
      <w:pPr>
        <w:pStyle w:val="Defstart"/>
      </w:pPr>
      <w:r>
        <w:rPr>
          <w:b/>
        </w:rPr>
        <w:tab/>
        <w:t>“</w:t>
      </w:r>
      <w:r>
        <w:rPr>
          <w:rStyle w:val="CharDefText"/>
        </w:rPr>
        <w:t>employer</w:t>
      </w:r>
      <w:r>
        <w:rPr>
          <w:b/>
        </w:rPr>
        <w:t>”</w:t>
      </w:r>
      <w:r>
        <w:t xml:space="preserve"> means an employer holding, or seeking to obtain, a policy of insurance against liability to pay compensation under this Act;</w:t>
      </w:r>
    </w:p>
    <w:p>
      <w:pPr>
        <w:pStyle w:val="Defstart"/>
      </w:pPr>
      <w:r>
        <w:rPr>
          <w:b/>
        </w:rPr>
        <w:tab/>
        <w:t>“</w:t>
      </w:r>
      <w:r>
        <w:rPr>
          <w:rStyle w:val="CharDefText"/>
        </w:rPr>
        <w:t>specified</w:t>
      </w:r>
      <w:r>
        <w:rPr>
          <w:b/>
        </w:rPr>
        <w:t>”</w:t>
      </w:r>
      <w:r>
        <w:t xml:space="preserve"> means specified in the regulations.</w:t>
      </w:r>
    </w:p>
    <w:p>
      <w:pPr>
        <w:pStyle w:val="Footnotesection"/>
      </w:pPr>
      <w:r>
        <w:tab/>
        <w:t>[Section 154A inserted by No. 42 of 2004 s. 117.]</w:t>
      </w:r>
    </w:p>
    <w:p>
      <w:pPr>
        <w:pStyle w:val="Heading5"/>
      </w:pPr>
      <w:bookmarkStart w:id="1956" w:name="_Toc122833360"/>
      <w:bookmarkStart w:id="1957" w:name="_Toc122833927"/>
      <w:r>
        <w:rPr>
          <w:rStyle w:val="CharSectno"/>
        </w:rPr>
        <w:t>154AB</w:t>
      </w:r>
      <w:r>
        <w:t>.</w:t>
      </w:r>
      <w:r>
        <w:tab/>
        <w:t>Special directions by Minister</w:t>
      </w:r>
      <w:bookmarkEnd w:id="1956"/>
      <w:bookmarkEnd w:id="1957"/>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by No. 42 of 2004 s. 117.]</w:t>
      </w:r>
    </w:p>
    <w:p>
      <w:pPr>
        <w:pStyle w:val="Heading5"/>
      </w:pPr>
      <w:bookmarkStart w:id="1958" w:name="_Toc122833361"/>
      <w:bookmarkStart w:id="1959" w:name="_Toc122833928"/>
      <w:r>
        <w:rPr>
          <w:rStyle w:val="CharSectno"/>
        </w:rPr>
        <w:t>154AC</w:t>
      </w:r>
      <w:r>
        <w:t>.</w:t>
      </w:r>
      <w:r>
        <w:tab/>
        <w:t>Regulations for subsidy from Supplementation Fund</w:t>
      </w:r>
      <w:bookmarkEnd w:id="1958"/>
      <w:bookmarkEnd w:id="1959"/>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WorkCover WA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by No. 35 of 2004 s. 11; amended by No. 42 of 2004 s. 150.]</w:t>
      </w:r>
    </w:p>
    <w:p>
      <w:pPr>
        <w:pStyle w:val="Heading2"/>
      </w:pPr>
      <w:bookmarkStart w:id="1960" w:name="_Toc87252996"/>
      <w:bookmarkStart w:id="1961" w:name="_Toc119132643"/>
      <w:bookmarkStart w:id="1962" w:name="_Toc119203313"/>
      <w:bookmarkStart w:id="1963" w:name="_Toc119203959"/>
      <w:bookmarkStart w:id="1964" w:name="_Toc119216289"/>
      <w:bookmarkStart w:id="1965" w:name="_Toc119300809"/>
      <w:bookmarkStart w:id="1966" w:name="_Toc119301376"/>
      <w:bookmarkStart w:id="1967" w:name="_Toc119301945"/>
      <w:bookmarkStart w:id="1968" w:name="_Toc119920132"/>
      <w:bookmarkStart w:id="1969" w:name="_Toc122774119"/>
      <w:bookmarkStart w:id="1970" w:name="_Toc122833362"/>
      <w:bookmarkStart w:id="1971" w:name="_Toc122833929"/>
      <w:bookmarkStart w:id="1972" w:name="_Toc86740136"/>
      <w:bookmarkStart w:id="1973" w:name="_Toc88562540"/>
      <w:bookmarkStart w:id="1974" w:name="_Toc88625457"/>
      <w:bookmarkStart w:id="1975" w:name="_Toc91386119"/>
      <w:bookmarkStart w:id="1976" w:name="_Toc92705137"/>
      <w:bookmarkStart w:id="1977" w:name="_Toc93222600"/>
      <w:bookmarkStart w:id="1978" w:name="_Toc95022677"/>
      <w:bookmarkStart w:id="1979" w:name="_Toc95117949"/>
      <w:bookmarkStart w:id="1980" w:name="_Toc96498354"/>
      <w:bookmarkStart w:id="1981" w:name="_Toc96500832"/>
      <w:bookmarkStart w:id="1982" w:name="_Toc101779747"/>
      <w:bookmarkStart w:id="1983" w:name="_Toc103060195"/>
      <w:bookmarkStart w:id="1984" w:name="_Toc105471091"/>
      <w:bookmarkStart w:id="1985" w:name="_Toc105475005"/>
      <w:bookmarkStart w:id="1986" w:name="_Toc107308107"/>
      <w:bookmarkStart w:id="1987" w:name="_Toc109712340"/>
      <w:bookmarkStart w:id="1988" w:name="_Toc109724223"/>
      <w:bookmarkStart w:id="1989" w:name="_Toc110054095"/>
      <w:bookmarkStart w:id="1990" w:name="_Toc110054484"/>
      <w:bookmarkStart w:id="1991" w:name="_Toc110654564"/>
      <w:bookmarkStart w:id="1992" w:name="_Toc110736002"/>
      <w:bookmarkStart w:id="1993" w:name="_Toc110738738"/>
      <w:bookmarkStart w:id="1994" w:name="_Toc115691412"/>
      <w:bookmarkStart w:id="1995" w:name="_Toc115773709"/>
      <w:r>
        <w:rPr>
          <w:rStyle w:val="CharPartNo"/>
        </w:rPr>
        <w:t>Part IX</w:t>
      </w:r>
      <w:r>
        <w:rPr>
          <w:b w:val="0"/>
        </w:rPr>
        <w:t> </w:t>
      </w:r>
      <w:r>
        <w:t>—</w:t>
      </w:r>
      <w:r>
        <w:rPr>
          <w:b w:val="0"/>
        </w:rPr>
        <w:t> </w:t>
      </w:r>
      <w:r>
        <w:rPr>
          <w:rStyle w:val="CharPartText"/>
        </w:rPr>
        <w:t>Injury management</w:t>
      </w:r>
      <w:bookmarkEnd w:id="1960"/>
      <w:bookmarkEnd w:id="1961"/>
      <w:bookmarkEnd w:id="1962"/>
      <w:bookmarkEnd w:id="1963"/>
      <w:bookmarkEnd w:id="1964"/>
      <w:bookmarkEnd w:id="1965"/>
      <w:bookmarkEnd w:id="1966"/>
      <w:bookmarkEnd w:id="1967"/>
      <w:bookmarkEnd w:id="1968"/>
      <w:bookmarkEnd w:id="1969"/>
      <w:bookmarkEnd w:id="1970"/>
      <w:bookmarkEnd w:id="1971"/>
    </w:p>
    <w:p>
      <w:pPr>
        <w:pStyle w:val="Footnoteheading"/>
      </w:pPr>
      <w:bookmarkStart w:id="1996" w:name="_Toc87252997"/>
      <w:r>
        <w:tab/>
        <w:t>[Heading inserted by No. 42 of 2004 s. 118.]</w:t>
      </w:r>
    </w:p>
    <w:p>
      <w:pPr>
        <w:pStyle w:val="Heading5"/>
      </w:pPr>
      <w:bookmarkStart w:id="1997" w:name="_Toc122833363"/>
      <w:bookmarkStart w:id="1998" w:name="_Toc122833930"/>
      <w:r>
        <w:rPr>
          <w:rStyle w:val="CharSectno"/>
        </w:rPr>
        <w:t>155</w:t>
      </w:r>
      <w:r>
        <w:t>.</w:t>
      </w:r>
      <w:r>
        <w:tab/>
        <w:t>Terms used in this Part</w:t>
      </w:r>
      <w:bookmarkEnd w:id="1996"/>
      <w:bookmarkEnd w:id="1997"/>
      <w:bookmarkEnd w:id="1998"/>
    </w:p>
    <w:p>
      <w:pPr>
        <w:pStyle w:val="Subsection"/>
      </w:pPr>
      <w:r>
        <w:tab/>
      </w:r>
      <w:r>
        <w:tab/>
        <w:t xml:space="preserve">In this Part — </w:t>
      </w:r>
    </w:p>
    <w:p>
      <w:pPr>
        <w:pStyle w:val="Defstart"/>
      </w:pPr>
      <w:r>
        <w:rPr>
          <w:b/>
        </w:rPr>
        <w:tab/>
        <w:t>“</w:t>
      </w:r>
      <w:r>
        <w:rPr>
          <w:rStyle w:val="CharDefText"/>
        </w:rPr>
        <w:t>code</w:t>
      </w:r>
      <w:r>
        <w:rPr>
          <w:b/>
        </w:rPr>
        <w:t>”</w:t>
      </w:r>
      <w:r>
        <w:t xml:space="preserve"> means the code of practice (injury management) issued under section 155A(1) that is currently in force;</w:t>
      </w:r>
    </w:p>
    <w:p>
      <w:pPr>
        <w:pStyle w:val="Defstart"/>
      </w:pPr>
      <w:r>
        <w:rPr>
          <w:b/>
        </w:rPr>
        <w:tab/>
        <w:t>“</w:t>
      </w:r>
      <w:r>
        <w:rPr>
          <w:rStyle w:val="CharDefText"/>
        </w:rPr>
        <w:t>injury management system</w:t>
      </w:r>
      <w:r>
        <w:rPr>
          <w:b/>
        </w:rPr>
        <w:t>”</w:t>
      </w:r>
      <w:r>
        <w:t xml:space="preserve"> means an injury management system established under section 155B;</w:t>
      </w:r>
    </w:p>
    <w:p>
      <w:pPr>
        <w:pStyle w:val="Defstart"/>
      </w:pPr>
      <w:r>
        <w:rPr>
          <w:b/>
        </w:rPr>
        <w:tab/>
        <w:t>“</w:t>
      </w:r>
      <w:r>
        <w:rPr>
          <w:rStyle w:val="CharDefText"/>
        </w:rPr>
        <w:t>return to work program</w:t>
      </w:r>
      <w:r>
        <w:rPr>
          <w:b/>
        </w:rPr>
        <w:t>”</w:t>
      </w:r>
      <w:r>
        <w:t xml:space="preserve"> means a return to work program established under section 155C(1);</w:t>
      </w:r>
    </w:p>
    <w:p>
      <w:pPr>
        <w:pStyle w:val="Defstart"/>
      </w:pPr>
      <w:r>
        <w:rPr>
          <w:b/>
        </w:rPr>
        <w:tab/>
        <w:t>“</w:t>
      </w:r>
      <w:r>
        <w:rPr>
          <w:rStyle w:val="CharDefText"/>
        </w:rPr>
        <w:t>treating medical practitioner</w:t>
      </w:r>
      <w:r>
        <w:rPr>
          <w:b/>
        </w:rPr>
        <w:t>”</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by No. 42 of 2004 s. 118.]</w:t>
      </w:r>
    </w:p>
    <w:p>
      <w:pPr>
        <w:pStyle w:val="Heading5"/>
      </w:pPr>
      <w:bookmarkStart w:id="1999" w:name="_Toc87252998"/>
      <w:bookmarkStart w:id="2000" w:name="_Toc122833364"/>
      <w:bookmarkStart w:id="2001" w:name="_Toc122833931"/>
      <w:r>
        <w:rPr>
          <w:rStyle w:val="CharSectno"/>
        </w:rPr>
        <w:t>155A</w:t>
      </w:r>
      <w:r>
        <w:t>.</w:t>
      </w:r>
      <w:r>
        <w:tab/>
        <w:t>Code of practice (injury management)</w:t>
      </w:r>
      <w:bookmarkEnd w:id="1999"/>
      <w:bookmarkEnd w:id="2000"/>
      <w:bookmarkEnd w:id="2001"/>
    </w:p>
    <w:p>
      <w:pPr>
        <w:pStyle w:val="Subsection"/>
      </w:pPr>
      <w:r>
        <w:tab/>
        <w:t>(1)</w:t>
      </w:r>
      <w:r>
        <w:tab/>
        <w:t>WorkCover WA may issue a code of practice (injury management).</w:t>
      </w:r>
    </w:p>
    <w:p>
      <w:pPr>
        <w:pStyle w:val="Subsection"/>
      </w:pPr>
      <w:r>
        <w:tab/>
        <w:t>(2)</w:t>
      </w:r>
      <w:r>
        <w:tab/>
        <w:t xml:space="preserve">The code may include provisions and guidelines in relation to —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such other matters</w:t>
      </w:r>
      <w:r>
        <w:rPr>
          <w:i/>
        </w:rPr>
        <w:t xml:space="preserve"> </w:t>
      </w:r>
      <w:r>
        <w:t>relating to injury management as WorkCover WA considers appropriate.</w:t>
      </w:r>
    </w:p>
    <w:p>
      <w:pPr>
        <w:pStyle w:val="Subsection"/>
      </w:pPr>
      <w:r>
        <w:tab/>
        <w:t>(3)</w:t>
      </w:r>
      <w:r>
        <w:tab/>
        <w:t>The code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code as if the code were regulations.</w:t>
      </w:r>
    </w:p>
    <w:p>
      <w:pPr>
        <w:pStyle w:val="Footnotesection"/>
      </w:pPr>
      <w:bookmarkStart w:id="2002" w:name="_Toc87252999"/>
      <w:r>
        <w:tab/>
        <w:t>[Section 155A inserted by No. 42 of 2004 s. 118.]</w:t>
      </w:r>
    </w:p>
    <w:p>
      <w:pPr>
        <w:pStyle w:val="Heading5"/>
      </w:pPr>
      <w:bookmarkStart w:id="2003" w:name="_Toc122833365"/>
      <w:bookmarkStart w:id="2004" w:name="_Toc122833932"/>
      <w:r>
        <w:rPr>
          <w:rStyle w:val="CharSectno"/>
        </w:rPr>
        <w:t>155B</w:t>
      </w:r>
      <w:r>
        <w:t>.</w:t>
      </w:r>
      <w:r>
        <w:tab/>
        <w:t>Establishment of injury management systems for employer’s workers</w:t>
      </w:r>
      <w:bookmarkEnd w:id="2002"/>
      <w:bookmarkEnd w:id="2003"/>
      <w:bookmarkEnd w:id="2004"/>
      <w:r>
        <w:t xml:space="preserve"> </w:t>
      </w:r>
    </w:p>
    <w:p>
      <w:pPr>
        <w:pStyle w:val="Subsection"/>
      </w:pPr>
      <w:r>
        <w:tab/>
      </w:r>
      <w:r>
        <w:tab/>
        <w:t xml:space="preserve">Each employer is to ensure that — </w:t>
      </w:r>
    </w:p>
    <w:p>
      <w:pPr>
        <w:pStyle w:val="Indenta"/>
      </w:pPr>
      <w:r>
        <w:tab/>
        <w:t>(a)</w:t>
      </w:r>
      <w:r>
        <w:tab/>
        <w:t>an injury management system is established in relation to the employer’s workers; and</w:t>
      </w:r>
    </w:p>
    <w:p>
      <w:pPr>
        <w:pStyle w:val="Indenta"/>
      </w:pPr>
      <w:r>
        <w:tab/>
        <w:t>(b)</w:t>
      </w:r>
      <w:r>
        <w:tab/>
        <w:t>the establishment, content and implementation of the injury management system are in accordance with the code.</w:t>
      </w:r>
    </w:p>
    <w:p>
      <w:pPr>
        <w:pStyle w:val="Penstart"/>
      </w:pPr>
      <w:r>
        <w:tab/>
        <w:t>Penalty: $2 000.</w:t>
      </w:r>
    </w:p>
    <w:p>
      <w:pPr>
        <w:pStyle w:val="Footnotesection"/>
      </w:pPr>
      <w:bookmarkStart w:id="2005" w:name="_Toc87253000"/>
      <w:r>
        <w:tab/>
        <w:t>[Section 155B inserted by No. 42 of 2004 s. 118.]</w:t>
      </w:r>
    </w:p>
    <w:p>
      <w:pPr>
        <w:pStyle w:val="Heading5"/>
      </w:pPr>
      <w:bookmarkStart w:id="2006" w:name="_Toc122833366"/>
      <w:bookmarkStart w:id="2007" w:name="_Toc122833933"/>
      <w:r>
        <w:rPr>
          <w:rStyle w:val="CharSectno"/>
        </w:rPr>
        <w:t>155C</w:t>
      </w:r>
      <w:r>
        <w:t>.</w:t>
      </w:r>
      <w:r>
        <w:tab/>
        <w:t>Establishment of return to work programs for individual workers</w:t>
      </w:r>
      <w:bookmarkEnd w:id="2005"/>
      <w:bookmarkEnd w:id="2006"/>
      <w:bookmarkEnd w:id="2007"/>
    </w:p>
    <w:p>
      <w:pPr>
        <w:pStyle w:val="Subsection"/>
      </w:pPr>
      <w:r>
        <w:tab/>
        <w:t>(1)</w:t>
      </w:r>
      <w:r>
        <w:tab/>
        <w:t xml:space="preserve">An employer of a worker who has suffered an injury compensable under this Act must ensure that a return to work program is established for the worker as soon as practicable after either of the following occurs — </w:t>
      </w:r>
    </w:p>
    <w:p>
      <w:pPr>
        <w:pStyle w:val="Indenta"/>
      </w:pPr>
      <w:r>
        <w:tab/>
        <w:t>(a)</w:t>
      </w:r>
      <w:r>
        <w:tab/>
        <w:t xml:space="preserve">the worker’s treating medical practitioner advises the employer in writing that a return to work program should be established for the worker; </w:t>
      </w:r>
    </w:p>
    <w:p>
      <w:pPr>
        <w:pStyle w:val="Indenta"/>
      </w:pPr>
      <w:r>
        <w:tab/>
        <w:t>(b)</w:t>
      </w:r>
      <w:r>
        <w:tab/>
        <w:t>the worker’s treating medical practitioner signs a medical certificate to the effect that the worker has a total or partial capacity to return to work.</w:t>
      </w:r>
    </w:p>
    <w:p>
      <w:pPr>
        <w:pStyle w:val="Subsection"/>
      </w:pPr>
      <w:r>
        <w:tab/>
        <w:t>(2)</w:t>
      </w:r>
      <w:r>
        <w:tab/>
        <w:t xml:space="preserve">Subsection (1) does not require a return to work program to be established for a worker — </w:t>
      </w:r>
    </w:p>
    <w:p>
      <w:pPr>
        <w:pStyle w:val="Indenta"/>
      </w:pPr>
      <w:r>
        <w:tab/>
        <w:t>(a)</w:t>
      </w:r>
      <w:r>
        <w:tab/>
        <w:t xml:space="preserve">who has returned to the position held by the worker immediately before the injury occurred; and </w:t>
      </w:r>
    </w:p>
    <w:p>
      <w:pPr>
        <w:pStyle w:val="Indenta"/>
      </w:pPr>
      <w:r>
        <w:tab/>
        <w:t>(b)</w:t>
      </w:r>
      <w:r>
        <w:tab/>
        <w:t>who has a total capacity to work in that position.</w:t>
      </w:r>
    </w:p>
    <w:p>
      <w:pPr>
        <w:pStyle w:val="Subsection"/>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pPr>
      <w:bookmarkStart w:id="2008" w:name="_Toc87253001"/>
      <w:r>
        <w:tab/>
        <w:t>[Section 155C inserted by No. 42 of 2004 s. 118.]</w:t>
      </w:r>
    </w:p>
    <w:p>
      <w:pPr>
        <w:pStyle w:val="Heading5"/>
      </w:pPr>
      <w:bookmarkStart w:id="2009" w:name="_Toc122833367"/>
      <w:bookmarkStart w:id="2010" w:name="_Toc122833934"/>
      <w:r>
        <w:rPr>
          <w:rStyle w:val="CharSectno"/>
        </w:rPr>
        <w:t>155D</w:t>
      </w:r>
      <w:r>
        <w:t>.</w:t>
      </w:r>
      <w:r>
        <w:tab/>
        <w:t>Injury management: insurers’ obligations</w:t>
      </w:r>
      <w:bookmarkEnd w:id="2008"/>
      <w:bookmarkEnd w:id="2009"/>
      <w:bookmarkEnd w:id="2010"/>
    </w:p>
    <w:p>
      <w:pPr>
        <w:pStyle w:val="Subsection"/>
      </w:pPr>
      <w:r>
        <w:tab/>
        <w:t>(1)</w:t>
      </w:r>
      <w:r>
        <w:tab/>
        <w:t>An insurer must take such action as is prescribed by the regulations in relation to making each employer who is insured by the insurer aware of the employer’s obligations under sections 155B and 155C(1) and (3).</w:t>
      </w:r>
    </w:p>
    <w:p>
      <w:pPr>
        <w:pStyle w:val="Subsection"/>
      </w:pPr>
      <w:r>
        <w:tab/>
        <w:t>(2)</w:t>
      </w:r>
      <w:r>
        <w:tab/>
        <w:t xml:space="preserve">If an insured employer requests the insurer to assist the employer to comply with any of the employer’s obligations under section 155B or 155C(1) or (3), the insurer must take such action as is reasonable — </w:t>
      </w:r>
    </w:p>
    <w:p>
      <w:pPr>
        <w:pStyle w:val="Indenta"/>
      </w:pPr>
      <w:r>
        <w:tab/>
        <w:t>(a)</w:t>
      </w:r>
      <w:r>
        <w:tab/>
        <w:t xml:space="preserve">to assist the employer to comply with the employer’s obligations that are the subject of the employer’s request; and </w:t>
      </w:r>
    </w:p>
    <w:p>
      <w:pPr>
        <w:pStyle w:val="Indenta"/>
      </w:pPr>
      <w:r>
        <w:tab/>
        <w:t>(b)</w:t>
      </w:r>
      <w:r>
        <w:tab/>
        <w:t xml:space="preserve">to ensure that the employer complies with the employer’s obligations that are the subject of the employer’s request. </w:t>
      </w:r>
    </w:p>
    <w:p>
      <w:pPr>
        <w:pStyle w:val="Subsection"/>
      </w:pPr>
      <w:r>
        <w:tab/>
        <w:t>(3)</w:t>
      </w:r>
      <w:r>
        <w:tab/>
        <w:t xml:space="preserve">If an insured employer requests the insurer to discharge the employer’s obligations under section 155C(1) or (3) on behalf of the employer, the insurer must take such action as is reasonable —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pPr>
      <w:r>
        <w:tab/>
      </w:r>
      <w:r>
        <w:tab/>
        <w:t>within such time as is reasonable in the circumstances.</w:t>
      </w:r>
    </w:p>
    <w:p>
      <w:pPr>
        <w:pStyle w:val="Penstart"/>
      </w:pPr>
      <w:r>
        <w:tab/>
        <w:t>Penalty applicable to subsection (3): $2 000.</w:t>
      </w:r>
    </w:p>
    <w:p>
      <w:pPr>
        <w:pStyle w:val="Footnotesection"/>
      </w:pPr>
      <w:bookmarkStart w:id="2011" w:name="_Toc87253002"/>
      <w:r>
        <w:tab/>
        <w:t>[Section 155D inserted by No. 42 of 2004 s. 118.]</w:t>
      </w:r>
    </w:p>
    <w:p>
      <w:pPr>
        <w:pStyle w:val="Heading5"/>
        <w:rPr>
          <w:snapToGrid w:val="0"/>
        </w:rPr>
      </w:pPr>
      <w:bookmarkStart w:id="2012" w:name="_Toc122833368"/>
      <w:bookmarkStart w:id="2013" w:name="_Toc122833935"/>
      <w:r>
        <w:rPr>
          <w:rStyle w:val="CharSectno"/>
        </w:rPr>
        <w:t>156</w:t>
      </w:r>
      <w:r>
        <w:rPr>
          <w:snapToGrid w:val="0"/>
        </w:rPr>
        <w:t>.</w:t>
      </w:r>
      <w:r>
        <w:rPr>
          <w:snapToGrid w:val="0"/>
        </w:rPr>
        <w:tab/>
        <w:t>Approval of vocational rehabilitation providers</w:t>
      </w:r>
      <w:bookmarkEnd w:id="2011"/>
      <w:bookmarkEnd w:id="2012"/>
      <w:bookmarkEnd w:id="2013"/>
    </w:p>
    <w:p>
      <w:pPr>
        <w:pStyle w:val="Subsection"/>
        <w:rPr>
          <w:snapToGrid w:val="0"/>
        </w:rPr>
      </w:pPr>
      <w:r>
        <w:rPr>
          <w:snapToGrid w:val="0"/>
        </w:rPr>
        <w:tab/>
        <w:t>(1)</w:t>
      </w:r>
      <w:r>
        <w:rPr>
          <w:snapToGrid w:val="0"/>
        </w:rPr>
        <w:tab/>
        <w:t xml:space="preserve">WorkCover WA may, in writing — </w:t>
      </w:r>
    </w:p>
    <w:p>
      <w:pPr>
        <w:pStyle w:val="Indenta"/>
        <w:rPr>
          <w:snapToGrid w:val="0"/>
        </w:rPr>
      </w:pPr>
      <w:r>
        <w:rPr>
          <w:snapToGrid w:val="0"/>
        </w:rPr>
        <w:tab/>
        <w:t>(a)</w:t>
      </w:r>
      <w:r>
        <w:rPr>
          <w:snapToGrid w:val="0"/>
        </w:rPr>
        <w:tab/>
        <w:t xml:space="preserve">subject to such conditions, if any, as it sees fit to impose, approve as a vocational rehabilitation provider any person WorkCover WA considers capable of satisfactorily providing vocational rehabilitation; and </w:t>
      </w:r>
    </w:p>
    <w:p>
      <w:pPr>
        <w:pStyle w:val="Indenta"/>
        <w:rPr>
          <w:snapToGrid w:val="0"/>
        </w:rPr>
      </w:pPr>
      <w:r>
        <w:rPr>
          <w:snapToGrid w:val="0"/>
        </w:rPr>
        <w:tab/>
        <w:t>(b)</w:t>
      </w:r>
      <w:r>
        <w:rPr>
          <w:snapToGrid w:val="0"/>
        </w:rPr>
        <w:tab/>
        <w:t>revoke any such approval.</w:t>
      </w:r>
    </w:p>
    <w:p>
      <w:pPr>
        <w:pStyle w:val="Subsection"/>
        <w:rPr>
          <w:snapToGrid w:val="0"/>
        </w:rPr>
      </w:pPr>
      <w:r>
        <w:rPr>
          <w:snapToGrid w:val="0"/>
        </w:rPr>
        <w:tab/>
        <w:t>(2)</w:t>
      </w:r>
      <w:r>
        <w:rPr>
          <w:snapToGrid w:val="0"/>
        </w:rPr>
        <w:tab/>
        <w:t>In considering whether or not to approve a person as a vocational rehabilitation provider, to impose conditions on any such approval, or to revoke any such approval, WorkCover WA — </w:t>
      </w:r>
    </w:p>
    <w:p>
      <w:pPr>
        <w:pStyle w:val="Indenta"/>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pPr>
      <w:r>
        <w:tab/>
        <w:t>(3)</w:t>
      </w:r>
      <w:r>
        <w:tab/>
        <w:t>An implied and non</w:t>
      </w:r>
      <w:r>
        <w:noBreakHyphen/>
        <w:t xml:space="preserve">revocable condition of a person’s approval as a vocational rehabilitation provider is that the person is to comply with the code in relation to — </w:t>
      </w:r>
    </w:p>
    <w:p>
      <w:pPr>
        <w:pStyle w:val="Indenta"/>
      </w:pPr>
      <w:r>
        <w:tab/>
        <w:t>(a)</w:t>
      </w:r>
      <w:r>
        <w:tab/>
        <w:t>the development and content of service delivery plans;</w:t>
      </w:r>
    </w:p>
    <w:p>
      <w:pPr>
        <w:pStyle w:val="Indenta"/>
      </w:pPr>
      <w:r>
        <w:tab/>
        <w:t>(b)</w:t>
      </w:r>
      <w:r>
        <w:tab/>
        <w:t xml:space="preserve">other requirements in relation to service delivery plans; and </w:t>
      </w:r>
    </w:p>
    <w:p>
      <w:pPr>
        <w:pStyle w:val="Indenta"/>
      </w:pPr>
      <w:r>
        <w:tab/>
        <w:t>(c)</w:t>
      </w:r>
      <w:r>
        <w:tab/>
        <w:t>other requirements applicable to vocational rehabilitation providers.</w:t>
      </w:r>
    </w:p>
    <w:p>
      <w:pPr>
        <w:pStyle w:val="Footnotesection"/>
      </w:pPr>
      <w:bookmarkStart w:id="2014" w:name="_Toc87253003"/>
      <w:r>
        <w:tab/>
        <w:t>[Section 156 inserted by No. 42 of 2004 s. 118.]</w:t>
      </w:r>
    </w:p>
    <w:p>
      <w:pPr>
        <w:pStyle w:val="Heading5"/>
      </w:pPr>
      <w:bookmarkStart w:id="2015" w:name="_Toc122833369"/>
      <w:bookmarkStart w:id="2016" w:name="_Toc122833936"/>
      <w:r>
        <w:rPr>
          <w:rStyle w:val="CharSectno"/>
        </w:rPr>
        <w:t>156A</w:t>
      </w:r>
      <w:r>
        <w:t>.</w:t>
      </w:r>
      <w:r>
        <w:tab/>
        <w:t>Vocational rehabilitation services</w:t>
      </w:r>
      <w:bookmarkEnd w:id="2014"/>
      <w:bookmarkEnd w:id="2015"/>
      <w:bookmarkEnd w:id="2016"/>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rPr>
          <w:snapToGrid w:val="0"/>
        </w:rPr>
      </w:pPr>
      <w:r>
        <w:rPr>
          <w:snapToGrid w:val="0"/>
        </w:rPr>
        <w:tab/>
        <w:t>(2)</w:t>
      </w:r>
      <w:r>
        <w:rPr>
          <w:snapToGrid w:val="0"/>
        </w:rPr>
        <w:tab/>
        <w:t>If a person providing vocational rehabilitation —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bookmarkStart w:id="2017" w:name="_Toc87253004"/>
      <w:r>
        <w:tab/>
        <w:t>[Section 156A inserted by No. 42 of 2004 s. 118.]</w:t>
      </w:r>
    </w:p>
    <w:p>
      <w:pPr>
        <w:pStyle w:val="Heading5"/>
        <w:rPr>
          <w:snapToGrid w:val="0"/>
        </w:rPr>
      </w:pPr>
      <w:bookmarkStart w:id="2018" w:name="_Toc122833370"/>
      <w:bookmarkStart w:id="2019" w:name="_Toc122833937"/>
      <w:r>
        <w:rPr>
          <w:rStyle w:val="CharSectno"/>
        </w:rPr>
        <w:t>156B</w:t>
      </w:r>
      <w:r>
        <w:rPr>
          <w:snapToGrid w:val="0"/>
        </w:rPr>
        <w:t>.</w:t>
      </w:r>
      <w:r>
        <w:rPr>
          <w:snapToGrid w:val="0"/>
        </w:rPr>
        <w:tab/>
        <w:t>Arbitrators’ powers in relation to return to work programs</w:t>
      </w:r>
      <w:bookmarkEnd w:id="2017"/>
      <w:bookmarkEnd w:id="2018"/>
      <w:bookmarkEnd w:id="2019"/>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xml:space="preserve"> — </w:t>
      </w:r>
    </w:p>
    <w:p>
      <w:pPr>
        <w:pStyle w:val="Indenta"/>
      </w:pPr>
      <w:r>
        <w:tab/>
        <w:t>(a)</w:t>
      </w:r>
      <w:r>
        <w:tab/>
        <w:t xml:space="preserve">a return to work program is required under section 155C(1) to be established for the worker; </w:t>
      </w:r>
    </w:p>
    <w:p>
      <w:pPr>
        <w:pStyle w:val="Indenta"/>
      </w:pPr>
      <w:r>
        <w:tab/>
        <w:t>(b)</w:t>
      </w:r>
      <w:r>
        <w:tab/>
        <w:t>the worker, without reasonable excuse, refuses or has failed to participate in a return to work program; and</w:t>
      </w:r>
    </w:p>
    <w:p>
      <w:pPr>
        <w:pStyle w:val="Indenta"/>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bookmarkStart w:id="2020" w:name="_Toc87253005"/>
      <w:r>
        <w:tab/>
        <w:t>[Section 156B inserted by No. 42 of 2004 s. 118.]</w:t>
      </w:r>
    </w:p>
    <w:p>
      <w:pPr>
        <w:pStyle w:val="Heading5"/>
        <w:rPr>
          <w:snapToGrid w:val="0"/>
        </w:rPr>
      </w:pPr>
      <w:bookmarkStart w:id="2021" w:name="_Toc122833371"/>
      <w:bookmarkStart w:id="2022" w:name="_Toc122833938"/>
      <w:r>
        <w:rPr>
          <w:rStyle w:val="CharSectno"/>
        </w:rPr>
        <w:t>157</w:t>
      </w:r>
      <w:r>
        <w:rPr>
          <w:snapToGrid w:val="0"/>
        </w:rPr>
        <w:t>.</w:t>
      </w:r>
      <w:r>
        <w:rPr>
          <w:snapToGrid w:val="0"/>
        </w:rPr>
        <w:tab/>
        <w:t>Information about injury management matters</w:t>
      </w:r>
      <w:bookmarkEnd w:id="2020"/>
      <w:bookmarkEnd w:id="2021"/>
      <w:bookmarkEnd w:id="2022"/>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An arbitrator may request WorkCover WA to provide information on injury management or related matters, and WorkCover WA is to provide that information to the arbitrator.</w:t>
      </w:r>
    </w:p>
    <w:p>
      <w:pPr>
        <w:pStyle w:val="Footnotesection"/>
      </w:pPr>
      <w:bookmarkStart w:id="2023" w:name="_Toc87253006"/>
      <w:r>
        <w:tab/>
        <w:t>[Section 157 inserted by No. 42 of 2004 s. 118.]</w:t>
      </w:r>
    </w:p>
    <w:p>
      <w:pPr>
        <w:pStyle w:val="Heading5"/>
      </w:pPr>
      <w:bookmarkStart w:id="2024" w:name="_Toc122833372"/>
      <w:bookmarkStart w:id="2025" w:name="_Toc122833939"/>
      <w:r>
        <w:rPr>
          <w:rStyle w:val="CharSectno"/>
        </w:rPr>
        <w:t>157A</w:t>
      </w:r>
      <w:r>
        <w:t>.</w:t>
      </w:r>
      <w:r>
        <w:tab/>
        <w:t>Early identification of injuries that require, or may require, management</w:t>
      </w:r>
      <w:bookmarkEnd w:id="2023"/>
      <w:bookmarkEnd w:id="2024"/>
      <w:bookmarkEnd w:id="2025"/>
    </w:p>
    <w:p>
      <w:pPr>
        <w:pStyle w:val="Subsection"/>
      </w:pPr>
      <w:r>
        <w:tab/>
        <w:t>(1)</w:t>
      </w:r>
      <w:r>
        <w:tab/>
        <w:t>An insurer or a self</w:t>
      </w:r>
      <w:r>
        <w:noBreakHyphen/>
        <w:t xml:space="preserve">insurer shall, not later than the expiration of 7 days after acquiring the knowledge referred to in paragraph (a) or (b), give to WorkCover WA notice in writing, containing the prescribed particulars, with respect to — </w:t>
      </w:r>
    </w:p>
    <w:p>
      <w:pPr>
        <w:pStyle w:val="Indenta"/>
      </w:pPr>
      <w:r>
        <w:tab/>
        <w:t>(a)</w:t>
      </w:r>
      <w:r>
        <w:tab/>
        <w:t>a worker whose period of incapacity the insurer or self</w:t>
      </w:r>
      <w:r>
        <w:noBreakHyphen/>
        <w:t>insurer knows to have exceeded 4 consecutive weeks; or</w:t>
      </w:r>
    </w:p>
    <w:p>
      <w:pPr>
        <w:pStyle w:val="Indenta"/>
      </w:pPr>
      <w:r>
        <w:tab/>
        <w:t>(b)</w:t>
      </w:r>
      <w:r>
        <w:tab/>
        <w:t>a worker whose periods of incapacity during any period of 12 months or less the insurer or self</w:t>
      </w:r>
      <w:r>
        <w:noBreakHyphen/>
        <w:t>insurer knows to have exceeded, in sum, 12 weeks.</w:t>
      </w:r>
    </w:p>
    <w:p>
      <w:pPr>
        <w:pStyle w:val="Penstart"/>
      </w:pPr>
      <w:r>
        <w:tab/>
        <w:t>Penalty: $1 000.</w:t>
      </w:r>
    </w:p>
    <w:p>
      <w:pPr>
        <w:pStyle w:val="Subsection"/>
      </w:pPr>
      <w:r>
        <w:tab/>
        <w:t>(2)</w:t>
      </w:r>
      <w:r>
        <w:tab/>
        <w:t xml:space="preserve">Subsection (1) does not apply — </w:t>
      </w:r>
    </w:p>
    <w:p>
      <w:pPr>
        <w:pStyle w:val="Indenta"/>
      </w:pPr>
      <w:r>
        <w:tab/>
        <w:t>(a)</w:t>
      </w:r>
      <w:r>
        <w:tab/>
        <w:t>to an insurer or self</w:t>
      </w:r>
      <w:r>
        <w:noBreakHyphen/>
        <w:t>insurer who is exempted under subsection (3) and who is acting in accordance with the exemption; or</w:t>
      </w:r>
    </w:p>
    <w:p>
      <w:pPr>
        <w:pStyle w:val="Indenta"/>
      </w:pPr>
      <w:r>
        <w:tab/>
        <w:t>(b)</w:t>
      </w:r>
      <w:r>
        <w:tab/>
        <w:t xml:space="preserve">in relation to a period of incapacity with respect to which notice has already been given under — </w:t>
      </w:r>
    </w:p>
    <w:p>
      <w:pPr>
        <w:pStyle w:val="Indenti"/>
      </w:pPr>
      <w:r>
        <w:tab/>
        <w:t>(i)</w:t>
      </w:r>
      <w:r>
        <w:tab/>
        <w:t xml:space="preserve">this section; </w:t>
      </w:r>
    </w:p>
    <w:p>
      <w:pPr>
        <w:pStyle w:val="Indenti"/>
      </w:pPr>
      <w:r>
        <w:tab/>
        <w:t>(ii)</w:t>
      </w:r>
      <w:r>
        <w:tab/>
        <w:t xml:space="preserve">section 155 as in force before section 118 of the </w:t>
      </w:r>
      <w:r>
        <w:rPr>
          <w:i/>
        </w:rPr>
        <w:t xml:space="preserve">Workers’ Compensation Reform Act 2004 </w:t>
      </w:r>
      <w:r>
        <w:t>came into operation; or</w:t>
      </w:r>
    </w:p>
    <w:p>
      <w:pPr>
        <w:pStyle w:val="Indenti"/>
      </w:pPr>
      <w:r>
        <w:tab/>
        <w:t>(iii)</w:t>
      </w:r>
      <w:r>
        <w:tab/>
        <w:t xml:space="preserve">section 155 as in force before 8 March 1991, being the day on which section 33 of the </w:t>
      </w:r>
      <w:r>
        <w:rPr>
          <w:i/>
        </w:rPr>
        <w:t>Workers’ Compensation and Assistance Amendment Act 1990</w:t>
      </w:r>
      <w:r>
        <w:t xml:space="preserve"> came into operation.</w:t>
      </w:r>
    </w:p>
    <w:p>
      <w:pPr>
        <w:pStyle w:val="Subsection"/>
      </w:pPr>
      <w:r>
        <w:tab/>
        <w:t>(3)</w:t>
      </w:r>
      <w:r>
        <w:tab/>
        <w:t>WorkCover WA may, in writing, exempt an insurer or a self</w:t>
      </w:r>
      <w:r>
        <w:noBreakHyphen/>
        <w:t>insurer from the requirement to comply with subsection (1), either absolutely or subject to such conditions as it sees fit to impose, and any such exemption has effect according to its tenor until revoked by WorkCover WA.</w:t>
      </w:r>
    </w:p>
    <w:p>
      <w:pPr>
        <w:pStyle w:val="Subsection"/>
      </w:pPr>
      <w:r>
        <w:tab/>
        <w:t>(4)</w:t>
      </w:r>
      <w:r>
        <w:tab/>
        <w:t xml:space="preserve">If WorkCover WA is of the opinion that a worker’s injury should be reviewed to determine whether a return to work program should be established for the worker, WorkCover WA may — </w:t>
      </w:r>
    </w:p>
    <w:p>
      <w:pPr>
        <w:pStyle w:val="Indenta"/>
      </w:pPr>
      <w:r>
        <w:tab/>
        <w:t>(a)</w:t>
      </w:r>
      <w:r>
        <w:tab/>
        <w:t>notify the worker, the worker’s employer and the employer’s insurer of that opinion; and</w:t>
      </w:r>
    </w:p>
    <w:p>
      <w:pPr>
        <w:pStyle w:val="Indenta"/>
      </w:pPr>
      <w:r>
        <w:tab/>
        <w:t>(b)</w:t>
      </w:r>
      <w:r>
        <w:tab/>
        <w:t>inform those persons of the requirements of section 155C and 155D and their obligations under those provisions.</w:t>
      </w:r>
    </w:p>
    <w:p>
      <w:pPr>
        <w:pStyle w:val="Footnotesection"/>
      </w:pPr>
      <w:bookmarkStart w:id="2026" w:name="_Toc87253007"/>
      <w:r>
        <w:tab/>
        <w:t>[Section 157A inserted by No. 42 of 2004 s. 118.]</w:t>
      </w:r>
    </w:p>
    <w:p>
      <w:pPr>
        <w:pStyle w:val="Heading5"/>
      </w:pPr>
      <w:bookmarkStart w:id="2027" w:name="_Toc122833373"/>
      <w:bookmarkStart w:id="2028" w:name="_Toc122833940"/>
      <w:r>
        <w:rPr>
          <w:rStyle w:val="CharSectno"/>
        </w:rPr>
        <w:t>157B</w:t>
      </w:r>
      <w:r>
        <w:t>.</w:t>
      </w:r>
      <w:r>
        <w:tab/>
        <w:t>Mediation and assistance</w:t>
      </w:r>
      <w:bookmarkEnd w:id="2026"/>
      <w:bookmarkEnd w:id="2027"/>
      <w:bookmarkEnd w:id="2028"/>
    </w:p>
    <w:p>
      <w:pPr>
        <w:pStyle w:val="Subsection"/>
      </w:pPr>
      <w:r>
        <w:tab/>
      </w:r>
      <w:r>
        <w:tab/>
        <w:t>WorkCover WA may provide mediation and independent guidance on injury management and related matters with a view to facilitating the informal resolution of questions and disputes arising from those matters.</w:t>
      </w:r>
    </w:p>
    <w:p>
      <w:pPr>
        <w:pStyle w:val="Footnotesection"/>
      </w:pPr>
      <w:r>
        <w:tab/>
        <w:t>[Section 157B inserted by No. 42 of 2004 s. 118.]</w:t>
      </w:r>
    </w:p>
    <w:p>
      <w:pPr>
        <w:pStyle w:val="Ednotesection"/>
      </w:pPr>
      <w:r>
        <w:t>[</w:t>
      </w:r>
      <w:r>
        <w:rPr>
          <w:b/>
        </w:rPr>
        <w:t>159.</w:t>
      </w:r>
      <w:r>
        <w:tab/>
        <w:t>Repealed by No. 42 of 2004 s. 118.]</w:t>
      </w:r>
    </w:p>
    <w:p>
      <w:pPr>
        <w:pStyle w:val="Heading2"/>
      </w:pPr>
      <w:bookmarkStart w:id="2029" w:name="_Toc87253009"/>
      <w:bookmarkStart w:id="2030" w:name="_Toc119132655"/>
      <w:bookmarkStart w:id="2031" w:name="_Toc119203325"/>
      <w:bookmarkStart w:id="2032" w:name="_Toc119203971"/>
      <w:bookmarkStart w:id="2033" w:name="_Toc119216301"/>
      <w:bookmarkStart w:id="2034" w:name="_Toc119300821"/>
      <w:bookmarkStart w:id="2035" w:name="_Toc119301388"/>
      <w:bookmarkStart w:id="2036" w:name="_Toc119301957"/>
      <w:bookmarkStart w:id="2037" w:name="_Toc119920144"/>
      <w:bookmarkStart w:id="2038" w:name="_Toc122774131"/>
      <w:bookmarkStart w:id="2039" w:name="_Toc122833374"/>
      <w:bookmarkStart w:id="2040" w:name="_Toc122833941"/>
      <w:r>
        <w:rPr>
          <w:rStyle w:val="CharPartNo"/>
        </w:rPr>
        <w:t>Part IXA</w:t>
      </w:r>
      <w:r>
        <w:rPr>
          <w:b w:val="0"/>
        </w:rPr>
        <w:t> </w:t>
      </w:r>
      <w:r>
        <w:t>—</w:t>
      </w:r>
      <w:r>
        <w:rPr>
          <w:b w:val="0"/>
        </w:rPr>
        <w:t> </w:t>
      </w:r>
      <w:r>
        <w:rPr>
          <w:rStyle w:val="CharPartText"/>
        </w:rPr>
        <w:t>Specialised retraining programs</w:t>
      </w:r>
      <w:bookmarkEnd w:id="2029"/>
      <w:bookmarkEnd w:id="2030"/>
      <w:bookmarkEnd w:id="2031"/>
      <w:bookmarkEnd w:id="2032"/>
      <w:bookmarkEnd w:id="2033"/>
      <w:bookmarkEnd w:id="2034"/>
      <w:bookmarkEnd w:id="2035"/>
      <w:bookmarkEnd w:id="2036"/>
      <w:bookmarkEnd w:id="2037"/>
      <w:bookmarkEnd w:id="2038"/>
      <w:bookmarkEnd w:id="2039"/>
      <w:bookmarkEnd w:id="2040"/>
    </w:p>
    <w:p>
      <w:pPr>
        <w:pStyle w:val="Footnoteheading"/>
      </w:pPr>
      <w:bookmarkStart w:id="2041" w:name="_Toc87253010"/>
      <w:r>
        <w:tab/>
        <w:t>[Heading inserted by No. 42 of 2004 s. 119.]</w:t>
      </w:r>
    </w:p>
    <w:p>
      <w:pPr>
        <w:pStyle w:val="Heading5"/>
      </w:pPr>
      <w:bookmarkStart w:id="2042" w:name="_Toc122833375"/>
      <w:bookmarkStart w:id="2043" w:name="_Toc122833942"/>
      <w:r>
        <w:rPr>
          <w:rStyle w:val="CharSectno"/>
        </w:rPr>
        <w:t>158</w:t>
      </w:r>
      <w:r>
        <w:t>.</w:t>
      </w:r>
      <w:r>
        <w:tab/>
        <w:t>Meaning of “retraining criteria”</w:t>
      </w:r>
      <w:bookmarkEnd w:id="2041"/>
      <w:bookmarkEnd w:id="2042"/>
      <w:bookmarkEnd w:id="2043"/>
    </w:p>
    <w:p>
      <w:pPr>
        <w:pStyle w:val="Subsection"/>
      </w:pPr>
      <w:r>
        <w:tab/>
        <w:t>(1)</w:t>
      </w:r>
      <w:r>
        <w:tab/>
        <w:t xml:space="preserve">In this Part — </w:t>
      </w:r>
    </w:p>
    <w:p>
      <w:pPr>
        <w:pStyle w:val="Defstart"/>
      </w:pPr>
      <w:r>
        <w:rPr>
          <w:b/>
        </w:rPr>
        <w:tab/>
        <w:t>“</w:t>
      </w:r>
      <w:r>
        <w:rPr>
          <w:rStyle w:val="CharDefText"/>
        </w:rPr>
        <w:t>degree of permanent whole of person impairment</w:t>
      </w:r>
      <w:r>
        <w:rPr>
          <w:b/>
        </w:rPr>
        <w: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t>“</w:t>
      </w:r>
      <w:r>
        <w:rPr>
          <w:rStyle w:val="CharDefText"/>
        </w:rPr>
        <w:t>retraining criteria</w:t>
      </w:r>
      <w:r>
        <w:rPr>
          <w:b/>
        </w:rPr>
        <w:t>”</w:t>
      </w:r>
      <w:r>
        <w:t xml:space="preserve">, in relation to a worker, means the following criteria —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 xml:space="preserve">it is reasonable to expect that a specialised retraining program will provide the worker with the qualification or skills necessary to return to work, having regard to the labour market, the worker’s existing qualifications and work experience; </w:t>
      </w:r>
    </w:p>
    <w:p>
      <w:pPr>
        <w:pStyle w:val="Defpara"/>
      </w:pPr>
      <w:r>
        <w:tab/>
        <w:t>(e)</w:t>
      </w:r>
      <w:r>
        <w:tab/>
        <w:t>such other criteria as may be prescribed in the regulations for the purposes of this definition.</w:t>
      </w:r>
    </w:p>
    <w:p>
      <w:pPr>
        <w:pStyle w:val="Subsection"/>
      </w:pPr>
      <w:r>
        <w:tab/>
        <w:t>(2)</w:t>
      </w:r>
      <w:r>
        <w:tab/>
        <w:t xml:space="preserve">In the definition of “degree of permanent whole of person impairment” in subsection (1) — </w:t>
      </w:r>
    </w:p>
    <w:p>
      <w:pPr>
        <w:pStyle w:val="Defstart"/>
      </w:pPr>
      <w:r>
        <w:rPr>
          <w:b/>
        </w:rPr>
        <w:tab/>
        <w:t>“</w:t>
      </w:r>
      <w:r>
        <w:rPr>
          <w:rStyle w:val="CharDefText"/>
        </w:rPr>
        <w:t>event</w:t>
      </w:r>
      <w:r>
        <w:rPr>
          <w:b/>
        </w:rPr>
        <w: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pPr>
      <w:bookmarkStart w:id="2044" w:name="_Toc87253011"/>
      <w:r>
        <w:tab/>
        <w:t>[Section 158 inserted by No. 42 of 2004 s. 119.]</w:t>
      </w:r>
    </w:p>
    <w:p>
      <w:pPr>
        <w:pStyle w:val="Heading5"/>
      </w:pPr>
      <w:bookmarkStart w:id="2045" w:name="_Toc122833376"/>
      <w:bookmarkStart w:id="2046" w:name="_Toc122833943"/>
      <w:r>
        <w:rPr>
          <w:rStyle w:val="CharSectno"/>
        </w:rPr>
        <w:t>158A</w:t>
      </w:r>
      <w:r>
        <w:t>.</w:t>
      </w:r>
      <w:r>
        <w:tab/>
        <w:t>Eligibility to participate in specialised retraining programs</w:t>
      </w:r>
      <w:bookmarkEnd w:id="2044"/>
      <w:bookmarkEnd w:id="2045"/>
      <w:bookmarkEnd w:id="2046"/>
    </w:p>
    <w:p>
      <w:pPr>
        <w:pStyle w:val="Subsection"/>
      </w:pPr>
      <w:r>
        <w:tab/>
        <w:t>(1)</w:t>
      </w:r>
      <w:r>
        <w:tab/>
        <w:t xml:space="preserve">A worker may participate in a specialised retraining program if — </w:t>
      </w:r>
    </w:p>
    <w:p>
      <w:pPr>
        <w:pStyle w:val="Indenta"/>
      </w:pPr>
      <w:r>
        <w:tab/>
        <w:t>(a)</w:t>
      </w:r>
      <w:r>
        <w:tab/>
        <w:t xml:space="preserve">the worker has suffered an injury that is compensable under this Act; </w:t>
      </w:r>
    </w:p>
    <w:p>
      <w:pPr>
        <w:pStyle w:val="Indenta"/>
      </w:pPr>
      <w:r>
        <w:tab/>
        <w:t>(b)</w:t>
      </w:r>
      <w:r>
        <w:tab/>
        <w:t xml:space="preserve">the injury occurred on or after the day on which section 119 of the </w:t>
      </w:r>
      <w:r>
        <w:rPr>
          <w:i/>
        </w:rPr>
        <w:t>Workers’ Compensation Reform Act 2004</w:t>
      </w:r>
      <w:r>
        <w:t xml:space="preserve"> comes into operation;</w:t>
      </w:r>
    </w:p>
    <w:p>
      <w:pPr>
        <w:pStyle w:val="Indenta"/>
      </w:pPr>
      <w:r>
        <w:tab/>
        <w:t>(c)</w:t>
      </w:r>
      <w:r>
        <w:tab/>
        <w:t xml:space="preserve">either — </w:t>
      </w:r>
    </w:p>
    <w:p>
      <w:pPr>
        <w:pStyle w:val="Indenti"/>
      </w:pPr>
      <w:r>
        <w:tab/>
        <w:t>(i)</w:t>
      </w:r>
      <w:r>
        <w:tab/>
        <w:t>the worker and the worker’s employer agree that the worker’s degree of permanent whole of person impairment is at least 10% but less than 15%; or</w:t>
      </w:r>
    </w:p>
    <w:p>
      <w:pPr>
        <w:pStyle w:val="Indenti"/>
      </w:pPr>
      <w:r>
        <w:tab/>
        <w:t>(ii)</w:t>
      </w:r>
      <w:r>
        <w:tab/>
        <w:t>an arbitrator has determined that the worker’s degree of permanent whole of person impairment is at least 10% but less than 15%;</w:t>
      </w:r>
    </w:p>
    <w:p>
      <w:pPr>
        <w:pStyle w:val="Indenta"/>
      </w:pPr>
      <w:r>
        <w:tab/>
      </w:r>
      <w:r>
        <w:tab/>
        <w:t>and</w:t>
      </w:r>
    </w:p>
    <w:p>
      <w:pPr>
        <w:pStyle w:val="Indenta"/>
      </w:pPr>
      <w:r>
        <w:tab/>
        <w:t>(d)</w:t>
      </w:r>
      <w:r>
        <w:tab/>
        <w:t xml:space="preserve">either — </w:t>
      </w:r>
    </w:p>
    <w:p>
      <w:pPr>
        <w:pStyle w:val="Indenti"/>
      </w:pPr>
      <w:r>
        <w:tab/>
        <w:t>(i)</w:t>
      </w:r>
      <w:r>
        <w:tab/>
        <w:t>the worker and the worker’s employer agree that the worker satisfies all of the retraining criteria; or</w:t>
      </w:r>
    </w:p>
    <w:p>
      <w:pPr>
        <w:pStyle w:val="Indenti"/>
      </w:pPr>
      <w:r>
        <w:tab/>
        <w:t>(ii)</w:t>
      </w:r>
      <w:r>
        <w:tab/>
        <w:t>an arbitrator has determined that the worker satisfies all of the retraining criteria.</w:t>
      </w:r>
    </w:p>
    <w:p>
      <w:pPr>
        <w:pStyle w:val="Subsection"/>
      </w:pPr>
      <w:r>
        <w:tab/>
        <w:t>(2)</w:t>
      </w:r>
      <w:r>
        <w:tab/>
        <w:t xml:space="preserve">A worker is eligible to participate in a specialised retraining program even if — </w:t>
      </w:r>
    </w:p>
    <w:p>
      <w:pPr>
        <w:pStyle w:val="Indenta"/>
      </w:pPr>
      <w:r>
        <w:tab/>
        <w:t>(a)</w:t>
      </w:r>
      <w:r>
        <w:tab/>
        <w:t>the worker is receiving weekly payments under clause 7 or other compensation under Schedule 1; or</w:t>
      </w:r>
    </w:p>
    <w:p>
      <w:pPr>
        <w:pStyle w:val="Indenta"/>
      </w:pPr>
      <w:r>
        <w:tab/>
        <w:t>(b)</w:t>
      </w:r>
      <w:r>
        <w:tab/>
        <w:t>the weekly payments paid for periods of the incapacity arising from the worker’s injury have reached the prescribed amount.</w:t>
      </w:r>
    </w:p>
    <w:p>
      <w:pPr>
        <w:pStyle w:val="Subsection"/>
      </w:pPr>
      <w:r>
        <w:tab/>
        <w:t>(3)</w:t>
      </w:r>
      <w:r>
        <w:tab/>
        <w:t xml:space="preserve">Despite having suffered an injury referred to in subsection (1)(a) and (b), a worker is not eligible to participate in a specialised retraining program if — </w:t>
      </w:r>
    </w:p>
    <w:p>
      <w:pPr>
        <w:pStyle w:val="Indenta"/>
      </w:pPr>
      <w:r>
        <w:tab/>
        <w:t>(a)</w:t>
      </w:r>
      <w:r>
        <w:tab/>
        <w:t>an election by the worker under section 93K(4) in respect of the injury has been registered;</w:t>
      </w:r>
    </w:p>
    <w:p>
      <w:pPr>
        <w:pStyle w:val="Indenta"/>
      </w:pPr>
      <w:r>
        <w:tab/>
        <w:t>(b)</w:t>
      </w:r>
      <w:r>
        <w:tab/>
        <w:t xml:space="preserve">an agreement in respect of the whole of the liability for the incapacity or impairment arising from the injury has been registered under Part III Division 7; </w:t>
      </w:r>
    </w:p>
    <w:p>
      <w:pPr>
        <w:pStyle w:val="Indenta"/>
      </w:pPr>
      <w:r>
        <w:tab/>
        <w:t>(c)</w:t>
      </w:r>
      <w:r>
        <w:tab/>
        <w:t>an order for redemption of the liability for incapacity arising from the injury has been made under section 67(1)(a) or (4);</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bookmarkStart w:id="2047" w:name="_Toc87253012"/>
      <w:r>
        <w:tab/>
        <w:t>[Section 158A inserted by No. 42 of 2004 s. 119.]</w:t>
      </w:r>
    </w:p>
    <w:p>
      <w:pPr>
        <w:pStyle w:val="Heading5"/>
      </w:pPr>
      <w:bookmarkStart w:id="2048" w:name="_Toc122833377"/>
      <w:bookmarkStart w:id="2049" w:name="_Toc122833944"/>
      <w:r>
        <w:rPr>
          <w:rStyle w:val="CharSectno"/>
        </w:rPr>
        <w:t>158B</w:t>
      </w:r>
      <w:r>
        <w:t>.</w:t>
      </w:r>
      <w:r>
        <w:tab/>
        <w:t>Final day for recording agreed matters, referring disputed matters for determination</w:t>
      </w:r>
      <w:bookmarkEnd w:id="2047"/>
      <w:bookmarkEnd w:id="2048"/>
      <w:bookmarkEnd w:id="2049"/>
    </w:p>
    <w:p>
      <w:pPr>
        <w:pStyle w:val="Subsection"/>
      </w:pPr>
      <w:r>
        <w:tab/>
        <w:t>(1)</w:t>
      </w:r>
      <w:r>
        <w:tab/>
        <w:t xml:space="preserve">A worker is not eligible to participate in a specialised retraining program unless, </w:t>
      </w:r>
      <w:r>
        <w:rPr>
          <w:snapToGrid w:val="0"/>
        </w:rPr>
        <w:t xml:space="preserve">on or </w:t>
      </w:r>
      <w:r>
        <w:t xml:space="preserve">before the final day referred to in subsection (2) — </w:t>
      </w:r>
    </w:p>
    <w:p>
      <w:pPr>
        <w:pStyle w:val="Indenta"/>
      </w:pPr>
      <w:r>
        <w:tab/>
        <w:t>(a)</w:t>
      </w:r>
      <w:r>
        <w:tab/>
        <w:t xml:space="preserve">either —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 xml:space="preserve">either —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rPr>
          <w:i/>
        </w:rPr>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pPr>
      <w:r>
        <w:tab/>
        <w:t>(3)</w:t>
      </w:r>
      <w:r>
        <w:tab/>
        <w:t xml:space="preserve">If, after the expiry of the period of 3 months after the day on which the claim is made —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bookmarkStart w:id="2050" w:name="_Toc87253013"/>
      <w:r>
        <w:tab/>
        <w:t>[Section 158B inserted by No. 42 of 2004 s. 119.]</w:t>
      </w:r>
    </w:p>
    <w:p>
      <w:pPr>
        <w:pStyle w:val="Heading5"/>
      </w:pPr>
      <w:bookmarkStart w:id="2051" w:name="_Toc122833378"/>
      <w:bookmarkStart w:id="2052" w:name="_Toc122833945"/>
      <w:r>
        <w:rPr>
          <w:rStyle w:val="CharSectno"/>
        </w:rPr>
        <w:t>158C</w:t>
      </w:r>
      <w:r>
        <w:t>.</w:t>
      </w:r>
      <w:r>
        <w:tab/>
        <w:t>Disputes as to degree of permanent whole of person impairment</w:t>
      </w:r>
      <w:bookmarkEnd w:id="2050"/>
      <w:bookmarkEnd w:id="2051"/>
      <w:bookmarkEnd w:id="2052"/>
    </w:p>
    <w:p>
      <w:pPr>
        <w:pStyle w:val="Subsection"/>
      </w:pPr>
      <w:r>
        <w:tab/>
        <w:t>(1)</w:t>
      </w:r>
      <w:r>
        <w:tab/>
        <w:t xml:space="preserve">If —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 xml:space="preserve">the worker’s degree of permanent whole of person impairment has been assessed by an approved medical specialist under sections 146A and 146D as at least 10% but less than 15%, </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 xml:space="preserve">An arbitrator to whom an application to determine a question is made under subsection (1) may —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bookmarkStart w:id="2053" w:name="_Toc87253014"/>
      <w:r>
        <w:tab/>
        <w:t>[Section 158C inserted by No. 42 of 2004 s. 119.]</w:t>
      </w:r>
    </w:p>
    <w:p>
      <w:pPr>
        <w:pStyle w:val="Heading5"/>
      </w:pPr>
      <w:bookmarkStart w:id="2054" w:name="_Toc122833379"/>
      <w:bookmarkStart w:id="2055" w:name="_Toc122833946"/>
      <w:r>
        <w:rPr>
          <w:rStyle w:val="CharSectno"/>
        </w:rPr>
        <w:t>158D</w:t>
      </w:r>
      <w:r>
        <w:t>.</w:t>
      </w:r>
      <w:r>
        <w:tab/>
        <w:t>Disputes as to retraining criteria</w:t>
      </w:r>
      <w:bookmarkEnd w:id="2053"/>
      <w:bookmarkEnd w:id="2054"/>
      <w:bookmarkEnd w:id="2055"/>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bookmarkStart w:id="2056" w:name="_Toc87253015"/>
      <w:r>
        <w:tab/>
        <w:t>[Section 158D inserted by No. 42 of 2004 s. 119.]</w:t>
      </w:r>
    </w:p>
    <w:p>
      <w:pPr>
        <w:pStyle w:val="Heading5"/>
      </w:pPr>
      <w:bookmarkStart w:id="2057" w:name="_Toc122833380"/>
      <w:bookmarkStart w:id="2058" w:name="_Toc122833947"/>
      <w:r>
        <w:rPr>
          <w:rStyle w:val="CharSectno"/>
        </w:rPr>
        <w:t>158E</w:t>
      </w:r>
      <w:r>
        <w:t>.</w:t>
      </w:r>
      <w:r>
        <w:tab/>
        <w:t>Specialised retraining program agreements</w:t>
      </w:r>
      <w:bookmarkEnd w:id="2056"/>
      <w:bookmarkEnd w:id="2057"/>
      <w:bookmarkEnd w:id="2058"/>
    </w:p>
    <w:p>
      <w:pPr>
        <w:pStyle w:val="Subsection"/>
      </w:pPr>
      <w:r>
        <w:tab/>
        <w:t>(1)</w:t>
      </w:r>
      <w:r>
        <w:tab/>
        <w:t xml:space="preserve">A worker who is eligible under sections 158A and 158B to participate in a specialised retraining program cannot participate in the program unless — </w:t>
      </w:r>
    </w:p>
    <w:p>
      <w:pPr>
        <w:pStyle w:val="Indenta"/>
      </w:pPr>
      <w:r>
        <w:tab/>
        <w:t>(a)</w:t>
      </w:r>
      <w:r>
        <w:tab/>
        <w:t>the worker has entered into an agreement with WorkCover WA in relation to the program; and</w:t>
      </w:r>
    </w:p>
    <w:p>
      <w:pPr>
        <w:pStyle w:val="Indenta"/>
      </w:pPr>
      <w:r>
        <w:tab/>
        <w:t>(b)</w:t>
      </w:r>
      <w:r>
        <w:tab/>
        <w:t>the agreement is entered into on or before the final day referred to in subsection (2).</w:t>
      </w:r>
    </w:p>
    <w:p>
      <w:pPr>
        <w:pStyle w:val="Subsection"/>
      </w:pPr>
      <w:r>
        <w:tab/>
        <w:t>(2)</w:t>
      </w:r>
      <w:r>
        <w:tab/>
        <w:t xml:space="preserve">The final day for the purposes of subsection (1) is the later of — </w:t>
      </w:r>
    </w:p>
    <w:p>
      <w:pPr>
        <w:pStyle w:val="Indenta"/>
      </w:pPr>
      <w:r>
        <w:tab/>
        <w:t>(a)</w:t>
      </w:r>
      <w:r>
        <w:tab/>
        <w:t xml:space="preserve">the day that is 30 days after the day on which —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 xml:space="preserve">the day that is 30 days after the day on which —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 xml:space="preserve">the worker is given the decision of an arbitrator as to whether the worker satisfies all of the retraining criteria, </w:t>
      </w:r>
    </w:p>
    <w:p>
      <w:pPr>
        <w:pStyle w:val="Indenta"/>
      </w:pPr>
      <w:r>
        <w:tab/>
      </w:r>
      <w:r>
        <w:tab/>
        <w:t>as is relevant to the case.</w:t>
      </w:r>
    </w:p>
    <w:p>
      <w:pPr>
        <w:pStyle w:val="Subsection"/>
      </w:pPr>
      <w:r>
        <w:tab/>
        <w:t>(3)</w:t>
      </w:r>
      <w:r>
        <w:tab/>
        <w:t xml:space="preserve">An agreement is to make provision in relation to —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pPr>
      <w:r>
        <w:tab/>
        <w:t>(4)</w:t>
      </w:r>
      <w:r>
        <w:tab/>
        <w:t>Any provision of an agreement that is inconsistent with a provision of this Act is of no effect to the extent of the inconsistency.</w:t>
      </w:r>
    </w:p>
    <w:p>
      <w:pPr>
        <w:pStyle w:val="Footnotesection"/>
      </w:pPr>
      <w:bookmarkStart w:id="2059" w:name="_Toc87253016"/>
      <w:r>
        <w:tab/>
        <w:t>[Section 158E inserted by No. 42 of 2004 s. 119.]</w:t>
      </w:r>
    </w:p>
    <w:p>
      <w:pPr>
        <w:pStyle w:val="Heading5"/>
      </w:pPr>
      <w:bookmarkStart w:id="2060" w:name="_Toc122833381"/>
      <w:bookmarkStart w:id="2061" w:name="_Toc122833948"/>
      <w:r>
        <w:rPr>
          <w:rStyle w:val="CharSectno"/>
        </w:rPr>
        <w:t>158F</w:t>
      </w:r>
      <w:r>
        <w:t>.</w:t>
      </w:r>
      <w:r>
        <w:tab/>
        <w:t>WorkCover WA to direct payments in relation to specialised retraining programs</w:t>
      </w:r>
      <w:bookmarkEnd w:id="2059"/>
      <w:bookmarkEnd w:id="2060"/>
      <w:bookmarkEnd w:id="2061"/>
    </w:p>
    <w:p>
      <w:pPr>
        <w:pStyle w:val="Subsection"/>
      </w:pPr>
      <w:r>
        <w:tab/>
        <w:t>(1)</w:t>
      </w:r>
      <w:r>
        <w:tab/>
        <w:t xml:space="preserve">As soon as practicable after an agreement under section 158E has been signed by the worker and WorkCover WA, WorkCover WA is to notify the following persons of the agreement —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pPr>
      <w:r>
        <w:tab/>
        <w:t>(4)</w:t>
      </w:r>
      <w:r>
        <w:tab/>
        <w:t>A direction may be for periodic payments or for a particular payment.</w:t>
      </w:r>
    </w:p>
    <w:p>
      <w:pPr>
        <w:pStyle w:val="Subsection"/>
      </w:pPr>
      <w:r>
        <w:tab/>
        <w:t>(5)</w:t>
      </w:r>
      <w:r>
        <w:tab/>
        <w:t xml:space="preserve">A payment may be for, but is not limited to — </w:t>
      </w:r>
    </w:p>
    <w:p>
      <w:pPr>
        <w:pStyle w:val="Indenta"/>
      </w:pPr>
      <w:r>
        <w:tab/>
        <w:t>(a)</w:t>
      </w:r>
      <w:r>
        <w:tab/>
        <w:t xml:space="preserve">reasonable fees for a course; </w:t>
      </w:r>
    </w:p>
    <w:p>
      <w:pPr>
        <w:pStyle w:val="Indenta"/>
      </w:pPr>
      <w:r>
        <w:tab/>
        <w:t>(b)</w:t>
      </w:r>
      <w:r>
        <w:tab/>
        <w:t>the cost of books and relevant resource materials reasonably necessary to undertake a course;</w:t>
      </w:r>
    </w:p>
    <w:p>
      <w:pPr>
        <w:pStyle w:val="Indenta"/>
      </w:pPr>
      <w:r>
        <w:tab/>
        <w:t>(c)</w:t>
      </w:r>
      <w:r>
        <w:tab/>
        <w:t>subject to subsections (8) and (9), a weekly retraining allowance.</w:t>
      </w:r>
    </w:p>
    <w:p>
      <w:pPr>
        <w:pStyle w:val="Subsection"/>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pPr>
      <w:r>
        <w:tab/>
        <w:t>(8)</w:t>
      </w:r>
      <w:r>
        <w:tab/>
        <w:t>The worker cannot receive any weekly retraining allowance payments until the total weekly payments under clause 7 have reached the prescribed amount.</w:t>
      </w:r>
    </w:p>
    <w:p>
      <w:pPr>
        <w:pStyle w:val="Subsection"/>
      </w:pPr>
      <w:r>
        <w:tab/>
        <w:t>(9)</w:t>
      </w:r>
      <w:r>
        <w:tab/>
        <w:t xml:space="preserve">Any weekly retraining allowance amount — </w:t>
      </w:r>
    </w:p>
    <w:p>
      <w:pPr>
        <w:pStyle w:val="Indenta"/>
      </w:pPr>
      <w:r>
        <w:tab/>
        <w:t>(a)</w:t>
      </w:r>
      <w:r>
        <w:tab/>
        <w:t>is not to be linked to or represent the worker’s capacity or otherwise to work; and</w:t>
      </w:r>
    </w:p>
    <w:p>
      <w:pPr>
        <w:pStyle w:val="Indenta"/>
      </w:pPr>
      <w:r>
        <w:tab/>
        <w:t>(b)</w:t>
      </w:r>
      <w:r>
        <w:tab/>
        <w:t>is not to exceed the worker’s pre</w:t>
      </w:r>
      <w:r>
        <w:noBreakHyphen/>
        <w:t>injury weekly earnings.</w:t>
      </w:r>
    </w:p>
    <w:p>
      <w:pPr>
        <w:pStyle w:val="Subsection"/>
      </w:pPr>
      <w:r>
        <w:tab/>
        <w:t>(10)</w:t>
      </w:r>
      <w:r>
        <w:tab/>
        <w:t xml:space="preserve">Subject to subsections (6), (7), (8) and (9), the following matters may be prescribed by the regulations — </w:t>
      </w:r>
    </w:p>
    <w:p>
      <w:pPr>
        <w:pStyle w:val="Indenta"/>
      </w:pPr>
      <w:r>
        <w:tab/>
        <w:t>(a)</w:t>
      </w:r>
      <w:r>
        <w:tab/>
        <w:t>the submission of requests for payment and requirement for copies of invoices to be provided to WorkCover WA;</w:t>
      </w:r>
    </w:p>
    <w:p>
      <w:pPr>
        <w:pStyle w:val="Indenta"/>
      </w:pPr>
      <w:r>
        <w:tab/>
        <w:t>(b)</w:t>
      </w:r>
      <w:r>
        <w:tab/>
        <w:t>the manner in which funds may be apportioned;</w:t>
      </w:r>
    </w:p>
    <w:p>
      <w:pPr>
        <w:pStyle w:val="Indenta"/>
      </w:pPr>
      <w:r>
        <w:tab/>
        <w:t>(c)</w:t>
      </w:r>
      <w:r>
        <w:tab/>
        <w:t>when funds should be directed to be paid;</w:t>
      </w:r>
    </w:p>
    <w:p>
      <w:pPr>
        <w:pStyle w:val="Indenta"/>
      </w:pPr>
      <w:r>
        <w:tab/>
        <w:t>(d)</w:t>
      </w:r>
      <w:r>
        <w:tab/>
        <w:t xml:space="preserve">when funds should be paid; </w:t>
      </w:r>
    </w:p>
    <w:p>
      <w:pPr>
        <w:pStyle w:val="Indenta"/>
      </w:pPr>
      <w:r>
        <w:tab/>
        <w:t>(e)</w:t>
      </w:r>
      <w:r>
        <w:tab/>
        <w:t>the rate of any weekly training allowance.</w:t>
      </w:r>
    </w:p>
    <w:p>
      <w:pPr>
        <w:pStyle w:val="Footnotesection"/>
      </w:pPr>
      <w:bookmarkStart w:id="2062" w:name="_Toc87253017"/>
      <w:r>
        <w:tab/>
        <w:t>[Section 158F inserted by No. 42 of 2004 s. 119.]</w:t>
      </w:r>
    </w:p>
    <w:p>
      <w:pPr>
        <w:pStyle w:val="Heading5"/>
      </w:pPr>
      <w:bookmarkStart w:id="2063" w:name="_Toc122833382"/>
      <w:bookmarkStart w:id="2064" w:name="_Toc122833949"/>
      <w:r>
        <w:rPr>
          <w:rStyle w:val="CharSectno"/>
        </w:rPr>
        <w:t>158G</w:t>
      </w:r>
      <w:r>
        <w:t>.</w:t>
      </w:r>
      <w:r>
        <w:tab/>
        <w:t>Obligations of employers, insurers</w:t>
      </w:r>
      <w:bookmarkEnd w:id="2062"/>
      <w:bookmarkEnd w:id="2063"/>
      <w:bookmarkEnd w:id="2064"/>
    </w:p>
    <w:p>
      <w:pPr>
        <w:pStyle w:val="Subsection"/>
      </w:pPr>
      <w:r>
        <w:rPr>
          <w:b/>
        </w:rPr>
        <w:tab/>
      </w:r>
      <w:r>
        <w:t>(1)</w:t>
      </w:r>
      <w:r>
        <w:tab/>
        <w:t>An employer or insurer who receives a direction under section 158F or 158I must comply with the direction within the time specified in the direction, or such longer period as may be subsequently specified by WorkCover WA but not exceeding 30 days.</w:t>
      </w:r>
    </w:p>
    <w:p>
      <w:pPr>
        <w:pStyle w:val="Subsection"/>
      </w:pPr>
      <w:r>
        <w:tab/>
        <w:t>(2)</w:t>
      </w:r>
      <w:r>
        <w:tab/>
        <w:t>An employer or insurer must not modify, suspend or cease an amount payable under a direction under section 158F or affected by a direction under section 158I unless WorkCover WA has given the employer or insurer written approval to do so.</w:t>
      </w:r>
    </w:p>
    <w:p>
      <w:pPr>
        <w:pStyle w:val="Subsection"/>
      </w:pPr>
      <w:r>
        <w:tab/>
        <w:t>(3)</w:t>
      </w:r>
      <w:r>
        <w:tab/>
        <w:t>A reference in section 174(1)(c) to the obtaining of an award by the worker includes a reference to the receipt by an employer or insurer of a direction under section 158F or 158I.</w:t>
      </w:r>
    </w:p>
    <w:p>
      <w:pPr>
        <w:pStyle w:val="Subsection"/>
      </w:pPr>
      <w:r>
        <w:tab/>
        <w:t>(4)</w:t>
      </w:r>
      <w:r>
        <w:tab/>
        <w:t xml:space="preserve">Nothing in section 174 prevents moneys standing to the credit of the General Fund from being paid in accordance with a direction under section 158F or 158I within 30 days of the direction being received if — </w:t>
      </w:r>
    </w:p>
    <w:p>
      <w:pPr>
        <w:pStyle w:val="Indenta"/>
      </w:pPr>
      <w:r>
        <w:tab/>
        <w:t>(a)</w:t>
      </w:r>
      <w:r>
        <w:tab/>
        <w:t xml:space="preserve">the direction relates to a payment in respect of a particular specialised retraining program; and </w:t>
      </w:r>
    </w:p>
    <w:p>
      <w:pPr>
        <w:pStyle w:val="Indenta"/>
      </w:pPr>
      <w:r>
        <w:tab/>
        <w:t>(b)</w:t>
      </w:r>
      <w:r>
        <w:tab/>
        <w:t>moneys have already been paid from the General Fund in respect of that program.</w:t>
      </w:r>
    </w:p>
    <w:p>
      <w:pPr>
        <w:pStyle w:val="Footnotesection"/>
      </w:pPr>
      <w:bookmarkStart w:id="2065" w:name="_Toc87253018"/>
      <w:r>
        <w:tab/>
        <w:t>[Section 158G inserted by No. 42 of 2004 s. 119.]</w:t>
      </w:r>
    </w:p>
    <w:p>
      <w:pPr>
        <w:pStyle w:val="Heading5"/>
      </w:pPr>
      <w:bookmarkStart w:id="2066" w:name="_Toc122833383"/>
      <w:bookmarkStart w:id="2067" w:name="_Toc122833950"/>
      <w:r>
        <w:rPr>
          <w:rStyle w:val="CharSectno"/>
        </w:rPr>
        <w:t>158H</w:t>
      </w:r>
      <w:r>
        <w:t>.</w:t>
      </w:r>
      <w:r>
        <w:tab/>
        <w:t>3 monthly reviews of performance, payments under specialised retraining programs</w:t>
      </w:r>
      <w:bookmarkEnd w:id="2065"/>
      <w:bookmarkEnd w:id="2066"/>
      <w:bookmarkEnd w:id="2067"/>
    </w:p>
    <w:p>
      <w:pPr>
        <w:pStyle w:val="Subsection"/>
      </w:pPr>
      <w:r>
        <w:tab/>
        <w:t>(1)</w:t>
      </w:r>
      <w:r>
        <w:tab/>
        <w:t xml:space="preserve">WorkCover WA is to conduct, at the times set out in subsection (2), a review of —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bookmarkStart w:id="2068" w:name="_Toc87253019"/>
      <w:r>
        <w:tab/>
        <w:t>[Section 158H inserted by No. 42 of 2004 s. 119.]</w:t>
      </w:r>
    </w:p>
    <w:p>
      <w:pPr>
        <w:pStyle w:val="Heading5"/>
      </w:pPr>
      <w:bookmarkStart w:id="2069" w:name="_Toc122833384"/>
      <w:bookmarkStart w:id="2070" w:name="_Toc122833951"/>
      <w:r>
        <w:rPr>
          <w:rStyle w:val="CharSectno"/>
        </w:rPr>
        <w:t>158I</w:t>
      </w:r>
      <w:r>
        <w:t>.</w:t>
      </w:r>
      <w:r>
        <w:tab/>
        <w:t>WorkCover WA may direct modification, suspension, cessation of payments under specialised retraining programs</w:t>
      </w:r>
      <w:bookmarkEnd w:id="2068"/>
      <w:bookmarkEnd w:id="2069"/>
      <w:bookmarkEnd w:id="2070"/>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pPr>
      <w:r>
        <w:tab/>
        <w:t>(2)</w:t>
      </w:r>
      <w:r>
        <w:tab/>
        <w:t xml:space="preserve">Without affecting subsection (1) WorkCover WA may give a written direction to the worker’s employer or the employer’s insurer to do any of the following — </w:t>
      </w:r>
    </w:p>
    <w:p>
      <w:pPr>
        <w:pStyle w:val="Indenta"/>
      </w:pPr>
      <w:r>
        <w:tab/>
        <w:t>(a)</w:t>
      </w:r>
      <w:r>
        <w:tab/>
        <w:t xml:space="preserve">suspend any entitlement that a worker has under an agreement under section 158E if WorkCover WA is of the opinion that the worker has not complied, or is not complying, with a provision of the agreement; </w:t>
      </w:r>
    </w:p>
    <w:p>
      <w:pPr>
        <w:pStyle w:val="Indenta"/>
      </w:pPr>
      <w:r>
        <w:tab/>
        <w:t>(b)</w:t>
      </w:r>
      <w:r>
        <w:tab/>
        <w:t>cease the entitlement if the worker does not, within one month of being requested in writing by WorkCover WA to do so, comply with the provision;</w:t>
      </w:r>
    </w:p>
    <w:p>
      <w:pPr>
        <w:pStyle w:val="Indenta"/>
      </w:pPr>
      <w:r>
        <w:tab/>
        <w:t>(c)</w:t>
      </w:r>
      <w:r>
        <w:tab/>
        <w:t>modify, suspend or cease the amounts payable in respect of the worker’s participation in the program if the worker fails a course requirement or does not achieve the results that, in the opinion of WorkCover WA, are required for the course to be successfully completed.</w:t>
      </w:r>
    </w:p>
    <w:p>
      <w:pPr>
        <w:pStyle w:val="Footnotesection"/>
      </w:pPr>
      <w:bookmarkStart w:id="2071" w:name="_Toc87253020"/>
      <w:r>
        <w:tab/>
        <w:t>[Section 158I inserted by No. 42 of 2004 s. 119.]</w:t>
      </w:r>
    </w:p>
    <w:p>
      <w:pPr>
        <w:pStyle w:val="Heading5"/>
      </w:pPr>
      <w:bookmarkStart w:id="2072" w:name="_Toc122833385"/>
      <w:bookmarkStart w:id="2073" w:name="_Toc122833952"/>
      <w:r>
        <w:rPr>
          <w:rStyle w:val="CharSectno"/>
        </w:rPr>
        <w:t>158J</w:t>
      </w:r>
      <w:r>
        <w:t>.</w:t>
      </w:r>
      <w:r>
        <w:tab/>
        <w:t>Cessation of payments</w:t>
      </w:r>
      <w:bookmarkEnd w:id="2071"/>
      <w:bookmarkEnd w:id="2072"/>
      <w:bookmarkEnd w:id="2073"/>
    </w:p>
    <w:p>
      <w:pPr>
        <w:pStyle w:val="Subsection"/>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pPr>
      <w:bookmarkStart w:id="2074" w:name="_Toc87253021"/>
      <w:r>
        <w:tab/>
        <w:t>[Section 158J inserted by No. 42 of 2004 s. 119.]</w:t>
      </w:r>
    </w:p>
    <w:p>
      <w:pPr>
        <w:pStyle w:val="Heading5"/>
      </w:pPr>
      <w:bookmarkStart w:id="2075" w:name="_Toc122833386"/>
      <w:bookmarkStart w:id="2076" w:name="_Toc122833953"/>
      <w:r>
        <w:rPr>
          <w:rStyle w:val="CharSectno"/>
        </w:rPr>
        <w:t>158K</w:t>
      </w:r>
      <w:r>
        <w:t>.</w:t>
      </w:r>
      <w:r>
        <w:tab/>
        <w:t>Directions not open to challenge etc.</w:t>
      </w:r>
      <w:bookmarkEnd w:id="2074"/>
      <w:bookmarkEnd w:id="2075"/>
      <w:bookmarkEnd w:id="2076"/>
    </w:p>
    <w:p>
      <w:pPr>
        <w:pStyle w:val="Subsection"/>
      </w:pPr>
      <w:r>
        <w:tab/>
      </w:r>
      <w:r>
        <w:tab/>
        <w:t>A decision of WorkCover WA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pPr>
      <w:bookmarkStart w:id="2077" w:name="_Toc87253022"/>
      <w:r>
        <w:tab/>
        <w:t>[Section 158K inserted by No. 42 of 2004 s. 119.]</w:t>
      </w:r>
    </w:p>
    <w:p>
      <w:pPr>
        <w:pStyle w:val="Heading5"/>
      </w:pPr>
      <w:bookmarkStart w:id="2078" w:name="_Toc122833387"/>
      <w:bookmarkStart w:id="2079" w:name="_Toc122833954"/>
      <w:r>
        <w:rPr>
          <w:rStyle w:val="CharSectno"/>
        </w:rPr>
        <w:t>158L</w:t>
      </w:r>
      <w:r>
        <w:t>.</w:t>
      </w:r>
      <w:r>
        <w:tab/>
        <w:t>Other effects of participation in specialised retraining program</w:t>
      </w:r>
      <w:bookmarkEnd w:id="2077"/>
      <w:bookmarkEnd w:id="2078"/>
      <w:bookmarkEnd w:id="2079"/>
    </w:p>
    <w:p>
      <w:pPr>
        <w:pStyle w:val="Subsection"/>
      </w:pPr>
      <w:r>
        <w:tab/>
        <w:t>(1)</w:t>
      </w:r>
      <w:r>
        <w:tab/>
        <w:t>The amount referred to in section 158F(2) is in addition to and separate from any other compensation that a worker is entitled to under this Act in relation to an injury.</w:t>
      </w:r>
    </w:p>
    <w:p>
      <w:pPr>
        <w:pStyle w:val="Subsection"/>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pPr>
      <w:r>
        <w:tab/>
        <w:t>(4)</w:t>
      </w:r>
      <w:r>
        <w:tab/>
        <w:t>No part of the specialised retraining program entitlement can be taken into account in the calculation of any other compensation to which the worker is entitled under this Act.</w:t>
      </w:r>
    </w:p>
    <w:p>
      <w:pPr>
        <w:pStyle w:val="Footnotesection"/>
      </w:pPr>
      <w:r>
        <w:tab/>
        <w:t>[Section 158L inserted by No. 42 of 2004 s. 119.]</w:t>
      </w:r>
    </w:p>
    <w:p>
      <w:pPr>
        <w:pStyle w:val="Heading2"/>
      </w:pPr>
      <w:bookmarkStart w:id="2080" w:name="_Toc119132669"/>
      <w:bookmarkStart w:id="2081" w:name="_Toc119203339"/>
      <w:bookmarkStart w:id="2082" w:name="_Toc119203985"/>
      <w:bookmarkStart w:id="2083" w:name="_Toc119216315"/>
      <w:bookmarkStart w:id="2084" w:name="_Toc119300835"/>
      <w:bookmarkStart w:id="2085" w:name="_Toc119301402"/>
      <w:bookmarkStart w:id="2086" w:name="_Toc119301971"/>
      <w:bookmarkStart w:id="2087" w:name="_Toc119920158"/>
      <w:bookmarkStart w:id="2088" w:name="_Toc122774145"/>
      <w:bookmarkStart w:id="2089" w:name="_Toc122833388"/>
      <w:bookmarkStart w:id="2090" w:name="_Toc122833955"/>
      <w:r>
        <w:rPr>
          <w:rStyle w:val="CharPartNo"/>
        </w:rPr>
        <w:t>Part X</w:t>
      </w:r>
      <w:r>
        <w:t> — </w:t>
      </w:r>
      <w:r>
        <w:rPr>
          <w:rStyle w:val="CharPartText"/>
        </w:rPr>
        <w:t>Insurance</w:t>
      </w:r>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2080"/>
      <w:bookmarkEnd w:id="2081"/>
      <w:bookmarkEnd w:id="2082"/>
      <w:bookmarkEnd w:id="2083"/>
      <w:bookmarkEnd w:id="2084"/>
      <w:bookmarkEnd w:id="2085"/>
      <w:bookmarkEnd w:id="2086"/>
      <w:bookmarkEnd w:id="2087"/>
      <w:bookmarkEnd w:id="2088"/>
      <w:bookmarkEnd w:id="2089"/>
      <w:bookmarkEnd w:id="2090"/>
      <w:r>
        <w:rPr>
          <w:rStyle w:val="CharPartText"/>
        </w:rPr>
        <w:t xml:space="preserve"> </w:t>
      </w:r>
    </w:p>
    <w:p>
      <w:pPr>
        <w:pStyle w:val="Heading3"/>
        <w:rPr>
          <w:snapToGrid w:val="0"/>
        </w:rPr>
      </w:pPr>
      <w:bookmarkStart w:id="2091" w:name="_Toc86740137"/>
      <w:bookmarkStart w:id="2092" w:name="_Toc88562541"/>
      <w:bookmarkStart w:id="2093" w:name="_Toc88625458"/>
      <w:bookmarkStart w:id="2094" w:name="_Toc91386120"/>
      <w:bookmarkStart w:id="2095" w:name="_Toc92705138"/>
      <w:bookmarkStart w:id="2096" w:name="_Toc93222601"/>
      <w:bookmarkStart w:id="2097" w:name="_Toc95022678"/>
      <w:bookmarkStart w:id="2098" w:name="_Toc95117950"/>
      <w:bookmarkStart w:id="2099" w:name="_Toc96498355"/>
      <w:bookmarkStart w:id="2100" w:name="_Toc96500833"/>
      <w:bookmarkStart w:id="2101" w:name="_Toc101779748"/>
      <w:bookmarkStart w:id="2102" w:name="_Toc103060196"/>
      <w:bookmarkStart w:id="2103" w:name="_Toc105471092"/>
      <w:bookmarkStart w:id="2104" w:name="_Toc105475006"/>
      <w:bookmarkStart w:id="2105" w:name="_Toc107308108"/>
      <w:bookmarkStart w:id="2106" w:name="_Toc109712341"/>
      <w:bookmarkStart w:id="2107" w:name="_Toc109724224"/>
      <w:bookmarkStart w:id="2108" w:name="_Toc110054096"/>
      <w:bookmarkStart w:id="2109" w:name="_Toc110054485"/>
      <w:bookmarkStart w:id="2110" w:name="_Toc110654565"/>
      <w:bookmarkStart w:id="2111" w:name="_Toc110736003"/>
      <w:bookmarkStart w:id="2112" w:name="_Toc110738739"/>
      <w:bookmarkStart w:id="2113" w:name="_Toc115691413"/>
      <w:bookmarkStart w:id="2114" w:name="_Toc115773710"/>
      <w:bookmarkStart w:id="2115" w:name="_Toc119132670"/>
      <w:bookmarkStart w:id="2116" w:name="_Toc119203340"/>
      <w:bookmarkStart w:id="2117" w:name="_Toc119203986"/>
      <w:bookmarkStart w:id="2118" w:name="_Toc119216316"/>
      <w:bookmarkStart w:id="2119" w:name="_Toc119300836"/>
      <w:bookmarkStart w:id="2120" w:name="_Toc119301403"/>
      <w:bookmarkStart w:id="2121" w:name="_Toc119301972"/>
      <w:bookmarkStart w:id="2122" w:name="_Toc119920159"/>
      <w:bookmarkStart w:id="2123" w:name="_Toc122774146"/>
      <w:bookmarkStart w:id="2124" w:name="_Toc122833389"/>
      <w:bookmarkStart w:id="2125" w:name="_Toc122833956"/>
      <w:r>
        <w:rPr>
          <w:rStyle w:val="CharDivNo"/>
        </w:rPr>
        <w:t>Division 1</w:t>
      </w:r>
      <w:r>
        <w:rPr>
          <w:snapToGrid w:val="0"/>
        </w:rPr>
        <w:t> — </w:t>
      </w:r>
      <w:r>
        <w:rPr>
          <w:rStyle w:val="CharDivText"/>
        </w:rPr>
        <w:t>Liability of employers and insurers</w:t>
      </w:r>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r>
        <w:rPr>
          <w:rStyle w:val="CharDivText"/>
        </w:rPr>
        <w:t xml:space="preserve"> </w:t>
      </w:r>
    </w:p>
    <w:p>
      <w:pPr>
        <w:pStyle w:val="Heading5"/>
        <w:rPr>
          <w:snapToGrid w:val="0"/>
        </w:rPr>
      </w:pPr>
      <w:bookmarkStart w:id="2126" w:name="_Toc440878031"/>
      <w:bookmarkStart w:id="2127" w:name="_Toc517775389"/>
      <w:bookmarkStart w:id="2128" w:name="_Toc520107137"/>
      <w:bookmarkStart w:id="2129" w:name="_Toc523111762"/>
      <w:bookmarkStart w:id="2130" w:name="_Toc122833390"/>
      <w:bookmarkStart w:id="2131" w:name="_Toc122833957"/>
      <w:r>
        <w:rPr>
          <w:rStyle w:val="CharSectno"/>
        </w:rPr>
        <w:t>160</w:t>
      </w:r>
      <w:r>
        <w:rPr>
          <w:snapToGrid w:val="0"/>
        </w:rPr>
        <w:t>.</w:t>
      </w:r>
      <w:r>
        <w:rPr>
          <w:snapToGrid w:val="0"/>
        </w:rPr>
        <w:tab/>
        <w:t>Employer to obtain insurance</w:t>
      </w:r>
      <w:bookmarkEnd w:id="2126"/>
      <w:bookmarkEnd w:id="2127"/>
      <w:bookmarkEnd w:id="2128"/>
      <w:bookmarkEnd w:id="2129"/>
      <w:bookmarkEnd w:id="2130"/>
      <w:bookmarkEnd w:id="2131"/>
      <w:r>
        <w:rPr>
          <w:snapToGrid w:val="0"/>
        </w:rPr>
        <w:t xml:space="preserve"> </w:t>
      </w:r>
    </w:p>
    <w:p>
      <w:pPr>
        <w:pStyle w:val="Subsection"/>
        <w:rPr>
          <w:snapToGrid w:val="0"/>
        </w:rPr>
      </w:pPr>
      <w:r>
        <w:rPr>
          <w:snapToGrid w:val="0"/>
        </w:rPr>
        <w:tab/>
        <w:t>(1)</w:t>
      </w:r>
      <w:r>
        <w:rPr>
          <w:snapToGrid w:val="0"/>
        </w:rPr>
        <w:tab/>
        <w:t>Subject to this Act, every employer shall obtain from an approved insurance office and shall keep current a policy of insurance for the full amount of his liability to pay compensation under this Act to any worker employed by him including any increase in amount occurring during currency of the policy.</w:t>
      </w:r>
    </w:p>
    <w:p>
      <w:pPr>
        <w:pStyle w:val="Subsection"/>
        <w:rPr>
          <w:snapToGrid w:val="0"/>
        </w:rPr>
      </w:pPr>
      <w:r>
        <w:rPr>
          <w:snapToGrid w:val="0"/>
        </w:rPr>
        <w:tab/>
        <w:t>(2)</w:t>
      </w:r>
      <w:r>
        <w:rPr>
          <w:snapToGrid w:val="0"/>
        </w:rPr>
        <w:tab/>
        <w:t>An employer obliged by this section to effect or renew a policy of insurance shall, on applying to an approved insurance office, for that purpose, furnish to that office an estimate, made to the best of that employer’s knowledge, information and belief, of the aggregate amount of wages, salaries, or other remuneration to be paid to the employer’s workers not including any amount paid by way of compensation under this Act but including any amounts paid to workers employed under an agreement to perform — </w:t>
      </w:r>
    </w:p>
    <w:p>
      <w:pPr>
        <w:pStyle w:val="Indenta"/>
        <w:rPr>
          <w:snapToGrid w:val="0"/>
        </w:rPr>
      </w:pPr>
      <w:r>
        <w:rPr>
          <w:snapToGrid w:val="0"/>
        </w:rPr>
        <w:tab/>
        <w:t>(a)</w:t>
      </w:r>
      <w:r>
        <w:rPr>
          <w:snapToGrid w:val="0"/>
        </w:rPr>
        <w:tab/>
        <w:t>a specified quantity of work for a specified sum;</w:t>
      </w:r>
    </w:p>
    <w:p>
      <w:pPr>
        <w:pStyle w:val="Indenta"/>
        <w:rPr>
          <w:snapToGrid w:val="0"/>
        </w:rPr>
      </w:pPr>
      <w:r>
        <w:rPr>
          <w:snapToGrid w:val="0"/>
        </w:rPr>
        <w:tab/>
        <w:t>(b)</w:t>
      </w:r>
      <w:r>
        <w:rPr>
          <w:snapToGrid w:val="0"/>
        </w:rPr>
        <w:tab/>
        <w:t>work on piece rates; or</w:t>
      </w:r>
    </w:p>
    <w:p>
      <w:pPr>
        <w:pStyle w:val="Indenta"/>
        <w:rPr>
          <w:snapToGrid w:val="0"/>
        </w:rPr>
      </w:pPr>
      <w:r>
        <w:rPr>
          <w:snapToGrid w:val="0"/>
        </w:rPr>
        <w:tab/>
        <w:t>(c)</w:t>
      </w:r>
      <w:r>
        <w:rPr>
          <w:snapToGrid w:val="0"/>
        </w:rPr>
        <w:tab/>
        <w:t>work on a bonus or commission system for payment by results,</w:t>
      </w:r>
    </w:p>
    <w:p>
      <w:pPr>
        <w:pStyle w:val="Subsection"/>
        <w:rPr>
          <w:snapToGrid w:val="0"/>
        </w:rPr>
      </w:pPr>
      <w:r>
        <w:rPr>
          <w:snapToGrid w:val="0"/>
        </w:rPr>
        <w:tab/>
      </w:r>
      <w:r>
        <w:rPr>
          <w:snapToGrid w:val="0"/>
        </w:rPr>
        <w:tab/>
        <w:t>over the period for which the policy is to be effected or renewed; and shall forthwith after the termination of that period furnish a statement of the aggregate amount of those wages paid in fact and shall 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rPr>
          <w:snapToGrid w:val="0"/>
        </w:rPr>
      </w:pPr>
      <w:r>
        <w:rPr>
          <w:snapToGrid w:val="0"/>
        </w:rPr>
        <w:tab/>
        <w:t>(a)</w:t>
      </w:r>
      <w:r>
        <w:rPr>
          <w:snapToGrid w:val="0"/>
        </w:rPr>
        <w:tab/>
        <w:t>the name of the director; and</w:t>
      </w:r>
    </w:p>
    <w:p>
      <w:pPr>
        <w:pStyle w:val="Indenta"/>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 xml:space="preserve">After the termination of the period referred to in subsection (2), an employer referred to in subsection (2a) is to furnish to the insurance office — </w:t>
      </w:r>
    </w:p>
    <w:p>
      <w:pPr>
        <w:pStyle w:val="Indenta"/>
      </w:pPr>
      <w:r>
        <w:tab/>
        <w:t>(a)</w:t>
      </w:r>
      <w:r>
        <w:tab/>
        <w:t>a statement of the aggregate amount of the wages, salary and other remuneration paid in fact during that period to the director; and</w:t>
      </w:r>
    </w:p>
    <w:p>
      <w:pPr>
        <w:pStyle w:val="Indenta"/>
      </w:pPr>
      <w:r>
        <w:tab/>
        <w:t>(b)</w:t>
      </w:r>
      <w:r>
        <w:tab/>
        <w:t>supporting particulars to verify the aggregate amount stated.</w:t>
      </w:r>
    </w:p>
    <w:p>
      <w:pPr>
        <w:pStyle w:val="Subsection"/>
        <w:rPr>
          <w:snapToGrid w:val="0"/>
        </w:rPr>
      </w:pPr>
      <w:r>
        <w:rPr>
          <w:snapToGrid w:val="0"/>
        </w:rPr>
        <w:tab/>
        <w:t>(3)</w:t>
      </w:r>
      <w:r>
        <w:rPr>
          <w:snapToGrid w:val="0"/>
        </w:rPr>
        <w:tab/>
        <w:t>An approved insurance office shall insure any employer requesting it for the full amount of the liability of the employer to pay compensation under this Act to all workers employed by him.</w:t>
      </w:r>
    </w:p>
    <w:p>
      <w:pPr>
        <w:pStyle w:val="Penstart"/>
        <w:rPr>
          <w:snapToGrid w:val="0"/>
        </w:rPr>
      </w:pPr>
      <w:r>
        <w:rPr>
          <w:snapToGrid w:val="0"/>
        </w:rPr>
        <w:tab/>
        <w:t>Penalty: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 xml:space="preserve">Penalty: $1 000. </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 </w:t>
      </w:r>
    </w:p>
    <w:p>
      <w:pPr>
        <w:pStyle w:val="Indenta"/>
        <w:rPr>
          <w:snapToGrid w:val="0"/>
        </w:rPr>
      </w:pPr>
      <w:r>
        <w:rPr>
          <w:snapToGrid w:val="0"/>
        </w:rPr>
        <w:tab/>
        <w:t>(a)</w:t>
      </w:r>
      <w:r>
        <w:rPr>
          <w:snapToGrid w:val="0"/>
        </w:rPr>
        <w:tab/>
        <w:t>the employer is not insured against his liability to pay compensation under this Act;</w:t>
      </w:r>
    </w:p>
    <w:p>
      <w:pPr>
        <w:pStyle w:val="Indenta"/>
        <w:rPr>
          <w:snapToGrid w:val="0"/>
        </w:rPr>
      </w:pPr>
      <w:r>
        <w:rPr>
          <w:snapToGrid w:val="0"/>
        </w:rPr>
        <w:tab/>
        <w:t>(b)</w:t>
      </w:r>
      <w:r>
        <w:rPr>
          <w:snapToGrid w:val="0"/>
        </w:rPr>
        <w:tab/>
        <w:t>the employer has incurred liability to pay compensation under this Act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 xml:space="preserve">[Section 160 amended by No. 44 of 1985 s. 34; No. 85 of 1986 s. 10; No. 96 of 1990 s. 37; No. 34 of 1999 s. 42; No. 42 of 2004 s. 120(2), (3) and 150; No. 16 of 2005 s. 11.] </w:t>
      </w:r>
    </w:p>
    <w:p>
      <w:pPr>
        <w:pStyle w:val="Heading5"/>
      </w:pPr>
      <w:bookmarkStart w:id="2132" w:name="_Toc122833391"/>
      <w:bookmarkStart w:id="2133" w:name="_Toc122833958"/>
      <w:bookmarkStart w:id="2134" w:name="_Toc440878032"/>
      <w:bookmarkStart w:id="2135" w:name="_Toc517775390"/>
      <w:bookmarkStart w:id="2136" w:name="_Toc520107138"/>
      <w:bookmarkStart w:id="2137" w:name="_Toc523111763"/>
      <w:r>
        <w:rPr>
          <w:rStyle w:val="CharSectno"/>
        </w:rPr>
        <w:t>160A</w:t>
      </w:r>
      <w:r>
        <w:t>.</w:t>
      </w:r>
      <w:r>
        <w:tab/>
        <w:t>Insurance in respect of working directors</w:t>
      </w:r>
      <w:bookmarkEnd w:id="2132"/>
      <w:bookmarkEnd w:id="2133"/>
    </w:p>
    <w:p>
      <w:pPr>
        <w:pStyle w:val="Subsection"/>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pPr>
      <w:r>
        <w:tab/>
        <w:t>(2)</w:t>
      </w:r>
      <w:r>
        <w:tab/>
        <w:t xml:space="preserve">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 </w:t>
      </w:r>
    </w:p>
    <w:p>
      <w:pPr>
        <w:pStyle w:val="Indenta"/>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pPr>
      <w:r>
        <w:tab/>
        <w:t>(b)</w:t>
      </w:r>
      <w:r>
        <w:tab/>
        <w:t>the decision of the insurance office to issue a policy or contract of insurance in respect of the director was materially affected by that representation.</w:t>
      </w:r>
    </w:p>
    <w:p>
      <w:pPr>
        <w:pStyle w:val="Footnotesection"/>
      </w:pPr>
      <w:r>
        <w:tab/>
        <w:t xml:space="preserve">[Section 160A inserted by No. 16 of 2005 s. 12.] </w:t>
      </w:r>
    </w:p>
    <w:p>
      <w:pPr>
        <w:pStyle w:val="Heading5"/>
        <w:rPr>
          <w:snapToGrid w:val="0"/>
        </w:rPr>
      </w:pPr>
      <w:bookmarkStart w:id="2138" w:name="_Toc122833392"/>
      <w:bookmarkStart w:id="2139" w:name="_Toc122833959"/>
      <w:r>
        <w:rPr>
          <w:rStyle w:val="CharSectno"/>
        </w:rPr>
        <w:t>161A</w:t>
      </w:r>
      <w:r>
        <w:rPr>
          <w:snapToGrid w:val="0"/>
        </w:rPr>
        <w:t>.</w:t>
      </w:r>
      <w:r>
        <w:rPr>
          <w:snapToGrid w:val="0"/>
        </w:rPr>
        <w:tab/>
        <w:t>Penalty — issue or renewal of policy without approval</w:t>
      </w:r>
      <w:bookmarkEnd w:id="2134"/>
      <w:bookmarkEnd w:id="2135"/>
      <w:bookmarkEnd w:id="2136"/>
      <w:bookmarkEnd w:id="2137"/>
      <w:bookmarkEnd w:id="2138"/>
      <w:bookmarkEnd w:id="2139"/>
      <w:r>
        <w:rPr>
          <w:snapToGrid w:val="0"/>
        </w:rPr>
        <w:t xml:space="preserve"> </w:t>
      </w:r>
    </w:p>
    <w:p>
      <w:pPr>
        <w:pStyle w:val="Subsection"/>
        <w:rPr>
          <w:snapToGrid w:val="0"/>
        </w:rPr>
      </w:pPr>
      <w:r>
        <w:rPr>
          <w:snapToGrid w:val="0"/>
        </w:rPr>
        <w:tab/>
      </w:r>
      <w:r>
        <w:rPr>
          <w:snapToGrid w:val="0"/>
        </w:rPr>
        <w:tab/>
        <w:t>An incorporated insurance office shall not issue or renew a policy insuring an employer against his liability to pay compensation under this Act 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pPr>
      <w:r>
        <w:tab/>
        <w:t xml:space="preserve">[Section 161A inserted by No. 44 of 1985 s. 35; amended by No. 34 of 1999 s. 57.] </w:t>
      </w:r>
    </w:p>
    <w:p>
      <w:pPr>
        <w:pStyle w:val="Heading5"/>
        <w:rPr>
          <w:snapToGrid w:val="0"/>
        </w:rPr>
      </w:pPr>
      <w:bookmarkStart w:id="2140" w:name="_Toc440878033"/>
      <w:bookmarkStart w:id="2141" w:name="_Toc517775391"/>
      <w:bookmarkStart w:id="2142" w:name="_Toc520107139"/>
      <w:bookmarkStart w:id="2143" w:name="_Toc523111764"/>
      <w:bookmarkStart w:id="2144" w:name="_Toc122833393"/>
      <w:bookmarkStart w:id="2145" w:name="_Toc122833960"/>
      <w:r>
        <w:rPr>
          <w:rStyle w:val="CharSectno"/>
        </w:rPr>
        <w:t>161</w:t>
      </w:r>
      <w:r>
        <w:rPr>
          <w:snapToGrid w:val="0"/>
        </w:rPr>
        <w:t>.</w:t>
      </w:r>
      <w:r>
        <w:rPr>
          <w:snapToGrid w:val="0"/>
        </w:rPr>
        <w:tab/>
        <w:t>Approvals</w:t>
      </w:r>
      <w:bookmarkEnd w:id="2140"/>
      <w:bookmarkEnd w:id="2141"/>
      <w:bookmarkEnd w:id="2142"/>
      <w:bookmarkEnd w:id="2143"/>
      <w:bookmarkEnd w:id="2144"/>
      <w:bookmarkEnd w:id="2145"/>
      <w:r>
        <w:rPr>
          <w:snapToGrid w:val="0"/>
        </w:rPr>
        <w:t xml:space="preserve"> </w:t>
      </w:r>
    </w:p>
    <w:p>
      <w:pPr>
        <w:pStyle w:val="Subsection"/>
        <w:spacing w:before="100"/>
        <w:rPr>
          <w:snapToGrid w:val="0"/>
        </w:rPr>
      </w:pPr>
      <w:r>
        <w:rPr>
          <w:snapToGrid w:val="0"/>
        </w:rPr>
        <w:tab/>
        <w:t>(1)</w:t>
      </w:r>
      <w:r>
        <w:rPr>
          <w:snapToGrid w:val="0"/>
        </w:rPr>
        <w:tab/>
        <w:t xml:space="preserve">For the purpose of this Part </w:t>
      </w:r>
      <w:r>
        <w:rPr>
          <w:b/>
          <w:snapToGrid w:val="0"/>
        </w:rPr>
        <w:t>“</w:t>
      </w:r>
      <w:r>
        <w:rPr>
          <w:rStyle w:val="CharDefText"/>
        </w:rPr>
        <w:t>incorporated insurance office</w:t>
      </w:r>
      <w:r>
        <w:rPr>
          <w:b/>
          <w:snapToGrid w:val="0"/>
        </w:rPr>
        <w:t>”</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spacing w:before="100"/>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spacing w:before="100"/>
        <w:rPr>
          <w:snapToGrid w:val="0"/>
        </w:rPr>
      </w:pPr>
      <w:r>
        <w:rPr>
          <w:snapToGrid w:val="0"/>
        </w:rPr>
        <w:tab/>
        <w:t>(3)</w:t>
      </w:r>
      <w:r>
        <w:rPr>
          <w:snapToGrid w:val="0"/>
        </w:rPr>
        <w:tab/>
        <w:t>The requirements for an incorporated insurance office that is approved under this section to remain so approved are that it —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WorkCover WA</w:t>
      </w:r>
      <w:r>
        <w:rPr>
          <w:snapToGrid w:val="0"/>
        </w:rPr>
        <w:t>, considers satisfactory;</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WorkCover WA</w:t>
      </w:r>
      <w:r>
        <w:rPr>
          <w:snapToGrid w:val="0"/>
        </w:rPr>
        <w:t>, considers satisfactory.</w:t>
      </w:r>
    </w:p>
    <w:p>
      <w:pPr>
        <w:pStyle w:val="Subsection"/>
        <w:spacing w:before="80"/>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spacing w:before="80"/>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spacing w:before="80"/>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w:t>
      </w:r>
      <w:r>
        <w:rPr>
          <w:snapToGrid w:val="0"/>
          <w:vertAlign w:val="superscript"/>
        </w:rPr>
        <w:t>1</w:t>
      </w:r>
      <w:r>
        <w:rPr>
          <w:snapToGrid w:val="0"/>
        </w:rPr>
        <w:t xml:space="preserve"> continues to have effect for a period of one year after that day and, unless renewed under this section, thereafter is of no effect.</w:t>
      </w:r>
    </w:p>
    <w:p>
      <w:pPr>
        <w:pStyle w:val="Subsection"/>
        <w:spacing w:before="80"/>
        <w:rPr>
          <w:snapToGrid w:val="0"/>
        </w:rPr>
      </w:pPr>
      <w:r>
        <w:rPr>
          <w:snapToGrid w:val="0"/>
        </w:rPr>
        <w:tab/>
        <w:t>(7)</w:t>
      </w:r>
      <w:r>
        <w:rPr>
          <w:snapToGrid w:val="0"/>
        </w:rPr>
        <w:tab/>
        <w:t>Where an approved insurance office — </w:t>
      </w:r>
    </w:p>
    <w:p>
      <w:pPr>
        <w:pStyle w:val="Indenta"/>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rPr>
          <w:snapToGrid w:val="0"/>
        </w:rPr>
      </w:pPr>
      <w:r>
        <w:rPr>
          <w:snapToGrid w:val="0"/>
        </w:rPr>
        <w:tab/>
        <w:t>(b)</w:t>
      </w:r>
      <w:r>
        <w:rPr>
          <w:snapToGrid w:val="0"/>
        </w:rPr>
        <w:tab/>
        <w:t>so requests,</w:t>
      </w:r>
    </w:p>
    <w:p>
      <w:pPr>
        <w:pStyle w:val="Subsection"/>
        <w:rPr>
          <w:snapToGrid w:val="0"/>
        </w:rPr>
      </w:pPr>
      <w:r>
        <w:rPr>
          <w:snapToGrid w:val="0"/>
        </w:rPr>
        <w:tab/>
      </w:r>
      <w:r>
        <w:rPr>
          <w:snapToGrid w:val="0"/>
        </w:rPr>
        <w:tab/>
        <w:t>the Minister may revoke or suspend his approval under this section of that office, but may not do so in any other case.</w:t>
      </w:r>
    </w:p>
    <w:p>
      <w:pPr>
        <w:pStyle w:val="Footnotesection"/>
      </w:pPr>
      <w:r>
        <w:tab/>
        <w:t xml:space="preserve">[Section 161 amended by No. 96 of 1990 s. 38; No. 42 of 2004 s. 150.] </w:t>
      </w:r>
    </w:p>
    <w:p>
      <w:pPr>
        <w:pStyle w:val="Heading5"/>
        <w:rPr>
          <w:snapToGrid w:val="0"/>
        </w:rPr>
      </w:pPr>
      <w:bookmarkStart w:id="2146" w:name="_Toc440878034"/>
      <w:bookmarkStart w:id="2147" w:name="_Toc517775392"/>
      <w:bookmarkStart w:id="2148" w:name="_Toc520107140"/>
      <w:bookmarkStart w:id="2149" w:name="_Toc523111765"/>
      <w:bookmarkStart w:id="2150" w:name="_Toc122833394"/>
      <w:bookmarkStart w:id="2151" w:name="_Toc122833961"/>
      <w:r>
        <w:rPr>
          <w:rStyle w:val="CharSectno"/>
        </w:rPr>
        <w:t>162</w:t>
      </w:r>
      <w:r>
        <w:rPr>
          <w:snapToGrid w:val="0"/>
        </w:rPr>
        <w:t>.</w:t>
      </w:r>
      <w:r>
        <w:rPr>
          <w:snapToGrid w:val="0"/>
        </w:rPr>
        <w:tab/>
        <w:t>The State Government Insurance Commission sole insurer against certain industrial diseases</w:t>
      </w:r>
      <w:bookmarkEnd w:id="2146"/>
      <w:bookmarkEnd w:id="2147"/>
      <w:bookmarkEnd w:id="2148"/>
      <w:bookmarkEnd w:id="2149"/>
      <w:bookmarkEnd w:id="2150"/>
      <w:bookmarkEnd w:id="2151"/>
      <w:r>
        <w:rPr>
          <w:snapToGrid w:val="0"/>
        </w:rPr>
        <w:t xml:space="preserve"> </w:t>
      </w:r>
    </w:p>
    <w:p>
      <w:pPr>
        <w:pStyle w:val="Subsection"/>
        <w:rPr>
          <w:snapToGrid w:val="0"/>
        </w:rPr>
      </w:pPr>
      <w:r>
        <w:rPr>
          <w:snapToGrid w:val="0"/>
        </w:rPr>
        <w:tab/>
        <w:t>(1)</w:t>
      </w:r>
      <w:r>
        <w:rPr>
          <w:snapToGrid w:val="0"/>
        </w:rPr>
        <w:tab/>
        <w:t xml:space="preserve">The State Government Insurance Commission </w:t>
      </w:r>
      <w:r>
        <w:rPr>
          <w:snapToGrid w:val="0"/>
          <w:vertAlign w:val="superscript"/>
        </w:rPr>
        <w:t>2</w:t>
      </w:r>
      <w:r>
        <w:rPr>
          <w:snapToGrid w:val="0"/>
        </w:rPr>
        <w:t xml:space="preserve"> is the only insurer authorised to issue or renew a policy insuring an employer against his liability to pay compensation under this Act for any industrial disease of the kinds referred to in section 151(a)(iii).</w:t>
      </w:r>
    </w:p>
    <w:p>
      <w:pPr>
        <w:pStyle w:val="Subsection"/>
      </w:pPr>
      <w:r>
        <w:tab/>
        <w:t>(1a)</w:t>
      </w:r>
      <w:r>
        <w:tab/>
        <w:t>An insurer that issues or renews a policy contrary to subsection (1) commits an offence.</w:t>
      </w:r>
    </w:p>
    <w:p>
      <w:pPr>
        <w:pStyle w:val="Penstart"/>
      </w:pPr>
      <w:r>
        <w:tab/>
        <w:t>Penalty: $1 000.</w:t>
      </w:r>
    </w:p>
    <w:p>
      <w:pPr>
        <w:pStyle w:val="Subsection"/>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 xml:space="preserve">[Section 162 amended by No. 51 of 1986 s. 46(2); No. 42 of 2004 s. 121.] </w:t>
      </w:r>
    </w:p>
    <w:p>
      <w:pPr>
        <w:pStyle w:val="Heading5"/>
        <w:rPr>
          <w:snapToGrid w:val="0"/>
        </w:rPr>
      </w:pPr>
      <w:bookmarkStart w:id="2152" w:name="_Toc440878035"/>
      <w:bookmarkStart w:id="2153" w:name="_Toc517775393"/>
      <w:bookmarkStart w:id="2154" w:name="_Toc520107141"/>
      <w:bookmarkStart w:id="2155" w:name="_Toc523111766"/>
      <w:bookmarkStart w:id="2156" w:name="_Toc122833395"/>
      <w:bookmarkStart w:id="2157" w:name="_Toc122833962"/>
      <w:r>
        <w:rPr>
          <w:rStyle w:val="CharSectno"/>
        </w:rPr>
        <w:t>163</w:t>
      </w:r>
      <w:r>
        <w:rPr>
          <w:snapToGrid w:val="0"/>
        </w:rPr>
        <w:t>.</w:t>
      </w:r>
      <w:r>
        <w:rPr>
          <w:snapToGrid w:val="0"/>
        </w:rPr>
        <w:tab/>
        <w:t>Payment of industrial disease premium and issue of policy</w:t>
      </w:r>
      <w:bookmarkEnd w:id="2152"/>
      <w:bookmarkEnd w:id="2153"/>
      <w:bookmarkEnd w:id="2154"/>
      <w:bookmarkEnd w:id="2155"/>
      <w:bookmarkEnd w:id="2156"/>
      <w:bookmarkEnd w:id="2157"/>
      <w:r>
        <w:rPr>
          <w:snapToGrid w:val="0"/>
        </w:rPr>
        <w:t xml:space="preserve"> </w:t>
      </w:r>
    </w:p>
    <w:p>
      <w:pPr>
        <w:pStyle w:val="Subsection"/>
        <w:rPr>
          <w:snapToGrid w:val="0"/>
        </w:rPr>
      </w:pPr>
      <w:r>
        <w:rPr>
          <w:snapToGrid w:val="0"/>
        </w:rPr>
        <w:tab/>
      </w:r>
      <w:r>
        <w:rPr>
          <w:snapToGrid w:val="0"/>
        </w:rPr>
        <w:tab/>
        <w:t xml:space="preserve">An employer required to pay an industrial disease premium under this Act shall pay that premium to the State Government Insurance Commission </w:t>
      </w:r>
      <w:r>
        <w:rPr>
          <w:snapToGrid w:val="0"/>
          <w:vertAlign w:val="superscript"/>
        </w:rPr>
        <w:t>2</w:t>
      </w:r>
      <w:r>
        <w:rPr>
          <w:snapToGrid w:val="0"/>
        </w:rPr>
        <w:t xml:space="preserve"> which is bound to issue a policy insuring the employer against his liability to pay compensation under this Act for any industrial disease of the kinds referred to in section 151(a)(iii).</w:t>
      </w:r>
    </w:p>
    <w:p>
      <w:pPr>
        <w:pStyle w:val="Footnotesection"/>
      </w:pPr>
      <w:r>
        <w:tab/>
        <w:t xml:space="preserve">[Section 163 amended by No. 51 of 1986 s. 46(2).] </w:t>
      </w:r>
    </w:p>
    <w:p>
      <w:pPr>
        <w:pStyle w:val="Heading5"/>
        <w:spacing w:before="160"/>
        <w:rPr>
          <w:snapToGrid w:val="0"/>
        </w:rPr>
      </w:pPr>
      <w:bookmarkStart w:id="2158" w:name="_Toc440878036"/>
      <w:bookmarkStart w:id="2159" w:name="_Toc517775394"/>
      <w:bookmarkStart w:id="2160" w:name="_Toc520107142"/>
      <w:bookmarkStart w:id="2161" w:name="_Toc523111767"/>
      <w:bookmarkStart w:id="2162" w:name="_Toc122833396"/>
      <w:bookmarkStart w:id="2163" w:name="_Toc122833963"/>
      <w:r>
        <w:rPr>
          <w:rStyle w:val="CharSectno"/>
        </w:rPr>
        <w:t>164</w:t>
      </w:r>
      <w:r>
        <w:rPr>
          <w:snapToGrid w:val="0"/>
        </w:rPr>
        <w:t>.</w:t>
      </w:r>
      <w:r>
        <w:rPr>
          <w:snapToGrid w:val="0"/>
        </w:rPr>
        <w:tab/>
        <w:t>Exempt employer</w:t>
      </w:r>
      <w:bookmarkEnd w:id="2158"/>
      <w:bookmarkEnd w:id="2159"/>
      <w:bookmarkEnd w:id="2160"/>
      <w:bookmarkEnd w:id="2161"/>
      <w:bookmarkEnd w:id="2162"/>
      <w:bookmarkEnd w:id="2163"/>
      <w:r>
        <w:rPr>
          <w:snapToGrid w:val="0"/>
        </w:rPr>
        <w:t xml:space="preserve"> </w:t>
      </w:r>
    </w:p>
    <w:p>
      <w:pPr>
        <w:pStyle w:val="Subsection"/>
        <w:spacing w:before="80"/>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Act for any industrial disease of the kinds referred to in section 151(a)(iii).</w:t>
      </w:r>
    </w:p>
    <w:p>
      <w:pPr>
        <w:pStyle w:val="Subsection"/>
        <w:spacing w:before="80"/>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spacing w:before="80"/>
        <w:rPr>
          <w:snapToGrid w:val="0"/>
        </w:rPr>
      </w:pPr>
      <w:r>
        <w:rPr>
          <w:snapToGrid w:val="0"/>
        </w:rPr>
        <w:tab/>
        <w:t>(2)</w:t>
      </w:r>
      <w:r>
        <w:rPr>
          <w:snapToGrid w:val="0"/>
        </w:rPr>
        <w:tab/>
        <w:t>An exemption granted under section 13 of the repealed Act and current immediately before the day on which this Part comes into operation is deemed to be an exemption granted under this Part and subject to review as provided by section 165.</w:t>
      </w:r>
    </w:p>
    <w:p>
      <w:pPr>
        <w:pStyle w:val="Footnotesection"/>
      </w:pPr>
      <w:r>
        <w:tab/>
        <w:t xml:space="preserve">[Section 164 amended by No. 96 of 1990 s. 39; No. 42 of 2004 s. 122 and 150.] </w:t>
      </w:r>
    </w:p>
    <w:p>
      <w:pPr>
        <w:pStyle w:val="Heading5"/>
        <w:keepNext w:val="0"/>
        <w:keepLines w:val="0"/>
        <w:spacing w:before="160"/>
        <w:rPr>
          <w:snapToGrid w:val="0"/>
        </w:rPr>
      </w:pPr>
      <w:bookmarkStart w:id="2164" w:name="_Toc440878037"/>
      <w:bookmarkStart w:id="2165" w:name="_Toc517775395"/>
      <w:bookmarkStart w:id="2166" w:name="_Toc520107143"/>
      <w:bookmarkStart w:id="2167" w:name="_Toc523111768"/>
      <w:bookmarkStart w:id="2168" w:name="_Toc122833397"/>
      <w:bookmarkStart w:id="2169" w:name="_Toc122833964"/>
      <w:r>
        <w:rPr>
          <w:rStyle w:val="CharSectno"/>
        </w:rPr>
        <w:t>165</w:t>
      </w:r>
      <w:r>
        <w:rPr>
          <w:snapToGrid w:val="0"/>
        </w:rPr>
        <w:t>.</w:t>
      </w:r>
      <w:r>
        <w:rPr>
          <w:snapToGrid w:val="0"/>
        </w:rPr>
        <w:tab/>
        <w:t>Review of exemptions</w:t>
      </w:r>
      <w:bookmarkEnd w:id="2164"/>
      <w:bookmarkEnd w:id="2165"/>
      <w:bookmarkEnd w:id="2166"/>
      <w:bookmarkEnd w:id="2167"/>
      <w:bookmarkEnd w:id="2168"/>
      <w:bookmarkEnd w:id="2169"/>
      <w:r>
        <w:rPr>
          <w:snapToGrid w:val="0"/>
        </w:rPr>
        <w:t xml:space="preserve"> </w:t>
      </w:r>
    </w:p>
    <w:p>
      <w:pPr>
        <w:pStyle w:val="Subsection"/>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spacing w:before="80"/>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 </w:t>
      </w:r>
    </w:p>
    <w:p>
      <w:pPr>
        <w:pStyle w:val="Indenta"/>
        <w:rPr>
          <w:snapToGrid w:val="0"/>
        </w:rPr>
      </w:pPr>
      <w:r>
        <w:rPr>
          <w:snapToGrid w:val="0"/>
        </w:rPr>
        <w:tab/>
        <w:t>(a)</w:t>
      </w:r>
      <w:r>
        <w:rPr>
          <w:snapToGrid w:val="0"/>
        </w:rPr>
        <w:tab/>
        <w:t>the number of workers then employed by the employer or group;</w:t>
      </w:r>
    </w:p>
    <w:p>
      <w:pPr>
        <w:pStyle w:val="Indenta"/>
        <w:rPr>
          <w:snapToGrid w:val="0"/>
        </w:rPr>
      </w:pPr>
      <w:r>
        <w:rPr>
          <w:snapToGrid w:val="0"/>
        </w:rPr>
        <w:tab/>
        <w:t>(b)</w:t>
      </w:r>
      <w:r>
        <w:rPr>
          <w:snapToGrid w:val="0"/>
        </w:rPr>
        <w:tab/>
        <w:t>the current category of the insurable risks of the business or businesses of the employer or group;</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Indenta"/>
        <w:rPr>
          <w:snapToGrid w:val="0"/>
        </w:rPr>
      </w:pPr>
      <w:r>
        <w:rPr>
          <w:snapToGrid w:val="0"/>
        </w:rPr>
        <w:tab/>
        <w:t>(c)</w:t>
      </w:r>
      <w:r>
        <w:rPr>
          <w:snapToGrid w:val="0"/>
        </w:rPr>
        <w:tab/>
        <w:t>the claims experience since the last review of the employer or group; or</w:t>
      </w:r>
    </w:p>
    <w:p>
      <w:pPr>
        <w:pStyle w:val="Indenta"/>
        <w:rPr>
          <w:snapToGrid w:val="0"/>
        </w:rPr>
      </w:pPr>
      <w:r>
        <w:rPr>
          <w:snapToGrid w:val="0"/>
        </w:rPr>
        <w:tab/>
        <w:t>(d)</w:t>
      </w:r>
      <w:r>
        <w:rPr>
          <w:snapToGrid w:val="0"/>
        </w:rPr>
        <w:tab/>
        <w:t>any change in the extent of the liability to pay compensation under this Act since the last review.</w:t>
      </w:r>
    </w:p>
    <w:p>
      <w:pPr>
        <w:pStyle w:val="Subsection"/>
        <w:spacing w:before="80"/>
        <w:rPr>
          <w:snapToGrid w:val="0"/>
        </w:rPr>
      </w:pPr>
      <w:r>
        <w:rPr>
          <w:snapToGrid w:val="0"/>
        </w:rPr>
        <w:tab/>
        <w:t>(3)</w:t>
      </w:r>
      <w:r>
        <w:rPr>
          <w:snapToGrid w:val="0"/>
        </w:rPr>
        <w:tab/>
        <w:t>The Minister may after a review recommend to the Governor that an exemption be cancelled — </w:t>
      </w:r>
    </w:p>
    <w:p>
      <w:pPr>
        <w:pStyle w:val="Indenta"/>
        <w:rPr>
          <w:snapToGrid w:val="0"/>
        </w:rPr>
      </w:pPr>
      <w:r>
        <w:rPr>
          <w:snapToGrid w:val="0"/>
        </w:rPr>
        <w:tab/>
        <w:t>(a)</w:t>
      </w:r>
      <w:r>
        <w:rPr>
          <w:snapToGrid w:val="0"/>
        </w:rPr>
        <w:tab/>
        <w:t>for any reason which seems to him to justify doing so in the interests of securing the workers’ entitlements to compensation; or</w:t>
      </w:r>
    </w:p>
    <w:p>
      <w:pPr>
        <w:pStyle w:val="Indenta"/>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spacing w:before="80"/>
        <w:rPr>
          <w:snapToGrid w:val="0"/>
        </w:rPr>
      </w:pPr>
      <w:r>
        <w:rPr>
          <w:snapToGrid w:val="0"/>
        </w:rPr>
        <w:tab/>
      </w:r>
      <w:r>
        <w:rPr>
          <w:snapToGrid w:val="0"/>
        </w:rPr>
        <w:tab/>
        <w:t>and the Governor may then cancel the exemption.</w:t>
      </w:r>
    </w:p>
    <w:p>
      <w:pPr>
        <w:pStyle w:val="Subsection"/>
        <w:spacing w:before="80"/>
        <w:rPr>
          <w:snapToGrid w:val="0"/>
        </w:rPr>
      </w:pPr>
      <w:r>
        <w:rPr>
          <w:snapToGrid w:val="0"/>
        </w:rPr>
        <w:tab/>
        <w:t>(4)</w:t>
      </w:r>
      <w:r>
        <w:rPr>
          <w:snapToGrid w:val="0"/>
        </w:rPr>
        <w:tab/>
        <w:t>Where — </w:t>
      </w:r>
    </w:p>
    <w:p>
      <w:pPr>
        <w:pStyle w:val="Indenta"/>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rPr>
          <w:snapToGrid w:val="0"/>
        </w:rPr>
      </w:pPr>
      <w:r>
        <w:rPr>
          <w:snapToGrid w:val="0"/>
        </w:rPr>
        <w:tab/>
        <w:t>(b)</w:t>
      </w:r>
      <w:r>
        <w:rPr>
          <w:snapToGrid w:val="0"/>
        </w:rPr>
        <w:tab/>
        <w:t>the Minister requires an increase in the value of securities deposited by an employer or group of employers — </w:t>
      </w:r>
    </w:p>
    <w:p>
      <w:pPr>
        <w:pStyle w:val="Indenti"/>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under this Act, in addition to the securities already given, as the Minister determines; or</w:t>
      </w:r>
    </w:p>
    <w:p>
      <w:pPr>
        <w:pStyle w:val="Indenti"/>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under this Act.</w:t>
      </w:r>
    </w:p>
    <w:p>
      <w:pPr>
        <w:pStyle w:val="Subsection"/>
      </w:pPr>
      <w:r>
        <w:tab/>
        <w:t>(5)</w:t>
      </w:r>
      <w:r>
        <w:tab/>
        <w:t xml:space="preserve">Where an employer or group of employers fails to give to the State, within 21 days after the direction is given, any securities directed by the Minister to be given under subsection (4)(b) —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 xml:space="preserve">[Section 165 amended by No. 44 of 1985 s. 36; No. 96 of 1990 s. 40; No. 42 of 2004 s. 123 and 150; No. 16 of 2005 s. 20.] </w:t>
      </w:r>
    </w:p>
    <w:p>
      <w:pPr>
        <w:pStyle w:val="Heading5"/>
        <w:rPr>
          <w:snapToGrid w:val="0"/>
        </w:rPr>
      </w:pPr>
      <w:bookmarkStart w:id="2170" w:name="_Toc440878038"/>
      <w:bookmarkStart w:id="2171" w:name="_Toc517775396"/>
      <w:bookmarkStart w:id="2172" w:name="_Toc520107144"/>
      <w:bookmarkStart w:id="2173" w:name="_Toc523111769"/>
      <w:bookmarkStart w:id="2174" w:name="_Toc122833398"/>
      <w:bookmarkStart w:id="2175" w:name="_Toc122833965"/>
      <w:r>
        <w:rPr>
          <w:rStyle w:val="CharSectno"/>
        </w:rPr>
        <w:t>166</w:t>
      </w:r>
      <w:r>
        <w:rPr>
          <w:snapToGrid w:val="0"/>
        </w:rPr>
        <w:t>.</w:t>
      </w:r>
      <w:r>
        <w:rPr>
          <w:snapToGrid w:val="0"/>
        </w:rPr>
        <w:tab/>
        <w:t>Other cancellations</w:t>
      </w:r>
      <w:bookmarkEnd w:id="2170"/>
      <w:bookmarkEnd w:id="2171"/>
      <w:bookmarkEnd w:id="2172"/>
      <w:bookmarkEnd w:id="2173"/>
      <w:bookmarkEnd w:id="2174"/>
      <w:bookmarkEnd w:id="2175"/>
      <w:r>
        <w:rPr>
          <w:snapToGrid w:val="0"/>
        </w:rPr>
        <w:t xml:space="preserve"> </w:t>
      </w:r>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spacing w:before="120"/>
        <w:rPr>
          <w:snapToGrid w:val="0"/>
        </w:rPr>
      </w:pPr>
      <w:bookmarkStart w:id="2176" w:name="_Toc440878039"/>
      <w:bookmarkStart w:id="2177" w:name="_Toc517775397"/>
      <w:bookmarkStart w:id="2178" w:name="_Toc520107145"/>
      <w:bookmarkStart w:id="2179" w:name="_Toc523111770"/>
      <w:bookmarkStart w:id="2180" w:name="_Toc122833399"/>
      <w:bookmarkStart w:id="2181" w:name="_Toc122833966"/>
      <w:r>
        <w:rPr>
          <w:rStyle w:val="CharSectno"/>
        </w:rPr>
        <w:t>167</w:t>
      </w:r>
      <w:r>
        <w:rPr>
          <w:snapToGrid w:val="0"/>
        </w:rPr>
        <w:t>.</w:t>
      </w:r>
      <w:r>
        <w:rPr>
          <w:snapToGrid w:val="0"/>
        </w:rPr>
        <w:tab/>
        <w:t>Effect of cessation of exemption</w:t>
      </w:r>
      <w:bookmarkEnd w:id="2176"/>
      <w:bookmarkEnd w:id="2177"/>
      <w:bookmarkEnd w:id="2178"/>
      <w:bookmarkEnd w:id="2179"/>
      <w:bookmarkEnd w:id="2180"/>
      <w:bookmarkEnd w:id="2181"/>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spacing w:before="120"/>
        <w:rPr>
          <w:snapToGrid w:val="0"/>
        </w:rPr>
      </w:pPr>
      <w:bookmarkStart w:id="2182" w:name="_Toc440878040"/>
      <w:bookmarkStart w:id="2183" w:name="_Toc517775398"/>
      <w:bookmarkStart w:id="2184" w:name="_Toc520107146"/>
      <w:bookmarkStart w:id="2185" w:name="_Toc523111771"/>
      <w:bookmarkStart w:id="2186" w:name="_Toc122833400"/>
      <w:bookmarkStart w:id="2187" w:name="_Toc122833967"/>
      <w:r>
        <w:rPr>
          <w:rStyle w:val="CharSectno"/>
        </w:rPr>
        <w:t>168</w:t>
      </w:r>
      <w:r>
        <w:rPr>
          <w:snapToGrid w:val="0"/>
        </w:rPr>
        <w:t>.</w:t>
      </w:r>
      <w:r>
        <w:rPr>
          <w:snapToGrid w:val="0"/>
        </w:rPr>
        <w:tab/>
        <w:t>Cessation of exemption</w:t>
      </w:r>
      <w:bookmarkEnd w:id="2182"/>
      <w:bookmarkEnd w:id="2183"/>
      <w:bookmarkEnd w:id="2184"/>
      <w:bookmarkEnd w:id="2185"/>
      <w:bookmarkEnd w:id="2186"/>
      <w:bookmarkEnd w:id="2187"/>
      <w:r>
        <w:rPr>
          <w:snapToGrid w:val="0"/>
        </w:rPr>
        <w:t xml:space="preserve"> </w:t>
      </w:r>
    </w:p>
    <w:p>
      <w:pPr>
        <w:pStyle w:val="Subsection"/>
        <w:rPr>
          <w:snapToGrid w:val="0"/>
        </w:rPr>
      </w:pPr>
      <w:r>
        <w:rPr>
          <w:snapToGrid w:val="0"/>
        </w:rPr>
        <w:tab/>
      </w:r>
      <w:r>
        <w:rPr>
          <w:snapToGrid w:val="0"/>
        </w:rPr>
        <w:tab/>
        <w:t>Where an employer or group of employers which is exempt under section 164 —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rPr>
          <w:snapToGrid w:val="0"/>
        </w:rPr>
      </w:pPr>
      <w:r>
        <w:rPr>
          <w:snapToGrid w:val="0"/>
        </w:rPr>
        <w:tab/>
        <w:t>(b)</w:t>
      </w:r>
      <w:r>
        <w:rPr>
          <w:snapToGrid w:val="0"/>
        </w:rPr>
        <w:tab/>
        <w:t>proves to the satisfaction of the Minister that — </w:t>
      </w:r>
    </w:p>
    <w:p>
      <w:pPr>
        <w:pStyle w:val="Indenti"/>
        <w:rPr>
          <w:snapToGrid w:val="0"/>
        </w:rPr>
      </w:pPr>
      <w:r>
        <w:rPr>
          <w:snapToGrid w:val="0"/>
        </w:rPr>
        <w:tab/>
        <w:t>(i)</w:t>
      </w:r>
      <w:r>
        <w:rPr>
          <w:snapToGrid w:val="0"/>
        </w:rPr>
        <w:tab/>
        <w:t>the employer or group, as the case may be, has ceased to employ workers; or</w:t>
      </w:r>
    </w:p>
    <w:p>
      <w:pPr>
        <w:pStyle w:val="Indenti"/>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 </w:t>
      </w:r>
    </w:p>
    <w:p>
      <w:pPr>
        <w:pStyle w:val="Indenti"/>
        <w:rPr>
          <w:snapToGrid w:val="0"/>
        </w:rPr>
      </w:pPr>
      <w:r>
        <w:rPr>
          <w:snapToGrid w:val="0"/>
        </w:rPr>
        <w:tab/>
        <w:t>(iii)</w:t>
      </w:r>
      <w:r>
        <w:rPr>
          <w:snapToGrid w:val="0"/>
        </w:rPr>
        <w:tab/>
        <w:t>there are no outstanding claims for compensation; or</w:t>
      </w:r>
    </w:p>
    <w:p>
      <w:pPr>
        <w:pStyle w:val="Indenti"/>
        <w:rPr>
          <w:snapToGrid w:val="0"/>
        </w:rPr>
      </w:pPr>
      <w:r>
        <w:rPr>
          <w:snapToGrid w:val="0"/>
        </w:rPr>
        <w:tab/>
        <w:t>(iv)</w:t>
      </w:r>
      <w:r>
        <w:rPr>
          <w:snapToGrid w:val="0"/>
        </w:rPr>
        <w:tab/>
        <w:t>satisfactory provision has been made for discharging any outstanding claims for compensation,</w:t>
      </w:r>
    </w:p>
    <w:p>
      <w:pPr>
        <w:pStyle w:val="Subsection"/>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 xml:space="preserve">[Section 168 amended by No. 96 of 1990 s. 41; No. 42 of 2004 s. 124.] </w:t>
      </w:r>
    </w:p>
    <w:p>
      <w:pPr>
        <w:pStyle w:val="Heading5"/>
        <w:rPr>
          <w:snapToGrid w:val="0"/>
        </w:rPr>
      </w:pPr>
      <w:bookmarkStart w:id="2188" w:name="_Toc440878041"/>
      <w:bookmarkStart w:id="2189" w:name="_Toc517775399"/>
      <w:bookmarkStart w:id="2190" w:name="_Toc520107147"/>
      <w:bookmarkStart w:id="2191" w:name="_Toc523111772"/>
      <w:bookmarkStart w:id="2192" w:name="_Toc122833401"/>
      <w:bookmarkStart w:id="2193" w:name="_Toc122833968"/>
      <w:r>
        <w:rPr>
          <w:rStyle w:val="CharSectno"/>
        </w:rPr>
        <w:t>169</w:t>
      </w:r>
      <w:r>
        <w:rPr>
          <w:snapToGrid w:val="0"/>
        </w:rPr>
        <w:t>.</w:t>
      </w:r>
      <w:r>
        <w:rPr>
          <w:snapToGrid w:val="0"/>
        </w:rPr>
        <w:tab/>
        <w:t>Forms of policy</w:t>
      </w:r>
      <w:bookmarkEnd w:id="2188"/>
      <w:bookmarkEnd w:id="2189"/>
      <w:bookmarkEnd w:id="2190"/>
      <w:bookmarkEnd w:id="2191"/>
      <w:bookmarkEnd w:id="2192"/>
      <w:bookmarkEnd w:id="2193"/>
      <w:r>
        <w:rPr>
          <w:snapToGrid w:val="0"/>
        </w:rPr>
        <w:t xml:space="preserve"> </w:t>
      </w:r>
    </w:p>
    <w:p>
      <w:pPr>
        <w:pStyle w:val="Subsection"/>
        <w:rPr>
          <w:snapToGrid w:val="0"/>
        </w:rPr>
      </w:pPr>
      <w:r>
        <w:rPr>
          <w:snapToGrid w:val="0"/>
        </w:rPr>
        <w:tab/>
      </w:r>
      <w:r>
        <w:rPr>
          <w:snapToGrid w:val="0"/>
        </w:rPr>
        <w:tab/>
        <w:t>The Governor may, on the recommendation of</w:t>
      </w:r>
      <w:r>
        <w:t xml:space="preserve"> WorkCover WA</w:t>
      </w:r>
      <w:r>
        <w:rPr>
          <w:snapToGrid w:val="0"/>
        </w:rPr>
        <w:t>, determine the form in which any policy of insurance made obligatory under this Act is to be effected and upon a form being so determined any policy in respect of which it is determined shall insofar as it relates to insurance or indemnity under this Act be effected, or in the case of an existing policy, renewed in that form.</w:t>
      </w:r>
    </w:p>
    <w:p>
      <w:pPr>
        <w:pStyle w:val="Footnotesection"/>
      </w:pPr>
      <w:r>
        <w:tab/>
        <w:t xml:space="preserve">[Section 169 amended by No. 96 of 1990 s. 42; No. 42 of 2004 s. 150.] </w:t>
      </w:r>
    </w:p>
    <w:p>
      <w:pPr>
        <w:pStyle w:val="Heading5"/>
        <w:rPr>
          <w:snapToGrid w:val="0"/>
        </w:rPr>
      </w:pPr>
      <w:bookmarkStart w:id="2194" w:name="_Toc440878042"/>
      <w:bookmarkStart w:id="2195" w:name="_Toc517775400"/>
      <w:bookmarkStart w:id="2196" w:name="_Toc520107148"/>
      <w:bookmarkStart w:id="2197" w:name="_Toc523111773"/>
      <w:bookmarkStart w:id="2198" w:name="_Toc122833402"/>
      <w:bookmarkStart w:id="2199" w:name="_Toc122833969"/>
      <w:r>
        <w:rPr>
          <w:rStyle w:val="CharSectno"/>
        </w:rPr>
        <w:t>170</w:t>
      </w:r>
      <w:r>
        <w:rPr>
          <w:snapToGrid w:val="0"/>
        </w:rPr>
        <w:t>.</w:t>
      </w:r>
      <w:r>
        <w:rPr>
          <w:snapToGrid w:val="0"/>
        </w:rPr>
        <w:tab/>
        <w:t>Penalty — uninsured worker</w:t>
      </w:r>
      <w:bookmarkEnd w:id="2194"/>
      <w:bookmarkEnd w:id="2195"/>
      <w:bookmarkEnd w:id="2196"/>
      <w:bookmarkEnd w:id="2197"/>
      <w:bookmarkEnd w:id="2198"/>
      <w:bookmarkEnd w:id="2199"/>
      <w:r>
        <w:rPr>
          <w:snapToGrid w:val="0"/>
        </w:rPr>
        <w:t xml:space="preserve"> </w:t>
      </w:r>
    </w:p>
    <w:p>
      <w:pPr>
        <w:pStyle w:val="Subsection"/>
        <w:rPr>
          <w:snapToGrid w:val="0"/>
        </w:rPr>
      </w:pPr>
      <w:r>
        <w:rPr>
          <w:snapToGrid w:val="0"/>
        </w:rPr>
        <w:tab/>
        <w:t>(1)</w:t>
      </w:r>
      <w:r>
        <w:rPr>
          <w:snapToGrid w:val="0"/>
        </w:rPr>
        <w:tab/>
        <w:t>An employer who —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The court convicting an employer of an offence under subsection (1) shall, in addition to any other penalty imposed in respect of the offence under subsection (1) but subject to subsection (2a), order that the employer pay to the General Fund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Fund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b/>
          <w:snapToGrid w:val="0"/>
        </w:rPr>
        <w:t>“responsible officer”</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 xml:space="preserve">In subsection (3b) — </w:t>
      </w:r>
    </w:p>
    <w:p>
      <w:pPr>
        <w:pStyle w:val="Defstart"/>
      </w:pPr>
      <w:r>
        <w:rPr>
          <w:b/>
        </w:rPr>
        <w:tab/>
        <w:t>“</w:t>
      </w:r>
      <w:r>
        <w:rPr>
          <w:rStyle w:val="CharDefText"/>
        </w:rPr>
        <w:t>workers’ compensation cover</w:t>
      </w:r>
      <w:r>
        <w:rPr>
          <w:b/>
        </w:rPr>
        <w:t>”</w:t>
      </w:r>
      <w:r>
        <w:t xml:space="preserve"> means insurance or registration required under the law of a State in respect of liability for statutory workers’ compensation under that law.</w:t>
      </w:r>
    </w:p>
    <w:p>
      <w:pPr>
        <w:pStyle w:val="Footnotesection"/>
      </w:pPr>
      <w:r>
        <w:tab/>
        <w:t xml:space="preserve">[Section 170 amended by No. 44 of 1985 s. 37; No. 33 of 1986 s. 7; No. 86 of 1986 s. 5; No. 96 of 1990 s. 43; No. 34 of 1999 s. 43 and 57; No. 36 of 2004 s. 11; No. 42 of 2004 s. 150; No. 84 of 2004 s. 80.] </w:t>
      </w:r>
    </w:p>
    <w:p>
      <w:pPr>
        <w:pStyle w:val="Heading5"/>
        <w:keepLines w:val="0"/>
        <w:spacing w:before="160"/>
        <w:rPr>
          <w:snapToGrid w:val="0"/>
        </w:rPr>
      </w:pPr>
      <w:bookmarkStart w:id="2200" w:name="_Toc440878043"/>
      <w:bookmarkStart w:id="2201" w:name="_Toc517775401"/>
      <w:bookmarkStart w:id="2202" w:name="_Toc520107149"/>
      <w:bookmarkStart w:id="2203" w:name="_Toc523111774"/>
      <w:bookmarkStart w:id="2204" w:name="_Toc122833403"/>
      <w:bookmarkStart w:id="2205" w:name="_Toc122833970"/>
      <w:r>
        <w:rPr>
          <w:rStyle w:val="CharSectno"/>
        </w:rPr>
        <w:t>171</w:t>
      </w:r>
      <w:r>
        <w:rPr>
          <w:snapToGrid w:val="0"/>
        </w:rPr>
        <w:t>.</w:t>
      </w:r>
      <w:r>
        <w:rPr>
          <w:snapToGrid w:val="0"/>
        </w:rPr>
        <w:tab/>
        <w:t>Insurance offices to furnish certain statements</w:t>
      </w:r>
      <w:bookmarkEnd w:id="2200"/>
      <w:bookmarkEnd w:id="2201"/>
      <w:bookmarkEnd w:id="2202"/>
      <w:bookmarkEnd w:id="2203"/>
      <w:bookmarkEnd w:id="2204"/>
      <w:bookmarkEnd w:id="2205"/>
      <w:r>
        <w:rPr>
          <w:snapToGrid w:val="0"/>
        </w:rPr>
        <w:t xml:space="preserve"> </w:t>
      </w:r>
    </w:p>
    <w:p>
      <w:pPr>
        <w:pStyle w:val="Subsection"/>
        <w:spacing w:before="80"/>
        <w:rPr>
          <w:snapToGrid w:val="0"/>
        </w:rPr>
      </w:pPr>
      <w:r>
        <w:rPr>
          <w:snapToGrid w:val="0"/>
        </w:rPr>
        <w:tab/>
        <w:t>(1)</w:t>
      </w:r>
      <w:r>
        <w:rPr>
          <w:snapToGrid w:val="0"/>
        </w:rPr>
        <w:tab/>
        <w:t>Every approved insurance office shall within 14 days of the close of each calendar month transmit to</w:t>
      </w:r>
      <w:r>
        <w:t xml:space="preserve"> WorkCover WA</w:t>
      </w:r>
      <w:r>
        <w:rPr>
          <w:snapToGrid w:val="0"/>
        </w:rPr>
        <w:t> — </w:t>
      </w:r>
    </w:p>
    <w:p>
      <w:pPr>
        <w:pStyle w:val="Indenta"/>
        <w:rPr>
          <w:snapToGrid w:val="0"/>
        </w:rPr>
      </w:pPr>
      <w:r>
        <w:rPr>
          <w:snapToGrid w:val="0"/>
        </w:rPr>
        <w:tab/>
        <w:t>(a)</w:t>
      </w:r>
      <w:r>
        <w:rPr>
          <w:snapToGrid w:val="0"/>
        </w:rPr>
        <w:tab/>
        <w:t>a statement in the prescribed form giving details of each employer who has during the month in question effected or renewed a policy or contract of insurance with the insurance office concerned against liability under this Act;</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r>
        <w:t>WorkCover WA</w:t>
      </w:r>
      <w:r>
        <w:rPr>
          <w:snapToGrid w:val="0"/>
        </w:rPr>
        <w:t xml:space="preserve"> has requested the insurance office to do so,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Such a statement shall be signed by a responsible officer of the insurance office concerned.</w:t>
      </w:r>
    </w:p>
    <w:p>
      <w:pPr>
        <w:pStyle w:val="Subsection"/>
        <w:rPr>
          <w:snapToGrid w:val="0"/>
        </w:rPr>
      </w:pPr>
      <w:r>
        <w:rPr>
          <w:snapToGrid w:val="0"/>
        </w:rPr>
        <w:tab/>
        <w:t>(3)</w:t>
      </w:r>
      <w:r>
        <w:rPr>
          <w:snapToGrid w:val="0"/>
        </w:rPr>
        <w:tab/>
        <w:t>Subject to subsection (3a), a person, except with the express authority of</w:t>
      </w:r>
      <w:r>
        <w:t xml:space="preserve"> WorkCover WA</w:t>
      </w:r>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pPr>
      <w:r>
        <w:tab/>
        <w:t xml:space="preserve">[Section 171 amended by No. 44 of 1985 s. 38; No. 96 of 1990 s. 44; No. 34 of 1999 s. 57; No. 42 of 2004 s. 125 and 150.] </w:t>
      </w:r>
    </w:p>
    <w:p>
      <w:pPr>
        <w:pStyle w:val="Heading5"/>
      </w:pPr>
      <w:bookmarkStart w:id="2206" w:name="_Toc517775402"/>
      <w:bookmarkStart w:id="2207" w:name="_Toc520107150"/>
      <w:bookmarkStart w:id="2208" w:name="_Toc523111775"/>
      <w:bookmarkStart w:id="2209" w:name="_Toc122833404"/>
      <w:bookmarkStart w:id="2210" w:name="_Toc122833971"/>
      <w:r>
        <w:rPr>
          <w:rStyle w:val="CharSectno"/>
        </w:rPr>
        <w:t>172</w:t>
      </w:r>
      <w:r>
        <w:t>.</w:t>
      </w:r>
      <w:r>
        <w:tab/>
        <w:t>WorkCover WA may pass on certain information to insurer</w:t>
      </w:r>
      <w:bookmarkEnd w:id="2206"/>
      <w:bookmarkEnd w:id="2207"/>
      <w:bookmarkEnd w:id="2208"/>
      <w:bookmarkEnd w:id="2209"/>
      <w:bookmarkEnd w:id="2210"/>
    </w:p>
    <w:p>
      <w:pPr>
        <w:pStyle w:val="Subsection"/>
      </w:pPr>
      <w:r>
        <w:tab/>
      </w:r>
      <w:r>
        <w:tab/>
        <w:t>Whenever as a result of an inspection or otherwise it is shown that an employer has either wilfully or inadvertently understated to the employer’s insurer the aggregate amount of wages, salary and other forms of remuneration paid, or the number of employees engaged, and has thereby become liable to pay by way of premium a lesser amount than would otherwise have been payable, then WorkCover WA may —</w:t>
      </w:r>
    </w:p>
    <w:p>
      <w:pPr>
        <w:pStyle w:val="Indenta"/>
      </w:pPr>
      <w:r>
        <w:tab/>
        <w:t>(a)</w:t>
      </w:r>
      <w:r>
        <w:tab/>
        <w:t>provide to the insurer information as to the wages, salary, and other forms of remuneration paid by, and the number of employees engaged by, the employer and the category for the purpose of premium rates in which those employees are engaged; and</w:t>
      </w:r>
    </w:p>
    <w:p>
      <w:pPr>
        <w:pStyle w:val="Indenta"/>
      </w:pPr>
      <w:r>
        <w:tab/>
        <w:t>(b)</w:t>
      </w:r>
      <w:r>
        <w:tab/>
        <w:t>sue and recover from the employer —</w:t>
      </w:r>
    </w:p>
    <w:p>
      <w:pPr>
        <w:pStyle w:val="Indenti"/>
      </w:pPr>
      <w:r>
        <w:tab/>
        <w:t>(i)</w:t>
      </w:r>
      <w:r>
        <w:tab/>
        <w:t>the full amount of the premium that could have been charged; less</w:t>
      </w:r>
    </w:p>
    <w:p>
      <w:pPr>
        <w:pStyle w:val="Indenti"/>
      </w:pPr>
      <w:r>
        <w:tab/>
        <w:t>(ii)</w:t>
      </w:r>
      <w:r>
        <w:tab/>
        <w:t>any amount already paid to the insurer in respect of such insurance,</w:t>
      </w:r>
    </w:p>
    <w:p>
      <w:pPr>
        <w:pStyle w:val="Subsection"/>
      </w:pPr>
      <w:r>
        <w:tab/>
      </w:r>
      <w:r>
        <w:tab/>
        <w:t>and pay any moneys so recovered, less any reasonable costs incurred in the recovery, to the insurer.</w:t>
      </w:r>
    </w:p>
    <w:p>
      <w:pPr>
        <w:pStyle w:val="Footnotesection"/>
      </w:pPr>
      <w:r>
        <w:tab/>
        <w:t>[Section 172 inserted by No. 34 of 1999 s. 45; amended by No. 42 of 2004 s. 150.]</w:t>
      </w:r>
    </w:p>
    <w:p>
      <w:pPr>
        <w:pStyle w:val="Ednotesection"/>
      </w:pPr>
      <w:r>
        <w:t>[</w:t>
      </w:r>
      <w:r>
        <w:rPr>
          <w:b/>
        </w:rPr>
        <w:t>172A.</w:t>
      </w:r>
      <w:r>
        <w:tab/>
        <w:t>Repealed by No. 34 of 1999 s. 44.]</w:t>
      </w:r>
    </w:p>
    <w:p>
      <w:pPr>
        <w:pStyle w:val="Heading5"/>
        <w:spacing w:before="160"/>
        <w:rPr>
          <w:snapToGrid w:val="0"/>
        </w:rPr>
      </w:pPr>
      <w:bookmarkStart w:id="2211" w:name="_Toc440878046"/>
      <w:bookmarkStart w:id="2212" w:name="_Toc517775403"/>
      <w:bookmarkStart w:id="2213" w:name="_Toc520107151"/>
      <w:bookmarkStart w:id="2214" w:name="_Toc523111776"/>
      <w:bookmarkStart w:id="2215" w:name="_Toc122833405"/>
      <w:bookmarkStart w:id="2216" w:name="_Toc122833972"/>
      <w:r>
        <w:rPr>
          <w:rStyle w:val="CharSectno"/>
        </w:rPr>
        <w:t>173</w:t>
      </w:r>
      <w:r>
        <w:rPr>
          <w:snapToGrid w:val="0"/>
        </w:rPr>
        <w:t>.</w:t>
      </w:r>
      <w:r>
        <w:rPr>
          <w:snapToGrid w:val="0"/>
        </w:rPr>
        <w:tab/>
        <w:t>Worker’s rights against insurer</w:t>
      </w:r>
      <w:bookmarkEnd w:id="2211"/>
      <w:bookmarkEnd w:id="2212"/>
      <w:bookmarkEnd w:id="2213"/>
      <w:bookmarkEnd w:id="2214"/>
      <w:bookmarkEnd w:id="2215"/>
      <w:bookmarkEnd w:id="2216"/>
      <w:r>
        <w:rPr>
          <w:snapToGrid w:val="0"/>
        </w:rPr>
        <w:t xml:space="preserve"> </w:t>
      </w:r>
    </w:p>
    <w:p>
      <w:pPr>
        <w:pStyle w:val="Subsection"/>
        <w:rPr>
          <w:snapToGrid w:val="0"/>
        </w:rPr>
      </w:pPr>
      <w:r>
        <w:rPr>
          <w:snapToGrid w:val="0"/>
        </w:rPr>
        <w:tab/>
        <w:t>(1)</w:t>
      </w:r>
      <w:r>
        <w:rPr>
          <w:snapToGrid w:val="0"/>
        </w:rPr>
        <w:tab/>
        <w:t>Where during the currency of a contract between an employer and an insurer in respect of the employer’s liability under this Act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 </w:t>
      </w:r>
    </w:p>
    <w:p>
      <w:pPr>
        <w:pStyle w:val="Indenta"/>
        <w:rPr>
          <w:snapToGrid w:val="0"/>
        </w:rPr>
      </w:pPr>
      <w:r>
        <w:rPr>
          <w:snapToGrid w:val="0"/>
        </w:rPr>
        <w:tab/>
        <w:t>(a)</w:t>
      </w:r>
      <w:r>
        <w:rPr>
          <w:snapToGrid w:val="0"/>
        </w:rPr>
        <w:tab/>
        <w:t>the worker has the same rights and remedies against the insurer; and</w:t>
      </w:r>
    </w:p>
    <w:p>
      <w:pPr>
        <w:pStyle w:val="Indenta"/>
        <w:rPr>
          <w:snapToGrid w:val="0"/>
        </w:rPr>
      </w:pPr>
      <w:r>
        <w:rPr>
          <w:snapToGrid w:val="0"/>
        </w:rPr>
        <w:tab/>
        <w:t>(b)</w:t>
      </w:r>
      <w:r>
        <w:rPr>
          <w:snapToGrid w:val="0"/>
        </w:rPr>
        <w:tab/>
        <w:t>the insurer has, to the extent of his liability under the contract, the same liability to the worker and the same rights and remedies in respect of the liability,</w:t>
      </w:r>
    </w:p>
    <w:p>
      <w:pPr>
        <w:pStyle w:val="Subsection"/>
        <w:rPr>
          <w:snapToGrid w:val="0"/>
        </w:rPr>
      </w:pPr>
      <w:r>
        <w:rPr>
          <w:snapToGrid w:val="0"/>
        </w:rPr>
        <w:tab/>
      </w:r>
      <w:r>
        <w:rPr>
          <w:snapToGrid w:val="0"/>
        </w:rPr>
        <w:tab/>
        <w:t>that the employer otherwise would have had under the contract.</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pPr>
      <w:r>
        <w:tab/>
        <w:t xml:space="preserve">[Section 173 amended by No. 72 of 1992 s. 19.] </w:t>
      </w:r>
    </w:p>
    <w:p>
      <w:pPr>
        <w:pStyle w:val="Heading5"/>
        <w:rPr>
          <w:snapToGrid w:val="0"/>
        </w:rPr>
      </w:pPr>
      <w:bookmarkStart w:id="2217" w:name="_Toc440878047"/>
      <w:bookmarkStart w:id="2218" w:name="_Toc517775404"/>
      <w:bookmarkStart w:id="2219" w:name="_Toc520107152"/>
      <w:bookmarkStart w:id="2220" w:name="_Toc523111777"/>
      <w:bookmarkStart w:id="2221" w:name="_Toc122833406"/>
      <w:bookmarkStart w:id="2222" w:name="_Toc122833973"/>
      <w:r>
        <w:rPr>
          <w:rStyle w:val="CharSectno"/>
        </w:rPr>
        <w:t>174</w:t>
      </w:r>
      <w:r>
        <w:rPr>
          <w:snapToGrid w:val="0"/>
        </w:rPr>
        <w:t>.</w:t>
      </w:r>
      <w:r>
        <w:rPr>
          <w:snapToGrid w:val="0"/>
        </w:rPr>
        <w:tab/>
        <w:t>Payment to worker from General Fund</w:t>
      </w:r>
      <w:bookmarkEnd w:id="2217"/>
      <w:bookmarkEnd w:id="2218"/>
      <w:bookmarkEnd w:id="2219"/>
      <w:bookmarkEnd w:id="2220"/>
      <w:bookmarkEnd w:id="2221"/>
      <w:bookmarkEnd w:id="2222"/>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r>
        <w:t>WorkCover WA</w:t>
      </w:r>
      <w:r>
        <w:rPr>
          <w:snapToGrid w:val="0"/>
        </w:rPr>
        <w:t xml:space="preserve"> shall pay to the worker from moneys standing to the credit of the General Fund the amount required to satisfy the award and any award for costs in respect thereof.</w:t>
      </w:r>
    </w:p>
    <w:p>
      <w:pPr>
        <w:pStyle w:val="Subsection"/>
      </w:pPr>
      <w:r>
        <w:tab/>
        <w:t>(1a)</w:t>
      </w:r>
      <w:r>
        <w:tab/>
        <w:t>Without limiting section 174AB, until the amount paid to a worker under this section is recovered under this section or section 174AA, WorkCover WA may exercise any rights of the employer under this Act in relation to the payment of that award.</w:t>
      </w:r>
    </w:p>
    <w:p>
      <w:pPr>
        <w:pStyle w:val="Ednotesubsection"/>
      </w:pPr>
      <w:r>
        <w:tab/>
        <w:t>[(2)</w:t>
      </w:r>
      <w:r>
        <w:tab/>
        <w:t>repealed]</w:t>
      </w:r>
    </w:p>
    <w:p>
      <w:pPr>
        <w:pStyle w:val="Subsection"/>
        <w:spacing w:before="100"/>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the employer’s insurer has ceased to operate in Australia,</w:t>
      </w:r>
    </w:p>
    <w:p>
      <w:pPr>
        <w:pStyle w:val="Subsection"/>
        <w:spacing w:before="100"/>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Fund the amount required to satisfy an award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r>
        <w:t>WorkCover WA</w:t>
      </w:r>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ab/>
        <w:t>(5a)</w:t>
      </w:r>
      <w:r>
        <w:tab/>
        <w:t>Despite any other provisions of this section, if WorkCover WA is satisfied that the reason for the employer not being insured against liability to pay compensation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Where WorkCover WA has paid from the General Fund an amount under subsection (1) WorkCover WA may file in a court of competent jurisdiction a certificate of WorkCover WA showing the amount paid.</w:t>
      </w:r>
    </w:p>
    <w:p>
      <w:pPr>
        <w:pStyle w:val="Subsection"/>
      </w:pPr>
      <w:r>
        <w:tab/>
        <w:t>(7)</w:t>
      </w:r>
      <w:r>
        <w:tab/>
        <w:t>No charge is to be made for filing a copy of a certificate under this section.</w:t>
      </w:r>
    </w:p>
    <w:p>
      <w:pPr>
        <w:pStyle w:val="Subsection"/>
      </w:pPr>
      <w:r>
        <w:tab/>
        <w:t>(8)</w:t>
      </w:r>
      <w:r>
        <w:tab/>
        <w:t>On filing, the certificate is to be taken to be a judgment of that court for a debt payable by the employer of the worker to WorkCover WA of the same amount as the amount stated in the certificate, and may be enforced accordingly.</w:t>
      </w:r>
    </w:p>
    <w:p>
      <w:pPr>
        <w:pStyle w:val="Subsection"/>
        <w:spacing w:before="120"/>
        <w:rPr>
          <w:snapToGrid w:val="0"/>
        </w:rPr>
      </w:pPr>
      <w:r>
        <w:tab/>
        <w:t>(9)</w:t>
      </w:r>
      <w:r>
        <w:tab/>
        <w:t>Where by reason of section 175 more than one person is liable as an employer to pay compensation under this Act to a worker, the reference in subsection (8) to the employer is to be read as a reference to each person so liable, and the judgment may be enforced against those persons jointly and severally.</w:t>
      </w:r>
    </w:p>
    <w:p>
      <w:pPr>
        <w:pStyle w:val="Footnotesection"/>
      </w:pPr>
      <w:r>
        <w:tab/>
        <w:t xml:space="preserve">[Section 174 amended by No. 85 of 1986 s. 11; No. 96 of 1990 s. 46; No. 72 of 1992 s. 20; No. 48 of 1993 s. 41; No. 49 of 1996 s. 64; No. 36 of 2004 s. 12 and 18; No. 42 of 2004 s. 126, 147 and 150; No. 16 of 2005 s. 21.] </w:t>
      </w:r>
    </w:p>
    <w:p>
      <w:pPr>
        <w:pStyle w:val="Heading5"/>
        <w:spacing w:before="120"/>
      </w:pPr>
      <w:bookmarkStart w:id="2223" w:name="_Toc122833407"/>
      <w:bookmarkStart w:id="2224" w:name="_Toc122833974"/>
      <w:bookmarkStart w:id="2225" w:name="_Toc440878048"/>
      <w:bookmarkStart w:id="2226" w:name="_Toc517775405"/>
      <w:bookmarkStart w:id="2227" w:name="_Toc520107153"/>
      <w:bookmarkStart w:id="2228" w:name="_Toc523111778"/>
      <w:r>
        <w:rPr>
          <w:rStyle w:val="CharSectno"/>
        </w:rPr>
        <w:t>174AA</w:t>
      </w:r>
      <w:r>
        <w:t>.</w:t>
      </w:r>
      <w:r>
        <w:tab/>
        <w:t>Recovery from responsible officers of body corporate</w:t>
      </w:r>
      <w:bookmarkEnd w:id="2223"/>
      <w:bookmarkEnd w:id="2224"/>
    </w:p>
    <w:p>
      <w:pPr>
        <w:pStyle w:val="Subsection"/>
      </w:pPr>
      <w:r>
        <w:tab/>
        <w:t>(1)</w:t>
      </w:r>
      <w:r>
        <w:tab/>
        <w:t>If none, or some but not all, of an amount paid from the General Fund under section 174 is recovered from a body corporate liable to pay the amount under that section, WorkCover WA may sue and recover the unpaid amount from a responsible officer of the body corporate.</w:t>
      </w:r>
    </w:p>
    <w:p>
      <w:pPr>
        <w:pStyle w:val="Subsection"/>
        <w:spacing w:before="120"/>
      </w:pPr>
      <w:r>
        <w:tab/>
        <w:t>(2)</w:t>
      </w:r>
      <w:r>
        <w:tab/>
        <w:t xml:space="preserve">A person is a responsible officer of a body corporate if — </w:t>
      </w:r>
    </w:p>
    <w:p>
      <w:pPr>
        <w:pStyle w:val="Indenta"/>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w:t>
      </w:r>
    </w:p>
    <w:p>
      <w:pPr>
        <w:pStyle w:val="Indenta"/>
      </w:pPr>
      <w:r>
        <w:tab/>
        <w:t>(b)</w:t>
      </w:r>
      <w:r>
        <w:tab/>
        <w:t>at the time of the contravention or failure the person was a director or other officer concerned in the management of the body corporate; and</w:t>
      </w:r>
    </w:p>
    <w:p>
      <w:pPr>
        <w:pStyle w:val="Indenta"/>
      </w:pPr>
      <w:r>
        <w:tab/>
        <w:t>(c)</w:t>
      </w:r>
      <w:r>
        <w:tab/>
        <w:t xml:space="preserve">the person does not prove that — </w:t>
      </w:r>
    </w:p>
    <w:p>
      <w:pPr>
        <w:pStyle w:val="Indenti"/>
      </w:pPr>
      <w:r>
        <w:tab/>
        <w:t>(i)</w:t>
      </w:r>
      <w:r>
        <w:tab/>
        <w:t>the contravention or failure occurred without the person’s consent or connivance; and</w:t>
      </w:r>
    </w:p>
    <w:p>
      <w:pPr>
        <w:pStyle w:val="Indenti"/>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by No. 42 of 2004 s. 127.]</w:t>
      </w:r>
    </w:p>
    <w:p>
      <w:pPr>
        <w:pStyle w:val="Heading5"/>
      </w:pPr>
      <w:bookmarkStart w:id="2229" w:name="_Toc87253033"/>
      <w:bookmarkStart w:id="2230" w:name="_Toc122833408"/>
      <w:bookmarkStart w:id="2231" w:name="_Toc122833975"/>
      <w:r>
        <w:rPr>
          <w:rStyle w:val="CharSectno"/>
        </w:rPr>
        <w:t>174AB</w:t>
      </w:r>
      <w:r>
        <w:t>.</w:t>
      </w:r>
      <w:r>
        <w:tab/>
        <w:t>WorkCover WA may exercise rights of employer</w:t>
      </w:r>
      <w:bookmarkEnd w:id="2229"/>
      <w:bookmarkEnd w:id="2230"/>
      <w:bookmarkEnd w:id="2231"/>
    </w:p>
    <w:p>
      <w:pPr>
        <w:pStyle w:val="Subsection"/>
      </w:pPr>
      <w:r>
        <w:tab/>
        <w:t>(1)</w:t>
      </w:r>
      <w:r>
        <w:tab/>
        <w:t xml:space="preserve">If an employer is uninsured and is not defending a claim brought by a worker, WorkCover WA has all of the rights of the employer under this Act in place of the employer including the right to — </w:t>
      </w:r>
    </w:p>
    <w:p>
      <w:pPr>
        <w:pStyle w:val="Indenta"/>
      </w:pPr>
      <w:r>
        <w:tab/>
        <w:t>(a)</w:t>
      </w:r>
      <w:r>
        <w:tab/>
        <w:t>consent to an award or order being made in a proceeding before a dispute resolution authority;</w:t>
      </w:r>
    </w:p>
    <w:p>
      <w:pPr>
        <w:pStyle w:val="Indenta"/>
      </w:pPr>
      <w:r>
        <w:tab/>
        <w:t>(b)</w:t>
      </w:r>
      <w:r>
        <w:tab/>
        <w:t>enter into an agreement as to redemption of the claim;</w:t>
      </w:r>
    </w:p>
    <w:p>
      <w:pPr>
        <w:pStyle w:val="Indenta"/>
      </w:pPr>
      <w:r>
        <w:tab/>
        <w:t>(c)</w:t>
      </w:r>
      <w:r>
        <w:tab/>
        <w:t>become a party to proceedings in relation to the claim;</w:t>
      </w:r>
    </w:p>
    <w:p>
      <w:pPr>
        <w:pStyle w:val="Indenta"/>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Subsection"/>
      </w:pPr>
      <w:r>
        <w:tab/>
        <w:t>(2)</w:t>
      </w:r>
      <w:r>
        <w:tab/>
        <w:t xml:space="preserve">If an employer — </w:t>
      </w:r>
    </w:p>
    <w:p>
      <w:pPr>
        <w:pStyle w:val="Indenta"/>
      </w:pPr>
      <w:r>
        <w:tab/>
        <w:t>(a)</w:t>
      </w:r>
      <w:r>
        <w:tab/>
        <w:t>is uninsured and is defending a claim brought by a worker; or</w:t>
      </w:r>
    </w:p>
    <w:p>
      <w:pPr>
        <w:pStyle w:val="Indenta"/>
      </w:pPr>
      <w:r>
        <w:tab/>
        <w:t>(b)</w:t>
      </w:r>
      <w:r>
        <w:tab/>
        <w:t>may be uninsured and a worker has brought a claim, irrespective of whether or not the employer is defending the claim,</w:t>
      </w:r>
    </w:p>
    <w:p>
      <w:pPr>
        <w:pStyle w:val="Subsection"/>
      </w:pPr>
      <w:r>
        <w:tab/>
      </w:r>
      <w:r>
        <w:tab/>
        <w:t>then, unless an order to the contrary is made pursuant to an application under subsection (3), WorkCover WA has all of the rights of the employer under this Act in place of the employer as if subsection (1) applied.</w:t>
      </w:r>
    </w:p>
    <w:p>
      <w:pPr>
        <w:pStyle w:val="Subsection"/>
      </w:pPr>
      <w:r>
        <w:tab/>
        <w:t>(3)</w:t>
      </w:r>
      <w:r>
        <w:tab/>
        <w:t>The employer may apply under Part XI for an order as to the rights WorkCover WA may exercise under subsection (2) and the exercise of those rights.</w:t>
      </w:r>
    </w:p>
    <w:p>
      <w:pPr>
        <w:pStyle w:val="Subsection"/>
      </w:pPr>
      <w:r>
        <w:tab/>
        <w:t>(4)</w:t>
      </w:r>
      <w:r>
        <w:tab/>
        <w:t>An arbitrator may hear and determine an application under subsection (3) and may make such orders in relation to the application as the arbitrator thinks fit.</w:t>
      </w:r>
    </w:p>
    <w:p>
      <w:pPr>
        <w:pStyle w:val="Subsection"/>
      </w:pPr>
      <w:r>
        <w:tab/>
        <w:t>(5)</w:t>
      </w:r>
      <w:r>
        <w:tab/>
        <w:t>WorkCover WA may sue for and recover from the employer fees, costs and charges incurred by WorkCover WA under this section, whether or not WorkCover WA was successful in any proceedings.</w:t>
      </w:r>
    </w:p>
    <w:p>
      <w:pPr>
        <w:pStyle w:val="Footnotesection"/>
      </w:pPr>
      <w:bookmarkStart w:id="2232" w:name="_Toc87253034"/>
      <w:r>
        <w:tab/>
        <w:t>[Section 174AB inserted by No. 42 of 2004 s. 128.]</w:t>
      </w:r>
    </w:p>
    <w:p>
      <w:pPr>
        <w:pStyle w:val="Heading5"/>
      </w:pPr>
      <w:bookmarkStart w:id="2233" w:name="_Toc122833409"/>
      <w:bookmarkStart w:id="2234" w:name="_Toc122833976"/>
      <w:r>
        <w:rPr>
          <w:rStyle w:val="CharSectno"/>
        </w:rPr>
        <w:t>174AC</w:t>
      </w:r>
      <w:r>
        <w:t>.</w:t>
      </w:r>
      <w:r>
        <w:tab/>
        <w:t>WorkCover WA’s right of subrogation</w:t>
      </w:r>
      <w:bookmarkEnd w:id="2232"/>
      <w:bookmarkEnd w:id="2233"/>
      <w:bookmarkEnd w:id="2234"/>
    </w:p>
    <w:p>
      <w:pPr>
        <w:pStyle w:val="Subsection"/>
      </w:pPr>
      <w:r>
        <w:tab/>
      </w:r>
      <w:r>
        <w:tab/>
        <w:t>If WorkCover WA has paid, or is liable to pay, from the General Fund an amount as compensation for which an employer is liable under this Act, WorkCover WA is subrogated to 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r>
        <w:tab/>
        <w:t>[Section 174AC inserted by No. 42 of 2004 s. 128.]</w:t>
      </w:r>
    </w:p>
    <w:p>
      <w:pPr>
        <w:pStyle w:val="Heading5"/>
        <w:rPr>
          <w:snapToGrid w:val="0"/>
        </w:rPr>
      </w:pPr>
      <w:bookmarkStart w:id="2235" w:name="_Toc122833410"/>
      <w:bookmarkStart w:id="2236" w:name="_Toc122833977"/>
      <w:r>
        <w:rPr>
          <w:rStyle w:val="CharSectno"/>
        </w:rPr>
        <w:t>174A</w:t>
      </w:r>
      <w:r>
        <w:rPr>
          <w:snapToGrid w:val="0"/>
        </w:rPr>
        <w:t>.</w:t>
      </w:r>
      <w:r>
        <w:rPr>
          <w:snapToGrid w:val="0"/>
        </w:rPr>
        <w:tab/>
        <w:t>Insurer may not refuse to indemnify in certain circumstances</w:t>
      </w:r>
      <w:bookmarkEnd w:id="2225"/>
      <w:bookmarkEnd w:id="2226"/>
      <w:bookmarkEnd w:id="2227"/>
      <w:bookmarkEnd w:id="2228"/>
      <w:bookmarkEnd w:id="2235"/>
      <w:bookmarkEnd w:id="2236"/>
      <w:r>
        <w:rPr>
          <w:snapToGrid w:val="0"/>
        </w:rPr>
        <w:t xml:space="preserve"> </w:t>
      </w:r>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claimed under this Act on the ground of an act or omission by or on behalf of the employer but the act or omission did not cause or contribute to the </w:t>
      </w:r>
      <w:r>
        <w:t>injury</w:t>
      </w:r>
      <w:r>
        <w:rPr>
          <w:snapToGrid w:val="0"/>
        </w:rPr>
        <w:t xml:space="preserve"> for which compensation is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pPr>
      <w:r>
        <w:tab/>
        <w:t xml:space="preserve">[Section 174A inserted by No. 72 of 1992 s. 21; amended by No. 42 of 2004 s. 147.] </w:t>
      </w:r>
    </w:p>
    <w:p>
      <w:pPr>
        <w:pStyle w:val="Heading3"/>
        <w:rPr>
          <w:snapToGrid w:val="0"/>
        </w:rPr>
      </w:pPr>
      <w:bookmarkStart w:id="2237" w:name="_Toc86740155"/>
      <w:bookmarkStart w:id="2238" w:name="_Toc88562559"/>
      <w:bookmarkStart w:id="2239" w:name="_Toc88625476"/>
      <w:bookmarkStart w:id="2240" w:name="_Toc91386138"/>
      <w:bookmarkStart w:id="2241" w:name="_Toc92705157"/>
      <w:bookmarkStart w:id="2242" w:name="_Toc93222620"/>
      <w:bookmarkStart w:id="2243" w:name="_Toc95022697"/>
      <w:bookmarkStart w:id="2244" w:name="_Toc95117969"/>
      <w:bookmarkStart w:id="2245" w:name="_Toc96498374"/>
      <w:bookmarkStart w:id="2246" w:name="_Toc96500852"/>
      <w:bookmarkStart w:id="2247" w:name="_Toc101779767"/>
      <w:bookmarkStart w:id="2248" w:name="_Toc103060215"/>
      <w:bookmarkStart w:id="2249" w:name="_Toc105471111"/>
      <w:bookmarkStart w:id="2250" w:name="_Toc105475025"/>
      <w:bookmarkStart w:id="2251" w:name="_Toc107308127"/>
      <w:bookmarkStart w:id="2252" w:name="_Toc109712360"/>
      <w:bookmarkStart w:id="2253" w:name="_Toc109724243"/>
      <w:bookmarkStart w:id="2254" w:name="_Toc110054115"/>
      <w:bookmarkStart w:id="2255" w:name="_Toc110054504"/>
      <w:bookmarkStart w:id="2256" w:name="_Toc110654584"/>
      <w:bookmarkStart w:id="2257" w:name="_Toc110736022"/>
      <w:bookmarkStart w:id="2258" w:name="_Toc110738758"/>
      <w:bookmarkStart w:id="2259" w:name="_Toc115691432"/>
      <w:bookmarkStart w:id="2260" w:name="_Toc115773729"/>
      <w:bookmarkStart w:id="2261" w:name="_Toc119132691"/>
      <w:bookmarkStart w:id="2262" w:name="_Toc119203361"/>
      <w:bookmarkStart w:id="2263" w:name="_Toc119204007"/>
      <w:bookmarkStart w:id="2264" w:name="_Toc119216337"/>
      <w:bookmarkStart w:id="2265" w:name="_Toc119300858"/>
      <w:bookmarkStart w:id="2266" w:name="_Toc119301425"/>
      <w:bookmarkStart w:id="2267" w:name="_Toc119301994"/>
      <w:bookmarkStart w:id="2268" w:name="_Toc119920181"/>
      <w:bookmarkStart w:id="2269" w:name="_Toc122774168"/>
      <w:bookmarkStart w:id="2270" w:name="_Toc122833411"/>
      <w:bookmarkStart w:id="2271" w:name="_Toc122833978"/>
      <w:r>
        <w:rPr>
          <w:rStyle w:val="CharDivNo"/>
        </w:rPr>
        <w:t>Division 2</w:t>
      </w:r>
      <w:r>
        <w:rPr>
          <w:snapToGrid w:val="0"/>
        </w:rPr>
        <w:t> — </w:t>
      </w:r>
      <w:r>
        <w:rPr>
          <w:rStyle w:val="CharDivText"/>
        </w:rPr>
        <w:t>Insurance by principals, contractors, and sub</w:t>
      </w:r>
      <w:r>
        <w:rPr>
          <w:rStyle w:val="CharDivText"/>
        </w:rPr>
        <w:noBreakHyphen/>
        <w:t>contractors</w:t>
      </w:r>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r>
        <w:rPr>
          <w:rStyle w:val="CharDivText"/>
        </w:rPr>
        <w:t xml:space="preserve"> </w:t>
      </w:r>
    </w:p>
    <w:p>
      <w:pPr>
        <w:pStyle w:val="Heading5"/>
        <w:rPr>
          <w:snapToGrid w:val="0"/>
        </w:rPr>
      </w:pPr>
      <w:bookmarkStart w:id="2272" w:name="_Toc440878049"/>
      <w:bookmarkStart w:id="2273" w:name="_Toc517775406"/>
      <w:bookmarkStart w:id="2274" w:name="_Toc520107154"/>
      <w:bookmarkStart w:id="2275" w:name="_Toc523111779"/>
      <w:bookmarkStart w:id="2276" w:name="_Toc122833412"/>
      <w:bookmarkStart w:id="2277" w:name="_Toc122833979"/>
      <w:r>
        <w:rPr>
          <w:rStyle w:val="CharSectno"/>
        </w:rPr>
        <w:t>175</w:t>
      </w:r>
      <w:r>
        <w:rPr>
          <w:snapToGrid w:val="0"/>
        </w:rPr>
        <w:t>.</w:t>
      </w:r>
      <w:r>
        <w:rPr>
          <w:snapToGrid w:val="0"/>
        </w:rPr>
        <w:tab/>
        <w:t>Principal contractor and sub</w:t>
      </w:r>
      <w:r>
        <w:rPr>
          <w:snapToGrid w:val="0"/>
        </w:rPr>
        <w:noBreakHyphen/>
        <w:t>contractor deemed employers</w:t>
      </w:r>
      <w:bookmarkEnd w:id="2272"/>
      <w:bookmarkEnd w:id="2273"/>
      <w:bookmarkEnd w:id="2274"/>
      <w:bookmarkEnd w:id="2275"/>
      <w:bookmarkEnd w:id="2276"/>
      <w:bookmarkEnd w:id="2277"/>
      <w:r>
        <w:rPr>
          <w:snapToGrid w:val="0"/>
        </w:rPr>
        <w:t xml:space="preserve"> </w:t>
      </w:r>
    </w:p>
    <w:p>
      <w:pPr>
        <w:pStyle w:val="Subsection"/>
        <w:rPr>
          <w:snapToGrid w:val="0"/>
        </w:rPr>
      </w:pPr>
      <w:r>
        <w:rPr>
          <w:snapToGrid w:val="0"/>
        </w:rPr>
        <w:tab/>
        <w:t>(1)</w:t>
      </w:r>
      <w:r>
        <w:rPr>
          <w:snapToGrid w:val="0"/>
        </w:rPr>
        <w:tab/>
        <w:t>Where a person (in this section referred to as the principal) contracts with another person (in this section referred to as the contractor)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rPr>
          <w:snapToGrid w:val="0"/>
        </w:rPr>
      </w:pPr>
      <w:r>
        <w:rPr>
          <w:snapToGrid w:val="0"/>
        </w:rPr>
        <w:tab/>
        <w:t>(6)</w:t>
      </w:r>
      <w:r>
        <w:rPr>
          <w:snapToGrid w:val="0"/>
        </w:rPr>
        <w:tab/>
        <w:t>For the purposes of this section, where sub</w:t>
      </w:r>
      <w:r>
        <w:rPr>
          <w:snapToGrid w:val="0"/>
        </w:rPr>
        <w:noBreakHyphen/>
        <w:t>contracts are made —</w:t>
      </w:r>
    </w:p>
    <w:p>
      <w:pPr>
        <w:pStyle w:val="Indenta"/>
        <w:rPr>
          <w:snapToGrid w:val="0"/>
        </w:rPr>
      </w:pPr>
      <w:r>
        <w:rPr>
          <w:snapToGrid w:val="0"/>
        </w:rPr>
        <w:tab/>
        <w:t>(a)</w:t>
      </w:r>
      <w:r>
        <w:rPr>
          <w:snapToGrid w:val="0"/>
        </w:rPr>
        <w:tab/>
      </w:r>
      <w:r>
        <w:rPr>
          <w:b/>
          <w:snapToGrid w:val="0"/>
        </w:rPr>
        <w:t>“</w:t>
      </w:r>
      <w:r>
        <w:rPr>
          <w:rStyle w:val="CharDefText"/>
        </w:rPr>
        <w:t>principal</w:t>
      </w:r>
      <w:r>
        <w:rPr>
          <w:b/>
          <w:snapToGrid w:val="0"/>
        </w:rPr>
        <w:t>”</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w:t>
      </w:r>
    </w:p>
    <w:p>
      <w:pPr>
        <w:pStyle w:val="Indenta"/>
        <w:rPr>
          <w:snapToGrid w:val="0"/>
        </w:rPr>
      </w:pPr>
      <w:r>
        <w:rPr>
          <w:snapToGrid w:val="0"/>
        </w:rPr>
        <w:tab/>
        <w:t>(b)</w:t>
      </w:r>
      <w:r>
        <w:rPr>
          <w:snapToGrid w:val="0"/>
        </w:rPr>
        <w:tab/>
      </w:r>
      <w:r>
        <w:rPr>
          <w:b/>
          <w:snapToGrid w:val="0"/>
        </w:rPr>
        <w:t>“</w:t>
      </w:r>
      <w:r>
        <w:rPr>
          <w:rStyle w:val="CharDefText"/>
        </w:rPr>
        <w:t>contractor</w:t>
      </w:r>
      <w:r>
        <w:rPr>
          <w:b/>
          <w:snapToGrid w:val="0"/>
        </w:rPr>
        <w:t>”</w:t>
      </w:r>
      <w:r>
        <w:rPr>
          <w:snapToGrid w:val="0"/>
        </w:rPr>
        <w:t xml:space="preserve"> includes the original contractor and each sub</w:t>
      </w:r>
      <w:r>
        <w:rPr>
          <w:snapToGrid w:val="0"/>
        </w:rPr>
        <w:noBreakHyphen/>
        <w:t>contractor; and</w:t>
      </w:r>
    </w:p>
    <w:p>
      <w:pPr>
        <w:pStyle w:val="Indenta"/>
        <w:rPr>
          <w:snapToGrid w:val="0"/>
        </w:rPr>
      </w:pPr>
      <w:r>
        <w:rPr>
          <w:snapToGrid w:val="0"/>
        </w:rPr>
        <w:tab/>
        <w:t>(c)</w:t>
      </w:r>
      <w:r>
        <w:rPr>
          <w:snapToGrid w:val="0"/>
        </w:rPr>
        <w:tab/>
        <w:t>a principal’s right to indemnity is a right against each contractor standing between the principal and the worker.</w:t>
      </w:r>
    </w:p>
    <w:p>
      <w:pPr>
        <w:pStyle w:val="Subsection"/>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Footnotesection"/>
      </w:pPr>
      <w:r>
        <w:tab/>
        <w:t>[Section 175 amended by No. 42 of 2004 s. 147.]</w:t>
      </w:r>
    </w:p>
    <w:p>
      <w:pPr>
        <w:pStyle w:val="Heading5"/>
      </w:pPr>
      <w:bookmarkStart w:id="2278" w:name="_Toc122833413"/>
      <w:bookmarkStart w:id="2279" w:name="_Toc122833980"/>
      <w:bookmarkStart w:id="2280" w:name="_Toc86740157"/>
      <w:bookmarkStart w:id="2281" w:name="_Toc88562561"/>
      <w:bookmarkStart w:id="2282" w:name="_Toc88625478"/>
      <w:bookmarkStart w:id="2283" w:name="_Toc91386140"/>
      <w:bookmarkStart w:id="2284" w:name="_Toc92705159"/>
      <w:bookmarkStart w:id="2285" w:name="_Toc93222622"/>
      <w:bookmarkStart w:id="2286" w:name="_Toc95022699"/>
      <w:bookmarkStart w:id="2287" w:name="_Toc95117971"/>
      <w:bookmarkStart w:id="2288" w:name="_Toc96498376"/>
      <w:bookmarkStart w:id="2289" w:name="_Toc96500854"/>
      <w:bookmarkStart w:id="2290" w:name="_Toc101779769"/>
      <w:bookmarkStart w:id="2291" w:name="_Toc103060217"/>
      <w:bookmarkStart w:id="2292" w:name="_Toc105471113"/>
      <w:bookmarkStart w:id="2293" w:name="_Toc105475027"/>
      <w:bookmarkStart w:id="2294" w:name="_Toc107308129"/>
      <w:bookmarkStart w:id="2295" w:name="_Toc109712362"/>
      <w:bookmarkStart w:id="2296" w:name="_Toc109724245"/>
      <w:bookmarkStart w:id="2297" w:name="_Toc110054117"/>
      <w:bookmarkStart w:id="2298" w:name="_Toc110054506"/>
      <w:bookmarkStart w:id="2299" w:name="_Toc110654586"/>
      <w:bookmarkStart w:id="2300" w:name="_Toc110736024"/>
      <w:bookmarkStart w:id="2301" w:name="_Toc110738760"/>
      <w:bookmarkStart w:id="2302" w:name="_Toc115691434"/>
      <w:bookmarkStart w:id="2303" w:name="_Toc115773731"/>
      <w:bookmarkStart w:id="2304" w:name="_Toc119132693"/>
      <w:bookmarkStart w:id="2305" w:name="_Toc119203363"/>
      <w:bookmarkStart w:id="2306" w:name="_Toc119204009"/>
      <w:bookmarkStart w:id="2307" w:name="_Toc119216339"/>
      <w:r>
        <w:rPr>
          <w:rStyle w:val="CharSectno"/>
        </w:rPr>
        <w:t>175AA</w:t>
      </w:r>
      <w:r>
        <w:t>.</w:t>
      </w:r>
      <w:r>
        <w:tab/>
        <w:t>Certain persons deemed workers</w:t>
      </w:r>
      <w:bookmarkEnd w:id="2278"/>
      <w:bookmarkEnd w:id="2279"/>
    </w:p>
    <w:p>
      <w:pPr>
        <w:pStyle w:val="Subsection"/>
      </w:pPr>
      <w:r>
        <w:tab/>
        <w:t>(1)</w:t>
      </w:r>
      <w:r>
        <w:tab/>
        <w:t>For the purposes of this section, a person (</w:t>
      </w:r>
      <w:r>
        <w:rPr>
          <w:b/>
        </w:rPr>
        <w:t>“W”</w:t>
      </w:r>
      <w:r>
        <w:t>) executes work for another person (</w:t>
      </w:r>
      <w:r>
        <w:rPr>
          <w:b/>
        </w:rPr>
        <w:t>“E”</w:t>
      </w:r>
      <w:r>
        <w:t>) under an avoidance arrangement if —</w:t>
      </w:r>
    </w:p>
    <w:p>
      <w:pPr>
        <w:pStyle w:val="Indenta"/>
      </w:pPr>
      <w:r>
        <w:tab/>
        <w:t>(a)</w:t>
      </w:r>
      <w:r>
        <w:tab/>
        <w:t xml:space="preserve">the work is executed under an arrangement that is contrived to enable E to have the benefit of W’s services without having liabilities and duties as W’s employer under this Act; </w:t>
      </w:r>
    </w:p>
    <w:p>
      <w:pPr>
        <w:pStyle w:val="Indenta"/>
      </w:pPr>
      <w:r>
        <w:tab/>
        <w:t>(b)</w:t>
      </w:r>
      <w:r>
        <w:tab/>
        <w:t xml:space="preserve">the arrangement was entered into on or after the coming into operation of section 13 of the </w:t>
      </w:r>
      <w:r>
        <w:rPr>
          <w:i/>
        </w:rPr>
        <w:t>Workers’ Compensation Legislation Amendment Act 2005</w:t>
      </w:r>
      <w:r>
        <w:t>; and</w:t>
      </w:r>
    </w:p>
    <w:p>
      <w:pPr>
        <w:pStyle w:val="Indenta"/>
      </w:pPr>
      <w:r>
        <w:tab/>
        <w:t>(c)</w:t>
      </w:r>
      <w:r>
        <w:tab/>
        <w:t xml:space="preserve">while the arrangement is in effect — </w:t>
      </w:r>
    </w:p>
    <w:p>
      <w:pPr>
        <w:pStyle w:val="Indenti"/>
      </w:pPr>
      <w:r>
        <w:tab/>
        <w:t>(i)</w:t>
      </w:r>
      <w:r>
        <w:tab/>
        <w:t xml:space="preserve">W executes work principally for E on behalf of a company of which W is an employee or director (the </w:t>
      </w:r>
      <w:r>
        <w:rPr>
          <w:b/>
        </w:rPr>
        <w:t>“company”</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 xml:space="preserve">If an injury occurs to W and W and E agree or an arbitrator determines that, when the injury occurred, W was executing work for E under an avoidance arrangement — </w:t>
      </w:r>
    </w:p>
    <w:p>
      <w:pPr>
        <w:pStyle w:val="Indenta"/>
      </w:pPr>
      <w:r>
        <w:tab/>
        <w:t>(a)</w:t>
      </w:r>
      <w:r>
        <w:tab/>
        <w:t>E is liable to pay any compensation that E would have been liable to pay under this Act if W had been E’s worker when the injury occurred;</w:t>
      </w:r>
    </w:p>
    <w:p>
      <w:pPr>
        <w:pStyle w:val="Indenta"/>
      </w:pPr>
      <w:r>
        <w:tab/>
        <w:t>(b)</w:t>
      </w:r>
      <w:r>
        <w:tab/>
        <w:t xml:space="preserve">if, when the injury occurred, E was insured as required by section 160 against its liability to pay compensation to its workers under this Act —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 xml:space="preserve">If E is liable to pay compensation under subsection (5), for purposes related to the compensation and duties under section 155C, and matters related to the compensation and those duties, this Act applies as if — </w:t>
      </w:r>
    </w:p>
    <w:p>
      <w:pPr>
        <w:pStyle w:val="Indenta"/>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pPr>
      <w:r>
        <w:tab/>
        <w:t>(b)</w:t>
      </w:r>
      <w:r>
        <w:tab/>
        <w:t>a reference in this Act to a worker were a reference to W.</w:t>
      </w:r>
    </w:p>
    <w:p>
      <w:pPr>
        <w:pStyle w:val="Subsection"/>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pPr>
      <w:r>
        <w:tab/>
        <w:t>Penalty: $2 000.</w:t>
      </w:r>
    </w:p>
    <w:p>
      <w:pPr>
        <w:pStyle w:val="Subsection"/>
      </w:pPr>
      <w:r>
        <w:tab/>
        <w:t>(8)</w:t>
      </w:r>
      <w:r>
        <w:tab/>
        <w:t>An indemnity taken or received in contravention of subsection (7) is void.</w:t>
      </w:r>
    </w:p>
    <w:p>
      <w:pPr>
        <w:pStyle w:val="Subsection"/>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pPr>
      <w:r>
        <w:tab/>
        <w:t xml:space="preserve">[Section 175AA inserted by No. 16 of 2005 s. 13.] </w:t>
      </w:r>
    </w:p>
    <w:p>
      <w:pPr>
        <w:pStyle w:val="Heading3"/>
      </w:pPr>
      <w:bookmarkStart w:id="2308" w:name="_Toc119300861"/>
      <w:bookmarkStart w:id="2309" w:name="_Toc119301428"/>
      <w:bookmarkStart w:id="2310" w:name="_Toc119301997"/>
      <w:bookmarkStart w:id="2311" w:name="_Toc119920184"/>
      <w:bookmarkStart w:id="2312" w:name="_Toc122774171"/>
      <w:bookmarkStart w:id="2313" w:name="_Toc122833414"/>
      <w:bookmarkStart w:id="2314" w:name="_Toc122833981"/>
      <w:r>
        <w:rPr>
          <w:rStyle w:val="CharDivNo"/>
        </w:rPr>
        <w:t>Division 3</w:t>
      </w:r>
      <w:r>
        <w:rPr>
          <w:snapToGrid w:val="0"/>
        </w:rPr>
        <w:t> — </w:t>
      </w:r>
      <w:r>
        <w:rPr>
          <w:rStyle w:val="CharDivText"/>
        </w:rPr>
        <w:t>Inspectors</w:t>
      </w:r>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p>
    <w:p>
      <w:pPr>
        <w:pStyle w:val="Footnoteheading"/>
      </w:pPr>
      <w:r>
        <w:tab/>
        <w:t>[Heading inserted by No. 34 of 1999 s. 46(1).]</w:t>
      </w:r>
    </w:p>
    <w:p>
      <w:pPr>
        <w:pStyle w:val="Heading5"/>
        <w:rPr>
          <w:snapToGrid w:val="0"/>
        </w:rPr>
      </w:pPr>
      <w:bookmarkStart w:id="2315" w:name="_Toc517775407"/>
      <w:bookmarkStart w:id="2316" w:name="_Toc520107155"/>
      <w:bookmarkStart w:id="2317" w:name="_Toc523111780"/>
      <w:bookmarkStart w:id="2318" w:name="_Toc122833415"/>
      <w:bookmarkStart w:id="2319" w:name="_Toc122833982"/>
      <w:r>
        <w:rPr>
          <w:rStyle w:val="CharSectno"/>
        </w:rPr>
        <w:t>175A</w:t>
      </w:r>
      <w:r>
        <w:rPr>
          <w:snapToGrid w:val="0"/>
        </w:rPr>
        <w:t>.</w:t>
      </w:r>
      <w:r>
        <w:rPr>
          <w:snapToGrid w:val="0"/>
        </w:rPr>
        <w:tab/>
        <w:t>Authorisation</w:t>
      </w:r>
      <w:bookmarkEnd w:id="2315"/>
      <w:bookmarkEnd w:id="2316"/>
      <w:bookmarkEnd w:id="2317"/>
      <w:bookmarkEnd w:id="2318"/>
      <w:bookmarkEnd w:id="2319"/>
    </w:p>
    <w:p>
      <w:pPr>
        <w:pStyle w:val="Subsection"/>
        <w:spacing w:before="100"/>
        <w:rPr>
          <w:snapToGrid w:val="0"/>
        </w:rPr>
      </w:pPr>
      <w:r>
        <w:rPr>
          <w:snapToGrid w:val="0"/>
        </w:rPr>
        <w:tab/>
        <w:t>(1)</w:t>
      </w:r>
      <w:r>
        <w:rPr>
          <w:snapToGrid w:val="0"/>
        </w:rPr>
        <w:tab/>
      </w:r>
      <w:r>
        <w:t>WorkCover WA</w:t>
      </w:r>
      <w:r>
        <w:rPr>
          <w:snapToGrid w:val="0"/>
        </w:rPr>
        <w:t xml:space="preserve"> may authorise persons as inspectors for the purposes of this Act.</w:t>
      </w:r>
    </w:p>
    <w:p>
      <w:pPr>
        <w:pStyle w:val="Subsection"/>
        <w:spacing w:before="100"/>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rPr>
          <w:snapToGrid w:val="0"/>
        </w:rPr>
      </w:pPr>
      <w:r>
        <w:rPr>
          <w:snapToGrid w:val="0"/>
        </w:rPr>
        <w:tab/>
        <w:t>(3)</w:t>
      </w:r>
      <w:r>
        <w:rPr>
          <w:snapToGrid w:val="0"/>
        </w:rPr>
        <w:tab/>
        <w:t>A person who wilfully discloses any information contrary to an oath taken under subsection (2)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 xml:space="preserve">The Chairman of </w:t>
      </w:r>
      <w:r>
        <w:t>WorkCover WA</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Footnotesection"/>
      </w:pPr>
      <w:r>
        <w:tab/>
        <w:t>[Section 175A inserted by No. 34 of 1999 s. 46(1); amended by No. 42 of 2004 s. 150.]</w:t>
      </w:r>
    </w:p>
    <w:p>
      <w:pPr>
        <w:pStyle w:val="Heading5"/>
        <w:rPr>
          <w:snapToGrid w:val="0"/>
        </w:rPr>
      </w:pPr>
      <w:bookmarkStart w:id="2320" w:name="_Toc517775408"/>
      <w:bookmarkStart w:id="2321" w:name="_Toc520107156"/>
      <w:bookmarkStart w:id="2322" w:name="_Toc523111781"/>
      <w:bookmarkStart w:id="2323" w:name="_Toc122833416"/>
      <w:bookmarkStart w:id="2324" w:name="_Toc122833983"/>
      <w:r>
        <w:rPr>
          <w:rStyle w:val="CharSectno"/>
        </w:rPr>
        <w:t>175B</w:t>
      </w:r>
      <w:r>
        <w:rPr>
          <w:snapToGrid w:val="0"/>
        </w:rPr>
        <w:t>.</w:t>
      </w:r>
      <w:r>
        <w:rPr>
          <w:snapToGrid w:val="0"/>
        </w:rPr>
        <w:tab/>
        <w:t>Powers</w:t>
      </w:r>
      <w:bookmarkEnd w:id="2320"/>
      <w:bookmarkEnd w:id="2321"/>
      <w:bookmarkEnd w:id="2322"/>
      <w:bookmarkEnd w:id="2323"/>
      <w:bookmarkEnd w:id="2324"/>
    </w:p>
    <w:p>
      <w:pPr>
        <w:pStyle w:val="Subsection"/>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rPr>
          <w:snapToGrid w:val="0"/>
        </w:rPr>
      </w:pPr>
      <w:r>
        <w:rPr>
          <w:snapToGrid w:val="0"/>
        </w:rPr>
        <w:tab/>
        <w:t>(f)</w:t>
      </w:r>
      <w:r>
        <w:rPr>
          <w:snapToGrid w:val="0"/>
        </w:rPr>
        <w:tab/>
        <w:t>require an employer to provide within 28 days a certificate from an auditor containing a statement as to —</w:t>
      </w:r>
    </w:p>
    <w:p>
      <w:pPr>
        <w:pStyle w:val="Indenti"/>
        <w:rPr>
          <w:snapToGrid w:val="0"/>
        </w:rPr>
      </w:pPr>
      <w:r>
        <w:rPr>
          <w:snapToGrid w:val="0"/>
        </w:rPr>
        <w:tab/>
        <w:t>(i)</w:t>
      </w:r>
      <w:r>
        <w:rPr>
          <w:snapToGrid w:val="0"/>
        </w:rPr>
        <w:tab/>
        <w:t>the number of workers employed by the employer during a specified period; and</w:t>
      </w:r>
    </w:p>
    <w:p>
      <w:pPr>
        <w:pStyle w:val="Indenti"/>
        <w:rPr>
          <w:snapToGrid w:val="0"/>
        </w:rPr>
      </w:pPr>
      <w:r>
        <w:rPr>
          <w:snapToGrid w:val="0"/>
        </w:rPr>
        <w:tab/>
        <w:t>(ii)</w:t>
      </w:r>
      <w:r>
        <w:rPr>
          <w:snapToGrid w:val="0"/>
        </w:rPr>
        <w:tab/>
        <w:t>the amount of wages, salary, and other forms of remuneration paid by the employer to each worker during that period;</w:t>
      </w:r>
    </w:p>
    <w:p>
      <w:pPr>
        <w:pStyle w:val="Indenta"/>
        <w:rPr>
          <w:snapToGrid w:val="0"/>
        </w:rPr>
      </w:pPr>
      <w:r>
        <w:rPr>
          <w:snapToGrid w:val="0"/>
        </w:rPr>
        <w:tab/>
        <w:t>(g)</w:t>
      </w:r>
      <w:r>
        <w:rPr>
          <w:snapToGrid w:val="0"/>
        </w:rPr>
        <w:tab/>
        <w:t>require any person to state the person’s name and address;</w:t>
      </w:r>
    </w:p>
    <w:p>
      <w:pPr>
        <w:pStyle w:val="Indenta"/>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rPr>
          <w:snapToGrid w:val="0"/>
        </w:rPr>
      </w:pPr>
      <w:r>
        <w:rPr>
          <w:snapToGrid w:val="0"/>
        </w:rPr>
        <w:tab/>
        <w:t>(2)</w:t>
      </w:r>
      <w:r>
        <w:rPr>
          <w:snapToGrid w:val="0"/>
        </w:rPr>
        <w:tab/>
        <w:t>In subsection (1) —</w:t>
      </w:r>
    </w:p>
    <w:p>
      <w:pPr>
        <w:pStyle w:val="Defstart"/>
      </w:pPr>
      <w:r>
        <w:rPr>
          <w:b/>
        </w:rPr>
        <w:tab/>
        <w:t>“</w:t>
      </w:r>
      <w:r>
        <w:rPr>
          <w:rStyle w:val="CharDefText"/>
        </w:rPr>
        <w:t>auditor</w:t>
      </w:r>
      <w:r>
        <w:rPr>
          <w:b/>
        </w:rPr>
        <w:t>”</w:t>
      </w:r>
      <w:r>
        <w:t xml:space="preserve"> means a person who is registered as an auditor under Part 9.2 of the</w:t>
      </w:r>
      <w:r>
        <w:rPr>
          <w:i/>
        </w:rPr>
        <w:t xml:space="preserve"> 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by No. 34 of 1999 s. 46(1); amended by No. 10 of 2001 s. 219.]</w:t>
      </w:r>
    </w:p>
    <w:p>
      <w:pPr>
        <w:pStyle w:val="Heading5"/>
        <w:rPr>
          <w:snapToGrid w:val="0"/>
        </w:rPr>
      </w:pPr>
      <w:bookmarkStart w:id="2325" w:name="_Toc517775409"/>
      <w:bookmarkStart w:id="2326" w:name="_Toc520107157"/>
      <w:bookmarkStart w:id="2327" w:name="_Toc523111782"/>
      <w:bookmarkStart w:id="2328" w:name="_Toc122833417"/>
      <w:bookmarkStart w:id="2329" w:name="_Toc122833984"/>
      <w:r>
        <w:rPr>
          <w:rStyle w:val="CharSectno"/>
        </w:rPr>
        <w:t>175C</w:t>
      </w:r>
      <w:r>
        <w:rPr>
          <w:snapToGrid w:val="0"/>
        </w:rPr>
        <w:t>.</w:t>
      </w:r>
      <w:r>
        <w:rPr>
          <w:snapToGrid w:val="0"/>
        </w:rPr>
        <w:tab/>
        <w:t>Interpreters</w:t>
      </w:r>
      <w:bookmarkEnd w:id="2325"/>
      <w:bookmarkEnd w:id="2326"/>
      <w:bookmarkEnd w:id="2327"/>
      <w:bookmarkEnd w:id="2328"/>
      <w:bookmarkEnd w:id="2329"/>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pPr>
      <w:r>
        <w:tab/>
        <w:t>[Section 175C inserted by No. 34 of 1999 s. 46(1).]</w:t>
      </w:r>
    </w:p>
    <w:p>
      <w:pPr>
        <w:pStyle w:val="Heading5"/>
        <w:rPr>
          <w:snapToGrid w:val="0"/>
        </w:rPr>
      </w:pPr>
      <w:bookmarkStart w:id="2330" w:name="_Toc517775410"/>
      <w:bookmarkStart w:id="2331" w:name="_Toc520107158"/>
      <w:bookmarkStart w:id="2332" w:name="_Toc523111783"/>
      <w:bookmarkStart w:id="2333" w:name="_Toc122833418"/>
      <w:bookmarkStart w:id="2334" w:name="_Toc122833985"/>
      <w:r>
        <w:rPr>
          <w:rStyle w:val="CharSectno"/>
        </w:rPr>
        <w:t>175D</w:t>
      </w:r>
      <w:r>
        <w:rPr>
          <w:snapToGrid w:val="0"/>
        </w:rPr>
        <w:t>.</w:t>
      </w:r>
      <w:r>
        <w:rPr>
          <w:snapToGrid w:val="0"/>
        </w:rPr>
        <w:tab/>
        <w:t>Offences</w:t>
      </w:r>
      <w:bookmarkEnd w:id="2330"/>
      <w:bookmarkEnd w:id="2331"/>
      <w:bookmarkEnd w:id="2332"/>
      <w:bookmarkEnd w:id="2333"/>
      <w:bookmarkEnd w:id="2334"/>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w:t>
      </w:r>
    </w:p>
    <w:p>
      <w:pPr>
        <w:pStyle w:val="Indenta"/>
        <w:rPr>
          <w:snapToGrid w:val="0"/>
        </w:rPr>
      </w:pPr>
      <w:r>
        <w:rPr>
          <w:snapToGrid w:val="0"/>
        </w:rPr>
        <w:tab/>
        <w:t>(b)</w:t>
      </w:r>
      <w:r>
        <w:rPr>
          <w:snapToGrid w:val="0"/>
        </w:rPr>
        <w:tab/>
        <w:t>contravenes a requirement made by an inspector under this Act;</w:t>
      </w:r>
    </w:p>
    <w:p>
      <w:pPr>
        <w:pStyle w:val="Indenta"/>
        <w:rPr>
          <w:snapToGrid w:val="0"/>
        </w:rPr>
      </w:pPr>
      <w:r>
        <w:rPr>
          <w:snapToGrid w:val="0"/>
        </w:rPr>
        <w:tab/>
        <w:t>(c)</w:t>
      </w:r>
      <w:r>
        <w:rPr>
          <w:snapToGrid w:val="0"/>
        </w:rPr>
        <w:tab/>
        <w:t>provides to an inspector an answer or information that is false or misleading in a material particular;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pPr>
      <w:r>
        <w:tab/>
        <w:t>[Section 175D inserted by No. 34 of 1999 s. 46(1).]</w:t>
      </w:r>
    </w:p>
    <w:p>
      <w:pPr>
        <w:pStyle w:val="Heading2"/>
      </w:pPr>
      <w:bookmarkStart w:id="2335" w:name="_Toc87253036"/>
      <w:bookmarkStart w:id="2336" w:name="_Toc119132698"/>
      <w:bookmarkStart w:id="2337" w:name="_Toc119203368"/>
      <w:bookmarkStart w:id="2338" w:name="_Toc119204014"/>
      <w:bookmarkStart w:id="2339" w:name="_Toc119216344"/>
      <w:bookmarkStart w:id="2340" w:name="_Toc119300866"/>
      <w:bookmarkStart w:id="2341" w:name="_Toc119301433"/>
      <w:bookmarkStart w:id="2342" w:name="_Toc119302002"/>
      <w:bookmarkStart w:id="2343" w:name="_Toc119920189"/>
      <w:bookmarkStart w:id="2344" w:name="_Toc122774176"/>
      <w:bookmarkStart w:id="2345" w:name="_Toc122833419"/>
      <w:bookmarkStart w:id="2346" w:name="_Toc122833986"/>
      <w:bookmarkStart w:id="2347" w:name="_Toc86740162"/>
      <w:bookmarkStart w:id="2348" w:name="_Toc88562566"/>
      <w:bookmarkStart w:id="2349" w:name="_Toc88625483"/>
      <w:bookmarkStart w:id="2350" w:name="_Toc91386145"/>
      <w:bookmarkStart w:id="2351" w:name="_Toc92705164"/>
      <w:bookmarkStart w:id="2352" w:name="_Toc93222627"/>
      <w:bookmarkStart w:id="2353" w:name="_Toc95022704"/>
      <w:bookmarkStart w:id="2354" w:name="_Toc95117976"/>
      <w:bookmarkStart w:id="2355" w:name="_Toc96498381"/>
      <w:bookmarkStart w:id="2356" w:name="_Toc96500859"/>
      <w:bookmarkStart w:id="2357" w:name="_Toc101779774"/>
      <w:bookmarkStart w:id="2358" w:name="_Toc103060222"/>
      <w:bookmarkStart w:id="2359" w:name="_Toc105471118"/>
      <w:bookmarkStart w:id="2360" w:name="_Toc105475032"/>
      <w:bookmarkStart w:id="2361" w:name="_Toc107308134"/>
      <w:bookmarkStart w:id="2362" w:name="_Toc109712367"/>
      <w:bookmarkStart w:id="2363" w:name="_Toc109724250"/>
      <w:bookmarkStart w:id="2364" w:name="_Toc110054122"/>
      <w:bookmarkStart w:id="2365" w:name="_Toc110054511"/>
      <w:bookmarkStart w:id="2366" w:name="_Toc110654591"/>
      <w:bookmarkStart w:id="2367" w:name="_Toc110736029"/>
      <w:bookmarkStart w:id="2368" w:name="_Toc110738765"/>
      <w:bookmarkStart w:id="2369" w:name="_Toc115691439"/>
      <w:bookmarkStart w:id="2370" w:name="_Toc115773736"/>
      <w:r>
        <w:rPr>
          <w:rStyle w:val="CharPartNo"/>
        </w:rPr>
        <w:t>Part XA</w:t>
      </w:r>
      <w:r>
        <w:rPr>
          <w:b w:val="0"/>
        </w:rPr>
        <w:t> </w:t>
      </w:r>
      <w:r>
        <w:t>—</w:t>
      </w:r>
      <w:r>
        <w:rPr>
          <w:b w:val="0"/>
        </w:rPr>
        <w:t> </w:t>
      </w:r>
      <w:r>
        <w:rPr>
          <w:rStyle w:val="CharPartText"/>
        </w:rPr>
        <w:t>Infringement notices and modified penalties</w:t>
      </w:r>
      <w:bookmarkEnd w:id="2335"/>
      <w:bookmarkEnd w:id="2336"/>
      <w:bookmarkEnd w:id="2337"/>
      <w:bookmarkEnd w:id="2338"/>
      <w:bookmarkEnd w:id="2339"/>
      <w:bookmarkEnd w:id="2340"/>
      <w:bookmarkEnd w:id="2341"/>
      <w:bookmarkEnd w:id="2342"/>
      <w:bookmarkEnd w:id="2343"/>
      <w:bookmarkEnd w:id="2344"/>
      <w:bookmarkEnd w:id="2345"/>
      <w:bookmarkEnd w:id="2346"/>
    </w:p>
    <w:p>
      <w:pPr>
        <w:pStyle w:val="Footnoteheading"/>
      </w:pPr>
      <w:bookmarkStart w:id="2371" w:name="_Toc87253037"/>
      <w:r>
        <w:tab/>
        <w:t>[Heading inserted by No. 42 of 2004 s. 129.]</w:t>
      </w:r>
    </w:p>
    <w:p>
      <w:pPr>
        <w:pStyle w:val="Heading5"/>
      </w:pPr>
      <w:bookmarkStart w:id="2372" w:name="_Toc122833420"/>
      <w:bookmarkStart w:id="2373" w:name="_Toc122833987"/>
      <w:r>
        <w:rPr>
          <w:rStyle w:val="CharSectno"/>
        </w:rPr>
        <w:t>175E</w:t>
      </w:r>
      <w:r>
        <w:t>.</w:t>
      </w:r>
      <w:r>
        <w:tab/>
        <w:t>Definitions</w:t>
      </w:r>
      <w:bookmarkEnd w:id="2371"/>
      <w:bookmarkEnd w:id="2372"/>
      <w:bookmarkEnd w:id="2373"/>
    </w:p>
    <w:p>
      <w:pPr>
        <w:pStyle w:val="Subsection"/>
      </w:pPr>
      <w:r>
        <w:tab/>
      </w:r>
      <w:r>
        <w:tab/>
        <w:t xml:space="preserve">In sections 175G, 175H, 175I and 175J — </w:t>
      </w:r>
    </w:p>
    <w:p>
      <w:pPr>
        <w:pStyle w:val="Defstart"/>
      </w:pPr>
      <w:r>
        <w:rPr>
          <w:b/>
        </w:rPr>
        <w:tab/>
        <w:t>“</w:t>
      </w:r>
      <w:r>
        <w:rPr>
          <w:rStyle w:val="CharDefText"/>
        </w:rPr>
        <w:t>authorised officer</w:t>
      </w:r>
      <w:r>
        <w:rPr>
          <w:b/>
        </w:rPr>
        <w:t>”</w:t>
      </w:r>
      <w:r>
        <w:t xml:space="preserve"> means a person designated as an authorised officer under section 175F for the purposes of the section in which the term is used;</w:t>
      </w:r>
    </w:p>
    <w:p>
      <w:pPr>
        <w:pStyle w:val="Defstart"/>
      </w:pPr>
      <w:r>
        <w:rPr>
          <w:b/>
        </w:rPr>
        <w:tab/>
        <w:t>“</w:t>
      </w:r>
      <w:r>
        <w:rPr>
          <w:rStyle w:val="CharDefText"/>
        </w:rPr>
        <w:t>prescribed</w:t>
      </w:r>
      <w:r>
        <w:rPr>
          <w:b/>
        </w:rPr>
        <w:t>”</w:t>
      </w:r>
      <w:r>
        <w:t xml:space="preserve"> means prescribed by the regulations.</w:t>
      </w:r>
    </w:p>
    <w:p>
      <w:pPr>
        <w:pStyle w:val="Footnotesection"/>
      </w:pPr>
      <w:r>
        <w:tab/>
        <w:t>[Section 175E inserted by No. 42 of 2004 s. 129.]</w:t>
      </w:r>
    </w:p>
    <w:p>
      <w:pPr>
        <w:pStyle w:val="Heading5"/>
      </w:pPr>
      <w:bookmarkStart w:id="2374" w:name="_Toc87253038"/>
      <w:bookmarkStart w:id="2375" w:name="_Toc122833421"/>
      <w:bookmarkStart w:id="2376" w:name="_Toc122833988"/>
      <w:r>
        <w:rPr>
          <w:rStyle w:val="CharSectno"/>
        </w:rPr>
        <w:t>175F</w:t>
      </w:r>
      <w:r>
        <w:t>.</w:t>
      </w:r>
      <w:r>
        <w:tab/>
        <w:t>Authorised officers</w:t>
      </w:r>
      <w:bookmarkEnd w:id="2374"/>
      <w:bookmarkEnd w:id="2375"/>
      <w:bookmarkEnd w:id="2376"/>
    </w:p>
    <w:p>
      <w:pPr>
        <w:pStyle w:val="Subsection"/>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pPr>
      <w:r>
        <w:tab/>
        <w:t>(2)</w:t>
      </w:r>
      <w:r>
        <w:tab/>
        <w:t>The chief executive officer is to issue a certificate of authorisation to each person designated as an authorised officer under subsection (1).</w:t>
      </w:r>
    </w:p>
    <w:p>
      <w:pPr>
        <w:pStyle w:val="Subsection"/>
      </w:pPr>
      <w:r>
        <w:tab/>
        <w:t>(3)</w:t>
      </w:r>
      <w:r>
        <w:tab/>
        <w:t>An authorised officer is to produce the certificate whenever required to do so by a person in respect of whom the officer has exercised, or is about to exercise, any power under this Part.</w:t>
      </w:r>
    </w:p>
    <w:p>
      <w:pPr>
        <w:pStyle w:val="Subsection"/>
      </w:pPr>
      <w:r>
        <w:tab/>
        <w:t>(4)</w:t>
      </w:r>
      <w:r>
        <w:tab/>
        <w:t>Production of a certificate referred to in subsection (2) in respect of a person is evidence in any court that the person is duly designated under subsection (1).</w:t>
      </w:r>
    </w:p>
    <w:p>
      <w:pPr>
        <w:pStyle w:val="Footnotesection"/>
      </w:pPr>
      <w:bookmarkStart w:id="2377" w:name="_Toc87253039"/>
      <w:r>
        <w:tab/>
        <w:t>[Section 175F inserted by No. 42 of 2004 s. 129.]</w:t>
      </w:r>
    </w:p>
    <w:p>
      <w:pPr>
        <w:pStyle w:val="Heading5"/>
      </w:pPr>
      <w:bookmarkStart w:id="2378" w:name="_Toc122833422"/>
      <w:bookmarkStart w:id="2379" w:name="_Toc122833989"/>
      <w:r>
        <w:rPr>
          <w:rStyle w:val="CharSectno"/>
        </w:rPr>
        <w:t>175G</w:t>
      </w:r>
      <w:r>
        <w:t>.</w:t>
      </w:r>
      <w:r>
        <w:tab/>
        <w:t>Giving of notice</w:t>
      </w:r>
      <w:bookmarkEnd w:id="2377"/>
      <w:bookmarkEnd w:id="2378"/>
      <w:bookmarkEnd w:id="2379"/>
    </w:p>
    <w:p>
      <w:pPr>
        <w:pStyle w:val="Subsection"/>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bookmarkStart w:id="2380" w:name="_Toc87253040"/>
      <w:r>
        <w:tab/>
        <w:t>[Section 175G inserted by No. 42 of 2004 s. 129.]</w:t>
      </w:r>
    </w:p>
    <w:p>
      <w:pPr>
        <w:pStyle w:val="Heading5"/>
      </w:pPr>
      <w:bookmarkStart w:id="2381" w:name="_Toc122833423"/>
      <w:bookmarkStart w:id="2382" w:name="_Toc122833990"/>
      <w:r>
        <w:rPr>
          <w:rStyle w:val="CharSectno"/>
        </w:rPr>
        <w:t>175H</w:t>
      </w:r>
      <w:r>
        <w:t>.</w:t>
      </w:r>
      <w:r>
        <w:tab/>
        <w:t>Content of notice</w:t>
      </w:r>
      <w:bookmarkEnd w:id="2380"/>
      <w:bookmarkEnd w:id="2381"/>
      <w:bookmarkEnd w:id="2382"/>
    </w:p>
    <w:p>
      <w:pPr>
        <w:pStyle w:val="Subsection"/>
      </w:pPr>
      <w:r>
        <w:tab/>
        <w:t>(1)</w:t>
      </w:r>
      <w:r>
        <w:tab/>
        <w:t>An infringement notice is to be in the prescribed form.</w:t>
      </w:r>
    </w:p>
    <w:p>
      <w:pPr>
        <w:pStyle w:val="Subsection"/>
      </w:pPr>
      <w:r>
        <w:tab/>
        <w:t>(2)</w:t>
      </w:r>
      <w:r>
        <w:tab/>
        <w:t xml:space="preserve">An infringement notice is to — </w:t>
      </w:r>
    </w:p>
    <w:p>
      <w:pPr>
        <w:pStyle w:val="Indenta"/>
      </w:pPr>
      <w:r>
        <w:tab/>
        <w:t>(a)</w:t>
      </w:r>
      <w:r>
        <w:tab/>
        <w:t>contain a description of the alleged offence;</w:t>
      </w:r>
    </w:p>
    <w:p>
      <w:pPr>
        <w:pStyle w:val="Indenta"/>
      </w:pPr>
      <w:r>
        <w:tab/>
        <w:t>(b)</w:t>
      </w:r>
      <w:r>
        <w:tab/>
        <w:t>specify the amount of the modified penalty for the offence;</w:t>
      </w:r>
    </w:p>
    <w:p>
      <w:pPr>
        <w:pStyle w:val="Indenta"/>
      </w:pPr>
      <w:r>
        <w:tab/>
        <w:t>(c)</w:t>
      </w:r>
      <w:r>
        <w:tab/>
        <w:t>advise that if the alleged offender does not wish to have a complaint of the alleged offence heard and determined by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bookmarkStart w:id="2383" w:name="_Toc87253041"/>
      <w:r>
        <w:tab/>
        <w:t>[Section 175H inserted by No. 42 of 2004 s. 129.]</w:t>
      </w:r>
    </w:p>
    <w:p>
      <w:pPr>
        <w:pStyle w:val="Heading5"/>
      </w:pPr>
      <w:bookmarkStart w:id="2384" w:name="_Toc122833424"/>
      <w:bookmarkStart w:id="2385" w:name="_Toc122833991"/>
      <w:r>
        <w:rPr>
          <w:rStyle w:val="CharSectno"/>
        </w:rPr>
        <w:t>175I</w:t>
      </w:r>
      <w:r>
        <w:t>.</w:t>
      </w:r>
      <w:r>
        <w:tab/>
        <w:t>Extension of time</w:t>
      </w:r>
      <w:bookmarkEnd w:id="2383"/>
      <w:bookmarkEnd w:id="2384"/>
      <w:bookmarkEnd w:id="2385"/>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bookmarkStart w:id="2386" w:name="_Toc87253042"/>
      <w:r>
        <w:tab/>
        <w:t>[Section 175I inserted by No. 42 of 2004 s. 129.]</w:t>
      </w:r>
    </w:p>
    <w:p>
      <w:pPr>
        <w:pStyle w:val="Heading5"/>
      </w:pPr>
      <w:bookmarkStart w:id="2387" w:name="_Toc122833425"/>
      <w:bookmarkStart w:id="2388" w:name="_Toc122833992"/>
      <w:r>
        <w:rPr>
          <w:rStyle w:val="CharSectno"/>
        </w:rPr>
        <w:t>175J</w:t>
      </w:r>
      <w:r>
        <w:t>.</w:t>
      </w:r>
      <w:r>
        <w:tab/>
        <w:t>Withdrawal of notice</w:t>
      </w:r>
      <w:bookmarkEnd w:id="2386"/>
      <w:bookmarkEnd w:id="2387"/>
      <w:bookmarkEnd w:id="2388"/>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bookmarkStart w:id="2389" w:name="_Toc87253043"/>
      <w:r>
        <w:tab/>
        <w:t>[Section 175J inserted by No. 42 of 2004 s. 129.]</w:t>
      </w:r>
    </w:p>
    <w:p>
      <w:pPr>
        <w:pStyle w:val="Heading5"/>
      </w:pPr>
      <w:bookmarkStart w:id="2390" w:name="_Toc122833426"/>
      <w:bookmarkStart w:id="2391" w:name="_Toc122833993"/>
      <w:r>
        <w:rPr>
          <w:rStyle w:val="CharSectno"/>
        </w:rPr>
        <w:t>175K</w:t>
      </w:r>
      <w:r>
        <w:t>.</w:t>
      </w:r>
      <w:r>
        <w:tab/>
        <w:t>Benefit of paying modified penalty</w:t>
      </w:r>
      <w:bookmarkEnd w:id="2389"/>
      <w:bookmarkEnd w:id="2390"/>
      <w:bookmarkEnd w:id="2391"/>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bookmarkStart w:id="2392" w:name="_Toc87253044"/>
      <w:r>
        <w:tab/>
        <w:t>[Section 175K inserted by No. 42 of 2004 s. 129.]</w:t>
      </w:r>
    </w:p>
    <w:p>
      <w:pPr>
        <w:pStyle w:val="Heading5"/>
      </w:pPr>
      <w:bookmarkStart w:id="2393" w:name="_Toc122833427"/>
      <w:bookmarkStart w:id="2394" w:name="_Toc122833994"/>
      <w:r>
        <w:rPr>
          <w:rStyle w:val="CharSectno"/>
        </w:rPr>
        <w:t>175L</w:t>
      </w:r>
      <w:r>
        <w:t>.</w:t>
      </w:r>
      <w:r>
        <w:tab/>
        <w:t>No admission implied by payment</w:t>
      </w:r>
      <w:bookmarkEnd w:id="2392"/>
      <w:bookmarkEnd w:id="2393"/>
      <w:bookmarkEnd w:id="2394"/>
    </w:p>
    <w:p>
      <w:pPr>
        <w:pStyle w:val="Subsection"/>
      </w:pPr>
      <w:r>
        <w:tab/>
      </w:r>
      <w:r>
        <w:tab/>
        <w:t>Payment of a modified penalty is not to be regarded as an admission for the purposes of any proceedings, whether civil or criminal.</w:t>
      </w:r>
    </w:p>
    <w:p>
      <w:pPr>
        <w:pStyle w:val="Footnotesection"/>
      </w:pPr>
      <w:bookmarkStart w:id="2395" w:name="_Toc87253045"/>
      <w:r>
        <w:tab/>
        <w:t>[Section 175L inserted by No. 42 of 2004 s. 129.]</w:t>
      </w:r>
    </w:p>
    <w:p>
      <w:pPr>
        <w:pStyle w:val="Heading5"/>
      </w:pPr>
      <w:bookmarkStart w:id="2396" w:name="_Toc122833428"/>
      <w:bookmarkStart w:id="2397" w:name="_Toc122833995"/>
      <w:r>
        <w:rPr>
          <w:rStyle w:val="CharSectno"/>
        </w:rPr>
        <w:t>175M</w:t>
      </w:r>
      <w:r>
        <w:t>.</w:t>
      </w:r>
      <w:r>
        <w:tab/>
        <w:t>Application of penalties collected</w:t>
      </w:r>
      <w:bookmarkEnd w:id="2395"/>
      <w:bookmarkEnd w:id="2396"/>
      <w:bookmarkEnd w:id="2397"/>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by No. 42 of 2004 s. 129.]</w:t>
      </w:r>
    </w:p>
    <w:p>
      <w:pPr>
        <w:pStyle w:val="Heading2"/>
      </w:pPr>
      <w:bookmarkStart w:id="2398" w:name="_Toc87253047"/>
      <w:bookmarkStart w:id="2399" w:name="_Toc119132708"/>
      <w:bookmarkStart w:id="2400" w:name="_Toc119203378"/>
      <w:bookmarkStart w:id="2401" w:name="_Toc119204024"/>
      <w:bookmarkStart w:id="2402" w:name="_Toc119216354"/>
      <w:bookmarkStart w:id="2403" w:name="_Toc119300876"/>
      <w:bookmarkStart w:id="2404" w:name="_Toc119301443"/>
      <w:bookmarkStart w:id="2405" w:name="_Toc119302012"/>
      <w:bookmarkStart w:id="2406" w:name="_Toc119920199"/>
      <w:bookmarkStart w:id="2407" w:name="_Toc122774186"/>
      <w:bookmarkStart w:id="2408" w:name="_Toc122833429"/>
      <w:bookmarkStart w:id="2409" w:name="_Toc122833996"/>
      <w:bookmarkStart w:id="2410" w:name="_Toc86740164"/>
      <w:bookmarkStart w:id="2411" w:name="_Toc88562568"/>
      <w:bookmarkStart w:id="2412" w:name="_Toc88625485"/>
      <w:bookmarkStart w:id="2413" w:name="_Toc91386147"/>
      <w:bookmarkStart w:id="2414" w:name="_Toc92705166"/>
      <w:bookmarkStart w:id="2415" w:name="_Toc93222629"/>
      <w:bookmarkStart w:id="2416" w:name="_Toc95022706"/>
      <w:bookmarkStart w:id="2417" w:name="_Toc95117978"/>
      <w:bookmarkStart w:id="2418" w:name="_Toc96498383"/>
      <w:bookmarkStart w:id="2419" w:name="_Toc96500861"/>
      <w:bookmarkStart w:id="2420" w:name="_Toc101779776"/>
      <w:bookmarkStart w:id="2421" w:name="_Toc103060224"/>
      <w:bookmarkStart w:id="2422" w:name="_Toc105471120"/>
      <w:bookmarkStart w:id="2423" w:name="_Toc105475034"/>
      <w:bookmarkStart w:id="2424" w:name="_Toc107308136"/>
      <w:bookmarkStart w:id="2425" w:name="_Toc109712369"/>
      <w:bookmarkStart w:id="2426" w:name="_Toc109724252"/>
      <w:bookmarkStart w:id="2427" w:name="_Toc110054124"/>
      <w:bookmarkStart w:id="2428" w:name="_Toc110054513"/>
      <w:bookmarkStart w:id="2429" w:name="_Toc110654593"/>
      <w:bookmarkStart w:id="2430" w:name="_Toc110736031"/>
      <w:bookmarkStart w:id="2431" w:name="_Toc110738767"/>
      <w:bookmarkStart w:id="2432" w:name="_Toc115691441"/>
      <w:bookmarkStart w:id="2433" w:name="_Toc115773738"/>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r>
        <w:rPr>
          <w:rStyle w:val="CharPartNo"/>
        </w:rPr>
        <w:t>Part XI</w:t>
      </w:r>
      <w:r>
        <w:rPr>
          <w:b w:val="0"/>
        </w:rPr>
        <w:t> </w:t>
      </w:r>
      <w:r>
        <w:t>—</w:t>
      </w:r>
      <w:r>
        <w:rPr>
          <w:b w:val="0"/>
        </w:rPr>
        <w:t> </w:t>
      </w:r>
      <w:r>
        <w:rPr>
          <w:rStyle w:val="CharPartText"/>
        </w:rPr>
        <w:t>Dispute resolution</w:t>
      </w:r>
      <w:bookmarkEnd w:id="2398"/>
      <w:bookmarkEnd w:id="2399"/>
      <w:bookmarkEnd w:id="2400"/>
      <w:bookmarkEnd w:id="2401"/>
      <w:bookmarkEnd w:id="2402"/>
      <w:bookmarkEnd w:id="2403"/>
      <w:bookmarkEnd w:id="2404"/>
      <w:bookmarkEnd w:id="2405"/>
      <w:bookmarkEnd w:id="2406"/>
      <w:bookmarkEnd w:id="2407"/>
      <w:bookmarkEnd w:id="2408"/>
      <w:bookmarkEnd w:id="2409"/>
    </w:p>
    <w:p>
      <w:pPr>
        <w:pStyle w:val="Footnoteheading"/>
      </w:pPr>
      <w:bookmarkStart w:id="2434" w:name="_Toc87253048"/>
      <w:r>
        <w:tab/>
        <w:t>[Heading inserted by No. 42 of 2004 s. 130.]</w:t>
      </w:r>
    </w:p>
    <w:p>
      <w:pPr>
        <w:pStyle w:val="Heading3"/>
      </w:pPr>
      <w:bookmarkStart w:id="2435" w:name="_Toc119132709"/>
      <w:bookmarkStart w:id="2436" w:name="_Toc119203379"/>
      <w:bookmarkStart w:id="2437" w:name="_Toc119204025"/>
      <w:bookmarkStart w:id="2438" w:name="_Toc119216355"/>
      <w:bookmarkStart w:id="2439" w:name="_Toc119300877"/>
      <w:bookmarkStart w:id="2440" w:name="_Toc119301444"/>
      <w:bookmarkStart w:id="2441" w:name="_Toc119302013"/>
      <w:bookmarkStart w:id="2442" w:name="_Toc119920200"/>
      <w:bookmarkStart w:id="2443" w:name="_Toc122774187"/>
      <w:bookmarkStart w:id="2444" w:name="_Toc122833430"/>
      <w:bookmarkStart w:id="2445" w:name="_Toc122833997"/>
      <w:r>
        <w:rPr>
          <w:rStyle w:val="CharDivNo"/>
        </w:rPr>
        <w:t>Division 1</w:t>
      </w:r>
      <w:r>
        <w:t> — </w:t>
      </w:r>
      <w:r>
        <w:rPr>
          <w:rStyle w:val="CharDivText"/>
        </w:rPr>
        <w:t>General</w:t>
      </w:r>
      <w:bookmarkEnd w:id="2434"/>
      <w:bookmarkEnd w:id="2435"/>
      <w:bookmarkEnd w:id="2436"/>
      <w:bookmarkEnd w:id="2437"/>
      <w:bookmarkEnd w:id="2438"/>
      <w:bookmarkEnd w:id="2439"/>
      <w:bookmarkEnd w:id="2440"/>
      <w:bookmarkEnd w:id="2441"/>
      <w:bookmarkEnd w:id="2442"/>
      <w:bookmarkEnd w:id="2443"/>
      <w:bookmarkEnd w:id="2444"/>
      <w:bookmarkEnd w:id="2445"/>
    </w:p>
    <w:p>
      <w:pPr>
        <w:pStyle w:val="Footnoteheading"/>
      </w:pPr>
      <w:bookmarkStart w:id="2446" w:name="_Toc87253049"/>
      <w:r>
        <w:tab/>
        <w:t>[Heading inserted by No. 42 of 2004 s. 130.]</w:t>
      </w:r>
    </w:p>
    <w:p>
      <w:pPr>
        <w:pStyle w:val="Heading5"/>
      </w:pPr>
      <w:bookmarkStart w:id="2447" w:name="_Toc122833431"/>
      <w:bookmarkStart w:id="2448" w:name="_Toc122833998"/>
      <w:r>
        <w:rPr>
          <w:rStyle w:val="CharSectno"/>
        </w:rPr>
        <w:t>176</w:t>
      </w:r>
      <w:r>
        <w:t>.</w:t>
      </w:r>
      <w:r>
        <w:tab/>
        <w:t>Exclusive jurisdiction</w:t>
      </w:r>
      <w:bookmarkEnd w:id="2446"/>
      <w:bookmarkEnd w:id="2447"/>
      <w:bookmarkEnd w:id="2448"/>
    </w:p>
    <w:p>
      <w:pPr>
        <w:pStyle w:val="Subsection"/>
      </w:pPr>
      <w:r>
        <w:tab/>
        <w:t>(1)</w:t>
      </w:r>
      <w:r>
        <w:tab/>
        <w:t xml:space="preserve">In this Part — </w:t>
      </w:r>
    </w:p>
    <w:p>
      <w:pPr>
        <w:pStyle w:val="Defstart"/>
      </w:pPr>
      <w:r>
        <w:rPr>
          <w:b/>
        </w:rPr>
        <w:tab/>
        <w:t>“</w:t>
      </w:r>
      <w:r>
        <w:rPr>
          <w:rStyle w:val="CharDefText"/>
        </w:rPr>
        <w:t>dispute</w:t>
      </w:r>
      <w:r>
        <w:rPr>
          <w:b/>
        </w:rPr>
        <w:t>”</w:t>
      </w:r>
      <w:r>
        <w:t xml:space="preserve"> means —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pPr>
      <w:r>
        <w:tab/>
        <w:t>(2)</w:t>
      </w:r>
      <w:r>
        <w:tab/>
        <w:t>A proceeding for the determination of a dispute is not capable of being brought other than under this Part or Part XII.</w:t>
      </w:r>
    </w:p>
    <w:p>
      <w:pPr>
        <w:pStyle w:val="Subsection"/>
      </w:pPr>
      <w:r>
        <w:tab/>
        <w:t>(3)</w:t>
      </w:r>
      <w:r>
        <w:tab/>
        <w:t>Subject to this Act, arbitrators have exclusive jurisdiction to examine, hear and determine all disputes.</w:t>
      </w:r>
    </w:p>
    <w:p>
      <w:pPr>
        <w:pStyle w:val="Footnotesection"/>
      </w:pPr>
      <w:r>
        <w:tab/>
        <w:t>[Section 176 inserted by No. 42 of 2004 s. 130.]</w:t>
      </w:r>
    </w:p>
    <w:p>
      <w:pPr>
        <w:pStyle w:val="Heading5"/>
      </w:pPr>
      <w:bookmarkStart w:id="2449" w:name="_Toc87253050"/>
      <w:bookmarkStart w:id="2450" w:name="_Toc122833432"/>
      <w:bookmarkStart w:id="2451" w:name="_Toc122833999"/>
      <w:r>
        <w:rPr>
          <w:rStyle w:val="CharSectno"/>
        </w:rPr>
        <w:t>177</w:t>
      </w:r>
      <w:r>
        <w:t>.</w:t>
      </w:r>
      <w:r>
        <w:tab/>
        <w:t>Evidence of communication between worker and injury management officer</w:t>
      </w:r>
      <w:bookmarkEnd w:id="2449"/>
      <w:bookmarkEnd w:id="2450"/>
      <w:bookmarkEnd w:id="2451"/>
    </w:p>
    <w:p>
      <w:pPr>
        <w:pStyle w:val="Subsection"/>
        <w:rPr>
          <w:snapToGrid w:val="0"/>
        </w:rPr>
      </w:pPr>
      <w:r>
        <w:rPr>
          <w:snapToGrid w:val="0"/>
        </w:rPr>
        <w:tab/>
      </w:r>
      <w:r>
        <w:rPr>
          <w:snapToGrid w:val="0"/>
        </w:rPr>
        <w:tab/>
        <w:t>Evidence of any communication between a worker and a person employed by WorkCover WA and acting in the capacity of an injury management officer is not admissible in a proceeding before an arbitrator unless, during the course of the proceeding, the worker consents to the evidence being so admitted.</w:t>
      </w:r>
    </w:p>
    <w:p>
      <w:pPr>
        <w:pStyle w:val="Footnotesection"/>
      </w:pPr>
      <w:bookmarkStart w:id="2452" w:name="_Toc87253051"/>
      <w:r>
        <w:tab/>
        <w:t>[Section 177 inserted by No. 42 of 2004 s. 130.]</w:t>
      </w:r>
    </w:p>
    <w:p>
      <w:pPr>
        <w:pStyle w:val="Heading3"/>
      </w:pPr>
      <w:bookmarkStart w:id="2453" w:name="_Toc119132712"/>
      <w:bookmarkStart w:id="2454" w:name="_Toc119203382"/>
      <w:bookmarkStart w:id="2455" w:name="_Toc119204028"/>
      <w:bookmarkStart w:id="2456" w:name="_Toc119216358"/>
      <w:bookmarkStart w:id="2457" w:name="_Toc119300880"/>
      <w:bookmarkStart w:id="2458" w:name="_Toc119301447"/>
      <w:bookmarkStart w:id="2459" w:name="_Toc119302016"/>
      <w:bookmarkStart w:id="2460" w:name="_Toc119920203"/>
      <w:bookmarkStart w:id="2461" w:name="_Toc122774190"/>
      <w:bookmarkStart w:id="2462" w:name="_Toc122833433"/>
      <w:bookmarkStart w:id="2463" w:name="_Toc122834000"/>
      <w:r>
        <w:rPr>
          <w:rStyle w:val="CharDivNo"/>
        </w:rPr>
        <w:t>Division 2</w:t>
      </w:r>
      <w:r>
        <w:t> — </w:t>
      </w:r>
      <w:r>
        <w:rPr>
          <w:rStyle w:val="CharDivText"/>
        </w:rPr>
        <w:t>Requirements before commencing proceeding</w:t>
      </w:r>
      <w:bookmarkEnd w:id="2452"/>
      <w:bookmarkEnd w:id="2453"/>
      <w:bookmarkEnd w:id="2454"/>
      <w:bookmarkEnd w:id="2455"/>
      <w:bookmarkEnd w:id="2456"/>
      <w:bookmarkEnd w:id="2457"/>
      <w:bookmarkEnd w:id="2458"/>
      <w:bookmarkEnd w:id="2459"/>
      <w:bookmarkEnd w:id="2460"/>
      <w:bookmarkEnd w:id="2461"/>
      <w:bookmarkEnd w:id="2462"/>
      <w:bookmarkEnd w:id="2463"/>
    </w:p>
    <w:p>
      <w:pPr>
        <w:pStyle w:val="Footnoteheading"/>
      </w:pPr>
      <w:bookmarkStart w:id="2464" w:name="_Toc87253052"/>
      <w:r>
        <w:tab/>
        <w:t>[Heading inserted by No. 42 of 2004 s. 130.]</w:t>
      </w:r>
    </w:p>
    <w:p>
      <w:pPr>
        <w:pStyle w:val="Heading5"/>
      </w:pPr>
      <w:bookmarkStart w:id="2465" w:name="_Toc122833434"/>
      <w:bookmarkStart w:id="2466" w:name="_Toc122834001"/>
      <w:r>
        <w:rPr>
          <w:rStyle w:val="CharSectno"/>
        </w:rPr>
        <w:t>178</w:t>
      </w:r>
      <w:r>
        <w:t>.</w:t>
      </w:r>
      <w:r>
        <w:tab/>
        <w:t>Notice of injury and claim</w:t>
      </w:r>
      <w:bookmarkEnd w:id="2464"/>
      <w:bookmarkEnd w:id="2465"/>
      <w:bookmarkEnd w:id="2466"/>
    </w:p>
    <w:p>
      <w:pPr>
        <w:pStyle w:val="Subsection"/>
      </w:pPr>
      <w:r>
        <w:tab/>
        <w:t>(1)</w:t>
      </w:r>
      <w:r>
        <w:tab/>
        <w:t xml:space="preserve">Proceedings for the recovery under this Act of compensation for an injury are not maintainable unless —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 xml:space="preserve">the claim for compensation with respect to such injury has been made within 12 months from the occurrence of the injury or, in case of death, within 12 months from the time of death, </w:t>
      </w:r>
    </w:p>
    <w:p>
      <w:pPr>
        <w:pStyle w:val="Subsection"/>
      </w:pPr>
      <w:r>
        <w:tab/>
      </w:r>
      <w:r>
        <w:tab/>
        <w:t xml:space="preserve">but —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w:t>
      </w:r>
      <w:r>
        <w:tab/>
        <w:t xml:space="preserve">Notice in respect of an injury under this Act is to state — </w:t>
      </w:r>
    </w:p>
    <w:p>
      <w:pPr>
        <w:pStyle w:val="Indenta"/>
      </w:pPr>
      <w:r>
        <w:tab/>
        <w:t>(a)</w:t>
      </w:r>
      <w:r>
        <w:tab/>
        <w:t>the name and address of the person injured;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bookmarkStart w:id="2467" w:name="_Toc87253053"/>
      <w:r>
        <w:tab/>
        <w:t>[Section 178 inserted by No. 42 of 2004 s. 130.]</w:t>
      </w:r>
    </w:p>
    <w:p>
      <w:pPr>
        <w:pStyle w:val="Heading5"/>
      </w:pPr>
      <w:bookmarkStart w:id="2468" w:name="_Toc122833435"/>
      <w:bookmarkStart w:id="2469" w:name="_Toc122834002"/>
      <w:r>
        <w:rPr>
          <w:rStyle w:val="CharSectno"/>
        </w:rPr>
        <w:t>179</w:t>
      </w:r>
      <w:r>
        <w:t>.</w:t>
      </w:r>
      <w:r>
        <w:tab/>
        <w:t>Service of notice of injury</w:t>
      </w:r>
      <w:bookmarkEnd w:id="2467"/>
      <w:bookmarkEnd w:id="2468"/>
      <w:bookmarkEnd w:id="2469"/>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 xml:space="preserve">When the employer is — </w:t>
      </w:r>
    </w:p>
    <w:p>
      <w:pPr>
        <w:pStyle w:val="Indenta"/>
      </w:pPr>
      <w:r>
        <w:tab/>
        <w:t>(a)</w:t>
      </w:r>
      <w:r>
        <w:tab/>
        <w:t>the State, notice in respect of an injury under this Act is to be served on the State Solicitor, at Perth, or the manager of the work on which the worker was employed at the time the injury occurred;</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w:t>
      </w:r>
    </w:p>
    <w:p>
      <w:pPr>
        <w:pStyle w:val="Indenta"/>
        <w:rPr>
          <w:snapToGrid w:val="0"/>
        </w:rPr>
      </w:pPr>
      <w:r>
        <w:rPr>
          <w:snapToGrid w:val="0"/>
        </w:rPr>
        <w:tab/>
        <w:t>(c)</w:t>
      </w:r>
      <w:r>
        <w:rPr>
          <w:snapToGrid w:val="0"/>
        </w:rPr>
        <w:tab/>
        <w:t>the President of the Legislative Council, notice in respect of an injury under this Act is to be served —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t>(d)</w:t>
      </w:r>
      <w:r>
        <w:rPr>
          <w:snapToGrid w:val="0"/>
        </w:rPr>
        <w:tab/>
        <w:t>the Speaker of the Legislative Assembly, notice in respect of an injury under this Act is to be served —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 </w:t>
      </w:r>
    </w:p>
    <w:p>
      <w:pPr>
        <w:pStyle w:val="Indenti"/>
        <w:rPr>
          <w:snapToGrid w:val="0"/>
        </w:rPr>
      </w:pPr>
      <w:r>
        <w:rPr>
          <w:snapToGrid w:val="0"/>
        </w:rPr>
        <w:tab/>
        <w:t>(i)</w:t>
      </w:r>
      <w:r>
        <w:rPr>
          <w:snapToGrid w:val="0"/>
        </w:rPr>
        <w:tab/>
        <w:t>the Department of the Parliamentary Reporting Staff, on the Chief Hansard Reporter;</w:t>
      </w:r>
    </w:p>
    <w:p>
      <w:pPr>
        <w:pStyle w:val="Indenti"/>
        <w:rPr>
          <w:snapToGrid w:val="0"/>
        </w:rPr>
      </w:pPr>
      <w:r>
        <w:rPr>
          <w:snapToGrid w:val="0"/>
        </w:rPr>
        <w:tab/>
        <w:t>(ii)</w:t>
      </w:r>
      <w:r>
        <w:rPr>
          <w:snapToGrid w:val="0"/>
        </w:rPr>
        <w:tab/>
        <w:t xml:space="preserve">the Department of the Parliamentary Library, on the Parliamentary Librarian; or </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bookmarkStart w:id="2470" w:name="_Toc87253054"/>
      <w:r>
        <w:tab/>
        <w:t>[Section 179 inserted by No. 42 of 2004 s. 130.]</w:t>
      </w:r>
    </w:p>
    <w:p>
      <w:pPr>
        <w:pStyle w:val="Heading5"/>
      </w:pPr>
      <w:bookmarkStart w:id="2471" w:name="_Toc122833436"/>
      <w:bookmarkStart w:id="2472" w:name="_Toc122834003"/>
      <w:r>
        <w:rPr>
          <w:rStyle w:val="CharSectno"/>
        </w:rPr>
        <w:t>180</w:t>
      </w:r>
      <w:r>
        <w:t>.</w:t>
      </w:r>
      <w:r>
        <w:tab/>
        <w:t>Provision of certain documents before commencement of proceeding</w:t>
      </w:r>
      <w:bookmarkEnd w:id="2470"/>
      <w:bookmarkEnd w:id="2471"/>
      <w:bookmarkEnd w:id="2472"/>
    </w:p>
    <w:p>
      <w:pPr>
        <w:pStyle w:val="Subsection"/>
      </w:pPr>
      <w:r>
        <w:tab/>
        <w:t>(1)</w:t>
      </w:r>
      <w:r>
        <w:tab/>
        <w:t xml:space="preserve">In this section — </w:t>
      </w:r>
    </w:p>
    <w:p>
      <w:pPr>
        <w:pStyle w:val="Defstart"/>
      </w:pPr>
      <w:r>
        <w:rPr>
          <w:b/>
        </w:rPr>
        <w:tab/>
        <w:t>“</w:t>
      </w:r>
      <w:r>
        <w:rPr>
          <w:rStyle w:val="CharDefText"/>
        </w:rPr>
        <w:t>injury</w:t>
      </w:r>
      <w:r>
        <w:rPr>
          <w:b/>
        </w:rPr>
        <w:t>”</w:t>
      </w:r>
      <w:r>
        <w:t xml:space="preserve"> includes alleged injury;</w:t>
      </w:r>
    </w:p>
    <w:p>
      <w:pPr>
        <w:pStyle w:val="Defstart"/>
      </w:pPr>
      <w:r>
        <w:rPr>
          <w:b/>
        </w:rPr>
        <w:tab/>
        <w:t>“</w:t>
      </w:r>
      <w:r>
        <w:rPr>
          <w:rStyle w:val="CharDefText"/>
        </w:rPr>
        <w:t>relevant document</w:t>
      </w:r>
      <w:r>
        <w:rPr>
          <w:b/>
        </w:rPr>
        <w:t>”</w:t>
      </w:r>
      <w:r>
        <w:t xml:space="preserve"> means any of the following —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 xml:space="preserve">If a worker has made a claim for compensation with respect to noise induced hearing loss in accordance with section 178(1)(b), the worker’s employer or that employer’s insurer may request WorkCover WA to provide the person making the request with a copy of any documents in the possession of or under the control of WorkCover WA that — </w:t>
      </w:r>
    </w:p>
    <w:p>
      <w:pPr>
        <w:pStyle w:val="Indenta"/>
      </w:pPr>
      <w:r>
        <w:tab/>
        <w:t>(a)</w:t>
      </w:r>
      <w:r>
        <w:tab/>
        <w:t>are of a kind described in paragraph (d), (e) or (f) of the definition of “relevant document”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DRD Rules and is to be complied with within the time prescribed by the DRD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bookmarkStart w:id="2473" w:name="_Toc87253055"/>
      <w:r>
        <w:tab/>
        <w:t>[Section 180 inserted by No. 42 of 2004 s. 130; amended by No. 16 of 2005 s. 22.]</w:t>
      </w:r>
    </w:p>
    <w:p>
      <w:pPr>
        <w:pStyle w:val="Heading3"/>
      </w:pPr>
      <w:bookmarkStart w:id="2474" w:name="_Toc119132716"/>
      <w:bookmarkStart w:id="2475" w:name="_Toc119203386"/>
      <w:bookmarkStart w:id="2476" w:name="_Toc119204032"/>
      <w:bookmarkStart w:id="2477" w:name="_Toc119216362"/>
      <w:bookmarkStart w:id="2478" w:name="_Toc119300884"/>
      <w:bookmarkStart w:id="2479" w:name="_Toc119301451"/>
      <w:bookmarkStart w:id="2480" w:name="_Toc119302020"/>
      <w:bookmarkStart w:id="2481" w:name="_Toc119920207"/>
      <w:bookmarkStart w:id="2482" w:name="_Toc122774194"/>
      <w:bookmarkStart w:id="2483" w:name="_Toc122833437"/>
      <w:bookmarkStart w:id="2484" w:name="_Toc122834004"/>
      <w:r>
        <w:rPr>
          <w:rStyle w:val="CharDivNo"/>
        </w:rPr>
        <w:t>Division 3</w:t>
      </w:r>
      <w:r>
        <w:t> — </w:t>
      </w:r>
      <w:r>
        <w:rPr>
          <w:rStyle w:val="CharDivText"/>
        </w:rPr>
        <w:t>Proceedings before an arbitrator</w:t>
      </w:r>
      <w:bookmarkEnd w:id="2473"/>
      <w:bookmarkEnd w:id="2474"/>
      <w:bookmarkEnd w:id="2475"/>
      <w:bookmarkEnd w:id="2476"/>
      <w:bookmarkEnd w:id="2477"/>
      <w:bookmarkEnd w:id="2478"/>
      <w:bookmarkEnd w:id="2479"/>
      <w:bookmarkEnd w:id="2480"/>
      <w:bookmarkEnd w:id="2481"/>
      <w:bookmarkEnd w:id="2482"/>
      <w:bookmarkEnd w:id="2483"/>
      <w:bookmarkEnd w:id="2484"/>
    </w:p>
    <w:p>
      <w:pPr>
        <w:pStyle w:val="Footnoteheading"/>
      </w:pPr>
      <w:bookmarkStart w:id="2485" w:name="_Toc87253056"/>
      <w:r>
        <w:tab/>
        <w:t>[Heading inserted by No. 42 of 2004 s. 130.]</w:t>
      </w:r>
    </w:p>
    <w:p>
      <w:pPr>
        <w:pStyle w:val="Heading5"/>
      </w:pPr>
      <w:bookmarkStart w:id="2486" w:name="_Toc122833438"/>
      <w:bookmarkStart w:id="2487" w:name="_Toc122834005"/>
      <w:r>
        <w:rPr>
          <w:rStyle w:val="CharSectno"/>
        </w:rPr>
        <w:t>181</w:t>
      </w:r>
      <w:r>
        <w:t>.</w:t>
      </w:r>
      <w:r>
        <w:tab/>
        <w:t>Arbitrators to determine disputes</w:t>
      </w:r>
      <w:bookmarkEnd w:id="2485"/>
      <w:bookmarkEnd w:id="2486"/>
      <w:bookmarkEnd w:id="2487"/>
    </w:p>
    <w:p>
      <w:pPr>
        <w:pStyle w:val="Subsection"/>
      </w:pPr>
      <w:r>
        <w:tab/>
        <w:t>(1)</w:t>
      </w:r>
      <w:r>
        <w:tab/>
        <w:t>A party to a dispute may apply to the Director in accordance with this Act and the DRD Rules for determination of the dispute by an arbitrator.</w:t>
      </w:r>
    </w:p>
    <w:p>
      <w:pPr>
        <w:pStyle w:val="Subsection"/>
      </w:pPr>
      <w:r>
        <w:tab/>
        <w:t>(2)</w:t>
      </w:r>
      <w:r>
        <w:tab/>
        <w:t>A proceeding before an arbitrator commences when the application is accepted by the Director.</w:t>
      </w:r>
    </w:p>
    <w:p>
      <w:pPr>
        <w:pStyle w:val="Footnotesection"/>
      </w:pPr>
      <w:bookmarkStart w:id="2488" w:name="_Toc87253057"/>
      <w:r>
        <w:tab/>
        <w:t>[Section 181 inserted by No. 42 of 2004 s. 130.]</w:t>
      </w:r>
    </w:p>
    <w:p>
      <w:pPr>
        <w:pStyle w:val="Heading5"/>
      </w:pPr>
      <w:bookmarkStart w:id="2489" w:name="_Toc122833439"/>
      <w:bookmarkStart w:id="2490" w:name="_Toc122834006"/>
      <w:r>
        <w:rPr>
          <w:rStyle w:val="CharSectno"/>
        </w:rPr>
        <w:t>182</w:t>
      </w:r>
      <w:r>
        <w:t>.</w:t>
      </w:r>
      <w:r>
        <w:tab/>
        <w:t>Who is to be given a copy of an application</w:t>
      </w:r>
      <w:bookmarkEnd w:id="2488"/>
      <w:bookmarkEnd w:id="2489"/>
      <w:bookmarkEnd w:id="2490"/>
    </w:p>
    <w:p>
      <w:pPr>
        <w:pStyle w:val="Subsection"/>
      </w:pPr>
      <w:r>
        <w:tab/>
        <w:t>(1)</w:t>
      </w:r>
      <w:r>
        <w:tab/>
        <w:t xml:space="preserve">When an application is accepted by the Director the applicant is to give a copy of the application to — </w:t>
      </w:r>
    </w:p>
    <w:p>
      <w:pPr>
        <w:pStyle w:val="Indenta"/>
      </w:pPr>
      <w:r>
        <w:tab/>
        <w:t>(a)</w:t>
      </w:r>
      <w:r>
        <w:tab/>
        <w:t>each other party;</w:t>
      </w:r>
    </w:p>
    <w:p>
      <w:pPr>
        <w:pStyle w:val="Indenta"/>
      </w:pPr>
      <w:r>
        <w:tab/>
        <w:t>(b)</w:t>
      </w:r>
      <w:r>
        <w:tab/>
        <w:t>any other person entitled under this Act to a copy of, or notice of, the application; and</w:t>
      </w:r>
    </w:p>
    <w:p>
      <w:pPr>
        <w:pStyle w:val="Indenta"/>
      </w:pPr>
      <w:r>
        <w:tab/>
        <w:t>(c)</w:t>
      </w:r>
      <w:r>
        <w:tab/>
        <w:t>any person to whom the applicant is directed by the Director to give a copy of the application.</w:t>
      </w:r>
    </w:p>
    <w:p>
      <w:pPr>
        <w:pStyle w:val="Subsection"/>
      </w:pPr>
      <w:r>
        <w:tab/>
        <w:t>(2)</w:t>
      </w:r>
      <w:r>
        <w:tab/>
        <w:t xml:space="preserve">Subsection (1) does not require the applicant to give a copy of the application to a person mentioned in subsection (1) (a </w:t>
      </w:r>
      <w:r>
        <w:rPr>
          <w:b/>
        </w:rPr>
        <w:t>“</w:t>
      </w:r>
      <w:r>
        <w:rPr>
          <w:rStyle w:val="CharDefText"/>
        </w:rPr>
        <w:t>notifiable person</w:t>
      </w:r>
      <w:r>
        <w:rPr>
          <w:b/>
        </w:rPr>
        <w:t>”</w:t>
      </w:r>
      <w:r>
        <w:t xml:space="preserve">) if — </w:t>
      </w:r>
    </w:p>
    <w:p>
      <w:pPr>
        <w:pStyle w:val="Indenta"/>
      </w:pPr>
      <w:r>
        <w:tab/>
        <w:t>(a)</w:t>
      </w:r>
      <w:r>
        <w:tab/>
        <w:t>the Director has undertaken to give a copy of the application to the notifiable person; or</w:t>
      </w:r>
    </w:p>
    <w:p>
      <w:pPr>
        <w:pStyle w:val="Indenta"/>
      </w:pPr>
      <w:r>
        <w:tab/>
        <w:t>(b)</w:t>
      </w:r>
      <w:r>
        <w:tab/>
        <w:t>under subsection (3) an arbitrator dispenses with the requirement to give a copy of the application to a notifiable person.</w:t>
      </w:r>
    </w:p>
    <w:p>
      <w:pPr>
        <w:pStyle w:val="Subsection"/>
      </w:pPr>
      <w:r>
        <w:tab/>
        <w:t>(3)</w:t>
      </w:r>
      <w:r>
        <w:tab/>
        <w:t xml:space="preserve">An arbitrator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hearing of the application without notice to the notifiable person would not cause injustice.</w:t>
      </w:r>
    </w:p>
    <w:p>
      <w:pPr>
        <w:pStyle w:val="Subsection"/>
      </w:pPr>
      <w:r>
        <w:tab/>
        <w:t>(4)</w:t>
      </w:r>
      <w:r>
        <w:tab/>
        <w:t>The DRD Rules may provide for the manner in which and time within which subsection (1) is to be complied with.</w:t>
      </w:r>
    </w:p>
    <w:p>
      <w:pPr>
        <w:pStyle w:val="Footnotesection"/>
      </w:pPr>
      <w:bookmarkStart w:id="2491" w:name="_Toc87253058"/>
      <w:r>
        <w:tab/>
        <w:t>[Section 182 inserted by No. 42 of 2004 s. 130.]</w:t>
      </w:r>
    </w:p>
    <w:p>
      <w:pPr>
        <w:pStyle w:val="Heading5"/>
      </w:pPr>
      <w:bookmarkStart w:id="2492" w:name="_Toc122833440"/>
      <w:bookmarkStart w:id="2493" w:name="_Toc122834007"/>
      <w:r>
        <w:rPr>
          <w:rStyle w:val="CharSectno"/>
        </w:rPr>
        <w:t>183</w:t>
      </w:r>
      <w:r>
        <w:t>.</w:t>
      </w:r>
      <w:r>
        <w:tab/>
        <w:t>Information exchange between parties</w:t>
      </w:r>
      <w:bookmarkEnd w:id="2491"/>
      <w:bookmarkEnd w:id="2492"/>
      <w:bookmarkEnd w:id="2493"/>
    </w:p>
    <w:p>
      <w:pPr>
        <w:pStyle w:val="Subsection"/>
      </w:pPr>
      <w:r>
        <w:tab/>
        <w:t>(1)</w:t>
      </w:r>
      <w:r>
        <w:tab/>
        <w:t>When, and at times prescribed by the DRD Rules after, an application is made for a determination of a dispute by an arbitrator, each party to the dispute must provide to the other party and to the Director, in accordance with the DRD Rules, such documents, material and information as the DRD Rules require.</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 xml:space="preserve">The DRD Rules may provide for exceptions to subsections (4) and (5) and may authorise an arbitrator to permit —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 xml:space="preserve">If an arbitrator is satisfied that a party has failed without reasonable excuse to comply with a requirement of this section, the arbitrator may do any one or more of the following — </w:t>
      </w:r>
    </w:p>
    <w:p>
      <w:pPr>
        <w:pStyle w:val="Indenta"/>
      </w:pPr>
      <w:r>
        <w:tab/>
        <w:t>(a)</w:t>
      </w:r>
      <w:r>
        <w:tab/>
        <w:t>refer the matter to WorkCover WA;</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bookmarkStart w:id="2494" w:name="_Toc87253059"/>
      <w:r>
        <w:tab/>
        <w:t>[Section 183 inserted by No. 42 of 2004 s. 130.]</w:t>
      </w:r>
    </w:p>
    <w:p>
      <w:pPr>
        <w:pStyle w:val="Heading5"/>
      </w:pPr>
      <w:bookmarkStart w:id="2495" w:name="_Toc122833441"/>
      <w:bookmarkStart w:id="2496" w:name="_Toc122834008"/>
      <w:r>
        <w:rPr>
          <w:rStyle w:val="CharSectno"/>
        </w:rPr>
        <w:t>184</w:t>
      </w:r>
      <w:r>
        <w:t>.</w:t>
      </w:r>
      <w:r>
        <w:tab/>
        <w:t>Interim assessment and minor claims</w:t>
      </w:r>
      <w:bookmarkEnd w:id="2494"/>
      <w:bookmarkEnd w:id="2495"/>
      <w:bookmarkEnd w:id="2496"/>
    </w:p>
    <w:p>
      <w:pPr>
        <w:pStyle w:val="Subsection"/>
      </w:pPr>
      <w:r>
        <w:tab/>
      </w:r>
      <w:r>
        <w:tab/>
        <w:t>When an application is made under this Part, the Director may refer the application or any part of the application to be dealt with under Part XII if the application or that part of the application could have been made under that Part, and may defer determination of a dispute under this Part while the matter referred is being dealt with under that Part.</w:t>
      </w:r>
    </w:p>
    <w:p>
      <w:pPr>
        <w:pStyle w:val="Footnotesection"/>
      </w:pPr>
      <w:bookmarkStart w:id="2497" w:name="_Toc87253060"/>
      <w:r>
        <w:tab/>
        <w:t>[Section 184 inserted by No. 42 of 2004 s. 130.]</w:t>
      </w:r>
    </w:p>
    <w:p>
      <w:pPr>
        <w:pStyle w:val="Heading5"/>
      </w:pPr>
      <w:bookmarkStart w:id="2498" w:name="_Toc122833442"/>
      <w:bookmarkStart w:id="2499" w:name="_Toc122834009"/>
      <w:r>
        <w:rPr>
          <w:rStyle w:val="CharSectno"/>
        </w:rPr>
        <w:t>185</w:t>
      </w:r>
      <w:r>
        <w:t>.</w:t>
      </w:r>
      <w:r>
        <w:tab/>
        <w:t>Arbitrator to attempt conciliation</w:t>
      </w:r>
      <w:bookmarkEnd w:id="2497"/>
      <w:bookmarkEnd w:id="2498"/>
      <w:bookmarkEnd w:id="2499"/>
    </w:p>
    <w:p>
      <w:pPr>
        <w:pStyle w:val="Subsection"/>
      </w:pPr>
      <w:r>
        <w:tab/>
        <w:t>(1)</w:t>
      </w:r>
      <w:r>
        <w:tab/>
        <w:t>An arbitrator is not to determine a dispute without first using the arbitrator’s best endeavours to bring the parties to the dispute to a settlement acceptable to all of them.</w:t>
      </w:r>
    </w:p>
    <w:p>
      <w:pPr>
        <w:pStyle w:val="Subsection"/>
      </w:pPr>
      <w:r>
        <w:tab/>
        <w:t>(2)</w:t>
      </w:r>
      <w:r>
        <w:tab/>
        <w:t>No objection may be taken to the determination of a dispute by an arbitrator on the ground that the arbitrator had previously used the arbitrator’s best endeavours to bring the parties to a dispute to a settlement.</w:t>
      </w:r>
    </w:p>
    <w:p>
      <w:pPr>
        <w:pStyle w:val="Subsection"/>
      </w:pPr>
      <w:r>
        <w:tab/>
        <w:t>(3)</w:t>
      </w:r>
      <w:r>
        <w:tab/>
        <w:t>The DRD Rules may make provision for or with respect to conciliation.</w:t>
      </w:r>
    </w:p>
    <w:p>
      <w:pPr>
        <w:pStyle w:val="Footnotesection"/>
      </w:pPr>
      <w:bookmarkStart w:id="2500" w:name="_Toc87253061"/>
      <w:r>
        <w:tab/>
        <w:t>[Section 185 inserted by No. 42 of 2004 s. 130.]</w:t>
      </w:r>
    </w:p>
    <w:p>
      <w:pPr>
        <w:pStyle w:val="Heading5"/>
      </w:pPr>
      <w:bookmarkStart w:id="2501" w:name="_Toc122833443"/>
      <w:bookmarkStart w:id="2502" w:name="_Toc122834010"/>
      <w:r>
        <w:rPr>
          <w:rStyle w:val="CharSectno"/>
        </w:rPr>
        <w:t>186</w:t>
      </w:r>
      <w:r>
        <w:t>.</w:t>
      </w:r>
      <w:r>
        <w:tab/>
        <w:t>Arbitrator may review decision</w:t>
      </w:r>
      <w:bookmarkEnd w:id="2500"/>
      <w:bookmarkEnd w:id="2501"/>
      <w:bookmarkEnd w:id="2502"/>
    </w:p>
    <w:p>
      <w:pPr>
        <w:pStyle w:val="Subsection"/>
      </w:pPr>
      <w:r>
        <w:tab/>
        <w:t>(1)</w:t>
      </w:r>
      <w:r>
        <w:tab/>
        <w:t xml:space="preserve">In this section — </w:t>
      </w:r>
    </w:p>
    <w:p>
      <w:pPr>
        <w:pStyle w:val="Defstart"/>
      </w:pPr>
      <w:r>
        <w:rPr>
          <w:b/>
        </w:rPr>
        <w:tab/>
        <w:t>“</w:t>
      </w:r>
      <w:r>
        <w:rPr>
          <w:rStyle w:val="CharDefText"/>
        </w:rPr>
        <w:t>new information</w:t>
      </w:r>
      <w:r>
        <w:rPr>
          <w:b/>
        </w:rPr>
        <w:t>”</w:t>
      </w:r>
      <w:r>
        <w:t xml:space="preserve"> means information relevant to a decision that, although available to a party at the time the decision was made, was not available to the arbitrator and, in the opinion of the arbitrator, justifies reconsideration of the matter.</w:t>
      </w:r>
    </w:p>
    <w:p>
      <w:pPr>
        <w:pStyle w:val="Subsection"/>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bookmarkStart w:id="2503" w:name="_Toc87253062"/>
      <w:r>
        <w:tab/>
        <w:t>[Section 186 inserted by No. 42 of 2004 s. 130.]</w:t>
      </w:r>
    </w:p>
    <w:p>
      <w:pPr>
        <w:pStyle w:val="Heading5"/>
      </w:pPr>
      <w:bookmarkStart w:id="2504" w:name="_Toc122833444"/>
      <w:bookmarkStart w:id="2505" w:name="_Toc122834011"/>
      <w:r>
        <w:rPr>
          <w:rStyle w:val="CharSectno"/>
        </w:rPr>
        <w:t>187</w:t>
      </w:r>
      <w:r>
        <w:t>.</w:t>
      </w:r>
      <w:r>
        <w:tab/>
        <w:t>Decisions of arbitrator</w:t>
      </w:r>
      <w:bookmarkEnd w:id="2503"/>
      <w:bookmarkEnd w:id="2504"/>
      <w:bookmarkEnd w:id="2505"/>
    </w:p>
    <w:p>
      <w:pPr>
        <w:pStyle w:val="Subsection"/>
      </w:pPr>
      <w:r>
        <w:tab/>
        <w:t>(1)</w:t>
      </w:r>
      <w:r>
        <w:tab/>
        <w:t xml:space="preserve">Except as otherwise provided by this Act a decision of an arbitrator —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pPr>
      <w:r>
        <w:tab/>
        <w:t>(2)</w:t>
      </w:r>
      <w:r>
        <w:tab/>
        <w:t>A decision of an arbitrator or anything done under this Act in the process of coming to a decision of an arbitrator is not amenable to judicial review.</w:t>
      </w:r>
    </w:p>
    <w:p>
      <w:pPr>
        <w:pStyle w:val="Footnotesection"/>
      </w:pPr>
      <w:bookmarkStart w:id="2506" w:name="_Toc87253063"/>
      <w:r>
        <w:tab/>
        <w:t>[Section 187 inserted by No. 42 of 2004 s. 130.]</w:t>
      </w:r>
    </w:p>
    <w:p>
      <w:pPr>
        <w:pStyle w:val="Heading3"/>
      </w:pPr>
      <w:bookmarkStart w:id="2507" w:name="_Toc119132724"/>
      <w:bookmarkStart w:id="2508" w:name="_Toc119203394"/>
      <w:bookmarkStart w:id="2509" w:name="_Toc119204040"/>
      <w:bookmarkStart w:id="2510" w:name="_Toc119216370"/>
      <w:bookmarkStart w:id="2511" w:name="_Toc119300892"/>
      <w:bookmarkStart w:id="2512" w:name="_Toc119301459"/>
      <w:bookmarkStart w:id="2513" w:name="_Toc119302028"/>
      <w:bookmarkStart w:id="2514" w:name="_Toc119920215"/>
      <w:bookmarkStart w:id="2515" w:name="_Toc122774202"/>
      <w:bookmarkStart w:id="2516" w:name="_Toc122833445"/>
      <w:bookmarkStart w:id="2517" w:name="_Toc122834012"/>
      <w:r>
        <w:rPr>
          <w:rStyle w:val="CharDivNo"/>
        </w:rPr>
        <w:t>Division 4</w:t>
      </w:r>
      <w:r>
        <w:t> — </w:t>
      </w:r>
      <w:r>
        <w:rPr>
          <w:rStyle w:val="CharDivText"/>
        </w:rPr>
        <w:t>Practice and procedure</w:t>
      </w:r>
      <w:bookmarkEnd w:id="2506"/>
      <w:bookmarkEnd w:id="2507"/>
      <w:bookmarkEnd w:id="2508"/>
      <w:bookmarkEnd w:id="2509"/>
      <w:bookmarkEnd w:id="2510"/>
      <w:bookmarkEnd w:id="2511"/>
      <w:bookmarkEnd w:id="2512"/>
      <w:bookmarkEnd w:id="2513"/>
      <w:bookmarkEnd w:id="2514"/>
      <w:bookmarkEnd w:id="2515"/>
      <w:bookmarkEnd w:id="2516"/>
      <w:bookmarkEnd w:id="2517"/>
    </w:p>
    <w:p>
      <w:pPr>
        <w:pStyle w:val="Footnoteheading"/>
      </w:pPr>
      <w:bookmarkStart w:id="2518" w:name="_Toc87253064"/>
      <w:r>
        <w:tab/>
        <w:t>[Heading inserted by No. 42 of 2004 s. 130.]</w:t>
      </w:r>
    </w:p>
    <w:p>
      <w:pPr>
        <w:pStyle w:val="Heading5"/>
      </w:pPr>
      <w:bookmarkStart w:id="2519" w:name="_Toc122833446"/>
      <w:bookmarkStart w:id="2520" w:name="_Toc122834013"/>
      <w:r>
        <w:rPr>
          <w:rStyle w:val="CharSectno"/>
        </w:rPr>
        <w:t>188</w:t>
      </w:r>
      <w:r>
        <w:t>.</w:t>
      </w:r>
      <w:r>
        <w:tab/>
        <w:t>Practice and procedure, generally</w:t>
      </w:r>
      <w:bookmarkEnd w:id="2518"/>
      <w:bookmarkEnd w:id="2519"/>
      <w:bookmarkEnd w:id="2520"/>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 </w:t>
      </w:r>
    </w:p>
    <w:p>
      <w:pPr>
        <w:pStyle w:val="Indenta"/>
      </w:pPr>
      <w:r>
        <w:tab/>
        <w:t>(a)</w:t>
      </w:r>
      <w:r>
        <w:tab/>
        <w:t>is not bound by the rules of evidence or any practice or procedure applicable to courts of record, except to the extent that the DRD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 xml:space="preserve">An arbitrator may —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bookmarkStart w:id="2521" w:name="_Toc87253065"/>
      <w:r>
        <w:tab/>
        <w:t>[Section 188 inserted by No. 42 of 2004 s. 130.]</w:t>
      </w:r>
    </w:p>
    <w:p>
      <w:pPr>
        <w:pStyle w:val="Ednotesection"/>
      </w:pPr>
      <w:r>
        <w:t>[</w:t>
      </w:r>
      <w:r>
        <w:rPr>
          <w:b/>
        </w:rPr>
        <w:t>188A.</w:t>
      </w:r>
      <w:r>
        <w:tab/>
        <w:t>Repealed by No. 42 of 2004 s. 136.]</w:t>
      </w:r>
    </w:p>
    <w:p>
      <w:pPr>
        <w:pStyle w:val="Heading5"/>
      </w:pPr>
      <w:bookmarkStart w:id="2522" w:name="_Toc122833447"/>
      <w:bookmarkStart w:id="2523" w:name="_Toc122834014"/>
      <w:r>
        <w:rPr>
          <w:rStyle w:val="CharSectno"/>
        </w:rPr>
        <w:t>189</w:t>
      </w:r>
      <w:r>
        <w:t>.</w:t>
      </w:r>
      <w:r>
        <w:tab/>
        <w:t>Relief or redress not restricted to claim</w:t>
      </w:r>
      <w:bookmarkEnd w:id="2521"/>
      <w:bookmarkEnd w:id="2522"/>
      <w:bookmarkEnd w:id="2523"/>
    </w:p>
    <w:p>
      <w:pPr>
        <w:pStyle w:val="Subsection"/>
      </w:pPr>
      <w:r>
        <w:tab/>
      </w:r>
      <w:r>
        <w:tab/>
        <w:t>The granting of relief or redress under this Act is not necessarily to be restricted to the specific claim made nor to the subject matter of the claim.</w:t>
      </w:r>
    </w:p>
    <w:p>
      <w:pPr>
        <w:pStyle w:val="Footnotesection"/>
      </w:pPr>
      <w:bookmarkStart w:id="2524" w:name="_Toc87253066"/>
      <w:r>
        <w:tab/>
        <w:t>[Section 189 inserted by No. 42 of 2004 s. 130.]</w:t>
      </w:r>
    </w:p>
    <w:p>
      <w:pPr>
        <w:pStyle w:val="Heading5"/>
      </w:pPr>
      <w:bookmarkStart w:id="2525" w:name="_Toc122833448"/>
      <w:bookmarkStart w:id="2526" w:name="_Toc122834015"/>
      <w:r>
        <w:rPr>
          <w:rStyle w:val="CharSectno"/>
        </w:rPr>
        <w:t>190</w:t>
      </w:r>
      <w:r>
        <w:t>.</w:t>
      </w:r>
      <w:r>
        <w:tab/>
        <w:t>Directions</w:t>
      </w:r>
      <w:bookmarkEnd w:id="2524"/>
      <w:bookmarkEnd w:id="2525"/>
      <w:bookmarkEnd w:id="2526"/>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bookmarkStart w:id="2527" w:name="_Toc87253067"/>
      <w:r>
        <w:tab/>
        <w:t>[Section 190 inserted by No. 42 of 2004 s. 130.]</w:t>
      </w:r>
    </w:p>
    <w:p>
      <w:pPr>
        <w:pStyle w:val="Heading5"/>
      </w:pPr>
      <w:bookmarkStart w:id="2528" w:name="_Toc122833449"/>
      <w:bookmarkStart w:id="2529" w:name="_Toc122834016"/>
      <w:r>
        <w:rPr>
          <w:rStyle w:val="CharSectno"/>
        </w:rPr>
        <w:t>191</w:t>
      </w:r>
      <w:r>
        <w:t>.</w:t>
      </w:r>
      <w:r>
        <w:tab/>
        <w:t>Dependants</w:t>
      </w:r>
      <w:bookmarkEnd w:id="2527"/>
      <w:bookmarkEnd w:id="2528"/>
      <w:bookmarkEnd w:id="2529"/>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bookmarkStart w:id="2530" w:name="_Toc87253068"/>
      <w:r>
        <w:tab/>
        <w:t>[Section 191 inserted by No. 42 of 2004 s. 130.]</w:t>
      </w:r>
    </w:p>
    <w:p>
      <w:pPr>
        <w:pStyle w:val="Heading5"/>
      </w:pPr>
      <w:bookmarkStart w:id="2531" w:name="_Toc122833450"/>
      <w:bookmarkStart w:id="2532" w:name="_Toc122834017"/>
      <w:r>
        <w:rPr>
          <w:rStyle w:val="CharSectno"/>
        </w:rPr>
        <w:t>192</w:t>
      </w:r>
      <w:r>
        <w:t>.</w:t>
      </w:r>
      <w:r>
        <w:tab/>
        <w:t>Arbitrator may regard illegal contracts of employment as valid</w:t>
      </w:r>
      <w:bookmarkEnd w:id="2530"/>
      <w:bookmarkEnd w:id="2531"/>
      <w:bookmarkEnd w:id="2532"/>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bookmarkStart w:id="2533" w:name="_Toc87253069"/>
      <w:r>
        <w:tab/>
        <w:t>[Section 192 inserted by No. 42 of 2004 s. 130.]</w:t>
      </w:r>
    </w:p>
    <w:p>
      <w:pPr>
        <w:pStyle w:val="Heading5"/>
      </w:pPr>
      <w:bookmarkStart w:id="2534" w:name="_Toc122833451"/>
      <w:bookmarkStart w:id="2535" w:name="_Toc122834018"/>
      <w:r>
        <w:rPr>
          <w:rStyle w:val="CharSectno"/>
        </w:rPr>
        <w:t>193</w:t>
      </w:r>
      <w:r>
        <w:t>.</w:t>
      </w:r>
      <w:r>
        <w:tab/>
        <w:t>Power of arbitrator to require information</w:t>
      </w:r>
      <w:bookmarkEnd w:id="2533"/>
      <w:bookmarkEnd w:id="2534"/>
      <w:bookmarkEnd w:id="2535"/>
    </w:p>
    <w:p>
      <w:pPr>
        <w:pStyle w:val="Subsection"/>
      </w:pPr>
      <w:r>
        <w:tab/>
        <w:t>(1)</w:t>
      </w:r>
      <w:r>
        <w:tab/>
        <w:t xml:space="preserve">An arbitrator may order any person (whether or not a party to a dispute before the arbitrator) —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 xml:space="preserve">The order may require the documents or material to be produced or the information to be furnished —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a dispute resolution authority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 xml:space="preserve">The regulations or DRD Rules may make provision for or with respect to any of the following matters —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bookmarkStart w:id="2536" w:name="_Toc87253070"/>
      <w:r>
        <w:tab/>
        <w:t>[Section 193 inserted by No. 42 of 2004 s. 130.]</w:t>
      </w:r>
    </w:p>
    <w:p>
      <w:pPr>
        <w:pStyle w:val="Heading5"/>
      </w:pPr>
      <w:bookmarkStart w:id="2537" w:name="_Toc122833452"/>
      <w:bookmarkStart w:id="2538" w:name="_Toc122834019"/>
      <w:r>
        <w:rPr>
          <w:rStyle w:val="CharSectno"/>
        </w:rPr>
        <w:t>194</w:t>
      </w:r>
      <w:r>
        <w:t>.</w:t>
      </w:r>
      <w:r>
        <w:tab/>
        <w:t>Arbitrator may provide documents, material and information to party</w:t>
      </w:r>
      <w:bookmarkEnd w:id="2536"/>
      <w:bookmarkEnd w:id="2537"/>
      <w:bookmarkEnd w:id="2538"/>
    </w:p>
    <w:p>
      <w:pPr>
        <w:pStyle w:val="Subsection"/>
      </w:pPr>
      <w:r>
        <w:tab/>
        <w:t>(1)</w:t>
      </w:r>
      <w:r>
        <w:tab/>
        <w:t xml:space="preserve">When a document or other material or information relevant to a proceeding before an arbitrator is produced or furnished to the arbitrator by a party to the proceeding or another person (whether or not pursuant to a requirement under this Part), the arbitrator may produce or furnish the document, material or information to — </w:t>
      </w:r>
    </w:p>
    <w:p>
      <w:pPr>
        <w:pStyle w:val="Indenta"/>
      </w:pPr>
      <w:r>
        <w:tab/>
        <w:t>(a)</w:t>
      </w:r>
      <w:r>
        <w:tab/>
        <w:t>any other party to the proceeding;</w:t>
      </w:r>
    </w:p>
    <w:p>
      <w:pPr>
        <w:pStyle w:val="Indenta"/>
      </w:pPr>
      <w:r>
        <w:tab/>
        <w:t>(b)</w:t>
      </w:r>
      <w:r>
        <w:tab/>
        <w:t>any other party’s legal representative or registered agent; or</w:t>
      </w:r>
    </w:p>
    <w:p>
      <w:pPr>
        <w:pStyle w:val="Indenta"/>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bookmarkStart w:id="2539" w:name="_Toc87253071"/>
      <w:r>
        <w:tab/>
        <w:t>[Section 194 inserted by No. 42 of 2004 s. 130.]</w:t>
      </w:r>
    </w:p>
    <w:p>
      <w:pPr>
        <w:pStyle w:val="Heading5"/>
      </w:pPr>
      <w:bookmarkStart w:id="2540" w:name="_Toc122833453"/>
      <w:bookmarkStart w:id="2541" w:name="_Toc122834020"/>
      <w:r>
        <w:rPr>
          <w:rStyle w:val="CharSectno"/>
        </w:rPr>
        <w:t>195</w:t>
      </w:r>
      <w:r>
        <w:t>.</w:t>
      </w:r>
      <w:r>
        <w:tab/>
        <w:t>Representation</w:t>
      </w:r>
      <w:bookmarkEnd w:id="2539"/>
      <w:bookmarkEnd w:id="2540"/>
      <w:bookmarkEnd w:id="2541"/>
    </w:p>
    <w:p>
      <w:pPr>
        <w:pStyle w:val="Subsection"/>
      </w:pPr>
      <w:r>
        <w:tab/>
        <w:t>(1)</w:t>
      </w:r>
      <w:r>
        <w:tab/>
        <w:t xml:space="preserve">At any hearing or conference before an arbitrator, a party to the proceeding may appear in person or may be represented by — </w:t>
      </w:r>
    </w:p>
    <w:p>
      <w:pPr>
        <w:pStyle w:val="Indenta"/>
      </w:pPr>
      <w:r>
        <w:tab/>
        <w:t>(a)</w:t>
      </w:r>
      <w:r>
        <w:tab/>
        <w:t>a legal practitioner;</w:t>
      </w:r>
    </w:p>
    <w:p>
      <w:pPr>
        <w:pStyle w:val="Indenta"/>
      </w:pPr>
      <w:r>
        <w:tab/>
        <w:t>(b)</w:t>
      </w:r>
      <w:r>
        <w:tab/>
        <w:t>a registered agent;</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person who has been struck off the roll of practitioners of the Supreme Court cannot represent a party.</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DRD Rules may prevent specified persons, or persons of a specified class, from representing a party.</w:t>
      </w:r>
    </w:p>
    <w:p>
      <w:pPr>
        <w:pStyle w:val="Footnotesection"/>
      </w:pPr>
      <w:bookmarkStart w:id="2542" w:name="_Toc87253072"/>
      <w:r>
        <w:tab/>
        <w:t>[Section 195 inserted by No. 42 of 2004 s. 130.]</w:t>
      </w:r>
    </w:p>
    <w:p>
      <w:pPr>
        <w:pStyle w:val="Heading5"/>
      </w:pPr>
      <w:bookmarkStart w:id="2543" w:name="_Toc122833454"/>
      <w:bookmarkStart w:id="2544" w:name="_Toc122834021"/>
      <w:r>
        <w:rPr>
          <w:rStyle w:val="CharSectno"/>
        </w:rPr>
        <w:t>196</w:t>
      </w:r>
      <w:r>
        <w:t>.</w:t>
      </w:r>
      <w:r>
        <w:tab/>
        <w:t>Arbitrator may appoint guardian</w:t>
      </w:r>
      <w:bookmarkEnd w:id="2542"/>
      <w:bookmarkEnd w:id="2543"/>
      <w:bookmarkEnd w:id="2544"/>
    </w:p>
    <w:p>
      <w:pPr>
        <w:pStyle w:val="Subsection"/>
      </w:pPr>
      <w:r>
        <w:tab/>
      </w:r>
      <w:r>
        <w:tab/>
        <w:t>If a child is a party or potential party to a proceeding or proposed proceeding, an arbitrator may appoint a litigation guardian in accordance with the DRD Rules to conduct the proceeding on the child’s behalf.</w:t>
      </w:r>
    </w:p>
    <w:p>
      <w:pPr>
        <w:pStyle w:val="Footnotesection"/>
      </w:pPr>
      <w:bookmarkStart w:id="2545" w:name="_Toc87253073"/>
      <w:r>
        <w:tab/>
        <w:t>[Section 196 inserted by No. 42 of 2004 s. 130.]</w:t>
      </w:r>
    </w:p>
    <w:p>
      <w:pPr>
        <w:pStyle w:val="Heading5"/>
      </w:pPr>
      <w:bookmarkStart w:id="2546" w:name="_Toc122833455"/>
      <w:bookmarkStart w:id="2547" w:name="_Toc122834022"/>
      <w:r>
        <w:rPr>
          <w:rStyle w:val="CharSectno"/>
        </w:rPr>
        <w:t>197</w:t>
      </w:r>
      <w:r>
        <w:t>.</w:t>
      </w:r>
      <w:r>
        <w:tab/>
        <w:t>Interpreters and assistants</w:t>
      </w:r>
      <w:bookmarkEnd w:id="2545"/>
      <w:bookmarkEnd w:id="2546"/>
      <w:bookmarkEnd w:id="2547"/>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pPr>
      <w:bookmarkStart w:id="2548" w:name="_Toc87253074"/>
      <w:r>
        <w:tab/>
        <w:t>[Section 197 inserted by No. 42 of 2004 s. 130.]</w:t>
      </w:r>
    </w:p>
    <w:p>
      <w:pPr>
        <w:pStyle w:val="Heading5"/>
      </w:pPr>
      <w:bookmarkStart w:id="2549" w:name="_Toc122833456"/>
      <w:bookmarkStart w:id="2550" w:name="_Toc122834023"/>
      <w:r>
        <w:rPr>
          <w:rStyle w:val="CharSectno"/>
        </w:rPr>
        <w:t>198</w:t>
      </w:r>
      <w:r>
        <w:t>.</w:t>
      </w:r>
      <w:r>
        <w:tab/>
        <w:t>Electronic hearings and proceedings without hearings</w:t>
      </w:r>
      <w:bookmarkEnd w:id="2548"/>
      <w:bookmarkEnd w:id="2549"/>
      <w:bookmarkEnd w:id="2550"/>
    </w:p>
    <w:p>
      <w:pPr>
        <w:pStyle w:val="Subsection"/>
      </w:pPr>
      <w:r>
        <w:tab/>
        <w:t>(1)</w:t>
      </w:r>
      <w:r>
        <w:tab/>
        <w:t>A proceeding before an arbitrator need not be conducted by formal hearing and may, if the DRD Rules so provide or if the arbitrator thinks it appropriate, be conducted by way of a conference between the parties.</w:t>
      </w:r>
    </w:p>
    <w:p>
      <w:pPr>
        <w:pStyle w:val="Subsection"/>
      </w:pPr>
      <w:r>
        <w:tab/>
        <w:t>(2)</w:t>
      </w:r>
      <w:r>
        <w:tab/>
        <w:t>If an arbitrator thinks it appropriate, the arbitrator is to allow the parties and their representatives and any witnesses (or one or more of them) to participate in a conference or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conference or hearing.</w:t>
      </w:r>
    </w:p>
    <w:p>
      <w:pPr>
        <w:pStyle w:val="Subsection"/>
      </w:pPr>
      <w:r>
        <w:tab/>
        <w:t>(4)</w:t>
      </w:r>
      <w:r>
        <w:tab/>
        <w:t>An arbitrator may take into account a written submission prepared by a legal practitioner acting for a party to a proceeding and submitted by or on behalf of the party, whether or not the party is represented by a legal practitioner at any conference or hearing of the proceeding.</w:t>
      </w:r>
    </w:p>
    <w:p>
      <w:pPr>
        <w:pStyle w:val="Subsection"/>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pPr>
      <w:r>
        <w:tab/>
        <w:t>(6)</w:t>
      </w:r>
      <w:r>
        <w:tab/>
        <w:t>Provisions of this Act applying to hearings apply with any necessary modifications in relation to a conference or a proceeding conducted in accordance with subsection (3).</w:t>
      </w:r>
    </w:p>
    <w:p>
      <w:pPr>
        <w:pStyle w:val="Footnotesection"/>
      </w:pPr>
      <w:bookmarkStart w:id="2551" w:name="_Toc87253075"/>
      <w:r>
        <w:tab/>
        <w:t>[Section 198 inserted by No. 42 of 2004 s. 130; amended by No. 16 of 2005 s. 23.]</w:t>
      </w:r>
    </w:p>
    <w:p>
      <w:pPr>
        <w:pStyle w:val="Heading5"/>
      </w:pPr>
      <w:bookmarkStart w:id="2552" w:name="_Toc122833457"/>
      <w:bookmarkStart w:id="2553" w:name="_Toc122834024"/>
      <w:r>
        <w:rPr>
          <w:rStyle w:val="CharSectno"/>
        </w:rPr>
        <w:t>199</w:t>
      </w:r>
      <w:r>
        <w:t>.</w:t>
      </w:r>
      <w:r>
        <w:tab/>
        <w:t>Hearings to be held in private</w:t>
      </w:r>
      <w:bookmarkEnd w:id="2551"/>
      <w:bookmarkEnd w:id="2552"/>
      <w:bookmarkEnd w:id="2553"/>
    </w:p>
    <w:p>
      <w:pPr>
        <w:pStyle w:val="Subsection"/>
      </w:pPr>
      <w:r>
        <w:tab/>
      </w:r>
      <w:r>
        <w:tab/>
        <w:t xml:space="preserve">Hearings and conferences before an arbitrator are to be conducted in private unless — </w:t>
      </w:r>
    </w:p>
    <w:p>
      <w:pPr>
        <w:pStyle w:val="Indenta"/>
      </w:pPr>
      <w:r>
        <w:tab/>
        <w:t>(a)</w:t>
      </w:r>
      <w:r>
        <w:tab/>
        <w:t>the arbitrator conducting the hearing or conference decides that it should be conducted in public; or</w:t>
      </w:r>
    </w:p>
    <w:p>
      <w:pPr>
        <w:pStyle w:val="Indenta"/>
      </w:pPr>
      <w:r>
        <w:tab/>
        <w:t>(b)</w:t>
      </w:r>
      <w:r>
        <w:tab/>
        <w:t>the DRD Rules otherwise provide.</w:t>
      </w:r>
    </w:p>
    <w:p>
      <w:pPr>
        <w:pStyle w:val="Footnotesection"/>
      </w:pPr>
      <w:bookmarkStart w:id="2554" w:name="_Toc87253076"/>
      <w:r>
        <w:tab/>
        <w:t>[Section 199 inserted by No. 42 of 2004 s. 130.]</w:t>
      </w:r>
    </w:p>
    <w:p>
      <w:pPr>
        <w:pStyle w:val="Heading5"/>
      </w:pPr>
      <w:bookmarkStart w:id="2555" w:name="_Toc122833458"/>
      <w:bookmarkStart w:id="2556" w:name="_Toc122834025"/>
      <w:r>
        <w:rPr>
          <w:rStyle w:val="CharSectno"/>
        </w:rPr>
        <w:t>200</w:t>
      </w:r>
      <w:r>
        <w:t>.</w:t>
      </w:r>
      <w:r>
        <w:tab/>
        <w:t>Notice of hearings</w:t>
      </w:r>
      <w:bookmarkEnd w:id="2554"/>
      <w:bookmarkEnd w:id="2555"/>
      <w:bookmarkEnd w:id="2556"/>
    </w:p>
    <w:p>
      <w:pPr>
        <w:pStyle w:val="Subsection"/>
      </w:pPr>
      <w:r>
        <w:tab/>
        <w:t>(1)</w:t>
      </w:r>
      <w:r>
        <w:tab/>
        <w:t xml:space="preserve">Notice of the time and place for the hearing of a proceeding is to be given in accordance with the DRD Rules to — </w:t>
      </w:r>
    </w:p>
    <w:p>
      <w:pPr>
        <w:pStyle w:val="Indenta"/>
      </w:pPr>
      <w:r>
        <w:tab/>
        <w:t>(a)</w:t>
      </w:r>
      <w:r>
        <w:tab/>
        <w:t>each party to the proceeding;</w:t>
      </w:r>
    </w:p>
    <w:p>
      <w:pPr>
        <w:pStyle w:val="Indenta"/>
      </w:pPr>
      <w:r>
        <w:tab/>
        <w:t>(b)</w:t>
      </w:r>
      <w:r>
        <w:tab/>
        <w:t>each other person entitled to notice of the hearing under this Act.</w:t>
      </w:r>
    </w:p>
    <w:p>
      <w:pPr>
        <w:pStyle w:val="Subsection"/>
      </w:pPr>
      <w:r>
        <w:tab/>
        <w:t>(2)</w:t>
      </w:r>
      <w:r>
        <w:tab/>
        <w:t>If a person, including a party, to whom notice has been given in accordance with the DRD Rules fails to attend, the hearing may be held in the absence of that person.</w:t>
      </w:r>
    </w:p>
    <w:p>
      <w:pPr>
        <w:pStyle w:val="Subsection"/>
      </w:pPr>
      <w:r>
        <w:tab/>
        <w:t>(3)</w:t>
      </w:r>
      <w:r>
        <w:tab/>
        <w:t>The failure of a party to attend a hearing of a proceeding does not affect the validity of any decision made in relation to the proceeding.</w:t>
      </w:r>
    </w:p>
    <w:p>
      <w:pPr>
        <w:pStyle w:val="Footnotesection"/>
      </w:pPr>
      <w:bookmarkStart w:id="2557" w:name="_Toc87253077"/>
      <w:r>
        <w:tab/>
        <w:t>[Section 200 inserted by No. 42 of 2004 s. 130.]</w:t>
      </w:r>
    </w:p>
    <w:p>
      <w:pPr>
        <w:pStyle w:val="Heading5"/>
      </w:pPr>
      <w:bookmarkStart w:id="2558" w:name="_Toc122833459"/>
      <w:bookmarkStart w:id="2559" w:name="_Toc122834026"/>
      <w:r>
        <w:rPr>
          <w:rStyle w:val="CharSectno"/>
        </w:rPr>
        <w:t>201</w:t>
      </w:r>
      <w:r>
        <w:t>.</w:t>
      </w:r>
      <w:r>
        <w:tab/>
        <w:t>Expert or professional assistance</w:t>
      </w:r>
      <w:bookmarkEnd w:id="2557"/>
      <w:bookmarkEnd w:id="2558"/>
      <w:bookmarkEnd w:id="2559"/>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bookmarkStart w:id="2560" w:name="_Toc87253078"/>
      <w:r>
        <w:tab/>
        <w:t>[Section 201 inserted by No. 42 of 2004 s. 130.]</w:t>
      </w:r>
    </w:p>
    <w:p>
      <w:pPr>
        <w:pStyle w:val="Heading5"/>
      </w:pPr>
      <w:bookmarkStart w:id="2561" w:name="_Toc122833460"/>
      <w:bookmarkStart w:id="2562" w:name="_Toc122834027"/>
      <w:r>
        <w:rPr>
          <w:rStyle w:val="CharSectno"/>
        </w:rPr>
        <w:t>202</w:t>
      </w:r>
      <w:r>
        <w:t>.</w:t>
      </w:r>
      <w:r>
        <w:tab/>
        <w:t>Summoning witnesses</w:t>
      </w:r>
      <w:bookmarkEnd w:id="2560"/>
      <w:bookmarkEnd w:id="2561"/>
      <w:bookmarkEnd w:id="2562"/>
    </w:p>
    <w:p>
      <w:pPr>
        <w:pStyle w:val="Subsection"/>
      </w:pPr>
      <w:r>
        <w:tab/>
      </w:r>
      <w:r>
        <w:tab/>
        <w:t>The Director or an arbitrator may issue a summons requiring the attendance of a person before an arbitrator.</w:t>
      </w:r>
    </w:p>
    <w:p>
      <w:pPr>
        <w:pStyle w:val="Footnotesection"/>
      </w:pPr>
      <w:bookmarkStart w:id="2563" w:name="_Toc87253079"/>
      <w:r>
        <w:tab/>
        <w:t>[Section 202 inserted by No. 42 of 2004 s. 130.]</w:t>
      </w:r>
    </w:p>
    <w:p>
      <w:pPr>
        <w:pStyle w:val="Heading5"/>
      </w:pPr>
      <w:bookmarkStart w:id="2564" w:name="_Toc122833461"/>
      <w:bookmarkStart w:id="2565" w:name="_Toc122834028"/>
      <w:r>
        <w:rPr>
          <w:rStyle w:val="CharSectno"/>
        </w:rPr>
        <w:t>203</w:t>
      </w:r>
      <w:r>
        <w:t>.</w:t>
      </w:r>
      <w:r>
        <w:tab/>
        <w:t>Powers relating to witnesses</w:t>
      </w:r>
      <w:bookmarkEnd w:id="2563"/>
      <w:bookmarkEnd w:id="2564"/>
      <w:bookmarkEnd w:id="2565"/>
    </w:p>
    <w:p>
      <w:pPr>
        <w:pStyle w:val="Subsection"/>
      </w:pPr>
      <w:r>
        <w:tab/>
        <w:t>(1)</w:t>
      </w:r>
      <w:r>
        <w:tab/>
        <w:t xml:space="preserve">In any proceeding before an arbitrator, the arbitrator may — </w:t>
      </w:r>
    </w:p>
    <w:p>
      <w:pPr>
        <w:pStyle w:val="Indenta"/>
      </w:pPr>
      <w:r>
        <w:tab/>
        <w:t>(a)</w:t>
      </w:r>
      <w:r>
        <w:tab/>
        <w:t>call any person to give evidence;</w:t>
      </w:r>
    </w:p>
    <w:p>
      <w:pPr>
        <w:pStyle w:val="Indenta"/>
      </w:pPr>
      <w:r>
        <w:tab/>
        <w:t>(b)</w:t>
      </w:r>
      <w:r>
        <w:tab/>
        <w:t>examine any witness on oath or affirmation, or by use of a statutory declaration;</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 xml:space="preserve">Nothing in subsection (1) enables an arbitrator to require a witness to answer a question if the witness —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bookmarkStart w:id="2566" w:name="_Toc87253080"/>
      <w:r>
        <w:tab/>
        <w:t>[Section 203 inserted by No. 42 of 2004 s. 130.]</w:t>
      </w:r>
    </w:p>
    <w:p>
      <w:pPr>
        <w:pStyle w:val="Heading5"/>
      </w:pPr>
      <w:bookmarkStart w:id="2567" w:name="_Toc122833462"/>
      <w:bookmarkStart w:id="2568" w:name="_Toc122834029"/>
      <w:r>
        <w:rPr>
          <w:rStyle w:val="CharSectno"/>
        </w:rPr>
        <w:t>204</w:t>
      </w:r>
      <w:r>
        <w:t>.</w:t>
      </w:r>
      <w:r>
        <w:tab/>
        <w:t>Privilege against self</w:t>
      </w:r>
      <w:r>
        <w:noBreakHyphen/>
        <w:t>incrimination</w:t>
      </w:r>
      <w:bookmarkEnd w:id="2566"/>
      <w:bookmarkEnd w:id="2567"/>
      <w:bookmarkEnd w:id="2568"/>
    </w:p>
    <w:p>
      <w:pPr>
        <w:pStyle w:val="Subsection"/>
      </w:pPr>
      <w:r>
        <w:tab/>
        <w:t>(1)</w:t>
      </w:r>
      <w:r>
        <w:tab/>
        <w:t>A person is not excused from complying with a requirement under this Part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bookmarkStart w:id="2569" w:name="_Toc87253081"/>
      <w:r>
        <w:tab/>
        <w:t>[Section 204 inserted by No. 42 of 2004 s. 130.]</w:t>
      </w:r>
    </w:p>
    <w:p>
      <w:pPr>
        <w:pStyle w:val="Heading5"/>
      </w:pPr>
      <w:bookmarkStart w:id="2570" w:name="_Toc122833463"/>
      <w:bookmarkStart w:id="2571" w:name="_Toc122834030"/>
      <w:r>
        <w:rPr>
          <w:rStyle w:val="CharSectno"/>
        </w:rPr>
        <w:t>205</w:t>
      </w:r>
      <w:r>
        <w:t>.</w:t>
      </w:r>
      <w:r>
        <w:tab/>
        <w:t>Legal professional privilege in relation to medical reports</w:t>
      </w:r>
      <w:bookmarkEnd w:id="2569"/>
      <w:bookmarkEnd w:id="2570"/>
      <w:bookmarkEnd w:id="2571"/>
    </w:p>
    <w:p>
      <w:pPr>
        <w:pStyle w:val="Subsection"/>
      </w:pPr>
      <w:r>
        <w:tab/>
        <w:t>(1)</w:t>
      </w:r>
      <w:r>
        <w:tab/>
        <w:t>A legal practitioner is not excused from complying with a requirement under this Part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pPr>
      <w:r>
        <w:tab/>
        <w:t>(3)</w:t>
      </w:r>
      <w:r>
        <w:tab/>
        <w:t>A medical report may be produced by the legal practitioner in compliance with a requirement under this Part with the omission of passages that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capacity as a legal practitioner.</w:t>
      </w:r>
    </w:p>
    <w:p>
      <w:pPr>
        <w:pStyle w:val="Footnotesection"/>
      </w:pPr>
      <w:bookmarkStart w:id="2572" w:name="_Toc87253082"/>
      <w:r>
        <w:tab/>
        <w:t>[Section 205 inserted by No. 42 of 2004 s. 130.]</w:t>
      </w:r>
    </w:p>
    <w:p>
      <w:pPr>
        <w:pStyle w:val="Heading5"/>
      </w:pPr>
      <w:bookmarkStart w:id="2573" w:name="_Toc122833464"/>
      <w:bookmarkStart w:id="2574" w:name="_Toc122834031"/>
      <w:r>
        <w:rPr>
          <w:rStyle w:val="CharSectno"/>
        </w:rPr>
        <w:t>206</w:t>
      </w:r>
      <w:r>
        <w:t>.</w:t>
      </w:r>
      <w:r>
        <w:tab/>
        <w:t>Other claims of privilege</w:t>
      </w:r>
      <w:bookmarkEnd w:id="2572"/>
      <w:bookmarkEnd w:id="2573"/>
      <w:bookmarkEnd w:id="2574"/>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pPr>
      <w:bookmarkStart w:id="2575" w:name="_Toc87253083"/>
      <w:r>
        <w:tab/>
        <w:t>[Section 206 inserted by No. 42 of 2004 s. 130.]</w:t>
      </w:r>
    </w:p>
    <w:p>
      <w:pPr>
        <w:pStyle w:val="Heading5"/>
      </w:pPr>
      <w:bookmarkStart w:id="2576" w:name="_Toc122833465"/>
      <w:bookmarkStart w:id="2577" w:name="_Toc122834032"/>
      <w:r>
        <w:rPr>
          <w:rStyle w:val="CharSectno"/>
        </w:rPr>
        <w:t>207</w:t>
      </w:r>
      <w:r>
        <w:t>.</w:t>
      </w:r>
      <w:r>
        <w:tab/>
        <w:t>Oaths and affirmations</w:t>
      </w:r>
      <w:bookmarkEnd w:id="2575"/>
      <w:bookmarkEnd w:id="2576"/>
      <w:bookmarkEnd w:id="2577"/>
    </w:p>
    <w:p>
      <w:pPr>
        <w:pStyle w:val="Subsection"/>
      </w:pPr>
      <w:r>
        <w:tab/>
      </w:r>
      <w:r>
        <w:tab/>
        <w:t>An arbitrator may administer an oath or take an affirmation for the purposes of this Act.</w:t>
      </w:r>
    </w:p>
    <w:p>
      <w:pPr>
        <w:pStyle w:val="Footnotesection"/>
      </w:pPr>
      <w:bookmarkStart w:id="2578" w:name="_Toc87253084"/>
      <w:r>
        <w:tab/>
        <w:t>[Section 207 inserted by No. 42 of 2004 s. 130.]</w:t>
      </w:r>
    </w:p>
    <w:p>
      <w:pPr>
        <w:pStyle w:val="Heading5"/>
      </w:pPr>
      <w:bookmarkStart w:id="2579" w:name="_Toc122833466"/>
      <w:bookmarkStart w:id="2580" w:name="_Toc122834033"/>
      <w:r>
        <w:rPr>
          <w:rStyle w:val="CharSectno"/>
        </w:rPr>
        <w:t>208</w:t>
      </w:r>
      <w:r>
        <w:t>.</w:t>
      </w:r>
      <w:r>
        <w:tab/>
        <w:t>Authorising person to take evidence</w:t>
      </w:r>
      <w:bookmarkEnd w:id="2578"/>
      <w:bookmarkEnd w:id="2579"/>
      <w:bookmarkEnd w:id="2580"/>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The arbitrator may authorise evidence to be taken under this section outside Western Australia.</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bookmarkStart w:id="2581" w:name="_Toc87253085"/>
      <w:r>
        <w:tab/>
        <w:t>[Section 208 inserted by No. 42 of 2004 s. 130.]</w:t>
      </w:r>
    </w:p>
    <w:p>
      <w:pPr>
        <w:pStyle w:val="Heading5"/>
      </w:pPr>
      <w:bookmarkStart w:id="2582" w:name="_Toc122833467"/>
      <w:bookmarkStart w:id="2583" w:name="_Toc122834034"/>
      <w:r>
        <w:rPr>
          <w:rStyle w:val="CharSectno"/>
        </w:rPr>
        <w:t>209</w:t>
      </w:r>
      <w:r>
        <w:t>.</w:t>
      </w:r>
      <w:r>
        <w:tab/>
        <w:t>Dealing with things produced</w:t>
      </w:r>
      <w:bookmarkEnd w:id="2581"/>
      <w:bookmarkEnd w:id="2582"/>
      <w:bookmarkEnd w:id="2583"/>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bookmarkStart w:id="2584" w:name="_Toc87253086"/>
      <w:r>
        <w:tab/>
        <w:t>[Section 209 inserted by No. 42 of 2004 s. 130.]</w:t>
      </w:r>
    </w:p>
    <w:p>
      <w:pPr>
        <w:pStyle w:val="Heading5"/>
      </w:pPr>
      <w:bookmarkStart w:id="2585" w:name="_Toc122833468"/>
      <w:bookmarkStart w:id="2586" w:name="_Toc122834035"/>
      <w:r>
        <w:rPr>
          <w:rStyle w:val="CharSectno"/>
        </w:rPr>
        <w:t>210</w:t>
      </w:r>
      <w:r>
        <w:t>.</w:t>
      </w:r>
      <w:r>
        <w:tab/>
        <w:t>Referral of medical dispute for assessment</w:t>
      </w:r>
      <w:bookmarkEnd w:id="2584"/>
      <w:bookmarkEnd w:id="2585"/>
      <w:bookmarkEnd w:id="2586"/>
    </w:p>
    <w:p>
      <w:pPr>
        <w:pStyle w:val="Subsection"/>
      </w:pPr>
      <w:r>
        <w:tab/>
        <w:t>(1)</w:t>
      </w:r>
      <w:r>
        <w:tab/>
        <w:t xml:space="preserve">If permitted by section 145A to do so, an arbitrator may refer a question as to — </w:t>
      </w:r>
    </w:p>
    <w:p>
      <w:pPr>
        <w:pStyle w:val="Indenta"/>
      </w:pPr>
      <w:r>
        <w:tab/>
        <w:t>(a)</w:t>
      </w:r>
      <w:r>
        <w:tab/>
        <w:t>the nature or extent of an injury;</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pPr>
      <w:r>
        <w:tab/>
        <w:t>(2)</w:t>
      </w:r>
      <w:r>
        <w:tab/>
        <w:t xml:space="preserve">Without limiting subsection (1), that subsection applies to — </w:t>
      </w:r>
    </w:p>
    <w:p>
      <w:pPr>
        <w:pStyle w:val="Indenta"/>
      </w:pPr>
      <w:r>
        <w:tab/>
        <w:t>(a)</w:t>
      </w:r>
      <w:r>
        <w:tab/>
        <w:t xml:space="preserve">questions as to the permanent or other loss of the efficient use of any part or faculty of the body for the purposes of Part III Division 2, or to the degree of that loss; </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pPr>
      <w:r>
        <w:tab/>
        <w:t>(3)</w:t>
      </w:r>
      <w:r>
        <w:tab/>
        <w:t xml:space="preserve">Subsection (1) does not apply to questions as to — </w:t>
      </w:r>
    </w:p>
    <w:p>
      <w:pPr>
        <w:pStyle w:val="Indenta"/>
      </w:pPr>
      <w:r>
        <w:tab/>
        <w:t>(a)</w:t>
      </w:r>
      <w:r>
        <w:tab/>
        <w:t>the permanent or other impairment of the efficient use of any part or faculty of the body for the purposes of Part III Division 2A, or to the degree of that impairment;</w:t>
      </w:r>
    </w:p>
    <w:p>
      <w:pPr>
        <w:pStyle w:val="Indenta"/>
      </w:pPr>
      <w:r>
        <w:tab/>
        <w:t>(b)</w:t>
      </w:r>
      <w:r>
        <w:tab/>
        <w:t>the degree of permanent whole of person impairment for the purposes of Part IV Division 2 Subdivision 3;</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bookmarkStart w:id="2587" w:name="_Toc87253087"/>
      <w:r>
        <w:tab/>
        <w:t>[Section 210 inserted by No. 42 of 2004 s. 130.]</w:t>
      </w:r>
    </w:p>
    <w:p>
      <w:pPr>
        <w:pStyle w:val="Heading3"/>
      </w:pPr>
      <w:bookmarkStart w:id="2588" w:name="_Toc119132748"/>
      <w:bookmarkStart w:id="2589" w:name="_Toc119203418"/>
      <w:bookmarkStart w:id="2590" w:name="_Toc119204064"/>
      <w:bookmarkStart w:id="2591" w:name="_Toc119216394"/>
      <w:bookmarkStart w:id="2592" w:name="_Toc119300916"/>
      <w:bookmarkStart w:id="2593" w:name="_Toc119301483"/>
      <w:bookmarkStart w:id="2594" w:name="_Toc119302052"/>
      <w:bookmarkStart w:id="2595" w:name="_Toc119920239"/>
      <w:bookmarkStart w:id="2596" w:name="_Toc122774226"/>
      <w:bookmarkStart w:id="2597" w:name="_Toc122833469"/>
      <w:bookmarkStart w:id="2598" w:name="_Toc122834036"/>
      <w:r>
        <w:rPr>
          <w:rStyle w:val="CharDivNo"/>
        </w:rPr>
        <w:t>Division 5</w:t>
      </w:r>
      <w:r>
        <w:t> — </w:t>
      </w:r>
      <w:r>
        <w:rPr>
          <w:rStyle w:val="CharDivText"/>
        </w:rPr>
        <w:t>Decisions</w:t>
      </w:r>
      <w:bookmarkEnd w:id="2587"/>
      <w:bookmarkEnd w:id="2588"/>
      <w:bookmarkEnd w:id="2589"/>
      <w:bookmarkEnd w:id="2590"/>
      <w:bookmarkEnd w:id="2591"/>
      <w:bookmarkEnd w:id="2592"/>
      <w:bookmarkEnd w:id="2593"/>
      <w:bookmarkEnd w:id="2594"/>
      <w:bookmarkEnd w:id="2595"/>
      <w:bookmarkEnd w:id="2596"/>
      <w:bookmarkEnd w:id="2597"/>
      <w:bookmarkEnd w:id="2598"/>
    </w:p>
    <w:p>
      <w:pPr>
        <w:pStyle w:val="Footnoteheading"/>
      </w:pPr>
      <w:bookmarkStart w:id="2599" w:name="_Toc87253088"/>
      <w:r>
        <w:tab/>
        <w:t>[Heading inserted by No. 42 of 2004 s. 130.]</w:t>
      </w:r>
    </w:p>
    <w:p>
      <w:pPr>
        <w:pStyle w:val="Heading4"/>
      </w:pPr>
      <w:bookmarkStart w:id="2600" w:name="_Toc119132749"/>
      <w:bookmarkStart w:id="2601" w:name="_Toc119203419"/>
      <w:bookmarkStart w:id="2602" w:name="_Toc119204065"/>
      <w:bookmarkStart w:id="2603" w:name="_Toc119216395"/>
      <w:bookmarkStart w:id="2604" w:name="_Toc119300917"/>
      <w:bookmarkStart w:id="2605" w:name="_Toc119301484"/>
      <w:bookmarkStart w:id="2606" w:name="_Toc119302053"/>
      <w:bookmarkStart w:id="2607" w:name="_Toc119920240"/>
      <w:bookmarkStart w:id="2608" w:name="_Toc122774227"/>
      <w:bookmarkStart w:id="2609" w:name="_Toc122833470"/>
      <w:bookmarkStart w:id="2610" w:name="_Toc122834037"/>
      <w:r>
        <w:t>Subdivision 1 — General provisions</w:t>
      </w:r>
      <w:bookmarkEnd w:id="2599"/>
      <w:bookmarkEnd w:id="2600"/>
      <w:bookmarkEnd w:id="2601"/>
      <w:bookmarkEnd w:id="2602"/>
      <w:bookmarkEnd w:id="2603"/>
      <w:bookmarkEnd w:id="2604"/>
      <w:bookmarkEnd w:id="2605"/>
      <w:bookmarkEnd w:id="2606"/>
      <w:bookmarkEnd w:id="2607"/>
      <w:bookmarkEnd w:id="2608"/>
      <w:bookmarkEnd w:id="2609"/>
      <w:bookmarkEnd w:id="2610"/>
    </w:p>
    <w:p>
      <w:pPr>
        <w:pStyle w:val="Footnoteheading"/>
      </w:pPr>
      <w:bookmarkStart w:id="2611" w:name="_Toc87253089"/>
      <w:r>
        <w:tab/>
        <w:t>[Heading inserted by No. 42 of 2004 s. 130.]</w:t>
      </w:r>
    </w:p>
    <w:p>
      <w:pPr>
        <w:pStyle w:val="Heading5"/>
      </w:pPr>
      <w:bookmarkStart w:id="2612" w:name="_Toc122833471"/>
      <w:bookmarkStart w:id="2613" w:name="_Toc122834038"/>
      <w:r>
        <w:rPr>
          <w:rStyle w:val="CharSectno"/>
        </w:rPr>
        <w:t>211</w:t>
      </w:r>
      <w:r>
        <w:t>.</w:t>
      </w:r>
      <w:r>
        <w:tab/>
        <w:t>Decisions generally</w:t>
      </w:r>
      <w:bookmarkEnd w:id="2611"/>
      <w:bookmarkEnd w:id="2612"/>
      <w:bookmarkEnd w:id="2613"/>
    </w:p>
    <w:p>
      <w:pPr>
        <w:pStyle w:val="Subsection"/>
      </w:pPr>
      <w:r>
        <w:tab/>
        <w:t>(1)</w:t>
      </w:r>
      <w:r>
        <w:tab/>
        <w:t>Subject to this Act, an arbitrator may make such decisions as the arbitrator thinks fit.</w:t>
      </w:r>
    </w:p>
    <w:p>
      <w:pPr>
        <w:pStyle w:val="Subsection"/>
      </w:pPr>
      <w:r>
        <w:tab/>
        <w:t>(2)</w:t>
      </w:r>
      <w:r>
        <w:tab/>
        <w:t>Subject to the provisions of Part XII, an arbitrator may confirm, vary or revoke a direction or order made under Part XII Division 2 or 3.</w:t>
      </w:r>
    </w:p>
    <w:p>
      <w:pPr>
        <w:pStyle w:val="Footnotesection"/>
      </w:pPr>
      <w:bookmarkStart w:id="2614" w:name="_Toc87253090"/>
      <w:r>
        <w:tab/>
        <w:t>[Section 211 inserted by No. 42 of 2004 s. 130.]</w:t>
      </w:r>
    </w:p>
    <w:p>
      <w:pPr>
        <w:pStyle w:val="Heading5"/>
      </w:pPr>
      <w:bookmarkStart w:id="2615" w:name="_Toc122833472"/>
      <w:bookmarkStart w:id="2616" w:name="_Toc122834039"/>
      <w:r>
        <w:rPr>
          <w:rStyle w:val="CharSectno"/>
        </w:rPr>
        <w:t>212</w:t>
      </w:r>
      <w:r>
        <w:t>.</w:t>
      </w:r>
      <w:r>
        <w:tab/>
        <w:t>Conditional and ancillary orders and directions</w:t>
      </w:r>
      <w:bookmarkEnd w:id="2614"/>
      <w:bookmarkEnd w:id="2615"/>
      <w:bookmarkEnd w:id="2616"/>
    </w:p>
    <w:p>
      <w:pPr>
        <w:pStyle w:val="Subsection"/>
      </w:pPr>
      <w:r>
        <w:tab/>
      </w:r>
      <w:r>
        <w:tab/>
        <w:t xml:space="preserve">A power of an arbitrator to make an order or give a direction (the </w:t>
      </w:r>
      <w:r>
        <w:rPr>
          <w:b/>
        </w:rPr>
        <w:t>“</w:t>
      </w:r>
      <w:r>
        <w:rPr>
          <w:rStyle w:val="CharDefText"/>
        </w:rPr>
        <w:t>primary power</w:t>
      </w:r>
      <w:r>
        <w:rPr>
          <w:b/>
        </w:rPr>
        <w:t>”</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bookmarkStart w:id="2617" w:name="_Toc87253091"/>
      <w:r>
        <w:tab/>
        <w:t>[Section 212 inserted by No. 42 of 2004 s. 130.]</w:t>
      </w:r>
    </w:p>
    <w:p>
      <w:pPr>
        <w:pStyle w:val="Heading5"/>
      </w:pPr>
      <w:bookmarkStart w:id="2618" w:name="_Toc122833473"/>
      <w:bookmarkStart w:id="2619" w:name="_Toc122834040"/>
      <w:r>
        <w:rPr>
          <w:rStyle w:val="CharSectno"/>
        </w:rPr>
        <w:t>213</w:t>
      </w:r>
      <w:r>
        <w:t>.</w:t>
      </w:r>
      <w:r>
        <w:tab/>
        <w:t>Form and content of decision and reasons</w:t>
      </w:r>
      <w:bookmarkEnd w:id="2617"/>
      <w:bookmarkEnd w:id="2618"/>
      <w:bookmarkEnd w:id="2619"/>
    </w:p>
    <w:p>
      <w:pPr>
        <w:pStyle w:val="Subsection"/>
      </w:pPr>
      <w:r>
        <w:tab/>
        <w:t>(1)</w:t>
      </w:r>
      <w:r>
        <w:tab/>
        <w:t xml:space="preserve">A decision of an arbitrator is to be given in writing to a party to a proceeding if — </w:t>
      </w:r>
    </w:p>
    <w:p>
      <w:pPr>
        <w:pStyle w:val="Indenta"/>
      </w:pPr>
      <w:r>
        <w:tab/>
        <w:t>(a)</w:t>
      </w:r>
      <w:r>
        <w:tab/>
        <w:t>the DRD Rules state that the decision is to be given in writing to that party; or</w:t>
      </w:r>
    </w:p>
    <w:p>
      <w:pPr>
        <w:pStyle w:val="Indenta"/>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 xml:space="preserve">The reasons for a decision of an arbitrator are to be given in writing to a party to a proceeding if — </w:t>
      </w:r>
    </w:p>
    <w:p>
      <w:pPr>
        <w:pStyle w:val="Indenta"/>
      </w:pPr>
      <w:r>
        <w:tab/>
        <w:t>(a)</w:t>
      </w:r>
      <w:r>
        <w:tab/>
        <w:t>the DRD Rules state that the reasons are to be given in writing to that party; or</w:t>
      </w:r>
    </w:p>
    <w:p>
      <w:pPr>
        <w:pStyle w:val="Indenta"/>
      </w:pPr>
      <w:r>
        <w:tab/>
        <w:t>(b)</w:t>
      </w:r>
      <w:r>
        <w:tab/>
        <w:t>within 14 days after the arbitrator makes the decision, the party requests that the reasons for the decision be given in writing.</w:t>
      </w:r>
    </w:p>
    <w:p>
      <w:pPr>
        <w:pStyle w:val="Subsection"/>
      </w:pPr>
      <w:r>
        <w:tab/>
        <w:t>(4)</w:t>
      </w:r>
      <w:r>
        <w:tab/>
        <w:t xml:space="preserve">The reasons for an arbitrator’s decision — </w:t>
      </w:r>
    </w:p>
    <w:p>
      <w:pPr>
        <w:pStyle w:val="Indenta"/>
      </w:pPr>
      <w:r>
        <w:tab/>
        <w:t>(a)</w:t>
      </w:r>
      <w:r>
        <w:tab/>
        <w:t>need only identify the facts that the arbitrator has accepted in coming to the decision and give the reasons for doing so;</w:t>
      </w:r>
    </w:p>
    <w:p>
      <w:pPr>
        <w:pStyle w:val="Indenta"/>
      </w:pPr>
      <w:r>
        <w:tab/>
        <w:t>(b)</w:t>
      </w:r>
      <w:r>
        <w:tab/>
        <w:t>need only identify the law that the arbitrator has applied in coming to the decision and give the reasons for doing so;</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pPr>
      <w:bookmarkStart w:id="2620" w:name="_Toc87253092"/>
      <w:r>
        <w:tab/>
        <w:t>[Section 213 inserted by No. 42 of 2004 s. 130.]</w:t>
      </w:r>
    </w:p>
    <w:p>
      <w:pPr>
        <w:pStyle w:val="Heading5"/>
      </w:pPr>
      <w:bookmarkStart w:id="2621" w:name="_Toc122833474"/>
      <w:bookmarkStart w:id="2622" w:name="_Toc122834041"/>
      <w:r>
        <w:rPr>
          <w:rStyle w:val="CharSectno"/>
        </w:rPr>
        <w:t>214</w:t>
      </w:r>
      <w:r>
        <w:t>.</w:t>
      </w:r>
      <w:r>
        <w:tab/>
        <w:t>Validity of decision</w:t>
      </w:r>
      <w:bookmarkEnd w:id="2620"/>
      <w:bookmarkEnd w:id="2621"/>
      <w:bookmarkEnd w:id="2622"/>
    </w:p>
    <w:p>
      <w:pPr>
        <w:pStyle w:val="Subsection"/>
      </w:pPr>
      <w:r>
        <w:tab/>
      </w:r>
      <w:r>
        <w:tab/>
        <w:t>A failure of an arbitrator to comply with a requirement of this Subdivision does not affect the validity of a decision.</w:t>
      </w:r>
    </w:p>
    <w:p>
      <w:pPr>
        <w:pStyle w:val="Footnotesection"/>
      </w:pPr>
      <w:bookmarkStart w:id="2623" w:name="_Toc87253093"/>
      <w:r>
        <w:tab/>
        <w:t>[Section 214 inserted by No. 42 of 2004 s. 130.]</w:t>
      </w:r>
    </w:p>
    <w:p>
      <w:pPr>
        <w:pStyle w:val="Heading5"/>
      </w:pPr>
      <w:bookmarkStart w:id="2624" w:name="_Toc122833475"/>
      <w:bookmarkStart w:id="2625" w:name="_Toc122834042"/>
      <w:r>
        <w:rPr>
          <w:rStyle w:val="CharSectno"/>
        </w:rPr>
        <w:t>215</w:t>
      </w:r>
      <w:r>
        <w:t>.</w:t>
      </w:r>
      <w:r>
        <w:tab/>
        <w:t>When decision has effect</w:t>
      </w:r>
      <w:bookmarkEnd w:id="2623"/>
      <w:bookmarkEnd w:id="2624"/>
      <w:bookmarkEnd w:id="2625"/>
    </w:p>
    <w:p>
      <w:pPr>
        <w:pStyle w:val="Subsection"/>
      </w:pPr>
      <w:r>
        <w:tab/>
        <w:t>(1)</w:t>
      </w:r>
      <w:r>
        <w:tab/>
        <w:t>A decision of an arbitrator comes into effect immediately after it is given, or at such later time as is specified in it.</w:t>
      </w:r>
    </w:p>
    <w:p>
      <w:pPr>
        <w:pStyle w:val="Subsection"/>
      </w:pPr>
      <w:r>
        <w:tab/>
        <w:t>(2)</w:t>
      </w:r>
      <w:r>
        <w:tab/>
        <w:t>Subsection (1) does not prevent a stay of the effect of the decision from being given under section 250.</w:t>
      </w:r>
    </w:p>
    <w:p>
      <w:pPr>
        <w:pStyle w:val="Footnotesection"/>
      </w:pPr>
      <w:bookmarkStart w:id="2626" w:name="_Toc87253094"/>
      <w:r>
        <w:tab/>
        <w:t>[Section 215 inserted by No. 42 of 2004 s. 130.]</w:t>
      </w:r>
    </w:p>
    <w:p>
      <w:pPr>
        <w:pStyle w:val="Heading5"/>
      </w:pPr>
      <w:bookmarkStart w:id="2627" w:name="_Toc122833476"/>
      <w:bookmarkStart w:id="2628" w:name="_Toc122834043"/>
      <w:r>
        <w:rPr>
          <w:rStyle w:val="CharSectno"/>
        </w:rPr>
        <w:t>216</w:t>
      </w:r>
      <w:r>
        <w:t>.</w:t>
      </w:r>
      <w:r>
        <w:tab/>
        <w:t>Correcting mistakes</w:t>
      </w:r>
      <w:bookmarkEnd w:id="2626"/>
      <w:bookmarkEnd w:id="2627"/>
      <w:bookmarkEnd w:id="2628"/>
    </w:p>
    <w:p>
      <w:pPr>
        <w:pStyle w:val="Subsection"/>
      </w:pPr>
      <w:r>
        <w:tab/>
      </w:r>
      <w:r>
        <w:tab/>
        <w:t xml:space="preserve">An arbitrator may correct a decision an arbitrator gives or a statement of the reasons an arbitrator has given for the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Footnotesection"/>
      </w:pPr>
      <w:bookmarkStart w:id="2629" w:name="_Toc87253095"/>
      <w:r>
        <w:tab/>
        <w:t>[Section 216 inserted by No. 42 of 2004 s. 130.]</w:t>
      </w:r>
    </w:p>
    <w:p>
      <w:pPr>
        <w:pStyle w:val="Heading4"/>
      </w:pPr>
      <w:bookmarkStart w:id="2630" w:name="_Toc119132756"/>
      <w:bookmarkStart w:id="2631" w:name="_Toc119203426"/>
      <w:bookmarkStart w:id="2632" w:name="_Toc119204072"/>
      <w:bookmarkStart w:id="2633" w:name="_Toc119216402"/>
      <w:bookmarkStart w:id="2634" w:name="_Toc119300924"/>
      <w:bookmarkStart w:id="2635" w:name="_Toc119301491"/>
      <w:bookmarkStart w:id="2636" w:name="_Toc119302060"/>
      <w:bookmarkStart w:id="2637" w:name="_Toc119920247"/>
      <w:bookmarkStart w:id="2638" w:name="_Toc122774234"/>
      <w:bookmarkStart w:id="2639" w:name="_Toc122833477"/>
      <w:bookmarkStart w:id="2640" w:name="_Toc122834044"/>
      <w:r>
        <w:t>Subdivision 2 — Particular orders</w:t>
      </w:r>
      <w:bookmarkEnd w:id="2629"/>
      <w:bookmarkEnd w:id="2630"/>
      <w:bookmarkEnd w:id="2631"/>
      <w:bookmarkEnd w:id="2632"/>
      <w:bookmarkEnd w:id="2633"/>
      <w:bookmarkEnd w:id="2634"/>
      <w:bookmarkEnd w:id="2635"/>
      <w:bookmarkEnd w:id="2636"/>
      <w:bookmarkEnd w:id="2637"/>
      <w:bookmarkEnd w:id="2638"/>
      <w:bookmarkEnd w:id="2639"/>
      <w:bookmarkEnd w:id="2640"/>
    </w:p>
    <w:p>
      <w:pPr>
        <w:pStyle w:val="Footnoteheading"/>
      </w:pPr>
      <w:bookmarkStart w:id="2641" w:name="_Toc87253096"/>
      <w:r>
        <w:tab/>
        <w:t>[Heading inserted by No. 42 of 2004 s. 130.]</w:t>
      </w:r>
    </w:p>
    <w:p>
      <w:pPr>
        <w:pStyle w:val="Heading5"/>
      </w:pPr>
      <w:bookmarkStart w:id="2642" w:name="_Toc122833478"/>
      <w:bookmarkStart w:id="2643" w:name="_Toc122834045"/>
      <w:r>
        <w:rPr>
          <w:rStyle w:val="CharSectno"/>
        </w:rPr>
        <w:t>217</w:t>
      </w:r>
      <w:r>
        <w:t>.</w:t>
      </w:r>
      <w:r>
        <w:tab/>
        <w:t>Order as to total liability</w:t>
      </w:r>
      <w:bookmarkEnd w:id="2641"/>
      <w:bookmarkEnd w:id="2642"/>
      <w:bookmarkEnd w:id="2643"/>
    </w:p>
    <w:p>
      <w:pPr>
        <w:pStyle w:val="Subsection"/>
      </w:pPr>
      <w:r>
        <w:tab/>
        <w:t>(1)</w:t>
      </w:r>
      <w:r>
        <w:tab/>
        <w:t xml:space="preserve">This section applies where — </w:t>
      </w:r>
    </w:p>
    <w:p>
      <w:pPr>
        <w:pStyle w:val="Indenta"/>
      </w:pPr>
      <w:r>
        <w:tab/>
        <w:t>(a)</w:t>
      </w:r>
      <w:r>
        <w:tab/>
        <w:t>an arbitrator considers that an injury to a worker that is compensable under this Act has resulted in the permanent total incapacity for work of the worker;</w:t>
      </w:r>
    </w:p>
    <w:p>
      <w:pPr>
        <w:pStyle w:val="Indenta"/>
      </w:pPr>
      <w:r>
        <w:tab/>
        <w:t>(b)</w:t>
      </w:r>
      <w:r>
        <w:tab/>
        <w:t>an order for redemption of the liability for the incapacity has not already been made under section 67;</w:t>
      </w:r>
    </w:p>
    <w:p>
      <w:pPr>
        <w:pStyle w:val="Indenta"/>
      </w:pPr>
      <w:r>
        <w:tab/>
        <w:t>(c)</w:t>
      </w:r>
      <w:r>
        <w:tab/>
        <w:t>no memorandum of agreement for the payment of a lump sum in redemption of the liability for the incapacity has been recorded under section 76; and</w:t>
      </w:r>
    </w:p>
    <w:p>
      <w:pPr>
        <w:pStyle w:val="Indenta"/>
      </w:pPr>
      <w:r>
        <w:tab/>
        <w:t>(d)</w:t>
      </w:r>
      <w:r>
        <w:tab/>
        <w:t>the total weekly payments by way of compensation payable under clause 7 for that injury have reached the prescribed amount.</w:t>
      </w:r>
    </w:p>
    <w:p>
      <w:pPr>
        <w:pStyle w:val="Subsection"/>
      </w:pPr>
      <w:r>
        <w:tab/>
        <w:t>(2)</w:t>
      </w:r>
      <w:r>
        <w:tab/>
        <w:t>If this section applies, the arbitrator may, subject to this section, make any order as to the total liability of the employer for the incapacity that the arbitrator thinks proper in the circumstances.</w:t>
      </w:r>
    </w:p>
    <w:p>
      <w:pPr>
        <w:pStyle w:val="Subsection"/>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pPr>
      <w:r>
        <w:tab/>
        <w:t>(4)</w:t>
      </w:r>
      <w:r>
        <w:tab/>
        <w:t xml:space="preserve">The total liability of the employer ordered under this section is not to exceed the lesser of — </w:t>
      </w:r>
    </w:p>
    <w:p>
      <w:pPr>
        <w:pStyle w:val="Indenta"/>
      </w:pPr>
      <w:r>
        <w:tab/>
        <w:t>(a)</w:t>
      </w:r>
      <w:r>
        <w:tab/>
        <w:t>an amount equal to 75% of the prescribed amount; or</w:t>
      </w:r>
    </w:p>
    <w:p>
      <w:pPr>
        <w:pStyle w:val="Indenta"/>
      </w:pPr>
      <w:r>
        <w:tab/>
        <w:t>(b)</w:t>
      </w:r>
      <w:r>
        <w:tab/>
        <w:t xml:space="preserve">weekly payments at the rate to which the worker was entitled at the time when the total weekly payments for the injury of the worker reached the prescribed amount —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Indenti"/>
      </w:pP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bookmarkStart w:id="2644" w:name="_Toc87253097"/>
      <w:r>
        <w:tab/>
        <w:t>[Section 217 inserted by No. 42 of 2004 s. 130.]</w:t>
      </w:r>
    </w:p>
    <w:p>
      <w:pPr>
        <w:pStyle w:val="Heading5"/>
      </w:pPr>
      <w:bookmarkStart w:id="2645" w:name="_Toc122833479"/>
      <w:bookmarkStart w:id="2646" w:name="_Toc122834046"/>
      <w:r>
        <w:rPr>
          <w:rStyle w:val="CharSectno"/>
        </w:rPr>
        <w:t>218</w:t>
      </w:r>
      <w:r>
        <w:t>.</w:t>
      </w:r>
      <w:r>
        <w:tab/>
        <w:t>Order relating to payment of compensation in respect of persons under legal disability or who are dependants</w:t>
      </w:r>
      <w:bookmarkEnd w:id="2644"/>
      <w:bookmarkEnd w:id="2645"/>
      <w:bookmarkEnd w:id="2646"/>
    </w:p>
    <w:p>
      <w:pPr>
        <w:pStyle w:val="Subsection"/>
      </w:pPr>
      <w:r>
        <w:tab/>
        <w:t>(1)</w:t>
      </w:r>
      <w:r>
        <w:tab/>
        <w:t xml:space="preserve">A question as to the payment of compensation that is payable to — </w:t>
      </w:r>
    </w:p>
    <w:p>
      <w:pPr>
        <w:pStyle w:val="Indenta"/>
      </w:pPr>
      <w:r>
        <w:tab/>
        <w:t>(a)</w:t>
      </w:r>
      <w:r>
        <w:tab/>
        <w:t>a person under a legal disability to give an effective discharge for payment; or</w:t>
      </w:r>
    </w:p>
    <w:p>
      <w:pPr>
        <w:pStyle w:val="Indenta"/>
      </w:pPr>
      <w:r>
        <w:tab/>
        <w:t>(b)</w:t>
      </w:r>
      <w:r>
        <w:tab/>
        <w:t>a dependant or dependants of a deceased worker,</w:t>
      </w:r>
    </w:p>
    <w:p>
      <w:pPr>
        <w:pStyle w:val="Subsection"/>
      </w:pPr>
      <w:r>
        <w:tab/>
      </w:r>
      <w:r>
        <w:tab/>
        <w:t>may be determined on application under this Part as a dispute.</w:t>
      </w:r>
    </w:p>
    <w:p>
      <w:pPr>
        <w:pStyle w:val="Subsection"/>
      </w:pPr>
      <w:r>
        <w:tab/>
        <w:t>(2)</w:t>
      </w:r>
      <w:r>
        <w:tab/>
        <w:t>An arbitrator may order that compensation that is payable to a person under a legal disability to give an effective discharge for payment is to be paid to WorkCover WA and applied in the manner specified in the order.</w:t>
      </w:r>
    </w:p>
    <w:p>
      <w:pPr>
        <w:pStyle w:val="Subsection"/>
      </w:pPr>
      <w:r>
        <w:tab/>
        <w:t>(3)</w:t>
      </w:r>
      <w:r>
        <w:tab/>
        <w:t xml:space="preserve">An arbitrator may order that all or any of the compensation that is payable to a dependant or dependants of a deceased worker — </w:t>
      </w:r>
    </w:p>
    <w:p>
      <w:pPr>
        <w:pStyle w:val="Indenta"/>
      </w:pPr>
      <w:r>
        <w:tab/>
        <w:t>(a)</w:t>
      </w:r>
      <w:r>
        <w:tab/>
        <w:t>is to be paid to WorkCover WA and applied in the manner specified in the order; or</w:t>
      </w:r>
    </w:p>
    <w:p>
      <w:pPr>
        <w:pStyle w:val="Indenta"/>
      </w:pPr>
      <w:r>
        <w:tab/>
        <w:t>(b)</w:t>
      </w:r>
      <w:r>
        <w:tab/>
        <w:t>is to be paid to a dependant or dependants of the deceased worker as specified in the order.</w:t>
      </w:r>
    </w:p>
    <w:p>
      <w:pPr>
        <w:pStyle w:val="Subsection"/>
      </w:pPr>
      <w:r>
        <w:tab/>
        <w:t>(4)</w:t>
      </w:r>
      <w:r>
        <w:tab/>
        <w:t xml:space="preserve">After it has been ordered under subsection (2) or (3)(a) that compensation be paid to WorkCover WA, a question as to — </w:t>
      </w:r>
    </w:p>
    <w:p>
      <w:pPr>
        <w:pStyle w:val="Indenta"/>
      </w:pPr>
      <w:r>
        <w:tab/>
        <w:t>(a)</w:t>
      </w:r>
      <w:r>
        <w:tab/>
        <w:t>whether the compensation should be applied differently; or</w:t>
      </w:r>
    </w:p>
    <w:p>
      <w:pPr>
        <w:pStyle w:val="Indenta"/>
      </w:pPr>
      <w:r>
        <w:tab/>
        <w:t>(b)</w:t>
      </w:r>
      <w:r>
        <w:tab/>
        <w:t>if the order was under subsection (3)(a), whether all or any of the compensation should be paid to a dependant or dependants of the deceased worker,</w:t>
      </w:r>
    </w:p>
    <w:p>
      <w:pPr>
        <w:pStyle w:val="Subsection"/>
      </w:pPr>
      <w:r>
        <w:tab/>
      </w:r>
      <w:r>
        <w:tab/>
        <w:t>may be determined on application under this Part as a dispute.</w:t>
      </w:r>
    </w:p>
    <w:p>
      <w:pPr>
        <w:pStyle w:val="Subsection"/>
      </w:pPr>
      <w:r>
        <w:tab/>
        <w:t>(5)</w:t>
      </w:r>
      <w:r>
        <w:tab/>
        <w:t>An arbitrator may make such orders under subsections (1) and (4) as the arbitrator thinks fit.</w:t>
      </w:r>
    </w:p>
    <w:p>
      <w:pPr>
        <w:pStyle w:val="Footnotesection"/>
      </w:pPr>
      <w:bookmarkStart w:id="2647" w:name="_Toc87253098"/>
      <w:r>
        <w:tab/>
        <w:t>[Section 218 inserted by No. 42 of 2004 s. 130.]</w:t>
      </w:r>
    </w:p>
    <w:p>
      <w:pPr>
        <w:pStyle w:val="Heading4"/>
      </w:pPr>
      <w:bookmarkStart w:id="2648" w:name="_Toc119132759"/>
      <w:bookmarkStart w:id="2649" w:name="_Toc119203429"/>
      <w:bookmarkStart w:id="2650" w:name="_Toc119204075"/>
      <w:bookmarkStart w:id="2651" w:name="_Toc119216405"/>
      <w:bookmarkStart w:id="2652" w:name="_Toc119300927"/>
      <w:bookmarkStart w:id="2653" w:name="_Toc119301494"/>
      <w:bookmarkStart w:id="2654" w:name="_Toc119302063"/>
      <w:bookmarkStart w:id="2655" w:name="_Toc119920250"/>
      <w:bookmarkStart w:id="2656" w:name="_Toc122774237"/>
      <w:bookmarkStart w:id="2657" w:name="_Toc122833480"/>
      <w:bookmarkStart w:id="2658" w:name="_Toc122834047"/>
      <w:r>
        <w:t>Subdivision 3 — Enforcement of decisions</w:t>
      </w:r>
      <w:bookmarkEnd w:id="2647"/>
      <w:bookmarkEnd w:id="2648"/>
      <w:bookmarkEnd w:id="2649"/>
      <w:bookmarkEnd w:id="2650"/>
      <w:bookmarkEnd w:id="2651"/>
      <w:bookmarkEnd w:id="2652"/>
      <w:bookmarkEnd w:id="2653"/>
      <w:bookmarkEnd w:id="2654"/>
      <w:bookmarkEnd w:id="2655"/>
      <w:bookmarkEnd w:id="2656"/>
      <w:bookmarkEnd w:id="2657"/>
      <w:bookmarkEnd w:id="2658"/>
    </w:p>
    <w:p>
      <w:pPr>
        <w:pStyle w:val="Footnoteheading"/>
      </w:pPr>
      <w:bookmarkStart w:id="2659" w:name="_Toc87253099"/>
      <w:r>
        <w:tab/>
        <w:t>[Heading inserted by No. 42 of 2004 s. 130.]</w:t>
      </w:r>
    </w:p>
    <w:p>
      <w:pPr>
        <w:pStyle w:val="Heading5"/>
      </w:pPr>
      <w:bookmarkStart w:id="2660" w:name="_Toc122833481"/>
      <w:bookmarkStart w:id="2661" w:name="_Toc122834048"/>
      <w:r>
        <w:rPr>
          <w:rStyle w:val="CharSectno"/>
        </w:rPr>
        <w:t>219</w:t>
      </w:r>
      <w:r>
        <w:t>.</w:t>
      </w:r>
      <w:r>
        <w:tab/>
        <w:t>Enforcement of decisions</w:t>
      </w:r>
      <w:bookmarkEnd w:id="2659"/>
      <w:bookmarkEnd w:id="2660"/>
      <w:bookmarkEnd w:id="2661"/>
    </w:p>
    <w:p>
      <w:pPr>
        <w:pStyle w:val="Subsection"/>
      </w:pPr>
      <w:r>
        <w:tab/>
        <w:t>(1)</w:t>
      </w:r>
      <w:r>
        <w:tab/>
        <w:t xml:space="preserve">A person to whom money is to be paid under a decision of an arbitrator may enforce the decision by filing in a court of competent jurisdiction — </w:t>
      </w:r>
    </w:p>
    <w:p>
      <w:pPr>
        <w:pStyle w:val="Indenta"/>
      </w:pPr>
      <w:r>
        <w:tab/>
        <w:t>(a)</w:t>
      </w:r>
      <w:r>
        <w:tab/>
        <w:t>a copy of the decision that the Director has certified to be a true copy; and</w:t>
      </w:r>
    </w:p>
    <w:p>
      <w:pPr>
        <w:pStyle w:val="Indenta"/>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bookmarkStart w:id="2662" w:name="_Toc87253100"/>
      <w:r>
        <w:tab/>
        <w:t>[Section 219 inserted by No. 42 of 2004 s. 130; amended by No. 16 of 2005 s. 24.]</w:t>
      </w:r>
    </w:p>
    <w:p>
      <w:pPr>
        <w:pStyle w:val="Heading3"/>
      </w:pPr>
      <w:bookmarkStart w:id="2663" w:name="_Toc119132761"/>
      <w:bookmarkStart w:id="2664" w:name="_Toc119203431"/>
      <w:bookmarkStart w:id="2665" w:name="_Toc119204077"/>
      <w:bookmarkStart w:id="2666" w:name="_Toc119216407"/>
      <w:bookmarkStart w:id="2667" w:name="_Toc119300929"/>
      <w:bookmarkStart w:id="2668" w:name="_Toc119301496"/>
      <w:bookmarkStart w:id="2669" w:name="_Toc119302065"/>
      <w:bookmarkStart w:id="2670" w:name="_Toc119920252"/>
      <w:bookmarkStart w:id="2671" w:name="_Toc122774239"/>
      <w:bookmarkStart w:id="2672" w:name="_Toc122833482"/>
      <w:bookmarkStart w:id="2673" w:name="_Toc122834049"/>
      <w:r>
        <w:rPr>
          <w:rStyle w:val="CharDivNo"/>
        </w:rPr>
        <w:t>Division 6</w:t>
      </w:r>
      <w:r>
        <w:t> — </w:t>
      </w:r>
      <w:r>
        <w:rPr>
          <w:rStyle w:val="CharDivText"/>
        </w:rPr>
        <w:t>Miscellaneous</w:t>
      </w:r>
      <w:bookmarkEnd w:id="2662"/>
      <w:bookmarkEnd w:id="2663"/>
      <w:bookmarkEnd w:id="2664"/>
      <w:bookmarkEnd w:id="2665"/>
      <w:bookmarkEnd w:id="2666"/>
      <w:bookmarkEnd w:id="2667"/>
      <w:bookmarkEnd w:id="2668"/>
      <w:bookmarkEnd w:id="2669"/>
      <w:bookmarkEnd w:id="2670"/>
      <w:bookmarkEnd w:id="2671"/>
      <w:bookmarkEnd w:id="2672"/>
      <w:bookmarkEnd w:id="2673"/>
    </w:p>
    <w:p>
      <w:pPr>
        <w:pStyle w:val="Footnoteheading"/>
      </w:pPr>
      <w:bookmarkStart w:id="2674" w:name="_Toc87253101"/>
      <w:r>
        <w:tab/>
        <w:t>[Heading inserted by No. 42 of 2004 s. 130.]</w:t>
      </w:r>
    </w:p>
    <w:p>
      <w:pPr>
        <w:pStyle w:val="Heading5"/>
      </w:pPr>
      <w:bookmarkStart w:id="2675" w:name="_Toc122833483"/>
      <w:bookmarkStart w:id="2676" w:name="_Toc122834050"/>
      <w:r>
        <w:rPr>
          <w:rStyle w:val="CharSectno"/>
        </w:rPr>
        <w:t>220</w:t>
      </w:r>
      <w:r>
        <w:t>.</w:t>
      </w:r>
      <w:r>
        <w:tab/>
        <w:t>Evidence not admissible in common law proceedings</w:t>
      </w:r>
      <w:bookmarkEnd w:id="2674"/>
      <w:bookmarkEnd w:id="2675"/>
      <w:bookmarkEnd w:id="2676"/>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bookmarkStart w:id="2677" w:name="_Toc48380287"/>
      <w:bookmarkStart w:id="2678" w:name="_Toc87253102"/>
      <w:r>
        <w:tab/>
        <w:t>[Section 220 inserted by No. 42 of 2004 s. 130.]</w:t>
      </w:r>
    </w:p>
    <w:p>
      <w:pPr>
        <w:pStyle w:val="Heading5"/>
        <w:rPr>
          <w:snapToGrid w:val="0"/>
        </w:rPr>
      </w:pPr>
      <w:bookmarkStart w:id="2679" w:name="_Toc122833484"/>
      <w:bookmarkStart w:id="2680" w:name="_Toc122834051"/>
      <w:r>
        <w:rPr>
          <w:rStyle w:val="CharSectno"/>
        </w:rPr>
        <w:t>221</w:t>
      </w:r>
      <w:r>
        <w:rPr>
          <w:snapToGrid w:val="0"/>
        </w:rPr>
        <w:t>.</w:t>
      </w:r>
      <w:r>
        <w:rPr>
          <w:snapToGrid w:val="0"/>
        </w:rPr>
        <w:tab/>
        <w:t>Payment of compensation awarded</w:t>
      </w:r>
      <w:bookmarkEnd w:id="2677"/>
      <w:bookmarkEnd w:id="2678"/>
      <w:bookmarkEnd w:id="2679"/>
      <w:bookmarkEnd w:id="2680"/>
      <w:r>
        <w:rPr>
          <w:snapToGrid w:val="0"/>
        </w:rPr>
        <w:t xml:space="preserve"> </w:t>
      </w:r>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pPr>
      <w:bookmarkStart w:id="2681" w:name="_Toc87253103"/>
      <w:r>
        <w:tab/>
        <w:t>[Section 221 inserted by No. 42 of 2004 s. 130.]</w:t>
      </w:r>
    </w:p>
    <w:p>
      <w:pPr>
        <w:pStyle w:val="Heading5"/>
      </w:pPr>
      <w:bookmarkStart w:id="2682" w:name="_Toc122833485"/>
      <w:bookmarkStart w:id="2683" w:name="_Toc122834052"/>
      <w:r>
        <w:rPr>
          <w:rStyle w:val="CharSectno"/>
        </w:rPr>
        <w:t>222</w:t>
      </w:r>
      <w:r>
        <w:t>.</w:t>
      </w:r>
      <w:r>
        <w:tab/>
        <w:t>Interest before order for payment</w:t>
      </w:r>
      <w:bookmarkEnd w:id="2681"/>
      <w:bookmarkEnd w:id="2682"/>
      <w:bookmarkEnd w:id="2683"/>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pPr>
      <w:r>
        <w:tab/>
        <w:t>(3)</w:t>
      </w:r>
      <w:r>
        <w:tab/>
        <w:t xml:space="preserve">This section does not —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bookmarkStart w:id="2684" w:name="_Toc87253104"/>
      <w:r>
        <w:tab/>
        <w:t>[Section 222 inserted by No. 42 of 2004 s. 130.]</w:t>
      </w:r>
    </w:p>
    <w:p>
      <w:pPr>
        <w:pStyle w:val="Heading5"/>
      </w:pPr>
      <w:bookmarkStart w:id="2685" w:name="_Toc122833486"/>
      <w:bookmarkStart w:id="2686" w:name="_Toc122834053"/>
      <w:r>
        <w:rPr>
          <w:rStyle w:val="CharSectno"/>
        </w:rPr>
        <w:t>223</w:t>
      </w:r>
      <w:r>
        <w:t>.</w:t>
      </w:r>
      <w:r>
        <w:tab/>
        <w:t>Interest after order for payment</w:t>
      </w:r>
      <w:bookmarkEnd w:id="2684"/>
      <w:bookmarkEnd w:id="2685"/>
      <w:bookmarkEnd w:id="2686"/>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pPr>
      <w:r>
        <w:tab/>
        <w:t>(2)</w:t>
      </w:r>
      <w:r>
        <w:tab/>
        <w:t xml:space="preserve">Interest payable under subsection (1) in respect of any sum ordered to be paid — </w:t>
      </w:r>
    </w:p>
    <w:p>
      <w:pPr>
        <w:pStyle w:val="Indenta"/>
      </w:pPr>
      <w:r>
        <w:tab/>
        <w:t>(a)</w:t>
      </w:r>
      <w:r>
        <w:tab/>
        <w:t>is to be calculated as from the date when the order was made or from such later date as an arbitrator in any particular case fixes;</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pPr>
      <w:r>
        <w:tab/>
        <w:t>(3)</w:t>
      </w:r>
      <w:r>
        <w:tab/>
        <w:t>Despite subsections (1) and (2), where an amount ordered to be paid is paid in full within the period prescribed or determined under the regulations, interest is not payable on the amount so paid.</w:t>
      </w:r>
    </w:p>
    <w:p>
      <w:pPr>
        <w:pStyle w:val="Footnotesection"/>
      </w:pPr>
      <w:bookmarkStart w:id="2687" w:name="_Toc87253105"/>
      <w:r>
        <w:tab/>
        <w:t>[Section 223 inserted by No. 42 of 2004 s. 130.]</w:t>
      </w:r>
    </w:p>
    <w:p>
      <w:pPr>
        <w:pStyle w:val="Heading5"/>
      </w:pPr>
      <w:bookmarkStart w:id="2688" w:name="_Toc122833487"/>
      <w:bookmarkStart w:id="2689" w:name="_Toc122834054"/>
      <w:r>
        <w:rPr>
          <w:rStyle w:val="CharSectno"/>
        </w:rPr>
        <w:t>224</w:t>
      </w:r>
      <w:r>
        <w:t>.</w:t>
      </w:r>
      <w:r>
        <w:tab/>
        <w:t>Interest on agreed payment of lump sum compensation</w:t>
      </w:r>
      <w:bookmarkEnd w:id="2687"/>
      <w:bookmarkEnd w:id="2688"/>
      <w:bookmarkEnd w:id="2689"/>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 xml:space="preserve">Interest payable under subsection (1) in respect of any sum so agreed to be paid — </w:t>
      </w:r>
    </w:p>
    <w:p>
      <w:pPr>
        <w:pStyle w:val="Indenta"/>
      </w:pPr>
      <w:r>
        <w:tab/>
        <w:t>(a)</w:t>
      </w:r>
      <w:r>
        <w:tab/>
        <w:t>is to be calculated as from the date provided by the agreement as the date when the sum is due to be paid or, if the agreement does not so provide, the date that is 21 days after the date the agreement was made;</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bookmarkStart w:id="2690" w:name="_Toc87253106"/>
      <w:r>
        <w:tab/>
        <w:t>[Section 224 inserted by No. 42 of 2004 s. 130.]</w:t>
      </w:r>
    </w:p>
    <w:p>
      <w:pPr>
        <w:pStyle w:val="Heading5"/>
      </w:pPr>
      <w:bookmarkStart w:id="2691" w:name="_Toc122833488"/>
      <w:bookmarkStart w:id="2692" w:name="_Toc122834055"/>
      <w:r>
        <w:rPr>
          <w:rStyle w:val="CharSectno"/>
        </w:rPr>
        <w:t>225</w:t>
      </w:r>
      <w:r>
        <w:t>.</w:t>
      </w:r>
      <w:r>
        <w:tab/>
        <w:t>Regulations may exclude interest</w:t>
      </w:r>
      <w:bookmarkEnd w:id="2690"/>
      <w:bookmarkEnd w:id="2691"/>
      <w:bookmarkEnd w:id="2692"/>
    </w:p>
    <w:p>
      <w:pPr>
        <w:pStyle w:val="Subsection"/>
      </w:pPr>
      <w:r>
        <w:tab/>
      </w:r>
      <w:r>
        <w:tab/>
        <w:t>Interest is not payable under section 222, 223 or 224 in the circumstances prescribed in the regulations.</w:t>
      </w:r>
    </w:p>
    <w:p>
      <w:pPr>
        <w:pStyle w:val="Footnotesection"/>
      </w:pPr>
      <w:bookmarkStart w:id="2693" w:name="_Toc87253107"/>
      <w:r>
        <w:tab/>
        <w:t>[Section 225 inserted by No. 42 of 2004 s. 130.]</w:t>
      </w:r>
    </w:p>
    <w:p>
      <w:pPr>
        <w:pStyle w:val="Heading2"/>
      </w:pPr>
      <w:bookmarkStart w:id="2694" w:name="_Toc119132768"/>
      <w:bookmarkStart w:id="2695" w:name="_Toc119203438"/>
      <w:bookmarkStart w:id="2696" w:name="_Toc119204084"/>
      <w:bookmarkStart w:id="2697" w:name="_Toc119216414"/>
      <w:bookmarkStart w:id="2698" w:name="_Toc119300936"/>
      <w:bookmarkStart w:id="2699" w:name="_Toc119301503"/>
      <w:bookmarkStart w:id="2700" w:name="_Toc119302072"/>
      <w:bookmarkStart w:id="2701" w:name="_Toc119920259"/>
      <w:bookmarkStart w:id="2702" w:name="_Toc122774246"/>
      <w:bookmarkStart w:id="2703" w:name="_Toc122833489"/>
      <w:bookmarkStart w:id="2704" w:name="_Toc122834056"/>
      <w:r>
        <w:rPr>
          <w:rStyle w:val="CharPartNo"/>
        </w:rPr>
        <w:t>Part XII</w:t>
      </w:r>
      <w:r>
        <w:rPr>
          <w:b w:val="0"/>
        </w:rPr>
        <w:t> </w:t>
      </w:r>
      <w:r>
        <w:t>—</w:t>
      </w:r>
      <w:r>
        <w:rPr>
          <w:b w:val="0"/>
        </w:rPr>
        <w:t> </w:t>
      </w:r>
      <w:r>
        <w:rPr>
          <w:rStyle w:val="CharPartText"/>
        </w:rPr>
        <w:t>Interim orders and minor claims</w:t>
      </w:r>
      <w:bookmarkEnd w:id="2693"/>
      <w:bookmarkEnd w:id="2694"/>
      <w:bookmarkEnd w:id="2695"/>
      <w:bookmarkEnd w:id="2696"/>
      <w:bookmarkEnd w:id="2697"/>
      <w:bookmarkEnd w:id="2698"/>
      <w:bookmarkEnd w:id="2699"/>
      <w:bookmarkEnd w:id="2700"/>
      <w:bookmarkEnd w:id="2701"/>
      <w:bookmarkEnd w:id="2702"/>
      <w:bookmarkEnd w:id="2703"/>
      <w:bookmarkEnd w:id="2704"/>
    </w:p>
    <w:p>
      <w:pPr>
        <w:pStyle w:val="Footnoteheading"/>
      </w:pPr>
      <w:bookmarkStart w:id="2705" w:name="_Toc87253108"/>
      <w:r>
        <w:tab/>
        <w:t>[Heading inserted by No. 42 of 2004 s. 130.]</w:t>
      </w:r>
    </w:p>
    <w:p>
      <w:pPr>
        <w:pStyle w:val="Heading3"/>
      </w:pPr>
      <w:bookmarkStart w:id="2706" w:name="_Toc119132769"/>
      <w:bookmarkStart w:id="2707" w:name="_Toc119203439"/>
      <w:bookmarkStart w:id="2708" w:name="_Toc119204085"/>
      <w:bookmarkStart w:id="2709" w:name="_Toc119216415"/>
      <w:bookmarkStart w:id="2710" w:name="_Toc119300937"/>
      <w:bookmarkStart w:id="2711" w:name="_Toc119301504"/>
      <w:bookmarkStart w:id="2712" w:name="_Toc119302073"/>
      <w:bookmarkStart w:id="2713" w:name="_Toc119920260"/>
      <w:bookmarkStart w:id="2714" w:name="_Toc122774247"/>
      <w:bookmarkStart w:id="2715" w:name="_Toc122833490"/>
      <w:bookmarkStart w:id="2716" w:name="_Toc122834057"/>
      <w:r>
        <w:rPr>
          <w:rStyle w:val="CharDivNo"/>
        </w:rPr>
        <w:t>Division 1</w:t>
      </w:r>
      <w:r>
        <w:t> — </w:t>
      </w:r>
      <w:r>
        <w:rPr>
          <w:rStyle w:val="CharDivText"/>
        </w:rPr>
        <w:t>Preliminary</w:t>
      </w:r>
      <w:bookmarkEnd w:id="2705"/>
      <w:bookmarkEnd w:id="2706"/>
      <w:bookmarkEnd w:id="2707"/>
      <w:bookmarkEnd w:id="2708"/>
      <w:bookmarkEnd w:id="2709"/>
      <w:bookmarkEnd w:id="2710"/>
      <w:bookmarkEnd w:id="2711"/>
      <w:bookmarkEnd w:id="2712"/>
      <w:bookmarkEnd w:id="2713"/>
      <w:bookmarkEnd w:id="2714"/>
      <w:bookmarkEnd w:id="2715"/>
      <w:bookmarkEnd w:id="2716"/>
    </w:p>
    <w:p>
      <w:pPr>
        <w:pStyle w:val="Footnoteheading"/>
      </w:pPr>
      <w:bookmarkStart w:id="2717" w:name="_Toc87253109"/>
      <w:r>
        <w:tab/>
        <w:t>[Heading inserted by No. 42 of 2004 s. 130.]</w:t>
      </w:r>
    </w:p>
    <w:p>
      <w:pPr>
        <w:pStyle w:val="Heading5"/>
      </w:pPr>
      <w:bookmarkStart w:id="2718" w:name="_Toc122833491"/>
      <w:bookmarkStart w:id="2719" w:name="_Toc122834058"/>
      <w:r>
        <w:rPr>
          <w:rStyle w:val="CharSectno"/>
        </w:rPr>
        <w:t>226</w:t>
      </w:r>
      <w:r>
        <w:t>.</w:t>
      </w:r>
      <w:r>
        <w:tab/>
        <w:t>Interpretation</w:t>
      </w:r>
      <w:bookmarkEnd w:id="2717"/>
      <w:bookmarkEnd w:id="2718"/>
      <w:bookmarkEnd w:id="2719"/>
    </w:p>
    <w:p>
      <w:pPr>
        <w:pStyle w:val="Subsection"/>
      </w:pPr>
      <w:r>
        <w:tab/>
      </w:r>
      <w:r>
        <w:tab/>
        <w:t xml:space="preserve">In this Part — </w:t>
      </w:r>
    </w:p>
    <w:p>
      <w:pPr>
        <w:pStyle w:val="Defstart"/>
      </w:pPr>
      <w:r>
        <w:rPr>
          <w:b/>
        </w:rPr>
        <w:tab/>
        <w:t>“</w:t>
      </w:r>
      <w:r>
        <w:rPr>
          <w:rStyle w:val="CharDefText"/>
        </w:rPr>
        <w:t>statutory expenses</w:t>
      </w:r>
      <w:r>
        <w:rPr>
          <w:b/>
        </w:rPr>
        <w:t>”</w:t>
      </w:r>
      <w:r>
        <w:t xml:space="preserve"> means a compensation entitlement under clause 17.</w:t>
      </w:r>
    </w:p>
    <w:p>
      <w:pPr>
        <w:pStyle w:val="Footnotesection"/>
      </w:pPr>
      <w:bookmarkStart w:id="2720" w:name="_Toc87253110"/>
      <w:r>
        <w:tab/>
        <w:t>[Section 226 inserted by No. 42 of 2004 s. 130.]</w:t>
      </w:r>
    </w:p>
    <w:p>
      <w:pPr>
        <w:pStyle w:val="Heading5"/>
      </w:pPr>
      <w:bookmarkStart w:id="2721" w:name="_Toc122833492"/>
      <w:bookmarkStart w:id="2722" w:name="_Toc122834059"/>
      <w:r>
        <w:rPr>
          <w:rStyle w:val="CharSectno"/>
        </w:rPr>
        <w:t>227</w:t>
      </w:r>
      <w:r>
        <w:t>.</w:t>
      </w:r>
      <w:r>
        <w:tab/>
        <w:t>Exercise of functions under this Part</w:t>
      </w:r>
      <w:bookmarkEnd w:id="2720"/>
      <w:bookmarkEnd w:id="2721"/>
      <w:bookmarkEnd w:id="2722"/>
      <w:r>
        <w:t xml:space="preserve"> </w:t>
      </w:r>
    </w:p>
    <w:p>
      <w:pPr>
        <w:pStyle w:val="Subsection"/>
      </w:pPr>
      <w:r>
        <w:tab/>
        <w:t>(1)</w:t>
      </w:r>
      <w:r>
        <w:tab/>
        <w:t xml:space="preserve">Without limiting section 198, an arbitrator may make a decision under this Part on the basis of — </w:t>
      </w:r>
    </w:p>
    <w:p>
      <w:pPr>
        <w:pStyle w:val="Indenta"/>
      </w:pPr>
      <w:r>
        <w:tab/>
        <w:t>(a)</w:t>
      </w:r>
      <w:r>
        <w:tab/>
        <w:t>documents and information provided when the relevant application was made; and</w:t>
      </w:r>
    </w:p>
    <w:p>
      <w:pPr>
        <w:pStyle w:val="Indenta"/>
      </w:pPr>
      <w:r>
        <w:tab/>
        <w:t>(b)</w:t>
      </w:r>
      <w:r>
        <w:tab/>
        <w:t>advice given to the arbitrator by an officer of the DRD.</w:t>
      </w:r>
    </w:p>
    <w:p>
      <w:pPr>
        <w:pStyle w:val="Subsection"/>
      </w:pPr>
      <w:r>
        <w:tab/>
        <w:t>(2)</w:t>
      </w:r>
      <w:r>
        <w:tab/>
        <w:t>An arbitrator is not to conduct a formal hearing under this Part.</w:t>
      </w:r>
    </w:p>
    <w:p>
      <w:pPr>
        <w:pStyle w:val="Subsection"/>
      </w:pPr>
      <w:r>
        <w:tab/>
        <w:t>(3)</w:t>
      </w:r>
      <w:r>
        <w:tab/>
        <w:t>An arbitrator is not required to give reasons in writing for a decision under this Part.</w:t>
      </w:r>
    </w:p>
    <w:p>
      <w:pPr>
        <w:pStyle w:val="Subsection"/>
      </w:pPr>
      <w:r>
        <w:tab/>
        <w:t>(4)</w:t>
      </w:r>
      <w:r>
        <w:tab/>
        <w:t>A decision under this Part is not subject to an appeal or amenable to judicial review.</w:t>
      </w:r>
    </w:p>
    <w:p>
      <w:pPr>
        <w:pStyle w:val="Footnotesection"/>
      </w:pPr>
      <w:bookmarkStart w:id="2723" w:name="_Toc87253111"/>
      <w:r>
        <w:tab/>
        <w:t>[Section 227 inserted by No. 42 of 2004 s. 130.]</w:t>
      </w:r>
    </w:p>
    <w:p>
      <w:pPr>
        <w:pStyle w:val="Heading5"/>
      </w:pPr>
      <w:bookmarkStart w:id="2724" w:name="_Toc122833493"/>
      <w:bookmarkStart w:id="2725" w:name="_Toc122834060"/>
      <w:r>
        <w:rPr>
          <w:rStyle w:val="CharSectno"/>
        </w:rPr>
        <w:t>228</w:t>
      </w:r>
      <w:r>
        <w:t>.</w:t>
      </w:r>
      <w:r>
        <w:tab/>
        <w:t>Provisions of Part XI apply</w:t>
      </w:r>
      <w:bookmarkEnd w:id="2723"/>
      <w:bookmarkEnd w:id="2724"/>
      <w:bookmarkEnd w:id="2725"/>
    </w:p>
    <w:p>
      <w:pPr>
        <w:pStyle w:val="Subsection"/>
      </w:pPr>
      <w:r>
        <w:tab/>
      </w:r>
      <w:r>
        <w:tab/>
        <w:t>Except where provision to the contrary is made in this Part or in the DRD Rules, the provisions of Part XI apply to and in relation to proceedings and decisions under this Part.</w:t>
      </w:r>
    </w:p>
    <w:p>
      <w:pPr>
        <w:pStyle w:val="Footnotesection"/>
      </w:pPr>
      <w:bookmarkStart w:id="2726" w:name="_Toc87253112"/>
      <w:r>
        <w:tab/>
        <w:t>[Section 228 inserted by No. 42 of 2004 s. 130.]</w:t>
      </w:r>
    </w:p>
    <w:p>
      <w:pPr>
        <w:pStyle w:val="Heading5"/>
      </w:pPr>
      <w:bookmarkStart w:id="2727" w:name="_Toc122833494"/>
      <w:bookmarkStart w:id="2728" w:name="_Toc122834061"/>
      <w:r>
        <w:rPr>
          <w:rStyle w:val="CharSectno"/>
        </w:rPr>
        <w:t>229</w:t>
      </w:r>
      <w:r>
        <w:t>.</w:t>
      </w:r>
      <w:r>
        <w:tab/>
        <w:t>Arbitrator may direct that matter be dealt with under Part XI</w:t>
      </w:r>
      <w:bookmarkEnd w:id="2726"/>
      <w:bookmarkEnd w:id="2727"/>
      <w:bookmarkEnd w:id="2728"/>
    </w:p>
    <w:p>
      <w:pPr>
        <w:pStyle w:val="Subsection"/>
      </w:pPr>
      <w:r>
        <w:tab/>
      </w:r>
      <w:r>
        <w:tab/>
        <w:t>An arbitrator may direct that a matter under this Part, or a matter referred under section 184 to be dealt with under this Part, is to be dealt with instead under Part XI.</w:t>
      </w:r>
    </w:p>
    <w:p>
      <w:pPr>
        <w:pStyle w:val="Footnotesection"/>
      </w:pPr>
      <w:bookmarkStart w:id="2729" w:name="_Toc87253113"/>
      <w:r>
        <w:tab/>
        <w:t>[Section 229 inserted by No. 42 of 2004 s. 130.]</w:t>
      </w:r>
    </w:p>
    <w:p>
      <w:pPr>
        <w:pStyle w:val="Heading5"/>
      </w:pPr>
      <w:bookmarkStart w:id="2730" w:name="_Toc122833495"/>
      <w:bookmarkStart w:id="2731" w:name="_Toc122834062"/>
      <w:r>
        <w:rPr>
          <w:rStyle w:val="CharSectno"/>
        </w:rPr>
        <w:t>230</w:t>
      </w:r>
      <w:r>
        <w:t>.</w:t>
      </w:r>
      <w:r>
        <w:tab/>
        <w:t>DRD Rules apply</w:t>
      </w:r>
      <w:bookmarkEnd w:id="2729"/>
      <w:bookmarkEnd w:id="2730"/>
      <w:bookmarkEnd w:id="2731"/>
    </w:p>
    <w:p>
      <w:pPr>
        <w:pStyle w:val="Subsection"/>
      </w:pPr>
      <w:r>
        <w:tab/>
        <w:t>(1)</w:t>
      </w:r>
      <w:r>
        <w:tab/>
        <w:t>An application under this Part is to be made in the manner, and is to include the information, prescribed by the DRD Rules.</w:t>
      </w:r>
    </w:p>
    <w:p>
      <w:pPr>
        <w:pStyle w:val="Subsection"/>
      </w:pPr>
      <w:r>
        <w:tab/>
        <w:t>(2)</w:t>
      </w:r>
      <w:r>
        <w:tab/>
        <w:t>The giving of directions and orders under this Part is subject to the provisions of the DRD Rules relating to those directions and orders.</w:t>
      </w:r>
    </w:p>
    <w:p>
      <w:pPr>
        <w:pStyle w:val="Footnotesection"/>
      </w:pPr>
      <w:bookmarkStart w:id="2732" w:name="_Toc87253114"/>
      <w:r>
        <w:tab/>
        <w:t>[Section 230 inserted by No. 42 of 2004 s. 130.]</w:t>
      </w:r>
    </w:p>
    <w:p>
      <w:pPr>
        <w:pStyle w:val="Heading3"/>
      </w:pPr>
      <w:bookmarkStart w:id="2733" w:name="_Toc119132775"/>
      <w:bookmarkStart w:id="2734" w:name="_Toc119203445"/>
      <w:bookmarkStart w:id="2735" w:name="_Toc119204091"/>
      <w:bookmarkStart w:id="2736" w:name="_Toc119216421"/>
      <w:bookmarkStart w:id="2737" w:name="_Toc119300943"/>
      <w:bookmarkStart w:id="2738" w:name="_Toc119301510"/>
      <w:bookmarkStart w:id="2739" w:name="_Toc119302079"/>
      <w:bookmarkStart w:id="2740" w:name="_Toc119920266"/>
      <w:bookmarkStart w:id="2741" w:name="_Toc122774253"/>
      <w:bookmarkStart w:id="2742" w:name="_Toc122833496"/>
      <w:bookmarkStart w:id="2743" w:name="_Toc122834063"/>
      <w:r>
        <w:rPr>
          <w:rStyle w:val="CharDivNo"/>
        </w:rPr>
        <w:t>Division 2</w:t>
      </w:r>
      <w:r>
        <w:t> — </w:t>
      </w:r>
      <w:r>
        <w:rPr>
          <w:rStyle w:val="CharDivText"/>
        </w:rPr>
        <w:t>Interim payment orders</w:t>
      </w:r>
      <w:bookmarkEnd w:id="2732"/>
      <w:bookmarkEnd w:id="2733"/>
      <w:bookmarkEnd w:id="2734"/>
      <w:bookmarkEnd w:id="2735"/>
      <w:bookmarkEnd w:id="2736"/>
      <w:bookmarkEnd w:id="2737"/>
      <w:bookmarkEnd w:id="2738"/>
      <w:bookmarkEnd w:id="2739"/>
      <w:bookmarkEnd w:id="2740"/>
      <w:bookmarkEnd w:id="2741"/>
      <w:bookmarkEnd w:id="2742"/>
      <w:bookmarkEnd w:id="2743"/>
    </w:p>
    <w:p>
      <w:pPr>
        <w:pStyle w:val="Footnoteheading"/>
      </w:pPr>
      <w:bookmarkStart w:id="2744" w:name="_Toc87253115"/>
      <w:r>
        <w:tab/>
        <w:t>[Heading inserted by No. 42 of 2004 s. 130.]</w:t>
      </w:r>
    </w:p>
    <w:p>
      <w:pPr>
        <w:pStyle w:val="Heading5"/>
        <w:rPr>
          <w:rStyle w:val="CharSectno"/>
        </w:rPr>
      </w:pPr>
      <w:bookmarkStart w:id="2745" w:name="_Toc122833497"/>
      <w:bookmarkStart w:id="2746" w:name="_Toc122834064"/>
      <w:r>
        <w:rPr>
          <w:rStyle w:val="CharSectno"/>
        </w:rPr>
        <w:t>231.</w:t>
      </w:r>
      <w:r>
        <w:rPr>
          <w:rStyle w:val="CharSectno"/>
        </w:rPr>
        <w:tab/>
        <w:t>Application for interim payment order</w:t>
      </w:r>
      <w:bookmarkEnd w:id="2744"/>
      <w:bookmarkEnd w:id="2745"/>
      <w:bookmarkEnd w:id="2746"/>
    </w:p>
    <w:p>
      <w:pPr>
        <w:pStyle w:val="Subsection"/>
      </w:pPr>
      <w:r>
        <w:tab/>
        <w:t>(1)</w:t>
      </w:r>
      <w:r>
        <w:tab/>
        <w:t xml:space="preserve">An application for an order as to payment of weekly payments before liability for those weekly payments is otherwise determined under this Act may be made under this Division by a worker at any time after —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 xml:space="preserve">the worker suffering the injury has served on the employer a certificate signed by a medical practitioner —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 xml:space="preserve">An application for an order as to payment of statutory expenses before liability for those expenses is otherwise determined under this Act may be made by a worker at any time after — </w:t>
      </w:r>
    </w:p>
    <w:p>
      <w:pPr>
        <w:pStyle w:val="Indenta"/>
      </w:pPr>
      <w:r>
        <w:tab/>
        <w:t>(a)</w:t>
      </w:r>
      <w:r>
        <w:tab/>
        <w:t>a claim for compensation by way of payment of statutory expenses has been made on an employer in accordance with section 178(1)(b); and</w:t>
      </w:r>
    </w:p>
    <w:p>
      <w:pPr>
        <w:pStyle w:val="Indenta"/>
      </w:pPr>
      <w:r>
        <w:tab/>
        <w:t>(b)</w:t>
      </w:r>
      <w:r>
        <w:tab/>
        <w:t>the worker suffering the injury has served on the employer a certificate in or to the effect prescribed and signed by a medical practitioner to the effect that the expenses claimed are expenses incurred by the worker for treatment or services required in relation to the injury.</w:t>
      </w:r>
    </w:p>
    <w:p>
      <w:pPr>
        <w:pStyle w:val="Footnotesection"/>
      </w:pPr>
      <w:bookmarkStart w:id="2747" w:name="_Toc87253116"/>
      <w:r>
        <w:tab/>
        <w:t>[Section 231 inserted by No. 42 of 2004 s. 130; amended by No. 16 of 2005 s. 25.]</w:t>
      </w:r>
    </w:p>
    <w:p>
      <w:pPr>
        <w:pStyle w:val="Heading5"/>
      </w:pPr>
      <w:bookmarkStart w:id="2748" w:name="_Toc122833498"/>
      <w:bookmarkStart w:id="2749" w:name="_Toc122834065"/>
      <w:r>
        <w:rPr>
          <w:rStyle w:val="CharSectno"/>
        </w:rPr>
        <w:t>232</w:t>
      </w:r>
      <w:r>
        <w:t>.</w:t>
      </w:r>
      <w:r>
        <w:tab/>
        <w:t>Orders for interim weekly payments</w:t>
      </w:r>
      <w:bookmarkEnd w:id="2747"/>
      <w:bookmarkEnd w:id="2748"/>
      <w:bookmarkEnd w:id="2749"/>
    </w:p>
    <w:p>
      <w:pPr>
        <w:pStyle w:val="Subsection"/>
      </w:pPr>
      <w:r>
        <w:tab/>
        <w:t>(1)</w:t>
      </w:r>
      <w:r>
        <w:tab/>
        <w:t xml:space="preserve">Subject to section 234, if — </w:t>
      </w:r>
    </w:p>
    <w:p>
      <w:pPr>
        <w:pStyle w:val="Indenta"/>
      </w:pPr>
      <w:r>
        <w:tab/>
        <w:t>(a)</w:t>
      </w:r>
      <w:r>
        <w:tab/>
        <w:t>a period of not less than 21 days has elapsed since a worker served on the worker’s employer the documents referred to in section 231(1); and</w:t>
      </w:r>
    </w:p>
    <w:p>
      <w:pPr>
        <w:pStyle w:val="Indenta"/>
      </w:pPr>
      <w:r>
        <w:tab/>
        <w:t>(b)</w:t>
      </w:r>
      <w:r>
        <w:tab/>
        <w:t>the worker has not received the first of the weekly payments claimed,</w:t>
      </w:r>
    </w:p>
    <w:p>
      <w:pPr>
        <w:pStyle w:val="Subsection"/>
      </w:pPr>
      <w:r>
        <w:tab/>
      </w:r>
      <w:r>
        <w:tab/>
        <w:t>an arbitrator may order the employer to pay weekly payments to the worker.</w:t>
      </w:r>
    </w:p>
    <w:p>
      <w:pPr>
        <w:pStyle w:val="Subsection"/>
      </w:pPr>
      <w:r>
        <w:tab/>
        <w:t>(2)</w:t>
      </w:r>
      <w:r>
        <w:tab/>
        <w:t xml:space="preserve">An order under subsection (1) is referred to in this Division as an </w:t>
      </w:r>
      <w:r>
        <w:rPr>
          <w:b/>
        </w:rPr>
        <w:t>“</w:t>
      </w:r>
      <w:r>
        <w:rPr>
          <w:rStyle w:val="CharDefText"/>
        </w:rPr>
        <w:t>interim payment order</w:t>
      </w:r>
      <w:r>
        <w:rPr>
          <w:b/>
        </w:rPr>
        <w:t>”</w:t>
      </w:r>
      <w:r>
        <w:t>.</w:t>
      </w:r>
    </w:p>
    <w:p>
      <w:pPr>
        <w:pStyle w:val="Subsection"/>
      </w:pPr>
      <w:r>
        <w:tab/>
        <w:t>(3)</w:t>
      </w:r>
      <w:r>
        <w:tab/>
        <w:t xml:space="preserve">An arbitrator may make an interim payment order for weekly payments of compensation on an application under this Division unless it appears to the arbitrator that — </w:t>
      </w:r>
    </w:p>
    <w:p>
      <w:pPr>
        <w:pStyle w:val="Indenta"/>
      </w:pPr>
      <w:r>
        <w:tab/>
        <w:t>(a)</w:t>
      </w:r>
      <w:r>
        <w:tab/>
        <w:t>the claim concerned would have minimal prospects of success under Part XI;</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bookmarkStart w:id="2750" w:name="_Toc87253117"/>
      <w:r>
        <w:tab/>
        <w:t>[Section 232 inserted by No. 42 of 2004 s. 130.]</w:t>
      </w:r>
    </w:p>
    <w:p>
      <w:pPr>
        <w:pStyle w:val="Heading5"/>
      </w:pPr>
      <w:bookmarkStart w:id="2751" w:name="_Toc122833499"/>
      <w:bookmarkStart w:id="2752" w:name="_Toc122834066"/>
      <w:r>
        <w:rPr>
          <w:rStyle w:val="CharSectno"/>
        </w:rPr>
        <w:t>233</w:t>
      </w:r>
      <w:r>
        <w:t>.</w:t>
      </w:r>
      <w:r>
        <w:tab/>
        <w:t>Orders for interim payment of statutory expenses</w:t>
      </w:r>
      <w:bookmarkEnd w:id="2750"/>
      <w:bookmarkEnd w:id="2751"/>
      <w:bookmarkEnd w:id="2752"/>
    </w:p>
    <w:p>
      <w:pPr>
        <w:pStyle w:val="Subsection"/>
      </w:pPr>
      <w:r>
        <w:tab/>
        <w:t>(1)</w:t>
      </w:r>
      <w:r>
        <w:tab/>
        <w:t xml:space="preserve">Subject to section 234, if — </w:t>
      </w:r>
    </w:p>
    <w:p>
      <w:pPr>
        <w:pStyle w:val="Indenta"/>
      </w:pPr>
      <w:r>
        <w:tab/>
        <w:t>(a)</w:t>
      </w:r>
      <w:r>
        <w:tab/>
        <w:t>a period of not less than 21 days has elapsed since a worker served on the worker’s employer the documents referred to in section 231(2); and</w:t>
      </w:r>
    </w:p>
    <w:p>
      <w:pPr>
        <w:pStyle w:val="Indenta"/>
      </w:pPr>
      <w:r>
        <w:tab/>
        <w:t>(b)</w:t>
      </w:r>
      <w:r>
        <w:tab/>
        <w:t>the worker has not received the statutory expenses claimed,</w:t>
      </w:r>
    </w:p>
    <w:p>
      <w:pPr>
        <w:pStyle w:val="Subsection"/>
      </w:pPr>
      <w:r>
        <w:tab/>
      </w:r>
      <w:r>
        <w:tab/>
        <w:t>an arbitrator may order the employer to pay statutory expenses to the worker.</w:t>
      </w:r>
    </w:p>
    <w:p>
      <w:pPr>
        <w:pStyle w:val="Subsection"/>
      </w:pPr>
      <w:r>
        <w:tab/>
        <w:t>(2)</w:t>
      </w:r>
      <w:r>
        <w:tab/>
        <w:t xml:space="preserve">An order under subsection (1) is referred to in this Division as an </w:t>
      </w:r>
      <w:r>
        <w:rPr>
          <w:b/>
        </w:rPr>
        <w:t>“</w:t>
      </w:r>
      <w:r>
        <w:rPr>
          <w:rStyle w:val="CharDefText"/>
        </w:rPr>
        <w:t>interim payment order</w:t>
      </w:r>
      <w:r>
        <w:rPr>
          <w:b/>
        </w:rPr>
        <w:t>”</w:t>
      </w:r>
      <w:r>
        <w:t>.</w:t>
      </w:r>
    </w:p>
    <w:p>
      <w:pPr>
        <w:pStyle w:val="Subsection"/>
      </w:pPr>
      <w:r>
        <w:tab/>
        <w:t>(3)</w:t>
      </w:r>
      <w:r>
        <w:tab/>
        <w:t xml:space="preserve">An arbitrator may make an interim payment order for statutory expenses unless it appears to the arbitrator that — </w:t>
      </w:r>
    </w:p>
    <w:p>
      <w:pPr>
        <w:pStyle w:val="Indenta"/>
      </w:pPr>
      <w:r>
        <w:tab/>
        <w:t>(a)</w:t>
      </w:r>
      <w:r>
        <w:tab/>
        <w:t>the claim concerned would have minimal prospects of success under Part XI;</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bookmarkStart w:id="2753" w:name="_Toc87253118"/>
      <w:r>
        <w:tab/>
        <w:t>[Section 233 inserted by No. 42 of 2004 s. 130.]</w:t>
      </w:r>
    </w:p>
    <w:p>
      <w:pPr>
        <w:pStyle w:val="Heading5"/>
      </w:pPr>
      <w:bookmarkStart w:id="2754" w:name="_Toc122833500"/>
      <w:bookmarkStart w:id="2755" w:name="_Toc122834067"/>
      <w:r>
        <w:rPr>
          <w:rStyle w:val="CharSectno"/>
        </w:rPr>
        <w:t>234</w:t>
      </w:r>
      <w:r>
        <w:t>.</w:t>
      </w:r>
      <w:r>
        <w:tab/>
        <w:t>Limits on interim payment orders</w:t>
      </w:r>
      <w:bookmarkEnd w:id="2753"/>
      <w:bookmarkEnd w:id="2754"/>
      <w:bookmarkEnd w:id="2755"/>
    </w:p>
    <w:p>
      <w:pPr>
        <w:pStyle w:val="Subsection"/>
      </w:pPr>
      <w:r>
        <w:tab/>
        <w:t>(1)</w:t>
      </w:r>
      <w:r>
        <w:tab/>
        <w:t>An arbitrator is not to order the payment of weekly payments of compensation for a period that exceeds 12 weeks.</w:t>
      </w:r>
    </w:p>
    <w:p>
      <w:pPr>
        <w:pStyle w:val="Subsection"/>
      </w:pPr>
      <w:r>
        <w:tab/>
        <w:t>(2)</w:t>
      </w:r>
      <w:r>
        <w:tab/>
        <w:t>An arbitrator may order payment of weekly payments during a period that is before the order is made, but that period is not to exceed 10 weeks.</w:t>
      </w:r>
    </w:p>
    <w:p>
      <w:pPr>
        <w:pStyle w:val="Subsection"/>
      </w:pPr>
      <w:r>
        <w:tab/>
        <w:t>(3)</w:t>
      </w:r>
      <w:r>
        <w:tab/>
        <w:t>An arbitrator is not to make an interim payment order for payment of statutory expenses for an amount that is more than 5% of the prescribed amount.</w:t>
      </w:r>
    </w:p>
    <w:p>
      <w:pPr>
        <w:pStyle w:val="Footnotesection"/>
      </w:pPr>
      <w:bookmarkStart w:id="2756" w:name="_Toc87253119"/>
      <w:r>
        <w:tab/>
        <w:t>[Section 234 inserted by No. 42 of 2004 s. 130.]</w:t>
      </w:r>
    </w:p>
    <w:p>
      <w:pPr>
        <w:pStyle w:val="Heading5"/>
      </w:pPr>
      <w:bookmarkStart w:id="2757" w:name="_Toc122833501"/>
      <w:bookmarkStart w:id="2758" w:name="_Toc122834068"/>
      <w:r>
        <w:rPr>
          <w:rStyle w:val="CharSectno"/>
        </w:rPr>
        <w:t>235</w:t>
      </w:r>
      <w:r>
        <w:t>.</w:t>
      </w:r>
      <w:r>
        <w:tab/>
        <w:t>Effect of interim payment order</w:t>
      </w:r>
      <w:bookmarkEnd w:id="2756"/>
      <w:bookmarkEnd w:id="2757"/>
      <w:bookmarkEnd w:id="2758"/>
    </w:p>
    <w:p>
      <w:pPr>
        <w:pStyle w:val="Subsection"/>
      </w:pPr>
      <w:r>
        <w:tab/>
        <w:t>(1)</w:t>
      </w:r>
      <w:r>
        <w:tab/>
        <w:t xml:space="preserve">The payment of compensation in accordance with an interim payment order — </w:t>
      </w:r>
    </w:p>
    <w:p>
      <w:pPr>
        <w:pStyle w:val="Indenta"/>
      </w:pPr>
      <w:r>
        <w:tab/>
        <w:t>(a)</w:t>
      </w:r>
      <w:r>
        <w:tab/>
        <w:t>is not an admission of liability by the person paying the compensation; and</w:t>
      </w:r>
    </w:p>
    <w:p>
      <w:pPr>
        <w:pStyle w:val="Indenta"/>
      </w:pPr>
      <w:r>
        <w:tab/>
        <w:t>(b)</w:t>
      </w:r>
      <w:r>
        <w:tab/>
        <w:t>does not prevent a question of liability from being heard and determined on an application under section 58 or otherwise under this Act as if the compensation had not been paid.</w:t>
      </w:r>
    </w:p>
    <w:p>
      <w:pPr>
        <w:pStyle w:val="Subsection"/>
      </w:pPr>
      <w:r>
        <w:tab/>
        <w:t>(2)</w:t>
      </w:r>
      <w:r>
        <w:tab/>
        <w:t>Refusal to make an interim payment order is not a finding as to liability in respect of the matter concerned.</w:t>
      </w:r>
    </w:p>
    <w:p>
      <w:pPr>
        <w:pStyle w:val="Footnotesection"/>
      </w:pPr>
      <w:bookmarkStart w:id="2759" w:name="_Toc87253120"/>
      <w:r>
        <w:tab/>
        <w:t>[Section 235 inserted by No. 42 of 2004 s. 130.]</w:t>
      </w:r>
    </w:p>
    <w:p>
      <w:pPr>
        <w:pStyle w:val="Heading5"/>
      </w:pPr>
      <w:bookmarkStart w:id="2760" w:name="_Toc122833502"/>
      <w:bookmarkStart w:id="2761" w:name="_Toc122834069"/>
      <w:r>
        <w:rPr>
          <w:rStyle w:val="CharSectno"/>
        </w:rPr>
        <w:t>236</w:t>
      </w:r>
      <w:r>
        <w:t>.</w:t>
      </w:r>
      <w:r>
        <w:tab/>
        <w:t>Recovery of payments</w:t>
      </w:r>
      <w:bookmarkEnd w:id="2759"/>
      <w:bookmarkEnd w:id="2760"/>
      <w:bookmarkEnd w:id="2761"/>
    </w:p>
    <w:p>
      <w:pPr>
        <w:pStyle w:val="Subsection"/>
      </w:pPr>
      <w:r>
        <w:tab/>
      </w:r>
      <w:r>
        <w:tab/>
        <w:t xml:space="preserve">If an arbitrator subsequently determines that a person is not liable to pay compensation by way of the weekly payments or statutory expenses that have been paid in accordance with an interim payment order,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bookmarkStart w:id="2762" w:name="_Toc87253121"/>
      <w:r>
        <w:tab/>
        <w:t>[Section 236 inserted by No. 42 of 2004 s. 130.]</w:t>
      </w:r>
    </w:p>
    <w:p>
      <w:pPr>
        <w:pStyle w:val="Heading5"/>
      </w:pPr>
      <w:bookmarkStart w:id="2763" w:name="_Toc122833503"/>
      <w:bookmarkStart w:id="2764" w:name="_Toc122834070"/>
      <w:r>
        <w:rPr>
          <w:rStyle w:val="CharSectno"/>
        </w:rPr>
        <w:t>237</w:t>
      </w:r>
      <w:r>
        <w:t>.</w:t>
      </w:r>
      <w:r>
        <w:tab/>
        <w:t>Revocation of interim payment order</w:t>
      </w:r>
      <w:bookmarkEnd w:id="2762"/>
      <w:bookmarkEnd w:id="2763"/>
      <w:bookmarkEnd w:id="2764"/>
    </w:p>
    <w:p>
      <w:pPr>
        <w:pStyle w:val="Subsection"/>
      </w:pPr>
      <w:r>
        <w:tab/>
        <w:t>(1)</w:t>
      </w:r>
      <w:r>
        <w:tab/>
        <w:t>An arbitrator may revoke an interim payment order at any time.</w:t>
      </w:r>
    </w:p>
    <w:p>
      <w:pPr>
        <w:pStyle w:val="Subsection"/>
      </w:pPr>
      <w:r>
        <w:tab/>
        <w:t>(2)</w:t>
      </w:r>
      <w:r>
        <w:tab/>
        <w:t>When an interim payment order is revoked the obligation to pay compensation under the order ceases.</w:t>
      </w:r>
    </w:p>
    <w:p>
      <w:pPr>
        <w:pStyle w:val="Subsection"/>
      </w:pPr>
      <w:r>
        <w:tab/>
        <w:t>(3)</w:t>
      </w:r>
      <w:r>
        <w:tab/>
        <w:t>The revocation of an interim payment order does not affect the requirement to pay the compensation before the revocation.</w:t>
      </w:r>
    </w:p>
    <w:p>
      <w:pPr>
        <w:pStyle w:val="Subsection"/>
      </w:pPr>
      <w:r>
        <w:tab/>
        <w:t>(4)</w:t>
      </w:r>
      <w:r>
        <w:tab/>
        <w:t>Revocation of, or refusal to revoke, an interim payment order is not a finding as to liability in respect of the matter concerned.</w:t>
      </w:r>
    </w:p>
    <w:p>
      <w:pPr>
        <w:pStyle w:val="Footnotesection"/>
      </w:pPr>
      <w:bookmarkStart w:id="2765" w:name="_Toc87253122"/>
      <w:r>
        <w:tab/>
        <w:t>[Section 237 inserted by No. 42 of 2004 s. 130.]</w:t>
      </w:r>
    </w:p>
    <w:p>
      <w:pPr>
        <w:pStyle w:val="Heading3"/>
      </w:pPr>
      <w:bookmarkStart w:id="2766" w:name="_Toc119132783"/>
      <w:bookmarkStart w:id="2767" w:name="_Toc119203453"/>
      <w:bookmarkStart w:id="2768" w:name="_Toc119204099"/>
      <w:bookmarkStart w:id="2769" w:name="_Toc119216429"/>
      <w:bookmarkStart w:id="2770" w:name="_Toc119300951"/>
      <w:bookmarkStart w:id="2771" w:name="_Toc119301518"/>
      <w:bookmarkStart w:id="2772" w:name="_Toc119302087"/>
      <w:bookmarkStart w:id="2773" w:name="_Toc119920274"/>
      <w:bookmarkStart w:id="2774" w:name="_Toc122774261"/>
      <w:bookmarkStart w:id="2775" w:name="_Toc122833504"/>
      <w:bookmarkStart w:id="2776" w:name="_Toc122834071"/>
      <w:r>
        <w:rPr>
          <w:rStyle w:val="CharDivNo"/>
        </w:rPr>
        <w:t>Division 3</w:t>
      </w:r>
      <w:r>
        <w:t> — </w:t>
      </w:r>
      <w:r>
        <w:rPr>
          <w:rStyle w:val="CharDivText"/>
        </w:rPr>
        <w:t>Interim suspension or reduction orders</w:t>
      </w:r>
      <w:bookmarkEnd w:id="2765"/>
      <w:bookmarkEnd w:id="2766"/>
      <w:bookmarkEnd w:id="2767"/>
      <w:bookmarkEnd w:id="2768"/>
      <w:bookmarkEnd w:id="2769"/>
      <w:bookmarkEnd w:id="2770"/>
      <w:bookmarkEnd w:id="2771"/>
      <w:bookmarkEnd w:id="2772"/>
      <w:bookmarkEnd w:id="2773"/>
      <w:bookmarkEnd w:id="2774"/>
      <w:bookmarkEnd w:id="2775"/>
      <w:bookmarkEnd w:id="2776"/>
    </w:p>
    <w:p>
      <w:pPr>
        <w:pStyle w:val="Footnoteheading"/>
      </w:pPr>
      <w:bookmarkStart w:id="2777" w:name="_Toc87253123"/>
      <w:r>
        <w:tab/>
        <w:t>[Heading inserted by No. 42 of 2004 s. 130.]</w:t>
      </w:r>
    </w:p>
    <w:p>
      <w:pPr>
        <w:pStyle w:val="Heading5"/>
      </w:pPr>
      <w:bookmarkStart w:id="2778" w:name="_Toc122833505"/>
      <w:bookmarkStart w:id="2779" w:name="_Toc122834072"/>
      <w:r>
        <w:rPr>
          <w:rStyle w:val="CharSectno"/>
        </w:rPr>
        <w:t>238</w:t>
      </w:r>
      <w:r>
        <w:t>.</w:t>
      </w:r>
      <w:r>
        <w:tab/>
        <w:t>Interim suspension or reduction order</w:t>
      </w:r>
      <w:bookmarkEnd w:id="2777"/>
      <w:bookmarkEnd w:id="2778"/>
      <w:bookmarkEnd w:id="2779"/>
    </w:p>
    <w:p>
      <w:pPr>
        <w:pStyle w:val="Subsection"/>
      </w:pPr>
      <w:r>
        <w:tab/>
        <w:t>(1)</w:t>
      </w:r>
      <w:r>
        <w:tab/>
        <w:t xml:space="preserve">An application for an order suspending or reducing weekly payments may be made under this Division by an employer — </w:t>
      </w:r>
    </w:p>
    <w:p>
      <w:pPr>
        <w:pStyle w:val="Indenta"/>
      </w:pPr>
      <w:r>
        <w:tab/>
        <w:t>(a)</w:t>
      </w:r>
      <w:r>
        <w:tab/>
        <w:t xml:space="preserve">at the same time as lodging an application under Part XI in respect of the same matter (the </w:t>
      </w:r>
      <w:r>
        <w:rPr>
          <w:b/>
        </w:rPr>
        <w:t>“</w:t>
      </w:r>
      <w:r>
        <w:rPr>
          <w:rStyle w:val="CharDefText"/>
        </w:rPr>
        <w:t>Part XI application</w:t>
      </w:r>
      <w:r>
        <w:rPr>
          <w:b/>
        </w:rPr>
        <w:t>”</w:t>
      </w:r>
      <w:r>
        <w:t>); or</w:t>
      </w:r>
    </w:p>
    <w:p>
      <w:pPr>
        <w:pStyle w:val="Indenta"/>
      </w:pPr>
      <w:r>
        <w:tab/>
        <w:t>(b)</w:t>
      </w:r>
      <w:r>
        <w:tab/>
        <w:t xml:space="preserve">after lodging an application under Part XI in respect of the same matter (the </w:t>
      </w:r>
      <w:r>
        <w:rPr>
          <w:b/>
        </w:rPr>
        <w:t>“</w:t>
      </w:r>
      <w:r>
        <w:rPr>
          <w:rStyle w:val="CharDefText"/>
        </w:rPr>
        <w:t>Part XI application</w:t>
      </w:r>
      <w:r>
        <w:rPr>
          <w:b/>
        </w:rPr>
        <w:t>”</w:t>
      </w:r>
      <w:r>
        <w:t>)</w:t>
      </w:r>
      <w:r>
        <w:rPr>
          <w:b/>
        </w:rPr>
        <w:t xml:space="preserve"> </w:t>
      </w:r>
      <w:r>
        <w:t>and before that application is determined.</w:t>
      </w:r>
    </w:p>
    <w:p>
      <w:pPr>
        <w:pStyle w:val="Subsection"/>
      </w:pPr>
      <w:r>
        <w:tab/>
        <w:t>(2)</w:t>
      </w:r>
      <w:r>
        <w:tab/>
        <w:t>The arbitrator may order that a specified number of weekly payments are suspended or reduced but is not to suspend or reduce more than 12 weekly payments.</w:t>
      </w:r>
    </w:p>
    <w:p>
      <w:pPr>
        <w:pStyle w:val="Subsection"/>
      </w:pPr>
      <w:r>
        <w:tab/>
        <w:t>(3)</w:t>
      </w:r>
      <w:r>
        <w:tab/>
        <w:t xml:space="preserve">An order under subsection (2) is referred to in this Division as an </w:t>
      </w:r>
      <w:r>
        <w:rPr>
          <w:b/>
        </w:rPr>
        <w:t>“</w:t>
      </w:r>
      <w:r>
        <w:rPr>
          <w:rStyle w:val="CharDefText"/>
        </w:rPr>
        <w:t>interim suspension order</w:t>
      </w:r>
      <w:r>
        <w:rPr>
          <w:b/>
        </w:rPr>
        <w:t xml:space="preserve">” </w:t>
      </w:r>
      <w:r>
        <w:t xml:space="preserve">or an </w:t>
      </w:r>
      <w:r>
        <w:rPr>
          <w:b/>
        </w:rPr>
        <w:t>“</w:t>
      </w:r>
      <w:r>
        <w:rPr>
          <w:rStyle w:val="CharDefText"/>
        </w:rPr>
        <w:t>interim reduction order</w:t>
      </w:r>
      <w:r>
        <w:rPr>
          <w:b/>
        </w:rPr>
        <w:t>”</w:t>
      </w:r>
      <w:r>
        <w:t>, as the case requires.</w:t>
      </w:r>
    </w:p>
    <w:p>
      <w:pPr>
        <w:pStyle w:val="Subsection"/>
      </w:pPr>
      <w:r>
        <w:tab/>
        <w:t>(4)</w:t>
      </w:r>
      <w:r>
        <w:tab/>
        <w:t xml:space="preserve">The arbitrator may make the interim suspension or reduction order unless it appears to the arbitrator that — </w:t>
      </w:r>
    </w:p>
    <w:p>
      <w:pPr>
        <w:pStyle w:val="Indenta"/>
      </w:pPr>
      <w:r>
        <w:tab/>
        <w:t>(a)</w:t>
      </w:r>
      <w:r>
        <w:tab/>
        <w:t>the Part XI application has minimal prospects of success; or</w:t>
      </w:r>
    </w:p>
    <w:p>
      <w:pPr>
        <w:pStyle w:val="Indenta"/>
      </w:pPr>
      <w:r>
        <w:tab/>
        <w:t>(b)</w:t>
      </w:r>
      <w:r>
        <w:tab/>
        <w:t>circumstances exist that are prescribed by the DRD Rules as circumstances in which such an order is not to be made.</w:t>
      </w:r>
    </w:p>
    <w:p>
      <w:pPr>
        <w:pStyle w:val="Subsection"/>
      </w:pPr>
      <w:r>
        <w:tab/>
        <w:t>(5)</w:t>
      </w:r>
      <w:r>
        <w:tab/>
        <w:t>An interim suspension or reduction order can be made subject to conditions.</w:t>
      </w:r>
    </w:p>
    <w:p>
      <w:pPr>
        <w:pStyle w:val="Subsection"/>
      </w:pPr>
      <w:r>
        <w:tab/>
        <w:t>(6)</w:t>
      </w:r>
      <w:r>
        <w:tab/>
        <w:t>A further interim suspension or reduction order can be made after the expiry of any earlier order.</w:t>
      </w:r>
    </w:p>
    <w:p>
      <w:pPr>
        <w:pStyle w:val="Footnotesection"/>
      </w:pPr>
      <w:bookmarkStart w:id="2780" w:name="_Toc87253124"/>
      <w:r>
        <w:tab/>
        <w:t>[Section 238 inserted by No. 42 of 2004 s. 130.]</w:t>
      </w:r>
    </w:p>
    <w:p>
      <w:pPr>
        <w:pStyle w:val="Heading5"/>
      </w:pPr>
      <w:bookmarkStart w:id="2781" w:name="_Toc122833506"/>
      <w:bookmarkStart w:id="2782" w:name="_Toc122834073"/>
      <w:r>
        <w:rPr>
          <w:rStyle w:val="CharSectno"/>
        </w:rPr>
        <w:t>239</w:t>
      </w:r>
      <w:r>
        <w:t>.</w:t>
      </w:r>
      <w:r>
        <w:tab/>
        <w:t>Effect of Part XI determination on the same matter as a matter determined under this Division</w:t>
      </w:r>
      <w:bookmarkEnd w:id="2780"/>
      <w:bookmarkEnd w:id="2781"/>
      <w:bookmarkEnd w:id="2782"/>
    </w:p>
    <w:p>
      <w:pPr>
        <w:pStyle w:val="Subsection"/>
      </w:pPr>
      <w:r>
        <w:tab/>
        <w:t>(1)</w:t>
      </w:r>
      <w:r>
        <w:tab/>
        <w:t xml:space="preserve">If — </w:t>
      </w:r>
    </w:p>
    <w:p>
      <w:pPr>
        <w:pStyle w:val="Indenta"/>
      </w:pPr>
      <w:r>
        <w:tab/>
        <w:t>(a)</w:t>
      </w:r>
      <w:r>
        <w:tab/>
        <w:t>an interim suspension order is made under section 238(2); and</w:t>
      </w:r>
    </w:p>
    <w:p>
      <w:pPr>
        <w:pStyle w:val="Indenta"/>
      </w:pPr>
      <w:r>
        <w:tab/>
        <w:t>(b)</w:t>
      </w:r>
      <w:r>
        <w:tab/>
        <w:t>an arbitrator dismisses the Part XI application,</w:t>
      </w:r>
    </w:p>
    <w:p>
      <w:pPr>
        <w:pStyle w:val="Subsection"/>
      </w:pPr>
      <w:r>
        <w:tab/>
      </w:r>
      <w:r>
        <w:tab/>
        <w:t>the weekly payments of the worker during the period of suspension are to be paid.</w:t>
      </w:r>
    </w:p>
    <w:p>
      <w:pPr>
        <w:pStyle w:val="Subsection"/>
      </w:pPr>
      <w:r>
        <w:tab/>
        <w:t>(2)</w:t>
      </w:r>
      <w:r>
        <w:tab/>
        <w:t xml:space="preserve">If — </w:t>
      </w:r>
    </w:p>
    <w:p>
      <w:pPr>
        <w:pStyle w:val="Indenta"/>
      </w:pPr>
      <w:r>
        <w:tab/>
        <w:t>(a)</w:t>
      </w:r>
      <w:r>
        <w:tab/>
        <w:t>an interim suspension order is made under section 238(2); and</w:t>
      </w:r>
    </w:p>
    <w:p>
      <w:pPr>
        <w:pStyle w:val="Indenta"/>
      </w:pPr>
      <w:r>
        <w:tab/>
        <w:t>(b)</w:t>
      </w:r>
      <w:r>
        <w:tab/>
        <w:t>on the Part XI application an arbitrator orders that the weekly payments be increased or reduced,</w:t>
      </w:r>
    </w:p>
    <w:p>
      <w:pPr>
        <w:pStyle w:val="Subsection"/>
      </w:pPr>
      <w:r>
        <w:tab/>
      </w:r>
      <w:r>
        <w:tab/>
        <w:t>the weekly payments of the worker during the period of suspension are to be paid as if the order under Part XI had effect during that period.</w:t>
      </w:r>
    </w:p>
    <w:p>
      <w:pPr>
        <w:pStyle w:val="Subsection"/>
      </w:pPr>
      <w:r>
        <w:tab/>
        <w:t>(3)</w:t>
      </w:r>
      <w:r>
        <w:tab/>
        <w:t xml:space="preserve">If — </w:t>
      </w:r>
    </w:p>
    <w:p>
      <w:pPr>
        <w:pStyle w:val="Indenta"/>
      </w:pPr>
      <w:r>
        <w:tab/>
        <w:t>(a)</w:t>
      </w:r>
      <w:r>
        <w:tab/>
        <w:t>an interim reduction order is made under section 238(2); and</w:t>
      </w:r>
    </w:p>
    <w:p>
      <w:pPr>
        <w:pStyle w:val="Indenta"/>
      </w:pPr>
      <w:r>
        <w:tab/>
        <w:t>(b)</w:t>
      </w:r>
      <w:r>
        <w:tab/>
        <w:t>on the Part XI application an arbitrator dismisses the application or orders that the weekly payments be increased,</w:t>
      </w:r>
    </w:p>
    <w:p>
      <w:pPr>
        <w:pStyle w:val="Subsection"/>
      </w:pPr>
      <w:r>
        <w:tab/>
      </w:r>
      <w:r>
        <w:tab/>
        <w:t>the weekly payments of the worker during the period of reduction are to be paid as if the order under Part XI had effect during that period.</w:t>
      </w:r>
    </w:p>
    <w:p>
      <w:pPr>
        <w:pStyle w:val="Subsection"/>
      </w:pPr>
      <w:r>
        <w:tab/>
        <w:t>(4)</w:t>
      </w:r>
      <w:r>
        <w:tab/>
        <w:t>Nothing in this Division affects the operation of section 71 in relation to a determination under Part XI of an application in respect of the same matter as an application that has been dismissed under this Division.</w:t>
      </w:r>
    </w:p>
    <w:p>
      <w:pPr>
        <w:pStyle w:val="Footnotesection"/>
      </w:pPr>
      <w:bookmarkStart w:id="2783" w:name="_Toc87253125"/>
      <w:r>
        <w:tab/>
        <w:t>[Section 239 inserted by No. 42 of 2004 s. 130.]</w:t>
      </w:r>
    </w:p>
    <w:p>
      <w:pPr>
        <w:pStyle w:val="Heading5"/>
      </w:pPr>
      <w:bookmarkStart w:id="2784" w:name="_Toc122833507"/>
      <w:bookmarkStart w:id="2785" w:name="_Toc122834074"/>
      <w:r>
        <w:rPr>
          <w:rStyle w:val="CharSectno"/>
        </w:rPr>
        <w:t>240</w:t>
      </w:r>
      <w:r>
        <w:t>.</w:t>
      </w:r>
      <w:r>
        <w:tab/>
        <w:t>Revocation of interim suspension or reduction order</w:t>
      </w:r>
      <w:bookmarkEnd w:id="2783"/>
      <w:bookmarkEnd w:id="2784"/>
      <w:bookmarkEnd w:id="2785"/>
    </w:p>
    <w:p>
      <w:pPr>
        <w:pStyle w:val="Subsection"/>
      </w:pPr>
      <w:r>
        <w:tab/>
        <w:t>(1)</w:t>
      </w:r>
      <w:r>
        <w:tab/>
        <w:t>An arbitrator may revoke an interim suspension or reduction order at any time.</w:t>
      </w:r>
    </w:p>
    <w:p>
      <w:pPr>
        <w:pStyle w:val="Subsection"/>
      </w:pPr>
      <w:r>
        <w:tab/>
        <w:t>(2)</w:t>
      </w:r>
      <w:r>
        <w:tab/>
        <w:t xml:space="preserve">When an interim suspension order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arbitrator orders otherwise.</w:t>
      </w:r>
    </w:p>
    <w:p>
      <w:pPr>
        <w:pStyle w:val="Subsection"/>
      </w:pPr>
      <w:r>
        <w:tab/>
        <w:t>(3)</w:t>
      </w:r>
      <w:r>
        <w:tab/>
        <w:t xml:space="preserve">When an interim reduction order is revoked — </w:t>
      </w:r>
    </w:p>
    <w:p>
      <w:pPr>
        <w:pStyle w:val="Indenta"/>
      </w:pPr>
      <w:r>
        <w:tab/>
        <w:t>(a)</w:t>
      </w:r>
      <w:r>
        <w:tab/>
        <w:t>the obligation to make weekly payments as if the interim reduction order had not been made recommences from the date on which the interim reduction order is revoked; and</w:t>
      </w:r>
    </w:p>
    <w:p>
      <w:pPr>
        <w:pStyle w:val="Indenta"/>
      </w:pPr>
      <w:r>
        <w:tab/>
        <w:t>(b)</w:t>
      </w:r>
      <w:r>
        <w:tab/>
        <w:t>the worker is to be paid any amount of weekly payments to which the worker would have been entitled if the interim reduction order had not been made unless the arbitrator orders otherwise.</w:t>
      </w:r>
    </w:p>
    <w:p>
      <w:pPr>
        <w:pStyle w:val="Subsection"/>
      </w:pPr>
      <w:r>
        <w:tab/>
        <w:t>(4)</w:t>
      </w:r>
      <w:r>
        <w:tab/>
        <w:t>Revocation of, or refusal to revoke, an interim suspension or reduction order is not a finding as to liability in respect of the matter concerned.</w:t>
      </w:r>
    </w:p>
    <w:p>
      <w:pPr>
        <w:pStyle w:val="Footnotesection"/>
      </w:pPr>
      <w:bookmarkStart w:id="2786" w:name="_Toc87253126"/>
      <w:r>
        <w:tab/>
        <w:t>[Section 240 inserted by No. 42 of 2004 s. 130.]</w:t>
      </w:r>
    </w:p>
    <w:p>
      <w:pPr>
        <w:pStyle w:val="Heading3"/>
      </w:pPr>
      <w:bookmarkStart w:id="2787" w:name="_Toc119132787"/>
      <w:bookmarkStart w:id="2788" w:name="_Toc119203457"/>
      <w:bookmarkStart w:id="2789" w:name="_Toc119204103"/>
      <w:bookmarkStart w:id="2790" w:name="_Toc119216433"/>
      <w:bookmarkStart w:id="2791" w:name="_Toc119300955"/>
      <w:bookmarkStart w:id="2792" w:name="_Toc119301522"/>
      <w:bookmarkStart w:id="2793" w:name="_Toc119302091"/>
      <w:bookmarkStart w:id="2794" w:name="_Toc119920278"/>
      <w:bookmarkStart w:id="2795" w:name="_Toc122774265"/>
      <w:bookmarkStart w:id="2796" w:name="_Toc122833508"/>
      <w:bookmarkStart w:id="2797" w:name="_Toc122834075"/>
      <w:r>
        <w:rPr>
          <w:rStyle w:val="CharDivNo"/>
        </w:rPr>
        <w:t>Division 4</w:t>
      </w:r>
      <w:r>
        <w:t> — </w:t>
      </w:r>
      <w:r>
        <w:rPr>
          <w:rStyle w:val="CharDivText"/>
        </w:rPr>
        <w:t>Expedited determination of minor claims</w:t>
      </w:r>
      <w:bookmarkEnd w:id="2786"/>
      <w:bookmarkEnd w:id="2787"/>
      <w:bookmarkEnd w:id="2788"/>
      <w:bookmarkEnd w:id="2789"/>
      <w:bookmarkEnd w:id="2790"/>
      <w:bookmarkEnd w:id="2791"/>
      <w:bookmarkEnd w:id="2792"/>
      <w:bookmarkEnd w:id="2793"/>
      <w:bookmarkEnd w:id="2794"/>
      <w:bookmarkEnd w:id="2795"/>
      <w:bookmarkEnd w:id="2796"/>
      <w:bookmarkEnd w:id="2797"/>
    </w:p>
    <w:p>
      <w:pPr>
        <w:pStyle w:val="Footnoteheading"/>
      </w:pPr>
      <w:bookmarkStart w:id="2798" w:name="_Toc87253127"/>
      <w:r>
        <w:tab/>
        <w:t>[Heading inserted by No. 42 of 2004 s. 130.]</w:t>
      </w:r>
    </w:p>
    <w:p>
      <w:pPr>
        <w:pStyle w:val="Heading5"/>
      </w:pPr>
      <w:bookmarkStart w:id="2799" w:name="_Toc122833509"/>
      <w:bookmarkStart w:id="2800" w:name="_Toc122834076"/>
      <w:r>
        <w:rPr>
          <w:rStyle w:val="CharSectno"/>
        </w:rPr>
        <w:t>241</w:t>
      </w:r>
      <w:r>
        <w:t>.</w:t>
      </w:r>
      <w:r>
        <w:tab/>
        <w:t>Application for determination of minor claim</w:t>
      </w:r>
      <w:bookmarkEnd w:id="2798"/>
      <w:bookmarkEnd w:id="2799"/>
      <w:bookmarkEnd w:id="2800"/>
    </w:p>
    <w:p>
      <w:pPr>
        <w:pStyle w:val="Subsection"/>
      </w:pPr>
      <w:r>
        <w:tab/>
        <w:t>(1)</w:t>
      </w:r>
      <w:r>
        <w:tab/>
        <w:t xml:space="preserve">An application for an order as to payment of not more than 12 weekly payments in respect of a period prior to the application may be made under this Division by a worker at any time after —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 xml:space="preserve">the worker suffering the injury has served on the employer a certificate signed by a medical practitioner —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 xml:space="preserve">An application for an order as to payment of statutory expenses not exceeding 5% of the prescribed amount may be made by a worker at any time after — </w:t>
      </w:r>
    </w:p>
    <w:p>
      <w:pPr>
        <w:pStyle w:val="Indenta"/>
      </w:pPr>
      <w:r>
        <w:tab/>
        <w:t>(a)</w:t>
      </w:r>
      <w:r>
        <w:tab/>
        <w:t>a claim for compensation under this Act by way of payment of statutory expenses has been made on an employer in accordance with section 178(1)(b); and</w:t>
      </w:r>
    </w:p>
    <w:p>
      <w:pPr>
        <w:pStyle w:val="Indenta"/>
      </w:pPr>
      <w:r>
        <w:tab/>
        <w:t>(b)</w:t>
      </w:r>
      <w:r>
        <w:tab/>
        <w:t>the worker suffering the injury has served on the employer a certificate in or to the effect prescribed by the regulations and signed by a medical practitioner to the effect that the expenses claimed are expenses incurred by the worker for treatment or services required in relation to the injury.</w:t>
      </w:r>
    </w:p>
    <w:p>
      <w:pPr>
        <w:pStyle w:val="Subsection"/>
      </w:pPr>
      <w:r>
        <w:tab/>
        <w:t>(3)</w:t>
      </w:r>
      <w:r>
        <w:tab/>
        <w:t xml:space="preserve">If — </w:t>
      </w:r>
    </w:p>
    <w:p>
      <w:pPr>
        <w:pStyle w:val="Indenta"/>
      </w:pPr>
      <w:r>
        <w:tab/>
        <w:t>(a)</w:t>
      </w:r>
      <w:r>
        <w:tab/>
        <w:t>a period of not less than 21 days has elapsed since a worker served on the worker’s employer the documents referred to in subsection (1) or (2), as the case requires;</w:t>
      </w:r>
    </w:p>
    <w:p>
      <w:pPr>
        <w:pStyle w:val="Indenta"/>
      </w:pPr>
      <w:r>
        <w:tab/>
        <w:t>(b)</w:t>
      </w:r>
      <w:r>
        <w:tab/>
        <w:t>the worker has not received the first of the weekly payments or the statutory expenses claimed; and</w:t>
      </w:r>
    </w:p>
    <w:p>
      <w:pPr>
        <w:pStyle w:val="Indenta"/>
      </w:pPr>
      <w:r>
        <w:tab/>
        <w:t>(c)</w:t>
      </w:r>
      <w:r>
        <w:tab/>
        <w:t>an arbitrator is satisfied that the worker is entitled to some or all of the compensation claimed,</w:t>
      </w:r>
    </w:p>
    <w:p>
      <w:pPr>
        <w:pStyle w:val="Subsection"/>
      </w:pPr>
      <w:r>
        <w:tab/>
      </w:r>
      <w:r>
        <w:tab/>
        <w:t>the arbitrator may order the employer to pay the compensation to which it appears to the arbitrator the worker is entitled.</w:t>
      </w:r>
    </w:p>
    <w:p>
      <w:pPr>
        <w:pStyle w:val="Subsection"/>
      </w:pPr>
      <w:r>
        <w:tab/>
        <w:t>(4)</w:t>
      </w:r>
      <w:r>
        <w:tab/>
        <w:t xml:space="preserve">An arbitrator may make an order for weekly payments of compensation unless it appears to the arbitrator that — </w:t>
      </w:r>
    </w:p>
    <w:p>
      <w:pPr>
        <w:pStyle w:val="Indenta"/>
      </w:pPr>
      <w:r>
        <w:tab/>
        <w:t>(a)</w:t>
      </w:r>
      <w:r>
        <w:tab/>
        <w:t>the claim would have minimal prospects of success under Part XI;</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(5)</w:t>
      </w:r>
      <w:r>
        <w:tab/>
        <w:t xml:space="preserve">An arbitrator may make an order for payment of statutory expenses unless it appears to the arbitrator that — </w:t>
      </w:r>
    </w:p>
    <w:p>
      <w:pPr>
        <w:pStyle w:val="Indenta"/>
      </w:pPr>
      <w:r>
        <w:tab/>
        <w:t>(a)</w:t>
      </w:r>
      <w:r>
        <w:tab/>
        <w:t>the claim concerned would have minimal prospects of success under Part XI;</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Footnotesection"/>
      </w:pPr>
      <w:bookmarkStart w:id="2801" w:name="_Toc87253128"/>
      <w:r>
        <w:tab/>
        <w:t>[Section 241 inserted by No. 42 of 2004 s. 130; amended by No. 16 of 2005 s. 26.]</w:t>
      </w:r>
    </w:p>
    <w:p>
      <w:pPr>
        <w:pStyle w:val="Heading5"/>
      </w:pPr>
      <w:bookmarkStart w:id="2802" w:name="_Toc122833510"/>
      <w:bookmarkStart w:id="2803" w:name="_Toc122834077"/>
      <w:r>
        <w:rPr>
          <w:rStyle w:val="CharSectno"/>
        </w:rPr>
        <w:t>242</w:t>
      </w:r>
      <w:r>
        <w:t>.</w:t>
      </w:r>
      <w:r>
        <w:tab/>
        <w:t>Limits on minor claims orders</w:t>
      </w:r>
      <w:bookmarkEnd w:id="2801"/>
      <w:bookmarkEnd w:id="2802"/>
      <w:bookmarkEnd w:id="2803"/>
    </w:p>
    <w:p>
      <w:pPr>
        <w:pStyle w:val="Subsection"/>
      </w:pPr>
      <w:r>
        <w:tab/>
        <w:t>(1)</w:t>
      </w:r>
      <w:r>
        <w:tab/>
        <w:t>An arbitrator is not to order the payment of weekly payments of compensation for a period that exceeds the period set out in the application.</w:t>
      </w:r>
    </w:p>
    <w:p>
      <w:pPr>
        <w:pStyle w:val="Subsection"/>
      </w:pPr>
      <w:r>
        <w:tab/>
        <w:t>(2)</w:t>
      </w:r>
      <w:r>
        <w:tab/>
        <w:t>An arbitrator is not to make an order for payment of statutory expenses for an amount that exceeds the amount set out in the application.</w:t>
      </w:r>
    </w:p>
    <w:p>
      <w:pPr>
        <w:pStyle w:val="Footnotesection"/>
      </w:pPr>
      <w:bookmarkStart w:id="2804" w:name="_Toc87253129"/>
      <w:r>
        <w:tab/>
        <w:t>[Section 242 inserted by No. 42 of 2004 s. 130.]</w:t>
      </w:r>
    </w:p>
    <w:p>
      <w:pPr>
        <w:pStyle w:val="Heading5"/>
      </w:pPr>
      <w:bookmarkStart w:id="2805" w:name="_Toc122833511"/>
      <w:bookmarkStart w:id="2806" w:name="_Toc122834078"/>
      <w:r>
        <w:rPr>
          <w:rStyle w:val="CharSectno"/>
        </w:rPr>
        <w:t>243</w:t>
      </w:r>
      <w:r>
        <w:t>.</w:t>
      </w:r>
      <w:r>
        <w:tab/>
        <w:t>No recovery of compensation</w:t>
      </w:r>
      <w:bookmarkEnd w:id="2804"/>
      <w:bookmarkEnd w:id="2805"/>
      <w:bookmarkEnd w:id="2806"/>
    </w:p>
    <w:p>
      <w:pPr>
        <w:pStyle w:val="Subsection"/>
      </w:pPr>
      <w:r>
        <w:tab/>
      </w:r>
      <w:r>
        <w:tab/>
        <w:t>A worker cannot be required to refund compensation paid to the worker under this Division.</w:t>
      </w:r>
    </w:p>
    <w:p>
      <w:pPr>
        <w:pStyle w:val="Footnotesection"/>
      </w:pPr>
      <w:bookmarkStart w:id="2807" w:name="_Toc87253130"/>
      <w:r>
        <w:tab/>
        <w:t>[Section 243 inserted by No. 42 of 2004 s. 130.]</w:t>
      </w:r>
    </w:p>
    <w:p>
      <w:pPr>
        <w:pStyle w:val="Heading5"/>
      </w:pPr>
      <w:bookmarkStart w:id="2808" w:name="_Toc122833512"/>
      <w:bookmarkStart w:id="2809" w:name="_Toc122834079"/>
      <w:r>
        <w:rPr>
          <w:rStyle w:val="CharSectno"/>
        </w:rPr>
        <w:t>244</w:t>
      </w:r>
      <w:r>
        <w:t>.</w:t>
      </w:r>
      <w:r>
        <w:tab/>
        <w:t>Production of documents</w:t>
      </w:r>
      <w:bookmarkEnd w:id="2807"/>
      <w:bookmarkEnd w:id="2808"/>
      <w:bookmarkEnd w:id="2809"/>
    </w:p>
    <w:p>
      <w:pPr>
        <w:pStyle w:val="Subsection"/>
      </w:pPr>
      <w:r>
        <w:tab/>
      </w:r>
      <w:r>
        <w:tab/>
        <w:t>A worker or an employer may make an application under this Division for an order as to the production of documents, material or information under section 70 or 180 and an arbitrator may make the order accordingly</w:t>
      </w:r>
      <w:r>
        <w:rPr>
          <w:i/>
        </w:rPr>
        <w:t>.</w:t>
      </w:r>
    </w:p>
    <w:p>
      <w:pPr>
        <w:pStyle w:val="Footnotesection"/>
      </w:pPr>
      <w:bookmarkStart w:id="2810" w:name="_Toc87253131"/>
      <w:r>
        <w:tab/>
        <w:t>[Section 244 inserted by No. 42 of 2004 s. 130.]</w:t>
      </w:r>
    </w:p>
    <w:p>
      <w:pPr>
        <w:pStyle w:val="Heading2"/>
      </w:pPr>
      <w:bookmarkStart w:id="2811" w:name="_Toc119132792"/>
      <w:bookmarkStart w:id="2812" w:name="_Toc119203462"/>
      <w:bookmarkStart w:id="2813" w:name="_Toc119204108"/>
      <w:bookmarkStart w:id="2814" w:name="_Toc119216438"/>
      <w:bookmarkStart w:id="2815" w:name="_Toc119300960"/>
      <w:bookmarkStart w:id="2816" w:name="_Toc119301527"/>
      <w:bookmarkStart w:id="2817" w:name="_Toc119302096"/>
      <w:bookmarkStart w:id="2818" w:name="_Toc119920283"/>
      <w:bookmarkStart w:id="2819" w:name="_Toc122774270"/>
      <w:bookmarkStart w:id="2820" w:name="_Toc122833513"/>
      <w:bookmarkStart w:id="2821" w:name="_Toc122834080"/>
      <w:r>
        <w:rPr>
          <w:rStyle w:val="CharPartNo"/>
        </w:rPr>
        <w:t>Part XIII</w:t>
      </w:r>
      <w:r>
        <w:rPr>
          <w:b w:val="0"/>
        </w:rPr>
        <w:t> </w:t>
      </w:r>
      <w:r>
        <w:t>—</w:t>
      </w:r>
      <w:r>
        <w:rPr>
          <w:b w:val="0"/>
        </w:rPr>
        <w:t> </w:t>
      </w:r>
      <w:r>
        <w:rPr>
          <w:rStyle w:val="CharPartText"/>
        </w:rPr>
        <w:t>Questions of law and appeals</w:t>
      </w:r>
      <w:bookmarkEnd w:id="2810"/>
      <w:bookmarkEnd w:id="2811"/>
      <w:bookmarkEnd w:id="2812"/>
      <w:bookmarkEnd w:id="2813"/>
      <w:bookmarkEnd w:id="2814"/>
      <w:bookmarkEnd w:id="2815"/>
      <w:bookmarkEnd w:id="2816"/>
      <w:bookmarkEnd w:id="2817"/>
      <w:bookmarkEnd w:id="2818"/>
      <w:bookmarkEnd w:id="2819"/>
      <w:bookmarkEnd w:id="2820"/>
      <w:bookmarkEnd w:id="2821"/>
    </w:p>
    <w:p>
      <w:pPr>
        <w:pStyle w:val="Footnoteheading"/>
      </w:pPr>
      <w:bookmarkStart w:id="2822" w:name="_Toc87253132"/>
      <w:r>
        <w:tab/>
        <w:t>[Heading inserted by No. 42 of 2004 s. 130.]</w:t>
      </w:r>
    </w:p>
    <w:p>
      <w:pPr>
        <w:pStyle w:val="Heading5"/>
      </w:pPr>
      <w:bookmarkStart w:id="2823" w:name="_Toc122833514"/>
      <w:bookmarkStart w:id="2824" w:name="_Toc122834081"/>
      <w:r>
        <w:rPr>
          <w:rStyle w:val="CharSectno"/>
        </w:rPr>
        <w:t>245</w:t>
      </w:r>
      <w:r>
        <w:t>.</w:t>
      </w:r>
      <w:r>
        <w:tab/>
        <w:t>Application of Part XI</w:t>
      </w:r>
      <w:bookmarkEnd w:id="2822"/>
      <w:bookmarkEnd w:id="2823"/>
      <w:bookmarkEnd w:id="2824"/>
    </w:p>
    <w:p>
      <w:pPr>
        <w:pStyle w:val="Subsection"/>
      </w:pPr>
      <w:r>
        <w:tab/>
        <w:t>(1)</w:t>
      </w:r>
      <w:r>
        <w:tab/>
        <w:t xml:space="preserve">Unless the contrary intention appears in this Part — </w:t>
      </w:r>
    </w:p>
    <w:p>
      <w:pPr>
        <w:pStyle w:val="Indenta"/>
      </w:pPr>
      <w:r>
        <w:tab/>
        <w:t>(a)</w:t>
      </w:r>
      <w:r>
        <w:tab/>
        <w:t>the provisions of Part XI apply to and in relation to the exercise of jurisdiction of the Commissioner under this Part as if references in Part XI to an arbitrator were references to the Commissioner; and</w:t>
      </w:r>
    </w:p>
    <w:p>
      <w:pPr>
        <w:pStyle w:val="Indenta"/>
      </w:pPr>
      <w:r>
        <w:tab/>
        <w:t>(b)</w:t>
      </w:r>
      <w:r>
        <w:tab/>
        <w:t>in the exercise of jurisdiction under this Part the Commissioner has and may exercise or perform all of the powers, duties, responsibilities, authorities and jurisdictions of an arbitrator.</w:t>
      </w:r>
    </w:p>
    <w:p>
      <w:pPr>
        <w:pStyle w:val="Subsection"/>
      </w:pPr>
      <w:r>
        <w:tab/>
        <w:t>(2)</w:t>
      </w:r>
      <w:r>
        <w:tab/>
        <w:t>A party to a proceeding or a witness appearing before the Commissioner has the same duties and responsibilities as a party to a proceeding or a witness appearing before an arbitrator.</w:t>
      </w:r>
    </w:p>
    <w:p>
      <w:pPr>
        <w:pStyle w:val="Subsection"/>
      </w:pPr>
      <w:r>
        <w:tab/>
        <w:t>(3)</w:t>
      </w:r>
      <w:r>
        <w:tab/>
        <w:t>A person representing a party in a proceeding before the Commissioner has the same duties and responsibilities as a person representing a party in a proceeding before an arbitrator.</w:t>
      </w:r>
    </w:p>
    <w:p>
      <w:pPr>
        <w:pStyle w:val="Footnotesection"/>
      </w:pPr>
      <w:bookmarkStart w:id="2825" w:name="_Toc87253133"/>
      <w:r>
        <w:tab/>
        <w:t>[Section 245 inserted by No. 42 of 2004 s. 130.]</w:t>
      </w:r>
    </w:p>
    <w:p>
      <w:pPr>
        <w:pStyle w:val="Heading5"/>
      </w:pPr>
      <w:bookmarkStart w:id="2826" w:name="_Toc122833515"/>
      <w:bookmarkStart w:id="2827" w:name="_Toc122834082"/>
      <w:r>
        <w:rPr>
          <w:rStyle w:val="CharSectno"/>
        </w:rPr>
        <w:t>246</w:t>
      </w:r>
      <w:r>
        <w:t>.</w:t>
      </w:r>
      <w:r>
        <w:tab/>
        <w:t>Reference of question of law to Commissioner</w:t>
      </w:r>
      <w:bookmarkEnd w:id="2825"/>
      <w:bookmarkEnd w:id="2826"/>
      <w:bookmarkEnd w:id="2827"/>
    </w:p>
    <w:p>
      <w:pPr>
        <w:pStyle w:val="Subsection"/>
      </w:pPr>
      <w:r>
        <w:tab/>
        <w:t>(1)</w:t>
      </w:r>
      <w:r>
        <w:tab/>
        <w:t>A novel or complex question of law arising in a proceeding before an arbitrator under Part XI may be referred by the arbitrator for the determination of the Commissioner.</w:t>
      </w:r>
    </w:p>
    <w:p>
      <w:pPr>
        <w:pStyle w:val="Subsection"/>
      </w:pPr>
      <w:r>
        <w:tab/>
        <w:t>(2)</w:t>
      </w:r>
      <w:r>
        <w:tab/>
        <w:t>A question of law arising in a proceeding before an arbitrator under Part XI may, with the leave of the Commissioner, be referred by a party to the proceeding for the determination of the Commissioner.</w:t>
      </w:r>
    </w:p>
    <w:p>
      <w:pPr>
        <w:pStyle w:val="Subsection"/>
      </w:pPr>
      <w:r>
        <w:tab/>
        <w:t>(3)</w:t>
      </w:r>
      <w:r>
        <w:tab/>
        <w:t>The Commissioner is not to grant leave unless satisfied that the question involves a novel or complex question of law.</w:t>
      </w:r>
    </w:p>
    <w:p>
      <w:pPr>
        <w:pStyle w:val="Subsection"/>
      </w:pPr>
      <w:r>
        <w:tab/>
        <w:t>(4)</w:t>
      </w:r>
      <w:r>
        <w:tab/>
        <w:t>The reference of a question of law under this section may be by stating a case on a question of law.</w:t>
      </w:r>
    </w:p>
    <w:p>
      <w:pPr>
        <w:pStyle w:val="Subsection"/>
      </w:pPr>
      <w:r>
        <w:tab/>
        <w:t>(5)</w:t>
      </w:r>
      <w:r>
        <w:tab/>
        <w:t>On hearing a matter referred under this section, the Commissioner has jurisdiction to make such orders as the Commissioner thinks fit with regard to the matter and to the costs of and incidental to the hearing and determination of it.</w:t>
      </w:r>
    </w:p>
    <w:p>
      <w:pPr>
        <w:pStyle w:val="Footnotesection"/>
      </w:pPr>
      <w:bookmarkStart w:id="2828" w:name="_Toc87253134"/>
      <w:r>
        <w:tab/>
        <w:t>[Section 246 inserted by No. 42 of 2004 s. 130.]</w:t>
      </w:r>
    </w:p>
    <w:p>
      <w:pPr>
        <w:pStyle w:val="Heading5"/>
      </w:pPr>
      <w:bookmarkStart w:id="2829" w:name="_Toc122833516"/>
      <w:bookmarkStart w:id="2830" w:name="_Toc122834083"/>
      <w:r>
        <w:rPr>
          <w:rStyle w:val="CharSectno"/>
        </w:rPr>
        <w:t>247</w:t>
      </w:r>
      <w:r>
        <w:t>.</w:t>
      </w:r>
      <w:r>
        <w:tab/>
        <w:t>Appeal against decision of arbitrator</w:t>
      </w:r>
      <w:bookmarkEnd w:id="2828"/>
      <w:bookmarkEnd w:id="2829"/>
      <w:bookmarkEnd w:id="2830"/>
    </w:p>
    <w:p>
      <w:pPr>
        <w:pStyle w:val="Subsection"/>
      </w:pPr>
      <w:r>
        <w:tab/>
        <w:t>(1)</w:t>
      </w:r>
      <w:r>
        <w:tab/>
        <w:t>A party to a dispute may, with the leave of the Commissioner, appeal to the Commissioner against a decision in respect of the dispute by an arbitrator under Part XI.</w:t>
      </w:r>
    </w:p>
    <w:p>
      <w:pPr>
        <w:pStyle w:val="Subsection"/>
      </w:pPr>
      <w:r>
        <w:tab/>
        <w:t>(2)</w:t>
      </w:r>
      <w:r>
        <w:tab/>
        <w:t xml:space="preserve">Subject to subsection (3), the Commissioner is not to grant leave to appeal unless — </w:t>
      </w:r>
    </w:p>
    <w:p>
      <w:pPr>
        <w:pStyle w:val="Indenta"/>
      </w:pPr>
      <w:r>
        <w:tab/>
        <w:t>(a)</w:t>
      </w:r>
      <w:r>
        <w:tab/>
        <w:t xml:space="preserve">in the case of an appeal in which an amount of compensation is at issue — </w:t>
      </w:r>
    </w:p>
    <w:p>
      <w:pPr>
        <w:pStyle w:val="Indenti"/>
      </w:pPr>
      <w:r>
        <w:tab/>
        <w:t>(i)</w:t>
      </w:r>
      <w:r>
        <w:tab/>
        <w:t xml:space="preserve">a question of law is involved and the amount at issue in the appeal is both — </w:t>
      </w:r>
    </w:p>
    <w:p>
      <w:pPr>
        <w:pStyle w:val="IndentI0"/>
      </w:pPr>
      <w:r>
        <w:tab/>
        <w:t>(I)</w:t>
      </w:r>
      <w:r>
        <w:tab/>
        <w:t>at least $5 000 or such other amount as may be prescribed by the regulations; and</w:t>
      </w:r>
    </w:p>
    <w:p>
      <w:pPr>
        <w:pStyle w:val="IndentI0"/>
      </w:pPr>
      <w:r>
        <w:tab/>
        <w:t>(II)</w:t>
      </w:r>
      <w:r>
        <w:tab/>
        <w:t>at least 20% of the amount awarded in the decision appealed against;</w:t>
      </w:r>
    </w:p>
    <w:p>
      <w:pPr>
        <w:pStyle w:val="Indenti"/>
      </w:pPr>
      <w:r>
        <w:tab/>
      </w:r>
      <w:r>
        <w:tab/>
        <w:t>or</w:t>
      </w:r>
    </w:p>
    <w:p>
      <w:pPr>
        <w:pStyle w:val="Indenti"/>
      </w:pPr>
      <w:r>
        <w:tab/>
        <w:t>(ii)</w:t>
      </w:r>
      <w:r>
        <w:tab/>
        <w:t>a question of law is involved and, in the opinion of the Commissioner, the matter is of such importance that, in the public interest, an appeal should lie;</w:t>
      </w:r>
    </w:p>
    <w:p>
      <w:pPr>
        <w:pStyle w:val="Indenta"/>
      </w:pPr>
      <w:r>
        <w:tab/>
      </w:r>
      <w:r>
        <w:tab/>
        <w:t>and</w:t>
      </w:r>
    </w:p>
    <w:p>
      <w:pPr>
        <w:pStyle w:val="Indenta"/>
      </w:pPr>
      <w:r>
        <w:tab/>
        <w:t>(b)</w:t>
      </w:r>
      <w:r>
        <w:tab/>
        <w:t>in any other case, a question of law is involved.</w:t>
      </w:r>
    </w:p>
    <w:p>
      <w:pPr>
        <w:pStyle w:val="Subsection"/>
      </w:pPr>
      <w:r>
        <w:tab/>
        <w:t>(3)</w:t>
      </w:r>
      <w:r>
        <w:tab/>
        <w:t>The Commissioner may grant leave to appeal from a decision of an arbitrator on a matter referred under section 93D(10) if the appeal involves a question of law.</w:t>
      </w:r>
    </w:p>
    <w:p>
      <w:pPr>
        <w:pStyle w:val="Subsection"/>
      </w:pPr>
      <w:r>
        <w:tab/>
        <w:t>(4)</w:t>
      </w:r>
      <w:r>
        <w:tab/>
        <w:t>An application for leave to appeal cannot be made later than 28 days after the making of the decision appealed against.</w:t>
      </w:r>
    </w:p>
    <w:p>
      <w:pPr>
        <w:pStyle w:val="Subsection"/>
      </w:pPr>
      <w:r>
        <w:tab/>
        <w:t>(5)</w:t>
      </w:r>
      <w:r>
        <w:tab/>
        <w:t>An appeal under this section is to be by way of review of the decision appealed against.</w:t>
      </w:r>
    </w:p>
    <w:p>
      <w:pPr>
        <w:pStyle w:val="Subsection"/>
      </w:pPr>
      <w:r>
        <w:tab/>
        <w:t>(6)</w:t>
      </w:r>
      <w:r>
        <w:tab/>
        <w:t>Evidence that is fresh evidence or evidence in addition to or in substitution for the evidence received in relation to the decision appealed against cannot be given on an appeal to the Commissioner except with the leave of the Commissioner.</w:t>
      </w:r>
    </w:p>
    <w:p>
      <w:pPr>
        <w:pStyle w:val="Subsection"/>
      </w:pPr>
      <w:r>
        <w:tab/>
        <w:t>(7)</w:t>
      </w:r>
      <w:r>
        <w:tab/>
        <w:t xml:space="preserve">On hearing an appeal made under this section, the Commissioner may —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Commissioner thinks fit.</w:t>
      </w:r>
    </w:p>
    <w:p>
      <w:pPr>
        <w:pStyle w:val="Footnotesection"/>
      </w:pPr>
      <w:bookmarkStart w:id="2831" w:name="_Toc87253135"/>
      <w:r>
        <w:tab/>
        <w:t>[Section 247 inserted by No. 42 of 2004 s. 130; amended by No. 16 of 2005 s. 27.]</w:t>
      </w:r>
    </w:p>
    <w:p>
      <w:pPr>
        <w:pStyle w:val="Heading5"/>
      </w:pPr>
      <w:bookmarkStart w:id="2832" w:name="_Toc122833517"/>
      <w:bookmarkStart w:id="2833" w:name="_Toc122834084"/>
      <w:r>
        <w:rPr>
          <w:rStyle w:val="CharSectno"/>
        </w:rPr>
        <w:t>248</w:t>
      </w:r>
      <w:r>
        <w:t>.</w:t>
      </w:r>
      <w:r>
        <w:tab/>
        <w:t>Commencing appeal</w:t>
      </w:r>
      <w:bookmarkEnd w:id="2831"/>
      <w:bookmarkEnd w:id="2832"/>
      <w:bookmarkEnd w:id="2833"/>
    </w:p>
    <w:p>
      <w:pPr>
        <w:pStyle w:val="Subsection"/>
      </w:pPr>
      <w:r>
        <w:tab/>
        <w:t>(1)</w:t>
      </w:r>
      <w:r>
        <w:tab/>
        <w:t>A person appealing to the Commissioner against a decision of an arbitrator is to do so in accordance with this Act.</w:t>
      </w:r>
    </w:p>
    <w:p>
      <w:pPr>
        <w:pStyle w:val="Subsection"/>
      </w:pPr>
      <w:r>
        <w:tab/>
        <w:t>(2)</w:t>
      </w:r>
      <w:r>
        <w:tab/>
        <w:t>An appeal commences when the application is accepted by the Director.</w:t>
      </w:r>
    </w:p>
    <w:p>
      <w:pPr>
        <w:pStyle w:val="Footnotesection"/>
      </w:pPr>
      <w:bookmarkStart w:id="2834" w:name="_Toc87253136"/>
      <w:r>
        <w:tab/>
        <w:t>[Section 248 inserted by No. 42 of 2004 s. 130.]</w:t>
      </w:r>
    </w:p>
    <w:p>
      <w:pPr>
        <w:pStyle w:val="Heading5"/>
      </w:pPr>
      <w:bookmarkStart w:id="2835" w:name="_Toc122833518"/>
      <w:bookmarkStart w:id="2836" w:name="_Toc122834085"/>
      <w:r>
        <w:rPr>
          <w:rStyle w:val="CharSectno"/>
        </w:rPr>
        <w:t>249</w:t>
      </w:r>
      <w:r>
        <w:t>.</w:t>
      </w:r>
      <w:r>
        <w:tab/>
        <w:t>Commissioner hearing to be held in public</w:t>
      </w:r>
      <w:bookmarkEnd w:id="2834"/>
      <w:bookmarkEnd w:id="2835"/>
      <w:bookmarkEnd w:id="2836"/>
    </w:p>
    <w:p>
      <w:pPr>
        <w:pStyle w:val="Subsection"/>
      </w:pPr>
      <w:r>
        <w:tab/>
        <w:t>(1)</w:t>
      </w:r>
      <w:r>
        <w:tab/>
        <w:t>Unless otherwise provided under this Act, hearings of the Commissioner are to be held in public.</w:t>
      </w:r>
    </w:p>
    <w:p>
      <w:pPr>
        <w:pStyle w:val="Subsection"/>
      </w:pPr>
      <w:r>
        <w:tab/>
        <w:t>(2)</w:t>
      </w:r>
      <w:r>
        <w:tab/>
        <w:t>On the application of a party or on its own initiative the Commissioner may, in the circumstances described in subsection (3), order that a hearing or any part of it be held in private.</w:t>
      </w:r>
    </w:p>
    <w:p>
      <w:pPr>
        <w:pStyle w:val="Subsection"/>
      </w:pPr>
      <w:r>
        <w:tab/>
        <w:t>(3)</w:t>
      </w:r>
      <w:r>
        <w:tab/>
        <w:t xml:space="preserve">The Commissioner may make an order under subsection (2) if the Commissioner considers it is necessary to do so — </w:t>
      </w:r>
    </w:p>
    <w:p>
      <w:pPr>
        <w:pStyle w:val="Indenta"/>
      </w:pPr>
      <w:r>
        <w:tab/>
        <w:t>(a)</w:t>
      </w:r>
      <w:r>
        <w:tab/>
        <w:t>to avoid prejudicing the administration of justice;</w:t>
      </w:r>
    </w:p>
    <w:p>
      <w:pPr>
        <w:pStyle w:val="Indenta"/>
      </w:pPr>
      <w:r>
        <w:tab/>
        <w:t>(b)</w:t>
      </w:r>
      <w:r>
        <w:tab/>
        <w:t>to avoid endangering the physical or mental health or safety of any person;</w:t>
      </w:r>
    </w:p>
    <w:p>
      <w:pPr>
        <w:pStyle w:val="Indenta"/>
      </w:pPr>
      <w:r>
        <w:tab/>
        <w:t>(c)</w:t>
      </w:r>
      <w:r>
        <w:tab/>
        <w:t>to avoid the publication of confidential information or information the publication of which would be contrary to the public interest; or</w:t>
      </w:r>
    </w:p>
    <w:p>
      <w:pPr>
        <w:pStyle w:val="Indenta"/>
      </w:pPr>
      <w:r>
        <w:tab/>
        <w:t>(d)</w:t>
      </w:r>
      <w:r>
        <w:tab/>
        <w:t>for any other reason in the interests of justice.</w:t>
      </w:r>
    </w:p>
    <w:p>
      <w:pPr>
        <w:pStyle w:val="Footnotesection"/>
      </w:pPr>
      <w:bookmarkStart w:id="2837" w:name="_Toc87253137"/>
      <w:r>
        <w:tab/>
        <w:t>[Section 249 inserted by No. 42 of 2004 s. 130.]</w:t>
      </w:r>
    </w:p>
    <w:p>
      <w:pPr>
        <w:pStyle w:val="Heading5"/>
      </w:pPr>
      <w:bookmarkStart w:id="2838" w:name="_Toc122833519"/>
      <w:bookmarkStart w:id="2839" w:name="_Toc122834086"/>
      <w:r>
        <w:rPr>
          <w:rStyle w:val="CharSectno"/>
        </w:rPr>
        <w:t>250</w:t>
      </w:r>
      <w:r>
        <w:t>.</w:t>
      </w:r>
      <w:r>
        <w:tab/>
        <w:t>Effect of decision against which appeal made</w:t>
      </w:r>
      <w:bookmarkEnd w:id="2837"/>
      <w:bookmarkEnd w:id="2838"/>
      <w:bookmarkEnd w:id="2839"/>
    </w:p>
    <w:p>
      <w:pPr>
        <w:pStyle w:val="Subsection"/>
      </w:pPr>
      <w:r>
        <w:tab/>
        <w:t>(1)</w:t>
      </w:r>
      <w:r>
        <w:tab/>
        <w:t>The Commissioner may, by order, stay the operation of a decision of an arbitrator pending the determination of an application for leave to appeal from the decision and of any appeal.</w:t>
      </w:r>
    </w:p>
    <w:p>
      <w:pPr>
        <w:pStyle w:val="Subsection"/>
      </w:pPr>
      <w:r>
        <w:tab/>
        <w:t>(2)</w:t>
      </w:r>
      <w:r>
        <w:tab/>
        <w:t>Subject to any order made by the Commissioner, an appeal does not affect the operation of the decision appealed against or prevent the taking of action to implement the decision.</w:t>
      </w:r>
    </w:p>
    <w:p>
      <w:pPr>
        <w:pStyle w:val="Footnotesection"/>
      </w:pPr>
      <w:r>
        <w:tab/>
        <w:t>[Section 250 inserted by No. 42 of 2004 s. 130.]</w:t>
      </w:r>
    </w:p>
    <w:p>
      <w:pPr>
        <w:pStyle w:val="Heading5"/>
      </w:pPr>
      <w:bookmarkStart w:id="2840" w:name="_Toc122833520"/>
      <w:bookmarkStart w:id="2841" w:name="_Toc122834087"/>
      <w:r>
        <w:rPr>
          <w:rStyle w:val="CharSectno"/>
        </w:rPr>
        <w:t>251</w:t>
      </w:r>
      <w:r>
        <w:t>.</w:t>
      </w:r>
      <w:r>
        <w:tab/>
        <w:t>Commissioner may state case</w:t>
      </w:r>
      <w:bookmarkEnd w:id="2840"/>
      <w:bookmarkEnd w:id="2841"/>
    </w:p>
    <w:p>
      <w:pPr>
        <w:pStyle w:val="Subsection"/>
      </w:pPr>
      <w:r>
        <w:tab/>
        <w:t>(1)</w:t>
      </w:r>
      <w:r>
        <w:tab/>
        <w:t>When a question of law arises before the Commissioner, the Commissioner may state a case for the decision of the Court of Appeal on that matter.</w:t>
      </w:r>
    </w:p>
    <w:p>
      <w:pPr>
        <w:pStyle w:val="Subsection"/>
      </w:pPr>
      <w:r>
        <w:tab/>
        <w:t>(2)</w:t>
      </w:r>
      <w:r>
        <w:tab/>
        <w:t>A case may be stated under this section despite a decision having been made or given by the Commissioner.</w:t>
      </w:r>
    </w:p>
    <w:p>
      <w:pPr>
        <w:pStyle w:val="Footnotesection"/>
      </w:pPr>
      <w:bookmarkStart w:id="2842" w:name="_Toc87253139"/>
      <w:r>
        <w:tab/>
        <w:t>[Section 251 inserted by No. 42 of 2004 s. 130; amended by No. 16 of 2005 s. 32(3).]</w:t>
      </w:r>
    </w:p>
    <w:p>
      <w:pPr>
        <w:pStyle w:val="Heading5"/>
      </w:pPr>
      <w:bookmarkStart w:id="2843" w:name="_Toc122833521"/>
      <w:bookmarkStart w:id="2844" w:name="_Toc122834088"/>
      <w:r>
        <w:rPr>
          <w:rStyle w:val="CharSectno"/>
        </w:rPr>
        <w:t>252</w:t>
      </w:r>
      <w:r>
        <w:t>.</w:t>
      </w:r>
      <w:r>
        <w:tab/>
        <w:t>Indemnity as to costs</w:t>
      </w:r>
      <w:bookmarkEnd w:id="2842"/>
      <w:bookmarkEnd w:id="2843"/>
      <w:bookmarkEnd w:id="2844"/>
    </w:p>
    <w:p>
      <w:pPr>
        <w:pStyle w:val="Subsection"/>
      </w:pPr>
      <w:r>
        <w:tab/>
        <w:t>(1)</w:t>
      </w:r>
      <w:r>
        <w:tab/>
        <w:t>If the Commissioner has stated a case for the decision of the Court of Appeal, the Commissioner may in the Commissioner’s absolute discretion indemnify any of the parties against the costs or part of the costs of the proceedings resulting from a case being stated.</w:t>
      </w:r>
    </w:p>
    <w:p>
      <w:pPr>
        <w:pStyle w:val="Subsection"/>
      </w:pPr>
      <w:r>
        <w:tab/>
        <w:t>(2)</w:t>
      </w:r>
      <w:r>
        <w:tab/>
        <w:t>Any moneys payable to a party by reason of an indemnity under subsection (1) when certified by the Commissioner as payable are to be paid by WorkCover WA from moneys standing to the credit of the General Fund.</w:t>
      </w:r>
    </w:p>
    <w:p>
      <w:pPr>
        <w:pStyle w:val="Footnotesection"/>
      </w:pPr>
      <w:r>
        <w:tab/>
        <w:t>[Section 252 inserted by No. 42 of 2004 s. 130; amended by No. 16 of 2005 s. 32(3).]</w:t>
      </w:r>
    </w:p>
    <w:p>
      <w:pPr>
        <w:pStyle w:val="Heading5"/>
      </w:pPr>
      <w:bookmarkStart w:id="2845" w:name="_Toc122833522"/>
      <w:bookmarkStart w:id="2846" w:name="_Toc122834089"/>
      <w:r>
        <w:rPr>
          <w:rStyle w:val="CharSectno"/>
        </w:rPr>
        <w:t>253</w:t>
      </w:r>
      <w:r>
        <w:t>.</w:t>
      </w:r>
      <w:r>
        <w:tab/>
        <w:t>Decisions of Commissioner</w:t>
      </w:r>
      <w:bookmarkEnd w:id="2845"/>
      <w:bookmarkEnd w:id="2846"/>
    </w:p>
    <w:p>
      <w:pPr>
        <w:pStyle w:val="Subsection"/>
      </w:pPr>
      <w:r>
        <w:tab/>
        <w:t>(1)</w:t>
      </w:r>
      <w:r>
        <w:tab/>
        <w:t xml:space="preserve">Except as otherwise provided by this Act a decision of the Commissioner —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pPr>
      <w:r>
        <w:tab/>
        <w:t>(2)</w:t>
      </w:r>
      <w:r>
        <w:tab/>
        <w:t>A decision of the Commissioner or anything done under this Act in the process of coming to a decision of the Commissioner is not amenable to judicial review.</w:t>
      </w:r>
    </w:p>
    <w:p>
      <w:pPr>
        <w:pStyle w:val="Subsection"/>
      </w:pPr>
      <w:r>
        <w:tab/>
        <w:t>(3)</w:t>
      </w:r>
      <w:r>
        <w:tab/>
        <w:t>The Commissioner may reconsider any matter that has been dealt with by the Commissioner and rescind, alter or amend any decision previously made or given by the Commissioner.</w:t>
      </w:r>
    </w:p>
    <w:p>
      <w:pPr>
        <w:pStyle w:val="Footnotesection"/>
      </w:pPr>
      <w:r>
        <w:tab/>
        <w:t>[Section 253 inserted by No. 42 of 2004 s. 130.]</w:t>
      </w:r>
    </w:p>
    <w:p>
      <w:pPr>
        <w:pStyle w:val="Heading5"/>
      </w:pPr>
      <w:bookmarkStart w:id="2847" w:name="_Toc122833523"/>
      <w:bookmarkStart w:id="2848" w:name="_Toc122834090"/>
      <w:r>
        <w:rPr>
          <w:rStyle w:val="CharSectno"/>
        </w:rPr>
        <w:t>254</w:t>
      </w:r>
      <w:r>
        <w:t>.</w:t>
      </w:r>
      <w:r>
        <w:tab/>
        <w:t>Appeal against decision of Commissioner</w:t>
      </w:r>
      <w:bookmarkEnd w:id="2847"/>
      <w:bookmarkEnd w:id="2848"/>
    </w:p>
    <w:p>
      <w:pPr>
        <w:pStyle w:val="Subsection"/>
      </w:pPr>
      <w:r>
        <w:tab/>
        <w:t>(1)</w:t>
      </w:r>
      <w:r>
        <w:tab/>
        <w:t>A party to a proceeding before the Commissioner may by leave of the Court of Appeal appeal to the Court of Appeal from a decision of the Commissioner in the proceeding on a question of law.</w:t>
      </w:r>
    </w:p>
    <w:p>
      <w:pPr>
        <w:pStyle w:val="Ednotesubsection"/>
      </w:pPr>
      <w:r>
        <w:tab/>
        <w:t>[(2)</w:t>
      </w:r>
      <w:r>
        <w:tab/>
        <w:t>repealed]</w:t>
      </w:r>
    </w:p>
    <w:p>
      <w:pPr>
        <w:pStyle w:val="Subsection"/>
      </w:pPr>
      <w:r>
        <w:tab/>
        <w:t>(3)</w:t>
      </w:r>
      <w:r>
        <w:tab/>
        <w:t xml:space="preserve">The Court of Appeal may — </w:t>
      </w:r>
    </w:p>
    <w:p>
      <w:pPr>
        <w:pStyle w:val="Indenta"/>
      </w:pPr>
      <w:r>
        <w:tab/>
        <w:t>(a)</w:t>
      </w:r>
      <w:r>
        <w:tab/>
        <w:t>affirm, vary, or set aside the decision of the Commissioner;</w:t>
      </w:r>
    </w:p>
    <w:p>
      <w:pPr>
        <w:pStyle w:val="Indenta"/>
      </w:pPr>
      <w:r>
        <w:tab/>
        <w:t>(b)</w:t>
      </w:r>
      <w:r>
        <w:tab/>
        <w:t>make any decision that the Commissioner could have made in the proceeding; or</w:t>
      </w:r>
    </w:p>
    <w:p>
      <w:pPr>
        <w:pStyle w:val="Indenta"/>
      </w:pPr>
      <w:r>
        <w:tab/>
        <w:t>(c)</w:t>
      </w:r>
      <w:r>
        <w:tab/>
        <w:t>send the matter back to the Commissioner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(4)</w:t>
      </w:r>
      <w:r>
        <w:tab/>
        <w:t xml:space="preserve">An appeal, or an application for leave to appeal, is to be made in accordance with the rules of the Supreme Court and within the period of 28 days after — </w:t>
      </w:r>
    </w:p>
    <w:p>
      <w:pPr>
        <w:pStyle w:val="Indenta"/>
      </w:pPr>
      <w:r>
        <w:tab/>
        <w:t>(a)</w:t>
      </w:r>
      <w:r>
        <w:tab/>
        <w:t>the day on which the Commissioner’s decision is given; or</w:t>
      </w:r>
    </w:p>
    <w:p>
      <w:pPr>
        <w:pStyle w:val="Indenta"/>
      </w:pPr>
      <w:r>
        <w:tab/>
        <w:t>(b)</w:t>
      </w:r>
      <w:r>
        <w:tab/>
        <w:t>if the Commissioner gives a decision that is not in writing and the party then requests the Commissioner to give a written decision, the day on which the written reasons are given.</w:t>
      </w:r>
    </w:p>
    <w:p>
      <w:pPr>
        <w:pStyle w:val="Subsection"/>
      </w:pPr>
      <w:r>
        <w:tab/>
        <w:t>(5)</w:t>
      </w:r>
      <w:r>
        <w:tab/>
        <w:t>If leave is granted, the appeal is to be instituted in accordance with the rules of the Supreme Court and within the period of 21 days after the day on which leave is granted.</w:t>
      </w:r>
    </w:p>
    <w:p>
      <w:pPr>
        <w:pStyle w:val="Subsection"/>
      </w:pPr>
      <w:r>
        <w:tab/>
        <w:t>(6)</w:t>
      </w:r>
      <w:r>
        <w:tab/>
        <w:t>The Court of Appeal may extend a time limit fixed by this section, and the extension may be given even though the time limit has passed.</w:t>
      </w:r>
    </w:p>
    <w:p>
      <w:pPr>
        <w:pStyle w:val="Footnotesection"/>
      </w:pPr>
      <w:bookmarkStart w:id="2849" w:name="_Toc87253142"/>
      <w:r>
        <w:tab/>
        <w:t>[Section 254 inserted by No. 42 of 2004 s. 130; amended by No. 16 of 2005 s. 32(4)-(6).]</w:t>
      </w:r>
    </w:p>
    <w:p>
      <w:pPr>
        <w:pStyle w:val="Heading2"/>
      </w:pPr>
      <w:bookmarkStart w:id="2850" w:name="_Toc119132803"/>
      <w:bookmarkStart w:id="2851" w:name="_Toc119203473"/>
      <w:bookmarkStart w:id="2852" w:name="_Toc119204119"/>
      <w:bookmarkStart w:id="2853" w:name="_Toc119216449"/>
      <w:bookmarkStart w:id="2854" w:name="_Toc119300971"/>
      <w:bookmarkStart w:id="2855" w:name="_Toc119301538"/>
      <w:bookmarkStart w:id="2856" w:name="_Toc119302107"/>
      <w:bookmarkStart w:id="2857" w:name="_Toc119920294"/>
      <w:bookmarkStart w:id="2858" w:name="_Toc122774281"/>
      <w:bookmarkStart w:id="2859" w:name="_Toc122833524"/>
      <w:bookmarkStart w:id="2860" w:name="_Toc122834091"/>
      <w:r>
        <w:rPr>
          <w:rStyle w:val="CharPartNo"/>
        </w:rPr>
        <w:t>Part XIV</w:t>
      </w:r>
      <w:r>
        <w:rPr>
          <w:b w:val="0"/>
        </w:rPr>
        <w:t> </w:t>
      </w:r>
      <w:r>
        <w:t>—</w:t>
      </w:r>
      <w:r>
        <w:rPr>
          <w:b w:val="0"/>
        </w:rPr>
        <w:t> </w:t>
      </w:r>
      <w:r>
        <w:rPr>
          <w:rStyle w:val="CharPartText"/>
        </w:rPr>
        <w:t>Offences</w:t>
      </w:r>
      <w:bookmarkEnd w:id="2849"/>
      <w:bookmarkEnd w:id="2850"/>
      <w:bookmarkEnd w:id="2851"/>
      <w:bookmarkEnd w:id="2852"/>
      <w:bookmarkEnd w:id="2853"/>
      <w:bookmarkEnd w:id="2854"/>
      <w:bookmarkEnd w:id="2855"/>
      <w:bookmarkEnd w:id="2856"/>
      <w:bookmarkEnd w:id="2857"/>
      <w:bookmarkEnd w:id="2858"/>
      <w:bookmarkEnd w:id="2859"/>
      <w:bookmarkEnd w:id="2860"/>
    </w:p>
    <w:p>
      <w:pPr>
        <w:pStyle w:val="Footnoteheading"/>
      </w:pPr>
      <w:bookmarkStart w:id="2861" w:name="_Toc87253143"/>
      <w:r>
        <w:tab/>
        <w:t>[Heading inserted by No. 42 of 2004 s. 130.]</w:t>
      </w:r>
    </w:p>
    <w:p>
      <w:pPr>
        <w:pStyle w:val="Heading5"/>
      </w:pPr>
      <w:bookmarkStart w:id="2862" w:name="_Toc122833525"/>
      <w:bookmarkStart w:id="2863" w:name="_Toc122834092"/>
      <w:r>
        <w:rPr>
          <w:rStyle w:val="CharSectno"/>
        </w:rPr>
        <w:t>255</w:t>
      </w:r>
      <w:r>
        <w:t>.</w:t>
      </w:r>
      <w:r>
        <w:tab/>
        <w:t>Failing to comply with decision</w:t>
      </w:r>
      <w:bookmarkEnd w:id="2861"/>
      <w:bookmarkEnd w:id="2862"/>
      <w:bookmarkEnd w:id="2863"/>
    </w:p>
    <w:p>
      <w:pPr>
        <w:pStyle w:val="Subsection"/>
      </w:pPr>
      <w:r>
        <w:tab/>
        <w:t>(1)</w:t>
      </w:r>
      <w:r>
        <w:tab/>
        <w:t>A person who fails to comply with a decision of a dispute resolution authority commits an offence.</w:t>
      </w:r>
    </w:p>
    <w:p>
      <w:pPr>
        <w:pStyle w:val="Penstart"/>
      </w:pPr>
      <w:r>
        <w:tab/>
        <w:t>Penalty: $5 000.</w:t>
      </w:r>
    </w:p>
    <w:p>
      <w:pPr>
        <w:pStyle w:val="Subsection"/>
      </w:pPr>
      <w:r>
        <w:tab/>
        <w:t>(2)</w:t>
      </w:r>
      <w:r>
        <w:tab/>
        <w:t xml:space="preserve">Subsection (1) does not apply if, or to the extent that — </w:t>
      </w:r>
    </w:p>
    <w:p>
      <w:pPr>
        <w:pStyle w:val="Indenta"/>
      </w:pPr>
      <w:r>
        <w:tab/>
        <w:t>(a)</w:t>
      </w:r>
      <w:r>
        <w:tab/>
        <w:t>the person is excused by section 206 from complying with that decision;</w:t>
      </w:r>
    </w:p>
    <w:p>
      <w:pPr>
        <w:pStyle w:val="Indenta"/>
      </w:pPr>
      <w:r>
        <w:tab/>
        <w:t>(b)</w:t>
      </w:r>
      <w:r>
        <w:tab/>
        <w:t>the person has a reasonable excuse (other than an excuse mentioned in section 204(1) or 205) for failing to comply with the decision; or</w:t>
      </w:r>
    </w:p>
    <w:p>
      <w:pPr>
        <w:pStyle w:val="Indenta"/>
      </w:pPr>
      <w:r>
        <w:tab/>
        <w:t>(c)</w:t>
      </w:r>
      <w:r>
        <w:tab/>
        <w:t>the decision is an order of the dispute resolution authority requiring the payment of money.</w:t>
      </w:r>
    </w:p>
    <w:p>
      <w:pPr>
        <w:pStyle w:val="Subsection"/>
      </w:pPr>
      <w:r>
        <w:tab/>
        <w:t>(3)</w:t>
      </w:r>
      <w:r>
        <w:tab/>
        <w:t xml:space="preserve">If the dispute resolution authority made the decision without giving a person an opportunity to be heard, subsection (1) only applies to that person on the person being given personally or in accordance with subsection (4) — </w:t>
      </w:r>
    </w:p>
    <w:p>
      <w:pPr>
        <w:pStyle w:val="Indenta"/>
      </w:pPr>
      <w:r>
        <w:tab/>
        <w:t>(a)</w:t>
      </w:r>
      <w:r>
        <w:tab/>
        <w:t>a copy of the decision that the Director has certified to be a true copy; and</w:t>
      </w:r>
    </w:p>
    <w:p>
      <w:pPr>
        <w:pStyle w:val="Indenta"/>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pPr>
      <w:bookmarkStart w:id="2864" w:name="_Toc87253144"/>
      <w:r>
        <w:tab/>
        <w:t>[Section 255 inserted by No. 42 of 2004 s. 130.]</w:t>
      </w:r>
    </w:p>
    <w:p>
      <w:pPr>
        <w:pStyle w:val="Heading5"/>
      </w:pPr>
      <w:bookmarkStart w:id="2865" w:name="_Toc122833526"/>
      <w:bookmarkStart w:id="2866" w:name="_Toc122834093"/>
      <w:r>
        <w:rPr>
          <w:rStyle w:val="CharSectno"/>
        </w:rPr>
        <w:t>256</w:t>
      </w:r>
      <w:r>
        <w:t>.</w:t>
      </w:r>
      <w:r>
        <w:tab/>
        <w:t>Failing to comply with summons</w:t>
      </w:r>
      <w:bookmarkEnd w:id="2864"/>
      <w:bookmarkEnd w:id="2865"/>
      <w:bookmarkEnd w:id="2866"/>
    </w:p>
    <w:p>
      <w:pPr>
        <w:pStyle w:val="Subsection"/>
      </w:pPr>
      <w:r>
        <w:tab/>
      </w:r>
      <w:r>
        <w:tab/>
        <w:t>A person who, without reasonable excuse, fails to comply with a summons issued by a dispute resolution authority under this Act commits an offence.</w:t>
      </w:r>
    </w:p>
    <w:p>
      <w:pPr>
        <w:pStyle w:val="Penstart"/>
      </w:pPr>
      <w:r>
        <w:tab/>
        <w:t>Penalty: $2 000.</w:t>
      </w:r>
    </w:p>
    <w:p>
      <w:pPr>
        <w:pStyle w:val="Footnotesection"/>
      </w:pPr>
      <w:bookmarkStart w:id="2867" w:name="_Toc87253145"/>
      <w:r>
        <w:tab/>
        <w:t>[Section 256 inserted by No. 42 of 2004 s. 130.]</w:t>
      </w:r>
    </w:p>
    <w:p>
      <w:pPr>
        <w:pStyle w:val="Heading5"/>
      </w:pPr>
      <w:bookmarkStart w:id="2868" w:name="_Toc122833527"/>
      <w:bookmarkStart w:id="2869" w:name="_Toc122834094"/>
      <w:r>
        <w:rPr>
          <w:rStyle w:val="CharSectno"/>
        </w:rPr>
        <w:t>257</w:t>
      </w:r>
      <w:r>
        <w:t>.</w:t>
      </w:r>
      <w:r>
        <w:tab/>
        <w:t>Failing to give evidence as required</w:t>
      </w:r>
      <w:bookmarkEnd w:id="2867"/>
      <w:bookmarkEnd w:id="2868"/>
      <w:bookmarkEnd w:id="2869"/>
    </w:p>
    <w:p>
      <w:pPr>
        <w:pStyle w:val="Subsection"/>
      </w:pPr>
      <w:r>
        <w:tab/>
      </w:r>
      <w:r>
        <w:tab/>
        <w:t xml:space="preserve">A person appearing before a dispute resolution authority commits an offence if the person — </w:t>
      </w:r>
    </w:p>
    <w:p>
      <w:pPr>
        <w:pStyle w:val="Indenta"/>
      </w:pPr>
      <w:r>
        <w:tab/>
        <w:t>(a)</w:t>
      </w:r>
      <w:r>
        <w:tab/>
        <w:t>refuses to swear an oath or make an affirmation or statutory declaration when required by the dispute resolution authority to do so; or</w:t>
      </w:r>
    </w:p>
    <w:p>
      <w:pPr>
        <w:pStyle w:val="Indenta"/>
      </w:pPr>
      <w:r>
        <w:tab/>
        <w:t>(b)</w:t>
      </w:r>
      <w:r>
        <w:tab/>
        <w:t>when required by a dispute resolution authority to give evidence that the person is competent and compellable to give, does not do so.</w:t>
      </w:r>
    </w:p>
    <w:p>
      <w:pPr>
        <w:pStyle w:val="Penstart"/>
      </w:pPr>
      <w:r>
        <w:tab/>
        <w:t>Penalty: $2 000.</w:t>
      </w:r>
    </w:p>
    <w:p>
      <w:pPr>
        <w:pStyle w:val="Footnotesection"/>
      </w:pPr>
      <w:bookmarkStart w:id="2870" w:name="_Toc87253146"/>
      <w:r>
        <w:tab/>
        <w:t>[Section 257 inserted by No. 42 of 2004 s. 130.]</w:t>
      </w:r>
    </w:p>
    <w:p>
      <w:pPr>
        <w:pStyle w:val="Heading5"/>
      </w:pPr>
      <w:bookmarkStart w:id="2871" w:name="_Toc122833528"/>
      <w:bookmarkStart w:id="2872" w:name="_Toc122834095"/>
      <w:r>
        <w:rPr>
          <w:rStyle w:val="CharSectno"/>
        </w:rPr>
        <w:t>258</w:t>
      </w:r>
      <w:r>
        <w:t>.</w:t>
      </w:r>
      <w:r>
        <w:tab/>
        <w:t>Giving false or misleading information</w:t>
      </w:r>
      <w:bookmarkEnd w:id="2870"/>
      <w:bookmarkEnd w:id="2871"/>
      <w:bookmarkEnd w:id="2872"/>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bookmarkStart w:id="2873" w:name="_Toc87253147"/>
      <w:r>
        <w:tab/>
        <w:t>[Section 258 inserted by No. 42 of 2004 s. 130.]</w:t>
      </w:r>
    </w:p>
    <w:p>
      <w:pPr>
        <w:pStyle w:val="Heading5"/>
      </w:pPr>
      <w:bookmarkStart w:id="2874" w:name="_Toc122833529"/>
      <w:bookmarkStart w:id="2875" w:name="_Toc122834096"/>
      <w:r>
        <w:rPr>
          <w:rStyle w:val="CharSectno"/>
        </w:rPr>
        <w:t>259</w:t>
      </w:r>
      <w:r>
        <w:t>.</w:t>
      </w:r>
      <w:r>
        <w:tab/>
        <w:t>Misbehaviour and other conduct</w:t>
      </w:r>
      <w:bookmarkEnd w:id="2873"/>
      <w:bookmarkEnd w:id="2874"/>
      <w:bookmarkEnd w:id="2875"/>
    </w:p>
    <w:p>
      <w:pPr>
        <w:pStyle w:val="Subsection"/>
      </w:pPr>
      <w:r>
        <w:tab/>
      </w:r>
      <w:r>
        <w:tab/>
        <w:t xml:space="preserve">A person who — </w:t>
      </w:r>
    </w:p>
    <w:p>
      <w:pPr>
        <w:pStyle w:val="Indenta"/>
      </w:pPr>
      <w:r>
        <w:tab/>
        <w:t>(a)</w:t>
      </w:r>
      <w:r>
        <w:tab/>
        <w:t>insults, or obstructs or hinders the performance of the functions of, a dispute resolution authority;</w:t>
      </w:r>
    </w:p>
    <w:p>
      <w:pPr>
        <w:pStyle w:val="Indenta"/>
      </w:pPr>
      <w:r>
        <w:tab/>
        <w:t>(b)</w:t>
      </w:r>
      <w:r>
        <w:tab/>
        <w:t>insults, obstructs or hinders a person attending a hearing before a dispute resolution authority;</w:t>
      </w:r>
    </w:p>
    <w:p>
      <w:pPr>
        <w:pStyle w:val="Indenta"/>
      </w:pPr>
      <w:r>
        <w:tab/>
        <w:t>(c)</w:t>
      </w:r>
      <w:r>
        <w:tab/>
        <w:t>misbehaves at a hearing before a dispute resolution authority;</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bookmarkStart w:id="2876" w:name="_Toc87253148"/>
      <w:r>
        <w:tab/>
        <w:t>[Section 259 inserted by No. 42 of 2004 s. 130.]</w:t>
      </w:r>
    </w:p>
    <w:p>
      <w:pPr>
        <w:pStyle w:val="Heading5"/>
      </w:pPr>
      <w:bookmarkStart w:id="2877" w:name="_Toc122833530"/>
      <w:bookmarkStart w:id="2878" w:name="_Toc122834097"/>
      <w:r>
        <w:rPr>
          <w:rStyle w:val="CharSectno"/>
        </w:rPr>
        <w:t>260</w:t>
      </w:r>
      <w:r>
        <w:t>.</w:t>
      </w:r>
      <w:r>
        <w:tab/>
        <w:t>Contempt of Commissioner</w:t>
      </w:r>
      <w:bookmarkEnd w:id="2876"/>
      <w:bookmarkEnd w:id="2877"/>
      <w:bookmarkEnd w:id="2878"/>
    </w:p>
    <w:p>
      <w:pPr>
        <w:pStyle w:val="Subsection"/>
      </w:pPr>
      <w:r>
        <w:tab/>
        <w:t>(1)</w:t>
      </w:r>
      <w:r>
        <w:tab/>
        <w:t>If the Commissioner is satisfied that an act or omission of a person would constitute a contempt of the Court if a proceeding of the Commissioner were a proceeding in the Supreme Court, the Commissioner may report that act or omission to the Supreme Court and the Court has jurisdiction to deal with the matter as if it were a contempt of that Court.</w:t>
      </w:r>
    </w:p>
    <w:p>
      <w:pPr>
        <w:pStyle w:val="Subsection"/>
      </w:pPr>
      <w:r>
        <w:tab/>
        <w:t>(2)</w:t>
      </w:r>
      <w:r>
        <w:tab/>
        <w:t xml:space="preserve">If — </w:t>
      </w:r>
    </w:p>
    <w:p>
      <w:pPr>
        <w:pStyle w:val="Indenta"/>
      </w:pPr>
      <w:r>
        <w:tab/>
        <w:t>(a)</w:t>
      </w:r>
      <w:r>
        <w:tab/>
        <w:t>subsection (1) applies to an act or omission by a person and that act or omission is also an offence under this Part; and</w:t>
      </w:r>
    </w:p>
    <w:p>
      <w:pPr>
        <w:pStyle w:val="Indenta"/>
      </w:pPr>
      <w:r>
        <w:tab/>
        <w:t>(b)</w:t>
      </w:r>
      <w:r>
        <w:tab/>
        <w:t>the person has been dealt with under subsection (1) for the act or omission,</w:t>
      </w:r>
    </w:p>
    <w:p>
      <w:pPr>
        <w:pStyle w:val="Subsection"/>
      </w:pPr>
      <w:r>
        <w:tab/>
      </w:r>
      <w:r>
        <w:tab/>
        <w:t>the person is not liable to be punished for the offence under this Act.</w:t>
      </w:r>
    </w:p>
    <w:p>
      <w:pPr>
        <w:pStyle w:val="Footnotesection"/>
      </w:pPr>
      <w:bookmarkStart w:id="2879" w:name="_Toc87253149"/>
      <w:r>
        <w:tab/>
        <w:t>[Section 260 inserted by No. 42 of 2004 s. 130.]</w:t>
      </w:r>
    </w:p>
    <w:p>
      <w:pPr>
        <w:pStyle w:val="Heading2"/>
      </w:pPr>
      <w:bookmarkStart w:id="2880" w:name="_Toc119132810"/>
      <w:bookmarkStart w:id="2881" w:name="_Toc119203480"/>
      <w:bookmarkStart w:id="2882" w:name="_Toc119204126"/>
      <w:bookmarkStart w:id="2883" w:name="_Toc119216456"/>
      <w:bookmarkStart w:id="2884" w:name="_Toc119300978"/>
      <w:bookmarkStart w:id="2885" w:name="_Toc119301545"/>
      <w:bookmarkStart w:id="2886" w:name="_Toc119302114"/>
      <w:bookmarkStart w:id="2887" w:name="_Toc119920301"/>
      <w:bookmarkStart w:id="2888" w:name="_Toc122774288"/>
      <w:bookmarkStart w:id="2889" w:name="_Toc122833531"/>
      <w:bookmarkStart w:id="2890" w:name="_Toc122834098"/>
      <w:r>
        <w:rPr>
          <w:rStyle w:val="CharPartNo"/>
        </w:rPr>
        <w:t>Part XV</w:t>
      </w:r>
      <w:r>
        <w:rPr>
          <w:b w:val="0"/>
        </w:rPr>
        <w:t> </w:t>
      </w:r>
      <w:r>
        <w:t>—</w:t>
      </w:r>
      <w:r>
        <w:rPr>
          <w:b w:val="0"/>
        </w:rPr>
        <w:t> </w:t>
      </w:r>
      <w:r>
        <w:rPr>
          <w:rStyle w:val="CharPartText"/>
        </w:rPr>
        <w:t>Costs</w:t>
      </w:r>
      <w:bookmarkEnd w:id="2879"/>
      <w:bookmarkEnd w:id="2880"/>
      <w:bookmarkEnd w:id="2881"/>
      <w:bookmarkEnd w:id="2882"/>
      <w:bookmarkEnd w:id="2883"/>
      <w:bookmarkEnd w:id="2884"/>
      <w:bookmarkEnd w:id="2885"/>
      <w:bookmarkEnd w:id="2886"/>
      <w:bookmarkEnd w:id="2887"/>
      <w:bookmarkEnd w:id="2888"/>
      <w:bookmarkEnd w:id="2889"/>
      <w:bookmarkEnd w:id="2890"/>
    </w:p>
    <w:p>
      <w:pPr>
        <w:pStyle w:val="Footnoteheading"/>
      </w:pPr>
      <w:bookmarkStart w:id="2891" w:name="_Toc87253150"/>
      <w:r>
        <w:tab/>
        <w:t>[Heading inserted by No. 42 of 2004 s. 130.]</w:t>
      </w:r>
    </w:p>
    <w:p>
      <w:pPr>
        <w:pStyle w:val="Heading3"/>
      </w:pPr>
      <w:bookmarkStart w:id="2892" w:name="_Toc119132811"/>
      <w:bookmarkStart w:id="2893" w:name="_Toc119203481"/>
      <w:bookmarkStart w:id="2894" w:name="_Toc119204127"/>
      <w:bookmarkStart w:id="2895" w:name="_Toc119216457"/>
      <w:bookmarkStart w:id="2896" w:name="_Toc119300979"/>
      <w:bookmarkStart w:id="2897" w:name="_Toc119301546"/>
      <w:bookmarkStart w:id="2898" w:name="_Toc119302115"/>
      <w:bookmarkStart w:id="2899" w:name="_Toc119920302"/>
      <w:bookmarkStart w:id="2900" w:name="_Toc122774289"/>
      <w:bookmarkStart w:id="2901" w:name="_Toc122833532"/>
      <w:bookmarkStart w:id="2902" w:name="_Toc122834099"/>
      <w:r>
        <w:rPr>
          <w:rStyle w:val="CharDivNo"/>
        </w:rPr>
        <w:t>Division 1</w:t>
      </w:r>
      <w:r>
        <w:t> — </w:t>
      </w:r>
      <w:r>
        <w:rPr>
          <w:rStyle w:val="CharDivText"/>
        </w:rPr>
        <w:t>General</w:t>
      </w:r>
      <w:bookmarkEnd w:id="2891"/>
      <w:bookmarkEnd w:id="2892"/>
      <w:bookmarkEnd w:id="2893"/>
      <w:bookmarkEnd w:id="2894"/>
      <w:bookmarkEnd w:id="2895"/>
      <w:bookmarkEnd w:id="2896"/>
      <w:bookmarkEnd w:id="2897"/>
      <w:bookmarkEnd w:id="2898"/>
      <w:bookmarkEnd w:id="2899"/>
      <w:bookmarkEnd w:id="2900"/>
      <w:bookmarkEnd w:id="2901"/>
      <w:bookmarkEnd w:id="2902"/>
    </w:p>
    <w:p>
      <w:pPr>
        <w:pStyle w:val="Footnoteheading"/>
      </w:pPr>
      <w:bookmarkStart w:id="2903" w:name="_Toc87253151"/>
      <w:r>
        <w:tab/>
        <w:t>[Heading inserted by No. 42 of 2004 s. 130.]</w:t>
      </w:r>
    </w:p>
    <w:p>
      <w:pPr>
        <w:pStyle w:val="Heading5"/>
      </w:pPr>
      <w:bookmarkStart w:id="2904" w:name="_Toc122833533"/>
      <w:bookmarkStart w:id="2905" w:name="_Toc122834100"/>
      <w:r>
        <w:rPr>
          <w:rStyle w:val="CharSectno"/>
        </w:rPr>
        <w:t>261</w:t>
      </w:r>
      <w:r>
        <w:t>.</w:t>
      </w:r>
      <w:r>
        <w:tab/>
        <w:t>Terms used in this Part</w:t>
      </w:r>
      <w:bookmarkEnd w:id="2903"/>
      <w:bookmarkEnd w:id="2904"/>
      <w:bookmarkEnd w:id="2905"/>
    </w:p>
    <w:p>
      <w:pPr>
        <w:pStyle w:val="Subsection"/>
      </w:pPr>
      <w:r>
        <w:tab/>
      </w:r>
      <w:r>
        <w:tab/>
        <w:t xml:space="preserve">In this Part — </w:t>
      </w:r>
    </w:p>
    <w:p>
      <w:pPr>
        <w:pStyle w:val="Defstart"/>
      </w:pPr>
      <w:r>
        <w:rPr>
          <w:b/>
        </w:rPr>
        <w:tab/>
        <w:t>“</w:t>
      </w:r>
      <w:r>
        <w:rPr>
          <w:rStyle w:val="CharDefText"/>
        </w:rPr>
        <w:t>agent</w:t>
      </w:r>
      <w:r>
        <w:rPr>
          <w:b/>
        </w:rPr>
        <w:t>”</w:t>
      </w:r>
      <w:r>
        <w:t xml:space="preserve"> means a person who acts as agent for a person in connection with a dispute under this Act;</w:t>
      </w:r>
    </w:p>
    <w:p>
      <w:pPr>
        <w:pStyle w:val="Defstart"/>
      </w:pPr>
      <w:r>
        <w:rPr>
          <w:b/>
        </w:rPr>
        <w:tab/>
        <w:t>“</w:t>
      </w:r>
      <w:r>
        <w:rPr>
          <w:rStyle w:val="CharDefText"/>
        </w:rPr>
        <w:t>agent service</w:t>
      </w:r>
      <w:r>
        <w:rPr>
          <w:b/>
        </w:rPr>
        <w:t>”</w:t>
      </w:r>
      <w:r>
        <w:t xml:space="preserve"> means any service performed by a person —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t>“</w:t>
      </w:r>
      <w:r>
        <w:rPr>
          <w:rStyle w:val="CharDefText"/>
        </w:rPr>
        <w:t>costs</w:t>
      </w:r>
      <w:r>
        <w:rPr>
          <w:b/>
        </w:rPr>
        <w:t>”</w:t>
      </w:r>
      <w:r>
        <w:t xml:space="preserve"> means — </w:t>
      </w:r>
    </w:p>
    <w:p>
      <w:pPr>
        <w:pStyle w:val="Defpara"/>
      </w:pPr>
      <w:r>
        <w:tab/>
        <w:t>(a)</w:t>
      </w:r>
      <w:r>
        <w:tab/>
        <w:t>costs of a party (including fees, charges and disbursements);</w:t>
      </w:r>
    </w:p>
    <w:p>
      <w:pPr>
        <w:pStyle w:val="Defpara"/>
      </w:pPr>
      <w:r>
        <w:tab/>
        <w:t>(b)</w:t>
      </w:r>
      <w:r>
        <w:tab/>
        <w:t>costs of a proceeding; and</w:t>
      </w:r>
    </w:p>
    <w:p>
      <w:pPr>
        <w:pStyle w:val="Defpara"/>
      </w:pPr>
      <w:r>
        <w:tab/>
        <w:t>(c)</w:t>
      </w:r>
      <w:r>
        <w:tab/>
        <w:t>such other costs as may be prescribed by regulation;</w:t>
      </w:r>
    </w:p>
    <w:p>
      <w:pPr>
        <w:pStyle w:val="Defstart"/>
      </w:pPr>
      <w:r>
        <w:rPr>
          <w:b/>
        </w:rPr>
        <w:tab/>
        <w:t>“</w:t>
      </w:r>
      <w:r>
        <w:rPr>
          <w:rStyle w:val="CharDefText"/>
        </w:rPr>
        <w:t>costs determination</w:t>
      </w:r>
      <w:r>
        <w:rPr>
          <w:b/>
        </w:rPr>
        <w:t>”</w:t>
      </w:r>
      <w:r>
        <w:t xml:space="preserve"> means a determination published under section 273;</w:t>
      </w:r>
    </w:p>
    <w:p>
      <w:pPr>
        <w:pStyle w:val="Defstart"/>
      </w:pPr>
      <w:r>
        <w:rPr>
          <w:b/>
        </w:rPr>
        <w:tab/>
        <w:t>“</w:t>
      </w:r>
      <w:r>
        <w:rPr>
          <w:rStyle w:val="CharDefText"/>
        </w:rPr>
        <w:t>costs of a proceeding</w:t>
      </w:r>
      <w:r>
        <w:rPr>
          <w:b/>
        </w:rPr>
        <w:t>”</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t>“</w:t>
      </w:r>
      <w:r>
        <w:rPr>
          <w:rStyle w:val="CharDefText"/>
        </w:rPr>
        <w:t>legal service</w:t>
      </w:r>
      <w:r>
        <w:rPr>
          <w:b/>
        </w:rPr>
        <w:t>”</w:t>
      </w:r>
      <w:r>
        <w:t xml:space="preserve"> means any service performed by a person —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bookmarkStart w:id="2906" w:name="_Toc87253152"/>
      <w:r>
        <w:tab/>
        <w:t>[Section 261 inserted by No. 42 of 2004 s. 130.]</w:t>
      </w:r>
    </w:p>
    <w:p>
      <w:pPr>
        <w:pStyle w:val="Heading5"/>
      </w:pPr>
      <w:bookmarkStart w:id="2907" w:name="_Toc122833534"/>
      <w:bookmarkStart w:id="2908" w:name="_Toc122834101"/>
      <w:r>
        <w:rPr>
          <w:rStyle w:val="CharSectno"/>
        </w:rPr>
        <w:t>262</w:t>
      </w:r>
      <w:r>
        <w:t>.</w:t>
      </w:r>
      <w:r>
        <w:tab/>
        <w:t>Costs to which this Part applies</w:t>
      </w:r>
      <w:bookmarkEnd w:id="2906"/>
      <w:bookmarkEnd w:id="2907"/>
      <w:bookmarkEnd w:id="2908"/>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bookmarkStart w:id="2909" w:name="_Toc87253153"/>
      <w:r>
        <w:tab/>
        <w:t>[Section 262 inserted by No. 42 of 2004 s. 130.]</w:t>
      </w:r>
    </w:p>
    <w:p>
      <w:pPr>
        <w:pStyle w:val="Heading5"/>
      </w:pPr>
      <w:bookmarkStart w:id="2910" w:name="_Toc122833535"/>
      <w:bookmarkStart w:id="2911" w:name="_Toc122834102"/>
      <w:r>
        <w:rPr>
          <w:rStyle w:val="CharSectno"/>
        </w:rPr>
        <w:t>263</w:t>
      </w:r>
      <w:r>
        <w:t>.</w:t>
      </w:r>
      <w:r>
        <w:tab/>
        <w:t xml:space="preserve">This Part prevails over </w:t>
      </w:r>
      <w:r>
        <w:rPr>
          <w:i/>
        </w:rPr>
        <w:t>Legal Practice Act 2003</w:t>
      </w:r>
      <w:bookmarkEnd w:id="2909"/>
      <w:bookmarkEnd w:id="2910"/>
      <w:bookmarkEnd w:id="2911"/>
    </w:p>
    <w:p>
      <w:pPr>
        <w:pStyle w:val="Subsection"/>
      </w:pPr>
      <w:r>
        <w:tab/>
      </w:r>
      <w:r>
        <w:tab/>
        <w:t xml:space="preserve">This Part and any regulations under this Part prevail to the extent of any inconsistency with the </w:t>
      </w:r>
      <w:r>
        <w:rPr>
          <w:i/>
        </w:rPr>
        <w:t>Legal Practice Act 2003</w:t>
      </w:r>
      <w:r>
        <w:t>, and in particular Part 13 of that Act.</w:t>
      </w:r>
    </w:p>
    <w:p>
      <w:pPr>
        <w:pStyle w:val="Footnotesection"/>
      </w:pPr>
      <w:bookmarkStart w:id="2912" w:name="_Toc87253154"/>
      <w:r>
        <w:tab/>
        <w:t>[Section 263 inserted by No. 42 of 2004 s. 130.]</w:t>
      </w:r>
    </w:p>
    <w:p>
      <w:pPr>
        <w:pStyle w:val="Heading3"/>
      </w:pPr>
      <w:bookmarkStart w:id="2913" w:name="_Toc119132815"/>
      <w:bookmarkStart w:id="2914" w:name="_Toc119203485"/>
      <w:bookmarkStart w:id="2915" w:name="_Toc119204131"/>
      <w:bookmarkStart w:id="2916" w:name="_Toc119216461"/>
      <w:bookmarkStart w:id="2917" w:name="_Toc119300983"/>
      <w:bookmarkStart w:id="2918" w:name="_Toc119301550"/>
      <w:bookmarkStart w:id="2919" w:name="_Toc119302119"/>
      <w:bookmarkStart w:id="2920" w:name="_Toc119920306"/>
      <w:bookmarkStart w:id="2921" w:name="_Toc122774293"/>
      <w:bookmarkStart w:id="2922" w:name="_Toc122833536"/>
      <w:bookmarkStart w:id="2923" w:name="_Toc122834103"/>
      <w:r>
        <w:rPr>
          <w:rStyle w:val="CharDivNo"/>
        </w:rPr>
        <w:t>Division 2</w:t>
      </w:r>
      <w:r>
        <w:t> — </w:t>
      </w:r>
      <w:r>
        <w:rPr>
          <w:rStyle w:val="CharDivText"/>
        </w:rPr>
        <w:t>Costs of parties in proceedings and costs of proceedings</w:t>
      </w:r>
      <w:bookmarkEnd w:id="2912"/>
      <w:bookmarkEnd w:id="2913"/>
      <w:bookmarkEnd w:id="2914"/>
      <w:bookmarkEnd w:id="2915"/>
      <w:bookmarkEnd w:id="2916"/>
      <w:bookmarkEnd w:id="2917"/>
      <w:bookmarkEnd w:id="2918"/>
      <w:bookmarkEnd w:id="2919"/>
      <w:bookmarkEnd w:id="2920"/>
      <w:bookmarkEnd w:id="2921"/>
      <w:bookmarkEnd w:id="2922"/>
      <w:bookmarkEnd w:id="2923"/>
    </w:p>
    <w:p>
      <w:pPr>
        <w:pStyle w:val="Footnoteheading"/>
      </w:pPr>
      <w:bookmarkStart w:id="2924" w:name="_Toc87253155"/>
      <w:r>
        <w:tab/>
        <w:t>[Heading inserted by No. 42 of 2004 s. 130.]</w:t>
      </w:r>
    </w:p>
    <w:p>
      <w:pPr>
        <w:pStyle w:val="Heading5"/>
      </w:pPr>
      <w:bookmarkStart w:id="2925" w:name="_Toc122833537"/>
      <w:bookmarkStart w:id="2926" w:name="_Toc122834104"/>
      <w:r>
        <w:rPr>
          <w:rStyle w:val="CharSectno"/>
        </w:rPr>
        <w:t>264</w:t>
      </w:r>
      <w:r>
        <w:t>.</w:t>
      </w:r>
      <w:r>
        <w:tab/>
        <w:t>Costs to be determined by dispute resolution authority</w:t>
      </w:r>
      <w:bookmarkEnd w:id="2924"/>
      <w:bookmarkEnd w:id="2925"/>
      <w:bookmarkEnd w:id="2926"/>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Part 13 Division 3 of the </w:t>
      </w:r>
      <w:r>
        <w:rPr>
          <w:i/>
        </w:rPr>
        <w:t>Legal Practice Act 2003</w:t>
      </w:r>
      <w:r>
        <w:t xml:space="preserve">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 xml:space="preserve">Without limiting section 265, the regulations may make provision in relation to the making of orders for the payment by a party of the costs of another party so as to —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bookmarkStart w:id="2927" w:name="_Toc87253156"/>
      <w:r>
        <w:tab/>
        <w:t>[Section 264 inserted by No. 42 of 2004 s. 130.]</w:t>
      </w:r>
    </w:p>
    <w:p>
      <w:pPr>
        <w:pStyle w:val="Heading5"/>
      </w:pPr>
      <w:bookmarkStart w:id="2928" w:name="_Toc122833538"/>
      <w:bookmarkStart w:id="2929" w:name="_Toc122834105"/>
      <w:r>
        <w:rPr>
          <w:rStyle w:val="CharSectno"/>
        </w:rPr>
        <w:t>265</w:t>
      </w:r>
      <w:r>
        <w:t>.</w:t>
      </w:r>
      <w:r>
        <w:tab/>
        <w:t>Costs unreasonably incurred by representative</w:t>
      </w:r>
      <w:bookmarkEnd w:id="2927"/>
      <w:bookmarkEnd w:id="2928"/>
      <w:bookmarkEnd w:id="2929"/>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b/>
        </w:rPr>
        <w:t>“</w:t>
      </w:r>
      <w:r>
        <w:rPr>
          <w:rStyle w:val="CharDefText"/>
        </w:rPr>
        <w:t>representative</w:t>
      </w:r>
      <w:r>
        <w:rPr>
          <w:b/>
        </w:rPr>
        <w:t>”</w:t>
      </w:r>
      <w:r>
        <w:t xml:space="preserve">), a dispute resolution authority may make an order — </w:t>
      </w:r>
    </w:p>
    <w:p>
      <w:pPr>
        <w:pStyle w:val="Indenta"/>
      </w:pPr>
      <w:r>
        <w:tab/>
        <w:t>(a)</w:t>
      </w:r>
      <w:r>
        <w:tab/>
        <w:t>disallowing the costs, as between the representative and the client;</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bookmarkStart w:id="2930" w:name="_Toc87253157"/>
      <w:r>
        <w:tab/>
        <w:t>[Section 265 inserted by No. 42 of 2004 s. 130.]</w:t>
      </w:r>
    </w:p>
    <w:p>
      <w:pPr>
        <w:pStyle w:val="Heading5"/>
      </w:pPr>
      <w:bookmarkStart w:id="2931" w:name="_Toc122833539"/>
      <w:bookmarkStart w:id="2932" w:name="_Toc122834106"/>
      <w:r>
        <w:rPr>
          <w:rStyle w:val="CharSectno"/>
        </w:rPr>
        <w:t>266</w:t>
      </w:r>
      <w:r>
        <w:t>.</w:t>
      </w:r>
      <w:r>
        <w:tab/>
        <w:t>Agent’s costs</w:t>
      </w:r>
      <w:bookmarkEnd w:id="2930"/>
      <w:bookmarkEnd w:id="2931"/>
      <w:bookmarkEnd w:id="2932"/>
    </w:p>
    <w:p>
      <w:pPr>
        <w:pStyle w:val="Subsection"/>
      </w:pPr>
      <w:r>
        <w:tab/>
      </w:r>
      <w:r>
        <w:tab/>
        <w:t>An agent is not entitled to be paid or recover any amount for an agent service unless the agent is a registered agent.</w:t>
      </w:r>
    </w:p>
    <w:p>
      <w:pPr>
        <w:pStyle w:val="Footnotesection"/>
      </w:pPr>
      <w:bookmarkStart w:id="2933" w:name="_Toc87253158"/>
      <w:r>
        <w:tab/>
        <w:t>[Section 266 inserted by No. 42 of 2004 s. 130.]</w:t>
      </w:r>
    </w:p>
    <w:p>
      <w:pPr>
        <w:pStyle w:val="Heading5"/>
      </w:pPr>
      <w:bookmarkStart w:id="2934" w:name="_Toc122833540"/>
      <w:bookmarkStart w:id="2935" w:name="_Toc122834107"/>
      <w:r>
        <w:rPr>
          <w:rStyle w:val="CharSectno"/>
        </w:rPr>
        <w:t>267</w:t>
      </w:r>
      <w:r>
        <w:t>.</w:t>
      </w:r>
      <w:r>
        <w:tab/>
        <w:t>Appeal costs</w:t>
      </w:r>
      <w:bookmarkEnd w:id="2933"/>
      <w:bookmarkEnd w:id="2934"/>
      <w:bookmarkEnd w:id="2935"/>
    </w:p>
    <w:p>
      <w:pPr>
        <w:pStyle w:val="Subsection"/>
      </w:pPr>
      <w:r>
        <w:tab/>
      </w:r>
      <w:r>
        <w:tab/>
        <w:t xml:space="preserve">Despite section 264 — </w:t>
      </w:r>
    </w:p>
    <w:p>
      <w:pPr>
        <w:pStyle w:val="Indenta"/>
      </w:pPr>
      <w:r>
        <w:tab/>
        <w:t>(a)</w:t>
      </w:r>
      <w:r>
        <w:tab/>
        <w:t>an order for costs on the ground that an appeal was successful is not to be made by the Commissioner against a worker; and</w:t>
      </w:r>
    </w:p>
    <w:p>
      <w:pPr>
        <w:pStyle w:val="Indenta"/>
      </w:pPr>
      <w:r>
        <w:tab/>
        <w:t>(b)</w:t>
      </w:r>
      <w:r>
        <w:tab/>
        <w:t>if the appellant is a worker and is unsuccessful on an appeal, the Commissioner is not to make an order for the payment of the appellant’s costs on the appeal by any other party to the appeal.</w:t>
      </w:r>
    </w:p>
    <w:p>
      <w:pPr>
        <w:pStyle w:val="Footnotesection"/>
      </w:pPr>
      <w:bookmarkStart w:id="2936" w:name="_Toc87253159"/>
      <w:r>
        <w:tab/>
        <w:t>[Section 267 inserted by No. 42 of 2004 s. 130.]</w:t>
      </w:r>
    </w:p>
    <w:p>
      <w:pPr>
        <w:pStyle w:val="Heading5"/>
      </w:pPr>
      <w:bookmarkStart w:id="2937" w:name="_Toc122833541"/>
      <w:bookmarkStart w:id="2938" w:name="_Toc122834108"/>
      <w:r>
        <w:rPr>
          <w:rStyle w:val="CharSectno"/>
        </w:rPr>
        <w:t>268</w:t>
      </w:r>
      <w:r>
        <w:t>.</w:t>
      </w:r>
      <w:r>
        <w:tab/>
        <w:t>Regulations for assessment of costs</w:t>
      </w:r>
      <w:bookmarkEnd w:id="2936"/>
      <w:bookmarkEnd w:id="2937"/>
      <w:bookmarkEnd w:id="2938"/>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pPr>
      <w:r>
        <w:tab/>
        <w:t>(2)</w:t>
      </w:r>
      <w:r>
        <w:tab/>
        <w:t xml:space="preserve">Without limiting subsection (1), the regulations may — </w:t>
      </w:r>
    </w:p>
    <w:p>
      <w:pPr>
        <w:pStyle w:val="Indenta"/>
      </w:pPr>
      <w:r>
        <w:tab/>
        <w:t>(a)</w:t>
      </w:r>
      <w:r>
        <w:tab/>
        <w:t xml:space="preserve">make provision for or with respect to any matter for or in connection with which provision is made by Part 13 Division 3 of the </w:t>
      </w:r>
      <w:r>
        <w:rPr>
          <w:i/>
        </w:rPr>
        <w:t>Legal Practice Act 2003</w:t>
      </w:r>
      <w:r>
        <w:t>;</w:t>
      </w:r>
    </w:p>
    <w:p>
      <w:pPr>
        <w:pStyle w:val="Indenta"/>
      </w:pPr>
      <w:r>
        <w:tab/>
        <w:t>(b)</w:t>
      </w:r>
      <w:r>
        <w:tab/>
        <w:t xml:space="preserve">adopt, with or without modification, any of the provisions of Part 13 Division 3 of the </w:t>
      </w:r>
      <w:r>
        <w:rPr>
          <w:i/>
        </w:rPr>
        <w:t>Legal Practice Act 2003</w:t>
      </w:r>
      <w:r>
        <w:t>; and</w:t>
      </w:r>
    </w:p>
    <w:p>
      <w:pPr>
        <w:pStyle w:val="Indenta"/>
      </w:pPr>
      <w:r>
        <w:tab/>
        <w:t>(c)</w:t>
      </w:r>
      <w:r>
        <w:tab/>
        <w:t>make provision for or with respect to the assessment of costs by an arbitrator or another officer of the DRD.</w:t>
      </w:r>
    </w:p>
    <w:p>
      <w:pPr>
        <w:pStyle w:val="Subsection"/>
      </w:pPr>
      <w:r>
        <w:tab/>
        <w:t>(3)</w:t>
      </w:r>
      <w:r>
        <w:tab/>
        <w:t xml:space="preserve">To the extent that regulations under this section make provision for the costs payable to a legal practitioner, those regulations displace the provisions of the </w:t>
      </w:r>
      <w:r>
        <w:rPr>
          <w:i/>
        </w:rPr>
        <w:t>Legal Practice Act 2003</w:t>
      </w:r>
      <w:r>
        <w:t>.</w:t>
      </w:r>
    </w:p>
    <w:p>
      <w:pPr>
        <w:pStyle w:val="Footnotesection"/>
      </w:pPr>
      <w:bookmarkStart w:id="2939" w:name="_Toc87253160"/>
      <w:r>
        <w:tab/>
        <w:t>[Section 268 inserted by No. 42 of 2004 s. 130.]</w:t>
      </w:r>
    </w:p>
    <w:p>
      <w:pPr>
        <w:pStyle w:val="Heading3"/>
      </w:pPr>
      <w:bookmarkStart w:id="2940" w:name="_Toc119132821"/>
      <w:bookmarkStart w:id="2941" w:name="_Toc119203491"/>
      <w:bookmarkStart w:id="2942" w:name="_Toc119204137"/>
      <w:bookmarkStart w:id="2943" w:name="_Toc119216467"/>
      <w:bookmarkStart w:id="2944" w:name="_Toc119300989"/>
      <w:bookmarkStart w:id="2945" w:name="_Toc119301556"/>
      <w:bookmarkStart w:id="2946" w:name="_Toc119302125"/>
      <w:bookmarkStart w:id="2947" w:name="_Toc119920312"/>
      <w:bookmarkStart w:id="2948" w:name="_Toc122774299"/>
      <w:bookmarkStart w:id="2949" w:name="_Toc122833542"/>
      <w:bookmarkStart w:id="2950" w:name="_Toc122834109"/>
      <w:r>
        <w:rPr>
          <w:rStyle w:val="CharDivNo"/>
        </w:rPr>
        <w:t>Division 3</w:t>
      </w:r>
      <w:r>
        <w:t> — </w:t>
      </w:r>
      <w:r>
        <w:rPr>
          <w:rStyle w:val="CharDivText"/>
        </w:rPr>
        <w:t>Maximum costs</w:t>
      </w:r>
      <w:bookmarkEnd w:id="2939"/>
      <w:bookmarkEnd w:id="2940"/>
      <w:bookmarkEnd w:id="2941"/>
      <w:bookmarkEnd w:id="2942"/>
      <w:bookmarkEnd w:id="2943"/>
      <w:bookmarkEnd w:id="2944"/>
      <w:bookmarkEnd w:id="2945"/>
      <w:bookmarkEnd w:id="2946"/>
      <w:bookmarkEnd w:id="2947"/>
      <w:bookmarkEnd w:id="2948"/>
      <w:bookmarkEnd w:id="2949"/>
      <w:bookmarkEnd w:id="2950"/>
    </w:p>
    <w:p>
      <w:pPr>
        <w:pStyle w:val="Footnoteheading"/>
      </w:pPr>
      <w:bookmarkStart w:id="2951" w:name="_Toc87253161"/>
      <w:r>
        <w:tab/>
        <w:t>[Heading inserted by No. 42 of 2004 s. 130.]</w:t>
      </w:r>
    </w:p>
    <w:p>
      <w:pPr>
        <w:pStyle w:val="Heading5"/>
      </w:pPr>
      <w:bookmarkStart w:id="2952" w:name="_Toc122833543"/>
      <w:bookmarkStart w:id="2953" w:name="_Toc122834110"/>
      <w:r>
        <w:rPr>
          <w:rStyle w:val="CharSectno"/>
        </w:rPr>
        <w:t>269</w:t>
      </w:r>
      <w:r>
        <w:t>.</w:t>
      </w:r>
      <w:r>
        <w:tab/>
        <w:t>Costs Committee</w:t>
      </w:r>
      <w:bookmarkEnd w:id="2951"/>
      <w:bookmarkEnd w:id="2952"/>
      <w:bookmarkEnd w:id="2953"/>
    </w:p>
    <w:p>
      <w:pPr>
        <w:pStyle w:val="Subsection"/>
      </w:pPr>
      <w:r>
        <w:tab/>
        <w:t>(1)</w:t>
      </w:r>
      <w:r>
        <w:tab/>
        <w:t xml:space="preserve">In this section — </w:t>
      </w:r>
    </w:p>
    <w:p>
      <w:pPr>
        <w:pStyle w:val="Defstart"/>
      </w:pPr>
      <w:r>
        <w:rPr>
          <w:b/>
        </w:rPr>
        <w:tab/>
        <w:t>“</w:t>
      </w:r>
      <w:r>
        <w:rPr>
          <w:rStyle w:val="CharDefText"/>
        </w:rPr>
        <w:t>Legal Costs Committee</w:t>
      </w:r>
      <w:r>
        <w:rPr>
          <w:b/>
        </w:rPr>
        <w:t>”</w:t>
      </w:r>
      <w:r>
        <w:t xml:space="preserve"> means the Legal Costs Committee established under the </w:t>
      </w:r>
      <w:r>
        <w:rPr>
          <w:i/>
        </w:rPr>
        <w:t>Legal Practice Act 2003</w:t>
      </w:r>
      <w:r>
        <w:t>.</w:t>
      </w:r>
    </w:p>
    <w:p>
      <w:pPr>
        <w:pStyle w:val="Subsection"/>
      </w:pPr>
      <w:r>
        <w:tab/>
        <w:t>(2)</w:t>
      </w:r>
      <w:r>
        <w:tab/>
        <w:t>A committee called the Costs Committee is established.</w:t>
      </w:r>
    </w:p>
    <w:p>
      <w:pPr>
        <w:pStyle w:val="Subsection"/>
      </w:pPr>
      <w:r>
        <w:tab/>
        <w:t>(3)</w:t>
      </w:r>
      <w:r>
        <w:tab/>
        <w:t xml:space="preserve">The Costs Committee is to be constituted by the following members — </w:t>
      </w:r>
    </w:p>
    <w:p>
      <w:pPr>
        <w:pStyle w:val="Indenta"/>
      </w:pPr>
      <w:r>
        <w:tab/>
        <w:t>(a)</w:t>
      </w:r>
      <w:r>
        <w:tab/>
        <w:t>a presiding member who is to be a member of WorkCover WA;</w:t>
      </w:r>
    </w:p>
    <w:p>
      <w:pPr>
        <w:pStyle w:val="Indenta"/>
      </w:pPr>
      <w:r>
        <w:tab/>
        <w:t>(b)</w:t>
      </w:r>
      <w:r>
        <w:tab/>
        <w:t>one or more other members of WorkCover WA; and</w:t>
      </w:r>
    </w:p>
    <w:p>
      <w:pPr>
        <w:pStyle w:val="Indenta"/>
      </w:pPr>
      <w:r>
        <w:tab/>
        <w:t>(c)</w:t>
      </w:r>
      <w:r>
        <w:tab/>
        <w:t>2 members of the Legal Costs Committee nominated by the chairperson of that Committee.</w:t>
      </w:r>
    </w:p>
    <w:p>
      <w:pPr>
        <w:pStyle w:val="Subsection"/>
      </w:pPr>
      <w:r>
        <w:tab/>
        <w:t>(4)</w:t>
      </w:r>
      <w:r>
        <w:tab/>
        <w:t>The members are to be appointed by WorkCover WA.</w:t>
      </w:r>
    </w:p>
    <w:p>
      <w:pPr>
        <w:pStyle w:val="Subsection"/>
      </w:pPr>
      <w:r>
        <w:tab/>
        <w:t>(5)</w:t>
      </w:r>
      <w:r>
        <w:tab/>
        <w:t xml:space="preserve">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 </w:t>
      </w:r>
    </w:p>
    <w:p>
      <w:pPr>
        <w:pStyle w:val="Footnotesection"/>
      </w:pPr>
      <w:bookmarkStart w:id="2954" w:name="_Toc87253162"/>
      <w:r>
        <w:tab/>
        <w:t>[Section 269 inserted by No. 42 of 2004 s. 130.]</w:t>
      </w:r>
    </w:p>
    <w:p>
      <w:pPr>
        <w:pStyle w:val="Heading5"/>
      </w:pPr>
      <w:bookmarkStart w:id="2955" w:name="_Toc122833544"/>
      <w:bookmarkStart w:id="2956" w:name="_Toc122834111"/>
      <w:r>
        <w:rPr>
          <w:rStyle w:val="CharSectno"/>
        </w:rPr>
        <w:t>270</w:t>
      </w:r>
      <w:r>
        <w:t>.</w:t>
      </w:r>
      <w:r>
        <w:tab/>
        <w:t>Constitution and procedure of Costs Committee</w:t>
      </w:r>
      <w:bookmarkEnd w:id="2954"/>
      <w:bookmarkEnd w:id="2955"/>
      <w:bookmarkEnd w:id="2956"/>
    </w:p>
    <w:p>
      <w:pPr>
        <w:pStyle w:val="Subsection"/>
      </w:pPr>
      <w:r>
        <w:tab/>
        <w:t>(1)</w:t>
      </w:r>
      <w:r>
        <w:tab/>
        <w:t xml:space="preserve">Subject to section 269, the constitution and procedure of, and other matters relating to, the Costs Committee — </w:t>
      </w:r>
    </w:p>
    <w:p>
      <w:pPr>
        <w:pStyle w:val="Indenta"/>
      </w:pPr>
      <w:r>
        <w:tab/>
        <w:t>(a)</w:t>
      </w:r>
      <w:r>
        <w:tab/>
        <w:t>may be prescribed by the regulations;</w:t>
      </w:r>
    </w:p>
    <w:p>
      <w:pPr>
        <w:pStyle w:val="Indenta"/>
      </w:pPr>
      <w:r>
        <w:tab/>
        <w:t>(b)</w:t>
      </w:r>
      <w:r>
        <w:tab/>
        <w:t>if not prescribed by the regulations, may be as directed in writing by WorkCover WA.</w:t>
      </w:r>
    </w:p>
    <w:p>
      <w:pPr>
        <w:pStyle w:val="Subsection"/>
      </w:pPr>
      <w:r>
        <w:tab/>
        <w:t>(2)</w:t>
      </w:r>
      <w:r>
        <w:tab/>
        <w:t>To the extent that the procedure of the Costs Committee is not prescribed by the regulations or directed by WorkCover WA, the Costs Committee may determine its own procedure.</w:t>
      </w:r>
    </w:p>
    <w:p>
      <w:pPr>
        <w:pStyle w:val="Footnotesection"/>
      </w:pPr>
      <w:bookmarkStart w:id="2957" w:name="_Toc87253163"/>
      <w:r>
        <w:tab/>
        <w:t>[Section 270 inserted by No. 42 of 2004 s. 130.]</w:t>
      </w:r>
    </w:p>
    <w:p>
      <w:pPr>
        <w:pStyle w:val="Heading5"/>
      </w:pPr>
      <w:bookmarkStart w:id="2958" w:name="_Toc122833545"/>
      <w:bookmarkStart w:id="2959" w:name="_Toc122834112"/>
      <w:r>
        <w:rPr>
          <w:rStyle w:val="CharSectno"/>
        </w:rPr>
        <w:t>271</w:t>
      </w:r>
      <w:r>
        <w:t>.</w:t>
      </w:r>
      <w:r>
        <w:tab/>
        <w:t>Costs determination</w:t>
      </w:r>
      <w:bookmarkEnd w:id="2957"/>
      <w:bookmarkEnd w:id="2958"/>
      <w:bookmarkEnd w:id="2959"/>
    </w:p>
    <w:p>
      <w:pPr>
        <w:pStyle w:val="Subsection"/>
      </w:pPr>
      <w:r>
        <w:tab/>
        <w:t>(1)</w:t>
      </w:r>
      <w:r>
        <w:tab/>
        <w:t xml:space="preserve">The Costs Committee may make a determination — </w:t>
      </w:r>
    </w:p>
    <w:p>
      <w:pPr>
        <w:pStyle w:val="Indenta"/>
      </w:pPr>
      <w:r>
        <w:tab/>
        <w:t>(a)</w:t>
      </w:r>
      <w:r>
        <w:tab/>
        <w:t>fixing maximum costs for legal services and agent services;</w:t>
      </w:r>
    </w:p>
    <w:p>
      <w:pPr>
        <w:pStyle w:val="Indenta"/>
      </w:pPr>
      <w:r>
        <w:tab/>
        <w:t>(b)</w:t>
      </w:r>
      <w:r>
        <w:tab/>
        <w:t>fixing maximum costs for matters that are not legal services or agent services but are related to a claim for compensation (for example, expenses for witnesses or medical reports).</w:t>
      </w:r>
    </w:p>
    <w:p>
      <w:pPr>
        <w:pStyle w:val="Subsection"/>
      </w:pPr>
      <w:r>
        <w:tab/>
        <w:t>(2)</w:t>
      </w:r>
      <w:r>
        <w:tab/>
        <w:t xml:space="preserve">A provision of the determination — </w:t>
      </w:r>
    </w:p>
    <w:p>
      <w:pPr>
        <w:pStyle w:val="Indenta"/>
      </w:pPr>
      <w:r>
        <w:tab/>
        <w:t>(a)</w:t>
      </w:r>
      <w:r>
        <w:tab/>
        <w:t>may authorise any matter or thing to be determined, applied or regulated by a specified person or body;</w:t>
      </w:r>
    </w:p>
    <w:p>
      <w:pPr>
        <w:pStyle w:val="Indenta"/>
      </w:pPr>
      <w:r>
        <w:tab/>
        <w:t>(b)</w:t>
      </w:r>
      <w:r>
        <w:tab/>
        <w:t xml:space="preserve">may fix a cost or amount by reference to a cost or amount fixed by a legal costs determination under the </w:t>
      </w:r>
      <w:r>
        <w:rPr>
          <w:i/>
        </w:rPr>
        <w:t>Legal Practice Act 2003</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bookmarkStart w:id="2960" w:name="_Toc87253164"/>
      <w:r>
        <w:tab/>
        <w:t>[Section 271 inserted by No. 42 of 2004 s. 130.]</w:t>
      </w:r>
    </w:p>
    <w:p>
      <w:pPr>
        <w:pStyle w:val="Heading5"/>
      </w:pPr>
      <w:bookmarkStart w:id="2961" w:name="_Toc122833546"/>
      <w:bookmarkStart w:id="2962" w:name="_Toc122834113"/>
      <w:r>
        <w:rPr>
          <w:rStyle w:val="CharSectno"/>
        </w:rPr>
        <w:t>272</w:t>
      </w:r>
      <w:r>
        <w:t>.</w:t>
      </w:r>
      <w:r>
        <w:tab/>
        <w:t>Consultation</w:t>
      </w:r>
      <w:bookmarkEnd w:id="2960"/>
      <w:bookmarkEnd w:id="2961"/>
      <w:bookmarkEnd w:id="2962"/>
    </w:p>
    <w:p>
      <w:pPr>
        <w:pStyle w:val="Subsection"/>
      </w:pPr>
      <w:r>
        <w:tab/>
        <w:t>(1)</w:t>
      </w:r>
      <w:r>
        <w:tab/>
        <w:t xml:space="preserve">Before making a determination the Costs Committee may —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 xml:space="preserve">In making a determination the Costs Committee —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pPr>
      <w:bookmarkStart w:id="2963" w:name="_Toc87253165"/>
      <w:r>
        <w:tab/>
        <w:t>[Section 272 inserted by No. 42 of 2004 s. 130.]</w:t>
      </w:r>
    </w:p>
    <w:p>
      <w:pPr>
        <w:pStyle w:val="Heading5"/>
      </w:pPr>
      <w:bookmarkStart w:id="2964" w:name="_Toc122833547"/>
      <w:bookmarkStart w:id="2965" w:name="_Toc122834114"/>
      <w:r>
        <w:rPr>
          <w:rStyle w:val="CharSectno"/>
        </w:rPr>
        <w:t>273</w:t>
      </w:r>
      <w:r>
        <w:t>.</w:t>
      </w:r>
      <w:r>
        <w:tab/>
        <w:t>Approval and publication of determination</w:t>
      </w:r>
      <w:bookmarkEnd w:id="2963"/>
      <w:bookmarkEnd w:id="2964"/>
      <w:bookmarkEnd w:id="2965"/>
    </w:p>
    <w:p>
      <w:pPr>
        <w:pStyle w:val="Subsection"/>
      </w:pPr>
      <w:r>
        <w:tab/>
        <w:t>(1)</w:t>
      </w:r>
      <w:r>
        <w:tab/>
        <w:t xml:space="preserve">The Costs Committee is to report to the Minister — </w:t>
      </w:r>
    </w:p>
    <w:p>
      <w:pPr>
        <w:pStyle w:val="Indenta"/>
      </w:pPr>
      <w:r>
        <w:tab/>
        <w:t>(a)</w:t>
      </w:r>
      <w:r>
        <w:tab/>
        <w:t>a determination under section 271; and</w:t>
      </w:r>
    </w:p>
    <w:p>
      <w:pPr>
        <w:pStyle w:val="Indenta"/>
      </w:pPr>
      <w:r>
        <w:tab/>
        <w:t>(b)</w:t>
      </w:r>
      <w:r>
        <w:tab/>
        <w:t>the reasons for its decisions in respect of the determination.</w:t>
      </w:r>
    </w:p>
    <w:p>
      <w:pPr>
        <w:pStyle w:val="Subsection"/>
      </w:pPr>
      <w:r>
        <w:tab/>
        <w:t>(2)</w:t>
      </w:r>
      <w:r>
        <w:tab/>
        <w:t xml:space="preserve">If the Minister approves the determination, the determination is to be published in the </w:t>
      </w:r>
      <w:r>
        <w:rPr>
          <w:i/>
        </w:rPr>
        <w:t>Gazette</w:t>
      </w:r>
      <w:r>
        <w:t>.</w:t>
      </w:r>
    </w:p>
    <w:p>
      <w:pPr>
        <w:pStyle w:val="Subsection"/>
      </w:pPr>
      <w:r>
        <w:tab/>
        <w:t>(3)</w:t>
      </w:r>
      <w:r>
        <w:tab/>
        <w:t xml:space="preserve">A costs determination takes effect on and from — </w:t>
      </w:r>
    </w:p>
    <w:p>
      <w:pPr>
        <w:pStyle w:val="Indenta"/>
      </w:pPr>
      <w:r>
        <w:tab/>
        <w:t>(a)</w:t>
      </w:r>
      <w:r>
        <w:tab/>
        <w:t xml:space="preserve">the day on which it is published in the </w:t>
      </w:r>
      <w:r>
        <w:rPr>
          <w:i/>
        </w:rPr>
        <w:t>Gazette</w:t>
      </w:r>
      <w:r>
        <w:t>; or</w:t>
      </w:r>
    </w:p>
    <w:p>
      <w:pPr>
        <w:pStyle w:val="Indenta"/>
      </w:pPr>
      <w:r>
        <w:tab/>
        <w:t>(b)</w:t>
      </w:r>
      <w:r>
        <w:tab/>
        <w:t>if a later day is specified in the determination, the later day.</w:t>
      </w:r>
    </w:p>
    <w:p>
      <w:pPr>
        <w:pStyle w:val="Subsection"/>
      </w:pPr>
      <w:r>
        <w:tab/>
        <w:t>(4)</w:t>
      </w:r>
      <w:r>
        <w:tab/>
        <w:t xml:space="preserve">Judicial notice is to be taken of — </w:t>
      </w:r>
    </w:p>
    <w:p>
      <w:pPr>
        <w:pStyle w:val="Indenta"/>
      </w:pPr>
      <w:r>
        <w:tab/>
        <w:t>(a)</w:t>
      </w:r>
      <w:r>
        <w:tab/>
        <w:t xml:space="preserve">a costs determination published in the </w:t>
      </w:r>
      <w:r>
        <w:rPr>
          <w:i/>
        </w:rPr>
        <w:t>Gazette</w:t>
      </w:r>
      <w:r>
        <w:t>; and</w:t>
      </w:r>
    </w:p>
    <w:p>
      <w:pPr>
        <w:pStyle w:val="Indenta"/>
      </w:pPr>
      <w:r>
        <w:tab/>
        <w:t>(b)</w:t>
      </w:r>
      <w:r>
        <w:tab/>
        <w:t>the day of publication of the determination.</w:t>
      </w:r>
    </w:p>
    <w:p>
      <w:pPr>
        <w:pStyle w:val="Footnotesection"/>
      </w:pPr>
      <w:bookmarkStart w:id="2966" w:name="_Toc87253166"/>
      <w:r>
        <w:tab/>
        <w:t>[Section 273 inserted by No. 42 of 2004 s. 130.]</w:t>
      </w:r>
    </w:p>
    <w:p>
      <w:pPr>
        <w:pStyle w:val="Heading5"/>
      </w:pPr>
      <w:bookmarkStart w:id="2967" w:name="_Toc122833548"/>
      <w:bookmarkStart w:id="2968" w:name="_Toc122834115"/>
      <w:r>
        <w:rPr>
          <w:rStyle w:val="CharSectno"/>
        </w:rPr>
        <w:t>274</w:t>
      </w:r>
      <w:r>
        <w:t>.</w:t>
      </w:r>
      <w:r>
        <w:tab/>
        <w:t>Effect of costs determination</w:t>
      </w:r>
      <w:bookmarkEnd w:id="2966"/>
      <w:bookmarkEnd w:id="2967"/>
      <w:bookmarkEnd w:id="2968"/>
    </w:p>
    <w:p>
      <w:pPr>
        <w:pStyle w:val="Subsection"/>
      </w:pPr>
      <w:r>
        <w:tab/>
        <w:t>(1)</w:t>
      </w:r>
      <w:r>
        <w:tab/>
        <w:t>A legal practitioner is not entitled to be paid or recover for a legal service or other matter an amount that exceeds any maximum costs fixed for the service or matter by a costs determination.</w:t>
      </w:r>
    </w:p>
    <w:p>
      <w:pPr>
        <w:pStyle w:val="Subsection"/>
      </w:pPr>
      <w:r>
        <w:tab/>
        <w:t>(2)</w:t>
      </w:r>
      <w:r>
        <w:tab/>
        <w:t>An agent is not entitled to be paid or recover for an agent service or other matter an amount that exceeds any maximum costs fixed for the service or matter by a costs determination.</w:t>
      </w:r>
    </w:p>
    <w:p>
      <w:pPr>
        <w:pStyle w:val="Subsection"/>
      </w:pPr>
      <w:r>
        <w:tab/>
        <w:t>(3)</w:t>
      </w:r>
      <w:r>
        <w:tab/>
        <w:t>This section does not entitle a legal practitioner or agent to recover costs for a legal service or matter that a dispute resolution authority determines were unreasonably incurred.</w:t>
      </w:r>
    </w:p>
    <w:p>
      <w:pPr>
        <w:pStyle w:val="Footnotesection"/>
      </w:pPr>
      <w:bookmarkStart w:id="2969" w:name="_Toc87253167"/>
      <w:r>
        <w:tab/>
        <w:t>[Section 274 inserted by No. 42 of 2004 s. 130.]</w:t>
      </w:r>
    </w:p>
    <w:p>
      <w:pPr>
        <w:pStyle w:val="Heading5"/>
      </w:pPr>
      <w:bookmarkStart w:id="2970" w:name="_Toc122833549"/>
      <w:bookmarkStart w:id="2971" w:name="_Toc122834116"/>
      <w:r>
        <w:rPr>
          <w:rStyle w:val="CharSectno"/>
        </w:rPr>
        <w:t>275</w:t>
      </w:r>
      <w:r>
        <w:t>.</w:t>
      </w:r>
      <w:r>
        <w:tab/>
        <w:t>Agreement as to costs</w:t>
      </w:r>
      <w:bookmarkEnd w:id="2969"/>
      <w:bookmarkEnd w:id="2970"/>
      <w:bookmarkEnd w:id="2971"/>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pPr>
      <w:r>
        <w:tab/>
        <w:t>(2)</w:t>
      </w:r>
      <w:r>
        <w:tab/>
        <w:t>An agreement made contrary to this section is void.</w:t>
      </w:r>
    </w:p>
    <w:p>
      <w:pPr>
        <w:pStyle w:val="Footnotesection"/>
      </w:pPr>
      <w:bookmarkStart w:id="2972" w:name="_Toc87253168"/>
      <w:r>
        <w:tab/>
        <w:t>[Section 275 inserted by No. 42 of 2004 s. 130.]</w:t>
      </w:r>
    </w:p>
    <w:p>
      <w:pPr>
        <w:pStyle w:val="Heading5"/>
      </w:pPr>
      <w:bookmarkStart w:id="2973" w:name="_Toc122833550"/>
      <w:bookmarkStart w:id="2974" w:name="_Toc122834117"/>
      <w:r>
        <w:rPr>
          <w:rStyle w:val="CharSectno"/>
        </w:rPr>
        <w:t>276</w:t>
      </w:r>
      <w:r>
        <w:t>.</w:t>
      </w:r>
      <w:r>
        <w:tab/>
        <w:t>Division does not apply to Part IV proceedings</w:t>
      </w:r>
      <w:bookmarkEnd w:id="2972"/>
      <w:bookmarkEnd w:id="2973"/>
      <w:bookmarkEnd w:id="2974"/>
    </w:p>
    <w:p>
      <w:pPr>
        <w:pStyle w:val="Subsection"/>
      </w:pPr>
      <w:r>
        <w:tab/>
      </w:r>
      <w:r>
        <w:tab/>
        <w:t>Nothing in this Division affects the operation of section 87 in relation to an action for damages independently of this Act.</w:t>
      </w:r>
    </w:p>
    <w:p>
      <w:pPr>
        <w:pStyle w:val="Footnotesection"/>
      </w:pPr>
      <w:bookmarkStart w:id="2975" w:name="_Toc87253169"/>
      <w:r>
        <w:tab/>
        <w:t>[Section 276 inserted by No. 42 of 2004 s. 130.]</w:t>
      </w:r>
    </w:p>
    <w:p>
      <w:pPr>
        <w:pStyle w:val="Heading2"/>
      </w:pPr>
      <w:bookmarkStart w:id="2976" w:name="_Toc119132830"/>
      <w:bookmarkStart w:id="2977" w:name="_Toc119203500"/>
      <w:bookmarkStart w:id="2978" w:name="_Toc119204146"/>
      <w:bookmarkStart w:id="2979" w:name="_Toc119216476"/>
      <w:bookmarkStart w:id="2980" w:name="_Toc119300998"/>
      <w:bookmarkStart w:id="2981" w:name="_Toc119301565"/>
      <w:bookmarkStart w:id="2982" w:name="_Toc119302134"/>
      <w:bookmarkStart w:id="2983" w:name="_Toc119920321"/>
      <w:bookmarkStart w:id="2984" w:name="_Toc122774308"/>
      <w:bookmarkStart w:id="2985" w:name="_Toc122833551"/>
      <w:bookmarkStart w:id="2986" w:name="_Toc122834118"/>
      <w:r>
        <w:rPr>
          <w:rStyle w:val="CharPartNo"/>
        </w:rPr>
        <w:t>Part XVI</w:t>
      </w:r>
      <w:r>
        <w:rPr>
          <w:b w:val="0"/>
        </w:rPr>
        <w:t> </w:t>
      </w:r>
      <w:r>
        <w:t>—</w:t>
      </w:r>
      <w:r>
        <w:rPr>
          <w:b w:val="0"/>
        </w:rPr>
        <w:t> </w:t>
      </w:r>
      <w:r>
        <w:rPr>
          <w:rStyle w:val="CharPartText"/>
        </w:rPr>
        <w:t>Registered agents</w:t>
      </w:r>
      <w:bookmarkEnd w:id="2975"/>
      <w:bookmarkEnd w:id="2976"/>
      <w:bookmarkEnd w:id="2977"/>
      <w:bookmarkEnd w:id="2978"/>
      <w:bookmarkEnd w:id="2979"/>
      <w:bookmarkEnd w:id="2980"/>
      <w:bookmarkEnd w:id="2981"/>
      <w:bookmarkEnd w:id="2982"/>
      <w:bookmarkEnd w:id="2983"/>
      <w:bookmarkEnd w:id="2984"/>
      <w:bookmarkEnd w:id="2985"/>
      <w:bookmarkEnd w:id="2986"/>
    </w:p>
    <w:p>
      <w:pPr>
        <w:pStyle w:val="Footnoteheading"/>
      </w:pPr>
      <w:bookmarkStart w:id="2987" w:name="_Toc87253170"/>
      <w:r>
        <w:tab/>
        <w:t>[Heading inserted by No. 42 of 2004 s. 130.]</w:t>
      </w:r>
    </w:p>
    <w:p>
      <w:pPr>
        <w:pStyle w:val="Heading5"/>
      </w:pPr>
      <w:bookmarkStart w:id="2988" w:name="_Toc122833552"/>
      <w:bookmarkStart w:id="2989" w:name="_Toc122834119"/>
      <w:r>
        <w:rPr>
          <w:rStyle w:val="CharSectno"/>
        </w:rPr>
        <w:t>277</w:t>
      </w:r>
      <w:r>
        <w:t>.</w:t>
      </w:r>
      <w:r>
        <w:tab/>
        <w:t>Who may register as an agent</w:t>
      </w:r>
      <w:bookmarkEnd w:id="2987"/>
      <w:bookmarkEnd w:id="2988"/>
      <w:bookmarkEnd w:id="2989"/>
    </w:p>
    <w:p>
      <w:pPr>
        <w:pStyle w:val="Subsection"/>
      </w:pPr>
      <w:r>
        <w:tab/>
        <w:t>(1)</w:t>
      </w:r>
      <w:r>
        <w:tab/>
        <w:t xml:space="preserve">This section applies to the following persons —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rPr>
        <w:t>Workplace Relations Act 1996</w:t>
      </w:r>
      <w:r>
        <w:t xml:space="preserve"> of the Commonwealth;</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 xml:space="preserve">Regulations are to — </w:t>
      </w:r>
    </w:p>
    <w:p>
      <w:pPr>
        <w:pStyle w:val="Indenta"/>
      </w:pPr>
      <w:r>
        <w:tab/>
        <w:t>(a)</w:t>
      </w:r>
      <w:r>
        <w:tab/>
        <w:t>provide for a scheme of registration of persons for the purposes of this section and the procedure for obtaining registration;</w:t>
      </w:r>
    </w:p>
    <w:p>
      <w:pPr>
        <w:pStyle w:val="Indenta"/>
      </w:pPr>
      <w:r>
        <w:tab/>
        <w:t>(b)</w:t>
      </w:r>
      <w:r>
        <w:tab/>
        <w:t>prescribe the circumstances in which, and the procedures by which, a person may be refused registration, or registered subject to conditions, or the registration may be suspended or cancelled;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bookmarkStart w:id="2990" w:name="_Toc87253171"/>
      <w:r>
        <w:tab/>
        <w:t>[Section 277 inserted by No. 42 of 2004 s. 130; amended by No. 16 of 2005 s. 28.]</w:t>
      </w:r>
    </w:p>
    <w:p>
      <w:pPr>
        <w:pStyle w:val="Heading2"/>
      </w:pPr>
      <w:bookmarkStart w:id="2991" w:name="_Toc119132832"/>
      <w:bookmarkStart w:id="2992" w:name="_Toc119203502"/>
      <w:bookmarkStart w:id="2993" w:name="_Toc119204148"/>
      <w:bookmarkStart w:id="2994" w:name="_Toc119216478"/>
      <w:bookmarkStart w:id="2995" w:name="_Toc119301000"/>
      <w:bookmarkStart w:id="2996" w:name="_Toc119301567"/>
      <w:bookmarkStart w:id="2997" w:name="_Toc119302136"/>
      <w:bookmarkStart w:id="2998" w:name="_Toc119920323"/>
      <w:bookmarkStart w:id="2999" w:name="_Toc122774310"/>
      <w:bookmarkStart w:id="3000" w:name="_Toc122833553"/>
      <w:bookmarkStart w:id="3001" w:name="_Toc122834120"/>
      <w:r>
        <w:rPr>
          <w:rStyle w:val="CharPartNo"/>
        </w:rPr>
        <w:t>Part XVII</w:t>
      </w:r>
      <w:r>
        <w:rPr>
          <w:b w:val="0"/>
        </w:rPr>
        <w:t> </w:t>
      </w:r>
      <w:r>
        <w:t>—</w:t>
      </w:r>
      <w:r>
        <w:rPr>
          <w:b w:val="0"/>
        </w:rPr>
        <w:t> </w:t>
      </w:r>
      <w:r>
        <w:rPr>
          <w:rStyle w:val="CharPartText"/>
        </w:rPr>
        <w:t>The Dispute Resolution Directorate</w:t>
      </w:r>
      <w:bookmarkEnd w:id="2990"/>
      <w:bookmarkEnd w:id="2991"/>
      <w:bookmarkEnd w:id="2992"/>
      <w:bookmarkEnd w:id="2993"/>
      <w:bookmarkEnd w:id="2994"/>
      <w:bookmarkEnd w:id="2995"/>
      <w:bookmarkEnd w:id="2996"/>
      <w:bookmarkEnd w:id="2997"/>
      <w:bookmarkEnd w:id="2998"/>
      <w:bookmarkEnd w:id="2999"/>
      <w:bookmarkEnd w:id="3000"/>
      <w:bookmarkEnd w:id="3001"/>
    </w:p>
    <w:p>
      <w:pPr>
        <w:pStyle w:val="Footnoteheading"/>
      </w:pPr>
      <w:bookmarkStart w:id="3002" w:name="_Toc87253172"/>
      <w:r>
        <w:tab/>
        <w:t>[Heading inserted by No. 42 of 2004 s. 130.]</w:t>
      </w:r>
    </w:p>
    <w:p>
      <w:pPr>
        <w:pStyle w:val="Heading3"/>
      </w:pPr>
      <w:bookmarkStart w:id="3003" w:name="_Toc119132833"/>
      <w:bookmarkStart w:id="3004" w:name="_Toc119203503"/>
      <w:bookmarkStart w:id="3005" w:name="_Toc119204149"/>
      <w:bookmarkStart w:id="3006" w:name="_Toc119216479"/>
      <w:bookmarkStart w:id="3007" w:name="_Toc119301001"/>
      <w:bookmarkStart w:id="3008" w:name="_Toc119301568"/>
      <w:bookmarkStart w:id="3009" w:name="_Toc119302137"/>
      <w:bookmarkStart w:id="3010" w:name="_Toc119920324"/>
      <w:bookmarkStart w:id="3011" w:name="_Toc122774311"/>
      <w:bookmarkStart w:id="3012" w:name="_Toc122833554"/>
      <w:bookmarkStart w:id="3013" w:name="_Toc122834121"/>
      <w:r>
        <w:rPr>
          <w:rStyle w:val="CharDivNo"/>
        </w:rPr>
        <w:t>Division 1</w:t>
      </w:r>
      <w:r>
        <w:t> — </w:t>
      </w:r>
      <w:r>
        <w:rPr>
          <w:rStyle w:val="CharDivText"/>
        </w:rPr>
        <w:t>Establishment and objectives</w:t>
      </w:r>
      <w:bookmarkEnd w:id="3002"/>
      <w:bookmarkEnd w:id="3003"/>
      <w:bookmarkEnd w:id="3004"/>
      <w:bookmarkEnd w:id="3005"/>
      <w:bookmarkEnd w:id="3006"/>
      <w:bookmarkEnd w:id="3007"/>
      <w:bookmarkEnd w:id="3008"/>
      <w:bookmarkEnd w:id="3009"/>
      <w:bookmarkEnd w:id="3010"/>
      <w:bookmarkEnd w:id="3011"/>
      <w:bookmarkEnd w:id="3012"/>
      <w:bookmarkEnd w:id="3013"/>
    </w:p>
    <w:p>
      <w:pPr>
        <w:pStyle w:val="Footnoteheading"/>
      </w:pPr>
      <w:bookmarkStart w:id="3014" w:name="_Toc87253173"/>
      <w:r>
        <w:tab/>
        <w:t>[Heading inserted by No. 42 of 2004 s. 130.]</w:t>
      </w:r>
    </w:p>
    <w:p>
      <w:pPr>
        <w:pStyle w:val="Heading5"/>
      </w:pPr>
      <w:bookmarkStart w:id="3015" w:name="_Toc122833555"/>
      <w:bookmarkStart w:id="3016" w:name="_Toc122834122"/>
      <w:r>
        <w:rPr>
          <w:rStyle w:val="CharSectno"/>
        </w:rPr>
        <w:t>278</w:t>
      </w:r>
      <w:r>
        <w:t>.</w:t>
      </w:r>
      <w:r>
        <w:tab/>
        <w:t>DRD established</w:t>
      </w:r>
      <w:bookmarkEnd w:id="3014"/>
      <w:bookmarkEnd w:id="3015"/>
      <w:bookmarkEnd w:id="3016"/>
    </w:p>
    <w:p>
      <w:pPr>
        <w:pStyle w:val="Subsection"/>
      </w:pPr>
      <w:r>
        <w:tab/>
      </w:r>
      <w:r>
        <w:tab/>
        <w:t>A directorate called the Dispute Resolution Directorate is established.</w:t>
      </w:r>
    </w:p>
    <w:p>
      <w:pPr>
        <w:pStyle w:val="Footnotesection"/>
      </w:pPr>
      <w:bookmarkStart w:id="3017" w:name="_Toc87253174"/>
      <w:r>
        <w:tab/>
        <w:t>[Section 278 inserted by No. 42 of 2004 s. 130.]</w:t>
      </w:r>
    </w:p>
    <w:p>
      <w:pPr>
        <w:pStyle w:val="Heading5"/>
      </w:pPr>
      <w:bookmarkStart w:id="3018" w:name="_Toc122833556"/>
      <w:bookmarkStart w:id="3019" w:name="_Toc122834123"/>
      <w:r>
        <w:rPr>
          <w:rStyle w:val="CharSectno"/>
        </w:rPr>
        <w:t>279</w:t>
      </w:r>
      <w:r>
        <w:t>.</w:t>
      </w:r>
      <w:r>
        <w:tab/>
        <w:t>Main objectives of the DRD</w:t>
      </w:r>
      <w:bookmarkEnd w:id="3017"/>
      <w:bookmarkEnd w:id="3018"/>
      <w:bookmarkEnd w:id="3019"/>
    </w:p>
    <w:p>
      <w:pPr>
        <w:pStyle w:val="Subsection"/>
      </w:pPr>
      <w:r>
        <w:tab/>
        <w:t>(1)</w:t>
      </w:r>
      <w:r>
        <w:tab/>
        <w:t xml:space="preserve">The main objectives of the DRD are — </w:t>
      </w:r>
    </w:p>
    <w:p>
      <w:pPr>
        <w:pStyle w:val="Indenta"/>
      </w:pPr>
      <w:r>
        <w:tab/>
        <w:t>(a)</w:t>
      </w:r>
      <w:r>
        <w:tab/>
        <w:t>to provide a fair and cost effective system for the resolution of disputes under this Act;</w:t>
      </w:r>
    </w:p>
    <w:p>
      <w:pPr>
        <w:pStyle w:val="Indenta"/>
      </w:pPr>
      <w:r>
        <w:tab/>
        <w:t>(b)</w:t>
      </w:r>
      <w:r>
        <w:tab/>
        <w:t>to reduce administrative costs across the workers’ compensation system;</w:t>
      </w:r>
    </w:p>
    <w:p>
      <w:pPr>
        <w:pStyle w:val="Indenta"/>
      </w:pPr>
      <w:r>
        <w:tab/>
        <w:t>(c)</w:t>
      </w:r>
      <w:r>
        <w:tab/>
        <w:t xml:space="preserve">to provide a dispute resolution service that — </w:t>
      </w:r>
    </w:p>
    <w:p>
      <w:pPr>
        <w:pStyle w:val="Indenti"/>
      </w:pPr>
      <w:r>
        <w:tab/>
        <w:t>(i)</w:t>
      </w:r>
      <w:r>
        <w:tab/>
        <w:t>is timely and ensures that workers’ entitlements are paid promptly;</w:t>
      </w:r>
    </w:p>
    <w:p>
      <w:pPr>
        <w:pStyle w:val="Indenti"/>
      </w:pPr>
      <w:r>
        <w:tab/>
        <w:t>(ii)</w:t>
      </w:r>
      <w:r>
        <w:tab/>
        <w:t>meets user expectations in relation to accessibility, approachability and professionalism;</w:t>
      </w:r>
    </w:p>
    <w:p>
      <w:pPr>
        <w:pStyle w:val="Indenti"/>
      </w:pPr>
      <w:r>
        <w:tab/>
        <w:t>(iii)</w:t>
      </w:r>
      <w:r>
        <w:tab/>
        <w:t>is effective in settling matters;</w:t>
      </w:r>
    </w:p>
    <w:p>
      <w:pPr>
        <w:pStyle w:val="Indenti"/>
      </w:pPr>
      <w:r>
        <w:tab/>
        <w:t>(iv)</w:t>
      </w:r>
      <w:r>
        <w:tab/>
        <w:t>leads to durable agreements between the parties in accordance with this Act;</w:t>
      </w:r>
    </w:p>
    <w:p>
      <w:pPr>
        <w:pStyle w:val="Indenta"/>
      </w:pPr>
      <w:r>
        <w:tab/>
      </w:r>
      <w:r>
        <w:tab/>
        <w:t>and</w:t>
      </w:r>
    </w:p>
    <w:p>
      <w:pPr>
        <w:pStyle w:val="Indenta"/>
      </w:pPr>
      <w:r>
        <w:tab/>
        <w:t>(d)</w:t>
      </w:r>
      <w:r>
        <w:tab/>
        <w:t>to establish effective communication and liaison with interested parties concerning the role of the DRD.</w:t>
      </w:r>
    </w:p>
    <w:p>
      <w:pPr>
        <w:pStyle w:val="Subsection"/>
      </w:pPr>
      <w:r>
        <w:tab/>
        <w:t>(2)</w:t>
      </w:r>
      <w:r>
        <w:tab/>
        <w:t>In exercising their functions, the Commissioner, the arbitrators, the Director, and other officers of the DRD are to have regard to the DRD’s objectives.</w:t>
      </w:r>
    </w:p>
    <w:p>
      <w:pPr>
        <w:pStyle w:val="Footnotesection"/>
      </w:pPr>
      <w:bookmarkStart w:id="3020" w:name="_Toc87253175"/>
      <w:r>
        <w:tab/>
        <w:t>[Section 279 inserted by No. 42 of 2004 s. 130.]</w:t>
      </w:r>
    </w:p>
    <w:p>
      <w:pPr>
        <w:pStyle w:val="Heading5"/>
      </w:pPr>
      <w:bookmarkStart w:id="3021" w:name="_Toc122833557"/>
      <w:bookmarkStart w:id="3022" w:name="_Toc122834124"/>
      <w:r>
        <w:rPr>
          <w:rStyle w:val="CharSectno"/>
        </w:rPr>
        <w:t>280</w:t>
      </w:r>
      <w:r>
        <w:t>.</w:t>
      </w:r>
      <w:r>
        <w:tab/>
        <w:t>DRD’s constitution</w:t>
      </w:r>
      <w:bookmarkEnd w:id="3020"/>
      <w:bookmarkEnd w:id="3021"/>
      <w:bookmarkEnd w:id="3022"/>
    </w:p>
    <w:p>
      <w:pPr>
        <w:pStyle w:val="Subsection"/>
      </w:pPr>
      <w:r>
        <w:tab/>
      </w:r>
      <w:r>
        <w:tab/>
        <w:t xml:space="preserve">The following persons constitute the DRD — </w:t>
      </w:r>
    </w:p>
    <w:p>
      <w:pPr>
        <w:pStyle w:val="Indenta"/>
      </w:pPr>
      <w:r>
        <w:tab/>
        <w:t>(a)</w:t>
      </w:r>
      <w:r>
        <w:tab/>
        <w:t>the Commissioner;</w:t>
      </w:r>
    </w:p>
    <w:p>
      <w:pPr>
        <w:pStyle w:val="Indenta"/>
      </w:pPr>
      <w:r>
        <w:tab/>
        <w:t>(b)</w:t>
      </w:r>
      <w:r>
        <w:tab/>
        <w:t>the Director;</w:t>
      </w:r>
    </w:p>
    <w:p>
      <w:pPr>
        <w:pStyle w:val="Indenta"/>
      </w:pPr>
      <w:r>
        <w:tab/>
        <w:t>(c)</w:t>
      </w:r>
      <w:r>
        <w:tab/>
        <w:t>the arbitrators;</w:t>
      </w:r>
    </w:p>
    <w:p>
      <w:pPr>
        <w:pStyle w:val="Indenta"/>
      </w:pPr>
      <w:r>
        <w:tab/>
        <w:t>(d)</w:t>
      </w:r>
      <w:r>
        <w:tab/>
        <w:t>other officers of the DRD.</w:t>
      </w:r>
    </w:p>
    <w:p>
      <w:pPr>
        <w:pStyle w:val="Footnotesection"/>
      </w:pPr>
      <w:bookmarkStart w:id="3023" w:name="_Toc87253176"/>
      <w:r>
        <w:tab/>
        <w:t>[Section 280 inserted by No. 42 of 2004 s. 130.]</w:t>
      </w:r>
    </w:p>
    <w:p>
      <w:pPr>
        <w:pStyle w:val="Heading3"/>
      </w:pPr>
      <w:bookmarkStart w:id="3024" w:name="_Toc119132837"/>
      <w:bookmarkStart w:id="3025" w:name="_Toc119203507"/>
      <w:bookmarkStart w:id="3026" w:name="_Toc119204153"/>
      <w:bookmarkStart w:id="3027" w:name="_Toc119216483"/>
      <w:bookmarkStart w:id="3028" w:name="_Toc119301005"/>
      <w:bookmarkStart w:id="3029" w:name="_Toc119301572"/>
      <w:bookmarkStart w:id="3030" w:name="_Toc119302141"/>
      <w:bookmarkStart w:id="3031" w:name="_Toc119920328"/>
      <w:bookmarkStart w:id="3032" w:name="_Toc122774315"/>
      <w:bookmarkStart w:id="3033" w:name="_Toc122833558"/>
      <w:bookmarkStart w:id="3034" w:name="_Toc122834125"/>
      <w:r>
        <w:rPr>
          <w:rStyle w:val="CharDivNo"/>
        </w:rPr>
        <w:t>Division 2</w:t>
      </w:r>
      <w:r>
        <w:t> — </w:t>
      </w:r>
      <w:r>
        <w:rPr>
          <w:rStyle w:val="CharDivText"/>
        </w:rPr>
        <w:t>Commissioner</w:t>
      </w:r>
      <w:bookmarkEnd w:id="3023"/>
      <w:bookmarkEnd w:id="3024"/>
      <w:bookmarkEnd w:id="3025"/>
      <w:bookmarkEnd w:id="3026"/>
      <w:bookmarkEnd w:id="3027"/>
      <w:bookmarkEnd w:id="3028"/>
      <w:bookmarkEnd w:id="3029"/>
      <w:bookmarkEnd w:id="3030"/>
      <w:bookmarkEnd w:id="3031"/>
      <w:bookmarkEnd w:id="3032"/>
      <w:bookmarkEnd w:id="3033"/>
      <w:bookmarkEnd w:id="3034"/>
    </w:p>
    <w:p>
      <w:pPr>
        <w:pStyle w:val="Footnoteheading"/>
      </w:pPr>
      <w:bookmarkStart w:id="3035" w:name="_Toc87253177"/>
      <w:r>
        <w:tab/>
        <w:t>[Heading inserted by No. 42 of 2004 s. 130.]</w:t>
      </w:r>
    </w:p>
    <w:p>
      <w:pPr>
        <w:pStyle w:val="Heading5"/>
      </w:pPr>
      <w:bookmarkStart w:id="3036" w:name="_Toc122833559"/>
      <w:bookmarkStart w:id="3037" w:name="_Toc122834126"/>
      <w:r>
        <w:rPr>
          <w:rStyle w:val="CharSectno"/>
        </w:rPr>
        <w:t>281</w:t>
      </w:r>
      <w:r>
        <w:t>.</w:t>
      </w:r>
      <w:r>
        <w:tab/>
        <w:t>Appointment of Commissioner</w:t>
      </w:r>
      <w:bookmarkEnd w:id="3035"/>
      <w:bookmarkEnd w:id="3036"/>
      <w:bookmarkEnd w:id="3037"/>
    </w:p>
    <w:p>
      <w:pPr>
        <w:pStyle w:val="Subsection"/>
      </w:pPr>
      <w:r>
        <w:tab/>
        <w:t>(1)</w:t>
      </w:r>
      <w:r>
        <w:tab/>
        <w:t>A person is to be appointed as the Commissioner by the Governor on the recommendation of the Minister.</w:t>
      </w:r>
    </w:p>
    <w:p>
      <w:pPr>
        <w:pStyle w:val="Subsection"/>
      </w:pPr>
      <w:r>
        <w:tab/>
        <w:t>(2)</w:t>
      </w:r>
      <w:r>
        <w:tab/>
        <w:t>A person cannot be the Commissioner unless the person is a Judge of the District Court.</w:t>
      </w:r>
    </w:p>
    <w:p>
      <w:pPr>
        <w:pStyle w:val="Subsection"/>
      </w:pPr>
      <w:r>
        <w:tab/>
        <w:t>(3)</w:t>
      </w:r>
      <w:r>
        <w:tab/>
        <w:t>Before recommending a person for appointment as the Commissioner, the Minister is to consult the Chief Justice of Western Australia and the Chief Judge of the District Court.</w:t>
      </w:r>
    </w:p>
    <w:p>
      <w:pPr>
        <w:pStyle w:val="Footnotesection"/>
      </w:pPr>
      <w:bookmarkStart w:id="3038" w:name="_Toc87253178"/>
      <w:r>
        <w:tab/>
        <w:t>[Section 281 inserted by No. 42 of 2004 s. 130.]</w:t>
      </w:r>
    </w:p>
    <w:p>
      <w:pPr>
        <w:pStyle w:val="Heading5"/>
      </w:pPr>
      <w:bookmarkStart w:id="3039" w:name="_Toc122833560"/>
      <w:bookmarkStart w:id="3040" w:name="_Toc122834127"/>
      <w:r>
        <w:rPr>
          <w:rStyle w:val="CharSectno"/>
        </w:rPr>
        <w:t>282</w:t>
      </w:r>
      <w:r>
        <w:t>.</w:t>
      </w:r>
      <w:r>
        <w:tab/>
        <w:t>Terms and conditions of service</w:t>
      </w:r>
      <w:bookmarkEnd w:id="3038"/>
      <w:bookmarkEnd w:id="3039"/>
      <w:bookmarkEnd w:id="3040"/>
    </w:p>
    <w:p>
      <w:pPr>
        <w:pStyle w:val="Subsection"/>
      </w:pPr>
      <w:r>
        <w:tab/>
      </w:r>
      <w:r>
        <w:tab/>
        <w:t>Schedule 8 has effect with respect to the tenure, remuneration and conditions of service of the Commissioner and other matters provided for in that Schedule.</w:t>
      </w:r>
    </w:p>
    <w:p>
      <w:pPr>
        <w:pStyle w:val="Footnotesection"/>
      </w:pPr>
      <w:bookmarkStart w:id="3041" w:name="_Toc87253179"/>
      <w:r>
        <w:tab/>
        <w:t>[Section 282 inserted by No. 42 of 2004 s. 130.]</w:t>
      </w:r>
    </w:p>
    <w:p>
      <w:pPr>
        <w:pStyle w:val="Heading5"/>
      </w:pPr>
      <w:bookmarkStart w:id="3042" w:name="_Toc122833561"/>
      <w:bookmarkStart w:id="3043" w:name="_Toc122834128"/>
      <w:r>
        <w:rPr>
          <w:rStyle w:val="CharSectno"/>
        </w:rPr>
        <w:t>283</w:t>
      </w:r>
      <w:r>
        <w:t>.</w:t>
      </w:r>
      <w:r>
        <w:tab/>
        <w:t>Declaration of inability to act</w:t>
      </w:r>
      <w:bookmarkEnd w:id="3041"/>
      <w:bookmarkEnd w:id="3042"/>
      <w:bookmarkEnd w:id="3043"/>
    </w:p>
    <w:p>
      <w:pPr>
        <w:pStyle w:val="Subsection"/>
      </w:pPr>
      <w:r>
        <w:tab/>
      </w:r>
      <w:r>
        <w:tab/>
        <w:t xml:space="preserve">The Commissioner may declare himself unable to act in respect of a particular matter by reason of — </w:t>
      </w:r>
    </w:p>
    <w:p>
      <w:pPr>
        <w:pStyle w:val="Indenta"/>
      </w:pPr>
      <w:r>
        <w:tab/>
        <w:t>(a)</w:t>
      </w:r>
      <w:r>
        <w:tab/>
        <w:t>an actual or potential conflict of interest; or</w:t>
      </w:r>
    </w:p>
    <w:p>
      <w:pPr>
        <w:pStyle w:val="Indenta"/>
      </w:pPr>
      <w:r>
        <w:tab/>
        <w:t>(b)</w:t>
      </w:r>
      <w:r>
        <w:tab/>
        <w:t>having to perform other functions under this Act.</w:t>
      </w:r>
    </w:p>
    <w:p>
      <w:pPr>
        <w:pStyle w:val="Footnotesection"/>
      </w:pPr>
      <w:bookmarkStart w:id="3044" w:name="_Toc87253180"/>
      <w:r>
        <w:tab/>
        <w:t>[Section 283 inserted by No. 42 of 2004 s. 130.]</w:t>
      </w:r>
    </w:p>
    <w:p>
      <w:pPr>
        <w:pStyle w:val="Heading5"/>
      </w:pPr>
      <w:bookmarkStart w:id="3045" w:name="_Toc122833562"/>
      <w:bookmarkStart w:id="3046" w:name="_Toc122834129"/>
      <w:r>
        <w:rPr>
          <w:rStyle w:val="CharSectno"/>
        </w:rPr>
        <w:t>284</w:t>
      </w:r>
      <w:r>
        <w:t>.</w:t>
      </w:r>
      <w:r>
        <w:tab/>
        <w:t>Acting appointment</w:t>
      </w:r>
      <w:bookmarkEnd w:id="3044"/>
      <w:bookmarkEnd w:id="3045"/>
      <w:bookmarkEnd w:id="3046"/>
    </w:p>
    <w:p>
      <w:pPr>
        <w:pStyle w:val="Subsection"/>
      </w:pPr>
      <w:r>
        <w:tab/>
        <w:t>(1)</w:t>
      </w:r>
      <w:r>
        <w:tab/>
        <w:t xml:space="preserve">The Governor may appoint a person who is a Judge of the District Court, or is eligible for appointment as a Judge of the District Court, to act in the office of Commissioner — </w:t>
      </w:r>
    </w:p>
    <w:p>
      <w:pPr>
        <w:pStyle w:val="Indenta"/>
      </w:pPr>
      <w:r>
        <w:tab/>
        <w:t>(a)</w:t>
      </w:r>
      <w:r>
        <w:tab/>
        <w:t>during a vacancy in that office;</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283 declared himself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(3)</w:t>
      </w:r>
      <w:r>
        <w:tab/>
        <w:t>If a person appointed under this section is a Judge of the District Court, Schedule 8 clause 3 has effect in relation to the person.</w:t>
      </w:r>
    </w:p>
    <w:p>
      <w:pPr>
        <w:pStyle w:val="Subsection"/>
      </w:pPr>
      <w:r>
        <w:tab/>
        <w:t>(4)</w:t>
      </w:r>
      <w:r>
        <w:tab/>
        <w:t>A person acting under this section for the reason mentioned in subsection (1)(c) may perform functions of the Commissioner in relation to the matter for which the person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bookmarkStart w:id="3047" w:name="_Toc87253181"/>
      <w:r>
        <w:tab/>
        <w:t>[Section 284 inserted by No. 42 of 2004 s. 130.]</w:t>
      </w:r>
    </w:p>
    <w:p>
      <w:pPr>
        <w:pStyle w:val="Heading5"/>
      </w:pPr>
      <w:bookmarkStart w:id="3048" w:name="_Toc122833563"/>
      <w:bookmarkStart w:id="3049" w:name="_Toc122834130"/>
      <w:r>
        <w:rPr>
          <w:rStyle w:val="CharSectno"/>
        </w:rPr>
        <w:t>285</w:t>
      </w:r>
      <w:r>
        <w:t>.</w:t>
      </w:r>
      <w:r>
        <w:tab/>
        <w:t>Functions of Commissioner</w:t>
      </w:r>
      <w:bookmarkEnd w:id="3047"/>
      <w:bookmarkEnd w:id="3048"/>
      <w:bookmarkEnd w:id="3049"/>
    </w:p>
    <w:p>
      <w:pPr>
        <w:pStyle w:val="Subsection"/>
      </w:pPr>
      <w:r>
        <w:tab/>
      </w:r>
      <w:r>
        <w:tab/>
        <w:t>The Commissioner has the functions conferred under this Act or any other written law.</w:t>
      </w:r>
    </w:p>
    <w:p>
      <w:pPr>
        <w:pStyle w:val="Footnotesection"/>
      </w:pPr>
      <w:bookmarkStart w:id="3050" w:name="_Toc87253182"/>
      <w:r>
        <w:tab/>
        <w:t>[Section 285 inserted by No. 42 of 2004 s. 130.]</w:t>
      </w:r>
    </w:p>
    <w:p>
      <w:pPr>
        <w:pStyle w:val="Heading3"/>
      </w:pPr>
      <w:bookmarkStart w:id="3051" w:name="_Toc119132843"/>
      <w:bookmarkStart w:id="3052" w:name="_Toc119203513"/>
      <w:bookmarkStart w:id="3053" w:name="_Toc119204159"/>
      <w:bookmarkStart w:id="3054" w:name="_Toc119216489"/>
      <w:bookmarkStart w:id="3055" w:name="_Toc119301011"/>
      <w:bookmarkStart w:id="3056" w:name="_Toc119301578"/>
      <w:bookmarkStart w:id="3057" w:name="_Toc119302147"/>
      <w:bookmarkStart w:id="3058" w:name="_Toc119920334"/>
      <w:bookmarkStart w:id="3059" w:name="_Toc122774321"/>
      <w:bookmarkStart w:id="3060" w:name="_Toc122833564"/>
      <w:bookmarkStart w:id="3061" w:name="_Toc122834131"/>
      <w:r>
        <w:rPr>
          <w:rStyle w:val="CharDivNo"/>
        </w:rPr>
        <w:t>Division 3</w:t>
      </w:r>
      <w:r>
        <w:t> — </w:t>
      </w:r>
      <w:r>
        <w:rPr>
          <w:rStyle w:val="CharDivText"/>
        </w:rPr>
        <w:t>Arbitrators</w:t>
      </w:r>
      <w:bookmarkEnd w:id="3050"/>
      <w:bookmarkEnd w:id="3051"/>
      <w:bookmarkEnd w:id="3052"/>
      <w:bookmarkEnd w:id="3053"/>
      <w:bookmarkEnd w:id="3054"/>
      <w:bookmarkEnd w:id="3055"/>
      <w:bookmarkEnd w:id="3056"/>
      <w:bookmarkEnd w:id="3057"/>
      <w:bookmarkEnd w:id="3058"/>
      <w:bookmarkEnd w:id="3059"/>
      <w:bookmarkEnd w:id="3060"/>
      <w:bookmarkEnd w:id="3061"/>
    </w:p>
    <w:p>
      <w:pPr>
        <w:pStyle w:val="Footnoteheading"/>
      </w:pPr>
      <w:bookmarkStart w:id="3062" w:name="_Toc87253183"/>
      <w:r>
        <w:tab/>
        <w:t>[Heading inserted by No. 42 of 2004 s. 130.]</w:t>
      </w:r>
    </w:p>
    <w:p>
      <w:pPr>
        <w:pStyle w:val="Heading5"/>
      </w:pPr>
      <w:bookmarkStart w:id="3063" w:name="_Toc122833565"/>
      <w:bookmarkStart w:id="3064" w:name="_Toc122834132"/>
      <w:r>
        <w:rPr>
          <w:rStyle w:val="CharSectno"/>
        </w:rPr>
        <w:t>286</w:t>
      </w:r>
      <w:r>
        <w:t>.</w:t>
      </w:r>
      <w:r>
        <w:tab/>
        <w:t>Arbitrators</w:t>
      </w:r>
      <w:bookmarkEnd w:id="3062"/>
      <w:bookmarkEnd w:id="3063"/>
      <w:bookmarkEnd w:id="3064"/>
    </w:p>
    <w:p>
      <w:pPr>
        <w:pStyle w:val="Subsection"/>
      </w:pPr>
      <w:r>
        <w:tab/>
        <w:t>(1)</w:t>
      </w:r>
      <w:r>
        <w:tab/>
        <w:t>Arbitrators are to be officers of WorkCover WA.</w:t>
      </w:r>
    </w:p>
    <w:p>
      <w:pPr>
        <w:pStyle w:val="Subsection"/>
      </w:pPr>
      <w:r>
        <w:tab/>
        <w:t>(2)</w:t>
      </w:r>
      <w:r>
        <w:tab/>
        <w:t>A person is not to become an arbitrator without the approval of the Minister.</w:t>
      </w:r>
    </w:p>
    <w:p>
      <w:pPr>
        <w:pStyle w:val="Subsection"/>
      </w:pPr>
      <w:r>
        <w:tab/>
        <w:t>(3)</w:t>
      </w:r>
      <w:r>
        <w:tab/>
        <w:t>A person cannot be approved as an arbitrator unless the person is a legal practitioner.</w:t>
      </w:r>
    </w:p>
    <w:p>
      <w:pPr>
        <w:pStyle w:val="Footnotesection"/>
      </w:pPr>
      <w:bookmarkStart w:id="3065" w:name="_Toc87253184"/>
      <w:r>
        <w:tab/>
        <w:t>[Section 286 inserted by No. 42 of 2004 s. 130.]</w:t>
      </w:r>
    </w:p>
    <w:p>
      <w:pPr>
        <w:pStyle w:val="Heading5"/>
      </w:pPr>
      <w:bookmarkStart w:id="3066" w:name="_Toc122833566"/>
      <w:bookmarkStart w:id="3067" w:name="_Toc122834133"/>
      <w:r>
        <w:rPr>
          <w:rStyle w:val="CharSectno"/>
        </w:rPr>
        <w:t>287</w:t>
      </w:r>
      <w:r>
        <w:t>.</w:t>
      </w:r>
      <w:r>
        <w:tab/>
        <w:t>Control and direction of arbitrators</w:t>
      </w:r>
      <w:bookmarkEnd w:id="3065"/>
      <w:bookmarkEnd w:id="3066"/>
      <w:bookmarkEnd w:id="3067"/>
    </w:p>
    <w:p>
      <w:pPr>
        <w:pStyle w:val="Subsection"/>
      </w:pPr>
      <w:r>
        <w:tab/>
        <w:t>(1)</w:t>
      </w:r>
      <w:r>
        <w:tab/>
        <w:t>An arbitrator is, in the exercise of his functions, subject to the general control and direction of the Director.</w:t>
      </w:r>
    </w:p>
    <w:p>
      <w:pPr>
        <w:pStyle w:val="Subsection"/>
      </w:pPr>
      <w:r>
        <w:tab/>
        <w:t>(2)</w:t>
      </w:r>
      <w:r>
        <w:tab/>
        <w:t>An arbitrator is not subject to direction as to the decision to be given in a particular matter.</w:t>
      </w:r>
    </w:p>
    <w:p>
      <w:pPr>
        <w:pStyle w:val="Footnotesection"/>
      </w:pPr>
      <w:bookmarkStart w:id="3068" w:name="_Toc87253185"/>
      <w:r>
        <w:tab/>
        <w:t>[Section 287 inserted by No. 42 of 2004 s. 130.]</w:t>
      </w:r>
    </w:p>
    <w:p>
      <w:pPr>
        <w:pStyle w:val="Heading3"/>
      </w:pPr>
      <w:bookmarkStart w:id="3069" w:name="_Toc119132846"/>
      <w:bookmarkStart w:id="3070" w:name="_Toc119203516"/>
      <w:bookmarkStart w:id="3071" w:name="_Toc119204162"/>
      <w:bookmarkStart w:id="3072" w:name="_Toc119216492"/>
      <w:bookmarkStart w:id="3073" w:name="_Toc119301014"/>
      <w:bookmarkStart w:id="3074" w:name="_Toc119301581"/>
      <w:bookmarkStart w:id="3075" w:name="_Toc119302150"/>
      <w:bookmarkStart w:id="3076" w:name="_Toc119920337"/>
      <w:bookmarkStart w:id="3077" w:name="_Toc122774324"/>
      <w:bookmarkStart w:id="3078" w:name="_Toc122833567"/>
      <w:bookmarkStart w:id="3079" w:name="_Toc122834134"/>
      <w:r>
        <w:rPr>
          <w:rStyle w:val="CharDivNo"/>
        </w:rPr>
        <w:t>Division 4</w:t>
      </w:r>
      <w:r>
        <w:t> — </w:t>
      </w:r>
      <w:r>
        <w:rPr>
          <w:rStyle w:val="CharDivText"/>
        </w:rPr>
        <w:t>Director Dispute Resolution and staff</w:t>
      </w:r>
      <w:bookmarkEnd w:id="3068"/>
      <w:bookmarkEnd w:id="3069"/>
      <w:bookmarkEnd w:id="3070"/>
      <w:bookmarkEnd w:id="3071"/>
      <w:bookmarkEnd w:id="3072"/>
      <w:bookmarkEnd w:id="3073"/>
      <w:bookmarkEnd w:id="3074"/>
      <w:bookmarkEnd w:id="3075"/>
      <w:bookmarkEnd w:id="3076"/>
      <w:bookmarkEnd w:id="3077"/>
      <w:bookmarkEnd w:id="3078"/>
      <w:bookmarkEnd w:id="3079"/>
    </w:p>
    <w:p>
      <w:pPr>
        <w:pStyle w:val="Footnoteheading"/>
      </w:pPr>
      <w:bookmarkStart w:id="3080" w:name="_Toc87253186"/>
      <w:r>
        <w:tab/>
        <w:t>[Heading inserted by No. 42 of 2004 s. 130.]</w:t>
      </w:r>
    </w:p>
    <w:p>
      <w:pPr>
        <w:pStyle w:val="Heading5"/>
      </w:pPr>
      <w:bookmarkStart w:id="3081" w:name="_Toc122833568"/>
      <w:bookmarkStart w:id="3082" w:name="_Toc122834135"/>
      <w:r>
        <w:rPr>
          <w:rStyle w:val="CharSectno"/>
        </w:rPr>
        <w:t>288</w:t>
      </w:r>
      <w:r>
        <w:t>.</w:t>
      </w:r>
      <w:r>
        <w:tab/>
        <w:t>Director Dispute Resolution</w:t>
      </w:r>
      <w:bookmarkEnd w:id="3080"/>
      <w:bookmarkEnd w:id="3081"/>
      <w:bookmarkEnd w:id="3082"/>
    </w:p>
    <w:p>
      <w:pPr>
        <w:pStyle w:val="Subsection"/>
      </w:pPr>
      <w:r>
        <w:tab/>
        <w:t>(1)</w:t>
      </w:r>
      <w:r>
        <w:tab/>
        <w:t>The Director Dispute Resolution is to be an officer of WorkCover WA.</w:t>
      </w:r>
    </w:p>
    <w:p>
      <w:pPr>
        <w:pStyle w:val="Subsection"/>
      </w:pPr>
      <w:r>
        <w:tab/>
        <w:t>(2)</w:t>
      </w:r>
      <w:r>
        <w:tab/>
        <w:t>A person is not to become the Director Dispute Resolution without the approval of the Minister.</w:t>
      </w:r>
    </w:p>
    <w:p>
      <w:pPr>
        <w:pStyle w:val="Subsection"/>
      </w:pPr>
      <w:r>
        <w:tab/>
        <w:t>(3)</w:t>
      </w:r>
      <w:r>
        <w:tab/>
        <w:t>A person is not eligible for approval as the Director Dispute Resolution unless the person is a legal practitioner.</w:t>
      </w:r>
    </w:p>
    <w:p>
      <w:pPr>
        <w:pStyle w:val="Footnotesection"/>
      </w:pPr>
      <w:bookmarkStart w:id="3083" w:name="_Toc87253187"/>
      <w:r>
        <w:tab/>
        <w:t>[Section 288 inserted by No. 42 of 2004 s. 130.]</w:t>
      </w:r>
    </w:p>
    <w:p>
      <w:pPr>
        <w:pStyle w:val="Heading5"/>
      </w:pPr>
      <w:bookmarkStart w:id="3084" w:name="_Toc122833569"/>
      <w:bookmarkStart w:id="3085" w:name="_Toc122834136"/>
      <w:r>
        <w:rPr>
          <w:rStyle w:val="CharSectno"/>
        </w:rPr>
        <w:t>289</w:t>
      </w:r>
      <w:r>
        <w:t>.</w:t>
      </w:r>
      <w:r>
        <w:tab/>
        <w:t>Functions and responsibilities of Director</w:t>
      </w:r>
      <w:bookmarkEnd w:id="3083"/>
      <w:bookmarkEnd w:id="3084"/>
      <w:bookmarkEnd w:id="3085"/>
    </w:p>
    <w:p>
      <w:pPr>
        <w:pStyle w:val="Subsection"/>
      </w:pPr>
      <w:r>
        <w:tab/>
        <w:t>(1)</w:t>
      </w:r>
      <w:r>
        <w:tab/>
        <w:t>In addition to the Director’s functions under this or any other written law, the Director has and may exercise all the functions of an arbitrator.</w:t>
      </w:r>
    </w:p>
    <w:p>
      <w:pPr>
        <w:pStyle w:val="Subsection"/>
      </w:pPr>
      <w:r>
        <w:tab/>
        <w:t>(2)</w:t>
      </w:r>
      <w:r>
        <w:tab/>
        <w:t>The Director is responsible for the administration of the DRD and the allocation of work to arbitrators.</w:t>
      </w:r>
    </w:p>
    <w:p>
      <w:pPr>
        <w:pStyle w:val="Subsection"/>
      </w:pPr>
      <w:r>
        <w:tab/>
        <w:t>(3)</w:t>
      </w:r>
      <w:r>
        <w:tab/>
        <w:t>The Director is subject to the general control and direction of the chief executive officer in relation to the administration of the DRD.</w:t>
      </w:r>
    </w:p>
    <w:p>
      <w:pPr>
        <w:pStyle w:val="Subsection"/>
      </w:pPr>
      <w:r>
        <w:tab/>
        <w:t>(4)</w:t>
      </w:r>
      <w:r>
        <w:tab/>
        <w:t>In matters concerning the resolution of disputes the Director is responsible directly to the Minister.</w:t>
      </w:r>
    </w:p>
    <w:p>
      <w:pPr>
        <w:pStyle w:val="Footnotesection"/>
      </w:pPr>
      <w:bookmarkStart w:id="3086" w:name="_Toc87253188"/>
      <w:r>
        <w:tab/>
        <w:t>[Section 289 inserted by No. 42 of 2004 s. 130.]</w:t>
      </w:r>
    </w:p>
    <w:p>
      <w:pPr>
        <w:pStyle w:val="Heading5"/>
      </w:pPr>
      <w:bookmarkStart w:id="3087" w:name="_Toc122833570"/>
      <w:bookmarkStart w:id="3088" w:name="_Toc122834137"/>
      <w:r>
        <w:rPr>
          <w:rStyle w:val="CharSectno"/>
        </w:rPr>
        <w:t>290</w:t>
      </w:r>
      <w:r>
        <w:t>.</w:t>
      </w:r>
      <w:r>
        <w:tab/>
        <w:t>Delegation by Director</w:t>
      </w:r>
      <w:bookmarkEnd w:id="3086"/>
      <w:bookmarkEnd w:id="3087"/>
      <w:bookmarkEnd w:id="3088"/>
    </w:p>
    <w:p>
      <w:pPr>
        <w:pStyle w:val="Subsection"/>
      </w:pPr>
      <w:r>
        <w:tab/>
        <w:t>(1)</w:t>
      </w:r>
      <w:r>
        <w:tab/>
        <w:t>The Director may delegate to another officer of the DRD a power or duty given to the Director under this Act.</w:t>
      </w:r>
    </w:p>
    <w:p>
      <w:pPr>
        <w:pStyle w:val="Subsection"/>
      </w:pPr>
      <w:r>
        <w:tab/>
        <w:t>(2)</w:t>
      </w:r>
      <w:r>
        <w:tab/>
        <w:t>The Director is to make the delegation in writing signed by the Director.</w:t>
      </w:r>
    </w:p>
    <w:p>
      <w:pPr>
        <w:pStyle w:val="Subsection"/>
      </w:pPr>
      <w:r>
        <w:tab/>
        <w:t>(3)</w:t>
      </w:r>
      <w:r>
        <w:tab/>
        <w:t>An officer of the DRD to whom a power or duty is delegated under this section cannot delegate that power or duty.</w:t>
      </w:r>
    </w:p>
    <w:p>
      <w:pPr>
        <w:pStyle w:val="Subsection"/>
      </w:pPr>
      <w:r>
        <w:tab/>
        <w:t>(4)</w:t>
      </w:r>
      <w:r>
        <w:tab/>
        <w:t>An officer of the DRD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bookmarkStart w:id="3089" w:name="_Toc87253189"/>
      <w:r>
        <w:tab/>
        <w:t>[Section 290 inserted by No. 42 of 2004 s. 130.]</w:t>
      </w:r>
    </w:p>
    <w:p>
      <w:pPr>
        <w:pStyle w:val="Heading5"/>
      </w:pPr>
      <w:bookmarkStart w:id="3090" w:name="_Toc122833571"/>
      <w:bookmarkStart w:id="3091" w:name="_Toc122834138"/>
      <w:r>
        <w:rPr>
          <w:rStyle w:val="CharSectno"/>
        </w:rPr>
        <w:t>291</w:t>
      </w:r>
      <w:r>
        <w:t>.</w:t>
      </w:r>
      <w:r>
        <w:tab/>
        <w:t>Staff of DRD</w:t>
      </w:r>
      <w:bookmarkEnd w:id="3089"/>
      <w:bookmarkEnd w:id="3090"/>
      <w:bookmarkEnd w:id="3091"/>
    </w:p>
    <w:p>
      <w:pPr>
        <w:pStyle w:val="Subsection"/>
      </w:pPr>
      <w:r>
        <w:tab/>
        <w:t>(1)</w:t>
      </w:r>
      <w:r>
        <w:tab/>
        <w:t>The chief executive officer is to make officers of WorkCover WA available to assist, as officers of the DRD under the control of the Director, in the administration of the DRD and the exercise of the functions of the DRD.</w:t>
      </w:r>
    </w:p>
    <w:p>
      <w:pPr>
        <w:pStyle w:val="Subsection"/>
      </w:pPr>
      <w:r>
        <w:tab/>
        <w:t>(2)</w:t>
      </w:r>
      <w:r>
        <w:tab/>
        <w:t>Otherwise, the services and facilities of WorkCover WA may be used for the purposes of this Act on such terms as are agreed by the Director and the chief executive officer.</w:t>
      </w:r>
    </w:p>
    <w:p>
      <w:pPr>
        <w:pStyle w:val="Footnotesection"/>
      </w:pPr>
      <w:bookmarkStart w:id="3092" w:name="_Toc87253190"/>
      <w:r>
        <w:tab/>
        <w:t>[Section 291 inserted by No. 42 of 2004 s. 130.]</w:t>
      </w:r>
    </w:p>
    <w:p>
      <w:pPr>
        <w:pStyle w:val="Heading2"/>
      </w:pPr>
      <w:bookmarkStart w:id="3093" w:name="_Toc119132851"/>
      <w:bookmarkStart w:id="3094" w:name="_Toc119203521"/>
      <w:bookmarkStart w:id="3095" w:name="_Toc119204167"/>
      <w:bookmarkStart w:id="3096" w:name="_Toc119216497"/>
      <w:bookmarkStart w:id="3097" w:name="_Toc119301019"/>
      <w:bookmarkStart w:id="3098" w:name="_Toc119301586"/>
      <w:bookmarkStart w:id="3099" w:name="_Toc119302155"/>
      <w:bookmarkStart w:id="3100" w:name="_Toc119920342"/>
      <w:bookmarkStart w:id="3101" w:name="_Toc122774329"/>
      <w:bookmarkStart w:id="3102" w:name="_Toc122833572"/>
      <w:bookmarkStart w:id="3103" w:name="_Toc122834139"/>
      <w:r>
        <w:rPr>
          <w:rStyle w:val="CharPartNo"/>
        </w:rPr>
        <w:t>Part XVIII</w:t>
      </w:r>
      <w:r>
        <w:t> —</w:t>
      </w:r>
      <w:r>
        <w:rPr>
          <w:b w:val="0"/>
          <w:sz w:val="24"/>
        </w:rPr>
        <w:t> </w:t>
      </w:r>
      <w:r>
        <w:rPr>
          <w:rStyle w:val="CharPartText"/>
        </w:rPr>
        <w:t>Regulations, rules and practice notes</w:t>
      </w:r>
      <w:bookmarkEnd w:id="3092"/>
      <w:bookmarkEnd w:id="3093"/>
      <w:bookmarkEnd w:id="3094"/>
      <w:bookmarkEnd w:id="3095"/>
      <w:bookmarkEnd w:id="3096"/>
      <w:bookmarkEnd w:id="3097"/>
      <w:bookmarkEnd w:id="3098"/>
      <w:bookmarkEnd w:id="3099"/>
      <w:bookmarkEnd w:id="3100"/>
      <w:bookmarkEnd w:id="3101"/>
      <w:bookmarkEnd w:id="3102"/>
      <w:bookmarkEnd w:id="3103"/>
    </w:p>
    <w:p>
      <w:pPr>
        <w:pStyle w:val="Footnoteheading"/>
      </w:pPr>
      <w:bookmarkStart w:id="3104" w:name="_Toc87253191"/>
      <w:r>
        <w:tab/>
        <w:t>[Heading inserted by No. 42 of 2004 s. 130.]</w:t>
      </w:r>
    </w:p>
    <w:p>
      <w:pPr>
        <w:pStyle w:val="Heading5"/>
      </w:pPr>
      <w:bookmarkStart w:id="3105" w:name="_Toc122833573"/>
      <w:bookmarkStart w:id="3106" w:name="_Toc122834140"/>
      <w:r>
        <w:rPr>
          <w:rStyle w:val="CharSectno"/>
        </w:rPr>
        <w:t>292</w:t>
      </w:r>
      <w:r>
        <w:t>.</w:t>
      </w:r>
      <w:r>
        <w:tab/>
        <w:t>Regulations</w:t>
      </w:r>
      <w:bookmarkEnd w:id="3104"/>
      <w:bookmarkEnd w:id="3105"/>
      <w:bookmarkEnd w:id="3106"/>
    </w:p>
    <w:p>
      <w:pPr>
        <w:pStyle w:val="Subsection"/>
      </w:pPr>
      <w:r>
        <w:tab/>
        <w:t>(1)</w:t>
      </w:r>
      <w:r>
        <w:tab/>
        <w:t xml:space="preserve">The Governor may make regulations — </w:t>
      </w:r>
    </w:p>
    <w:p>
      <w:pPr>
        <w:pStyle w:val="Indenta"/>
      </w:pPr>
      <w:r>
        <w:tab/>
        <w:t>(a)</w:t>
      </w:r>
      <w:r>
        <w:tab/>
        <w:t>prescribing such forms as may be necessary or expedient for the purposes of this Act;</w:t>
      </w:r>
    </w:p>
    <w:p>
      <w:pPr>
        <w:pStyle w:val="Indenta"/>
      </w:pPr>
      <w:r>
        <w:tab/>
        <w:t>(b)</w:t>
      </w:r>
      <w:r>
        <w:tab/>
        <w:t>regulating the operations of the DRD and the persons who constitute the DRD;</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Fund;</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regulating the meetings and proceedings of WorkCover WA’s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 xml:space="preserve">The Governor, on the recommendation of WorkCover WA, may make regulations — </w:t>
      </w:r>
    </w:p>
    <w:p>
      <w:pPr>
        <w:pStyle w:val="Indenta"/>
      </w:pPr>
      <w:r>
        <w:tab/>
        <w:t>(a)</w:t>
      </w:r>
      <w:r>
        <w:tab/>
        <w:t xml:space="preserve">fixing scales of fees to be paid to — </w:t>
      </w:r>
    </w:p>
    <w:p>
      <w:pPr>
        <w:pStyle w:val="Indenti"/>
      </w:pPr>
      <w:r>
        <w:tab/>
        <w:t>(i)</w:t>
      </w:r>
      <w:r>
        <w:tab/>
        <w:t>medical specialists and other medical practitioners;</w:t>
      </w:r>
    </w:p>
    <w:p>
      <w:pPr>
        <w:pStyle w:val="Indenti"/>
      </w:pPr>
      <w:r>
        <w:tab/>
        <w:t>(ii)</w:t>
      </w:r>
      <w:r>
        <w:tab/>
        <w:t>dentists;</w:t>
      </w:r>
    </w:p>
    <w:p>
      <w:pPr>
        <w:pStyle w:val="Indenti"/>
      </w:pPr>
      <w:r>
        <w:tab/>
        <w:t>(iii)</w:t>
      </w:r>
      <w:r>
        <w:tab/>
        <w:t>physiotherapists;</w:t>
      </w:r>
    </w:p>
    <w:p>
      <w:pPr>
        <w:pStyle w:val="Indenti"/>
      </w:pPr>
      <w:r>
        <w:tab/>
        <w:t>(iv)</w:t>
      </w:r>
      <w:r>
        <w:tab/>
        <w:t>chiropractors;</w:t>
      </w:r>
    </w:p>
    <w:p>
      <w:pPr>
        <w:pStyle w:val="Indenti"/>
      </w:pPr>
      <w:r>
        <w:tab/>
        <w:t>(v)</w:t>
      </w:r>
      <w:r>
        <w:tab/>
        <w:t>occupational therapists;</w:t>
      </w:r>
    </w:p>
    <w:p>
      <w:pPr>
        <w:pStyle w:val="Indenti"/>
      </w:pPr>
      <w:r>
        <w:tab/>
        <w:t>(vi)</w:t>
      </w:r>
      <w:r>
        <w:tab/>
        <w:t>clinical psychologists;</w:t>
      </w:r>
    </w:p>
    <w:p>
      <w:pPr>
        <w:pStyle w:val="Indenti"/>
      </w:pPr>
      <w:r>
        <w:tab/>
        <w:t>(vii)</w:t>
      </w:r>
      <w:r>
        <w:tab/>
        <w:t>speech pathologists; and</w:t>
      </w:r>
    </w:p>
    <w:p>
      <w:pPr>
        <w:pStyle w:val="Indenti"/>
      </w:pPr>
      <w:r>
        <w:tab/>
        <w:t>(viii)</w:t>
      </w:r>
      <w:r>
        <w:tab/>
        <w:t>persons providing treatment of a kind approved for the purposes of the definition of “approved treatment”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The Governor, on the recommendation of WorkCover WA,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Without limiting subsection (4), WorkCover WA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bookmarkStart w:id="3107" w:name="_Toc87253192"/>
      <w:r>
        <w:tab/>
        <w:t>[Section 292 inserted by No. 42 of 2004 s. 130.]</w:t>
      </w:r>
    </w:p>
    <w:p>
      <w:pPr>
        <w:pStyle w:val="Heading5"/>
      </w:pPr>
      <w:bookmarkStart w:id="3108" w:name="_Toc122833574"/>
      <w:bookmarkStart w:id="3109" w:name="_Toc122834141"/>
      <w:r>
        <w:rPr>
          <w:rStyle w:val="CharSectno"/>
        </w:rPr>
        <w:t>293</w:t>
      </w:r>
      <w:r>
        <w:t>.</w:t>
      </w:r>
      <w:r>
        <w:tab/>
        <w:t>DRD Rules</w:t>
      </w:r>
      <w:bookmarkEnd w:id="3107"/>
      <w:bookmarkEnd w:id="3108"/>
      <w:bookmarkEnd w:id="3109"/>
    </w:p>
    <w:p>
      <w:pPr>
        <w:pStyle w:val="Subsection"/>
      </w:pPr>
      <w:r>
        <w:tab/>
        <w:t>(1)</w:t>
      </w:r>
      <w:r>
        <w:tab/>
        <w:t>The Commissioner may, after consultation with the Director, make rules of the DRD prescribing all matters that are required or permitted by this Act to be prescribed by the DRD Rules, or are necessary or convenient to be prescribed by the DRD Rules for giving effect to the purposes of this Act.</w:t>
      </w:r>
    </w:p>
    <w:p>
      <w:pPr>
        <w:pStyle w:val="Subsection"/>
      </w:pPr>
      <w:r>
        <w:tab/>
        <w:t>(2)</w:t>
      </w:r>
      <w:r>
        <w:tab/>
        <w:t xml:space="preserve">Without limiting subsection (1), DRD Rules may make provision for or with respect to — </w:t>
      </w:r>
    </w:p>
    <w:p>
      <w:pPr>
        <w:pStyle w:val="Indenta"/>
      </w:pPr>
      <w:r>
        <w:tab/>
        <w:t>(a)</w:t>
      </w:r>
      <w:r>
        <w:tab/>
        <w:t>the organisation and management of the business of the DRD;</w:t>
      </w:r>
    </w:p>
    <w:p>
      <w:pPr>
        <w:pStyle w:val="Indenta"/>
      </w:pPr>
      <w:r>
        <w:tab/>
        <w:t>(b)</w:t>
      </w:r>
      <w:r>
        <w:tab/>
        <w:t>the practice and procedure governing the jurisdiction, functions and proceedings of the Commissioner and arbitrators;</w:t>
      </w:r>
    </w:p>
    <w:p>
      <w:pPr>
        <w:pStyle w:val="Indenta"/>
      </w:pPr>
      <w:r>
        <w:tab/>
        <w:t>(c)</w:t>
      </w:r>
      <w:r>
        <w:tab/>
        <w:t>limiting the number of medical reports in connection with a claim or any aspect of a claim and, in particular, limiting the number of medical reports that may be admitted in evidence in a proceeding before a dispute resolution authority;</w:t>
      </w:r>
    </w:p>
    <w:p>
      <w:pPr>
        <w:pStyle w:val="Indenta"/>
      </w:pPr>
      <w:r>
        <w:tab/>
        <w:t>(d)</w:t>
      </w:r>
      <w:r>
        <w:tab/>
        <w:t>limiting the number of expert witnesses that may be called by any party and otherwise restricting the calling of expert witnesses by a party;</w:t>
      </w:r>
    </w:p>
    <w:p>
      <w:pPr>
        <w:pStyle w:val="Indenta"/>
      </w:pPr>
      <w:r>
        <w:tab/>
        <w:t>(e)</w:t>
      </w:r>
      <w:r>
        <w:tab/>
        <w:t>the practice and procedure governing medical assessment panels, approved medical specialist panels and specialised retraining assessment panels; and</w:t>
      </w:r>
    </w:p>
    <w:p>
      <w:pPr>
        <w:pStyle w:val="Indenta"/>
      </w:pPr>
      <w:r>
        <w:tab/>
        <w:t>(f)</w:t>
      </w:r>
      <w:r>
        <w:tab/>
        <w:t>records of the DRD.</w:t>
      </w:r>
    </w:p>
    <w:p>
      <w:pPr>
        <w:pStyle w:val="Subsection"/>
      </w:pPr>
      <w:r>
        <w:tab/>
        <w:t>(3)</w:t>
      </w:r>
      <w:r>
        <w:tab/>
        <w:t>A DRD Rule may require any matter or thing to be verified by statutory declaration.</w:t>
      </w:r>
    </w:p>
    <w:p>
      <w:pPr>
        <w:pStyle w:val="Subsection"/>
      </w:pPr>
      <w:r>
        <w:tab/>
        <w:t>(4)</w:t>
      </w:r>
      <w:r>
        <w:tab/>
        <w:t xml:space="preserve">DRD Rules — </w:t>
      </w:r>
    </w:p>
    <w:p>
      <w:pPr>
        <w:pStyle w:val="Indenta"/>
      </w:pPr>
      <w:r>
        <w:tab/>
        <w:t>(a)</w:t>
      </w:r>
      <w:r>
        <w:tab/>
        <w:t xml:space="preserve">are rules of court under the </w:t>
      </w:r>
      <w:r>
        <w:rPr>
          <w:i/>
        </w:rPr>
        <w:t>Interpretation Act 1984</w:t>
      </w:r>
      <w:r>
        <w:t>;</w:t>
      </w:r>
    </w:p>
    <w:p>
      <w:pPr>
        <w:pStyle w:val="Indenta"/>
      </w:pPr>
      <w:r>
        <w:tab/>
        <w:t>(b)</w:t>
      </w:r>
      <w:r>
        <w:tab/>
        <w:t xml:space="preserve">must be published in the </w:t>
      </w:r>
      <w:r>
        <w:rPr>
          <w:i/>
        </w:rPr>
        <w:t>Gazette</w:t>
      </w:r>
      <w:r>
        <w:t>;</w:t>
      </w:r>
    </w:p>
    <w:p>
      <w:pPr>
        <w:pStyle w:val="Indenta"/>
      </w:pPr>
      <w:r>
        <w:tab/>
        <w:t>(c)</w:t>
      </w:r>
      <w:r>
        <w:tab/>
        <w:t>take effect from the date of publication or from any later date or dates that are specified in the rules; and</w:t>
      </w:r>
    </w:p>
    <w:p>
      <w:pPr>
        <w:pStyle w:val="Indenta"/>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pPr>
      <w:r>
        <w:tab/>
        <w:t>(7)</w:t>
      </w:r>
      <w:r>
        <w:tab/>
        <w:t xml:space="preserve">If such a resolution is passed, notice of the fact must be published in the </w:t>
      </w:r>
      <w:r>
        <w:rPr>
          <w:i/>
        </w:rPr>
        <w:t>Gazette</w:t>
      </w:r>
      <w:r>
        <w:t xml:space="preserve"> as soon as is practicable.</w:t>
      </w:r>
    </w:p>
    <w:p>
      <w:pPr>
        <w:pStyle w:val="Footnotesection"/>
      </w:pPr>
      <w:bookmarkStart w:id="3110" w:name="_Toc87253193"/>
      <w:r>
        <w:tab/>
        <w:t>[Section 293 inserted by No. 42 of 2004 s. 130.]</w:t>
      </w:r>
    </w:p>
    <w:p>
      <w:pPr>
        <w:pStyle w:val="Heading5"/>
      </w:pPr>
      <w:bookmarkStart w:id="3111" w:name="_Toc122833575"/>
      <w:bookmarkStart w:id="3112" w:name="_Toc122834142"/>
      <w:r>
        <w:rPr>
          <w:rStyle w:val="CharSectno"/>
        </w:rPr>
        <w:t>294</w:t>
      </w:r>
      <w:r>
        <w:t>.</w:t>
      </w:r>
      <w:r>
        <w:tab/>
        <w:t>Practice notes</w:t>
      </w:r>
      <w:bookmarkEnd w:id="3110"/>
      <w:bookmarkEnd w:id="3111"/>
      <w:bookmarkEnd w:id="3112"/>
    </w:p>
    <w:p>
      <w:pPr>
        <w:pStyle w:val="Subsection"/>
      </w:pPr>
      <w:r>
        <w:tab/>
        <w:t>(1)</w:t>
      </w:r>
      <w:r>
        <w:tab/>
        <w:t xml:space="preserve">The Commissioner may issue practice notes about — </w:t>
      </w:r>
    </w:p>
    <w:p>
      <w:pPr>
        <w:pStyle w:val="Indenta"/>
      </w:pPr>
      <w:r>
        <w:tab/>
        <w:t>(a)</w:t>
      </w:r>
      <w:r>
        <w:tab/>
        <w:t>the practice and procedure of the Commissioner;</w:t>
      </w:r>
    </w:p>
    <w:p>
      <w:pPr>
        <w:pStyle w:val="Indenta"/>
      </w:pPr>
      <w:r>
        <w:tab/>
        <w:t>(b)</w:t>
      </w:r>
      <w:r>
        <w:tab/>
        <w:t>the practice and procedure of arbitrators; and</w:t>
      </w:r>
    </w:p>
    <w:p>
      <w:pPr>
        <w:pStyle w:val="Indenta"/>
      </w:pPr>
      <w:r>
        <w:tab/>
        <w:t>(c)</w:t>
      </w:r>
      <w:r>
        <w:tab/>
        <w:t>the giving of orders under Part XII.</w:t>
      </w:r>
    </w:p>
    <w:p>
      <w:pPr>
        <w:pStyle w:val="Subsection"/>
      </w:pPr>
      <w:r>
        <w:tab/>
        <w:t>(2)</w:t>
      </w:r>
      <w:r>
        <w:tab/>
        <w:t>The Commissioner is to give the Minister a copy of each practice note the Commissioner issues as soon as practicable after issuing it.</w:t>
      </w:r>
    </w:p>
    <w:p>
      <w:pPr>
        <w:pStyle w:val="Subsection"/>
      </w:pPr>
      <w:r>
        <w:tab/>
        <w:t>(3)</w:t>
      </w:r>
      <w:r>
        <w:tab/>
        <w:t>A practice note is not a DRD Rule and does not form part of the DRD Rules.</w:t>
      </w:r>
    </w:p>
    <w:p>
      <w:pPr>
        <w:pStyle w:val="Footnotesection"/>
      </w:pPr>
      <w:r>
        <w:tab/>
        <w:t>[Section 294 inserted by No. 42 of 2004 s. 130.]</w:t>
      </w:r>
    </w:p>
    <w:p>
      <w:pPr>
        <w:pStyle w:val="Heading2"/>
        <w:rPr>
          <w:rStyle w:val="CharPartText"/>
        </w:rPr>
      </w:pPr>
      <w:bookmarkStart w:id="3113" w:name="_Toc119132855"/>
      <w:bookmarkStart w:id="3114" w:name="_Toc119203525"/>
      <w:bookmarkStart w:id="3115" w:name="_Toc119204171"/>
      <w:bookmarkStart w:id="3116" w:name="_Toc119216501"/>
      <w:bookmarkStart w:id="3117" w:name="_Toc119301023"/>
      <w:bookmarkStart w:id="3118" w:name="_Toc119301590"/>
      <w:bookmarkStart w:id="3119" w:name="_Toc119302159"/>
      <w:bookmarkStart w:id="3120" w:name="_Toc119920346"/>
      <w:bookmarkStart w:id="3121" w:name="_Toc122774333"/>
      <w:bookmarkStart w:id="3122" w:name="_Toc122833576"/>
      <w:bookmarkStart w:id="3123" w:name="_Toc122834143"/>
      <w:r>
        <w:rPr>
          <w:rStyle w:val="CharPartNo"/>
        </w:rPr>
        <w:t>Part XIX</w:t>
      </w:r>
      <w:r>
        <w:rPr>
          <w:rStyle w:val="CharDivNo"/>
        </w:rPr>
        <w:t> </w:t>
      </w:r>
      <w:r>
        <w:t>—</w:t>
      </w:r>
      <w:r>
        <w:rPr>
          <w:rStyle w:val="CharDivText"/>
        </w:rPr>
        <w:t> </w:t>
      </w:r>
      <w:r>
        <w:rPr>
          <w:rStyle w:val="CharPartText"/>
        </w:rPr>
        <w:t>Miscellaneous</w:t>
      </w:r>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3113"/>
      <w:bookmarkEnd w:id="3114"/>
      <w:bookmarkEnd w:id="3115"/>
      <w:bookmarkEnd w:id="3116"/>
      <w:bookmarkEnd w:id="3117"/>
      <w:bookmarkEnd w:id="3118"/>
      <w:bookmarkEnd w:id="3119"/>
      <w:bookmarkEnd w:id="3120"/>
      <w:bookmarkEnd w:id="3121"/>
      <w:bookmarkEnd w:id="3122"/>
      <w:bookmarkEnd w:id="3123"/>
      <w:r>
        <w:rPr>
          <w:rStyle w:val="CharPartText"/>
        </w:rPr>
        <w:t xml:space="preserve"> </w:t>
      </w:r>
    </w:p>
    <w:p>
      <w:pPr>
        <w:pStyle w:val="Footnoteheading"/>
      </w:pPr>
      <w:r>
        <w:tab/>
        <w:t>[Part XIX, formerly Part XII heading, renumbered by No. 42 of 2004 s. 154(2).]</w:t>
      </w:r>
    </w:p>
    <w:p>
      <w:pPr>
        <w:pStyle w:val="Heading5"/>
        <w:rPr>
          <w:snapToGrid w:val="0"/>
        </w:rPr>
      </w:pPr>
      <w:bookmarkStart w:id="3124" w:name="_Toc440878051"/>
      <w:bookmarkStart w:id="3125" w:name="_Toc517775412"/>
      <w:bookmarkStart w:id="3126" w:name="_Toc520107160"/>
      <w:bookmarkStart w:id="3127" w:name="_Toc523111785"/>
      <w:bookmarkStart w:id="3128" w:name="_Toc122833577"/>
      <w:bookmarkStart w:id="3129" w:name="_Toc122834144"/>
      <w:r>
        <w:rPr>
          <w:rStyle w:val="CharSectno"/>
        </w:rPr>
        <w:t>295</w:t>
      </w:r>
      <w:r>
        <w:rPr>
          <w:snapToGrid w:val="0"/>
        </w:rPr>
        <w:t>.</w:t>
      </w:r>
      <w:r>
        <w:rPr>
          <w:snapToGrid w:val="0"/>
        </w:rPr>
        <w:tab/>
        <w:t>Public Service</w:t>
      </w:r>
      <w:bookmarkEnd w:id="3124"/>
      <w:bookmarkEnd w:id="3125"/>
      <w:bookmarkEnd w:id="3126"/>
      <w:bookmarkEnd w:id="3127"/>
      <w:bookmarkEnd w:id="3128"/>
      <w:bookmarkEnd w:id="3129"/>
      <w:r>
        <w:rPr>
          <w:snapToGrid w:val="0"/>
        </w:rPr>
        <w:t xml:space="preserve"> </w:t>
      </w:r>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r>
        <w:t>WorkCover WA</w:t>
      </w:r>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r>
        <w:t>WorkCover WA</w:t>
      </w:r>
      <w:r>
        <w:rPr>
          <w:snapToGrid w:val="0"/>
        </w:rPr>
        <w:t xml:space="preserve"> shall include such duties as are prescribed and as are directed by</w:t>
      </w:r>
      <w:r>
        <w:t xml:space="preserve"> WorkCover WA</w:t>
      </w:r>
      <w:r>
        <w:rPr>
          <w:snapToGrid w:val="0"/>
        </w:rPr>
        <w:t>.</w:t>
      </w:r>
    </w:p>
    <w:p>
      <w:pPr>
        <w:pStyle w:val="Footnotesection"/>
      </w:pPr>
      <w:r>
        <w:tab/>
        <w:t xml:space="preserve">[Section 295, formerly section 177, amended by No. 86 of 1986 s. 5; No. 72 of 1992 s. 16(5); No. 32 of 1994 s. 19; No. 42 of 2004 s. 150 and 152 and renumbered as section 295 by No. 42 of 2004 s. 154(1).] </w:t>
      </w:r>
    </w:p>
    <w:p>
      <w:pPr>
        <w:pStyle w:val="Heading5"/>
      </w:pPr>
      <w:bookmarkStart w:id="3130" w:name="_Toc122833578"/>
      <w:bookmarkStart w:id="3131" w:name="_Toc122834145"/>
      <w:bookmarkStart w:id="3132" w:name="_Toc440878052"/>
      <w:bookmarkStart w:id="3133" w:name="_Toc517775413"/>
      <w:bookmarkStart w:id="3134" w:name="_Toc520107161"/>
      <w:bookmarkStart w:id="3135" w:name="_Toc523111786"/>
      <w:r>
        <w:rPr>
          <w:rStyle w:val="CharSectno"/>
        </w:rPr>
        <w:t>296</w:t>
      </w:r>
      <w:r>
        <w:t>.</w:t>
      </w:r>
      <w:r>
        <w:tab/>
        <w:t>Delegation by chief executive officer</w:t>
      </w:r>
      <w:bookmarkEnd w:id="3130"/>
      <w:bookmarkEnd w:id="3131"/>
    </w:p>
    <w:p>
      <w:pPr>
        <w:pStyle w:val="Subsection"/>
      </w:pPr>
      <w:r>
        <w:tab/>
        <w:t>(1)</w:t>
      </w:r>
      <w:r>
        <w:tab/>
        <w:t xml:space="preserve">The </w:t>
      </w:r>
      <w:r>
        <w:rPr>
          <w:snapToGrid w:val="0"/>
        </w:rPr>
        <w:t xml:space="preserve">chief executive officer </w:t>
      </w:r>
      <w:r>
        <w:t>may delegate to another officer of</w:t>
      </w:r>
      <w:r>
        <w:rPr>
          <w:snapToGrid w:val="0"/>
        </w:rPr>
        <w:t xml:space="preserve"> WorkCover WA</w:t>
      </w:r>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by No. 42 of 2004 s. 131 and renumbered as section 296 by No. 42 of 2004 s. 154(1).]</w:t>
      </w:r>
    </w:p>
    <w:p>
      <w:pPr>
        <w:pStyle w:val="Heading5"/>
        <w:spacing w:before="120"/>
        <w:rPr>
          <w:snapToGrid w:val="0"/>
        </w:rPr>
      </w:pPr>
      <w:bookmarkStart w:id="3136" w:name="_Toc122833579"/>
      <w:bookmarkStart w:id="3137" w:name="_Toc122834146"/>
      <w:r>
        <w:rPr>
          <w:rStyle w:val="CharSectno"/>
        </w:rPr>
        <w:t>297</w:t>
      </w:r>
      <w:r>
        <w:rPr>
          <w:snapToGrid w:val="0"/>
        </w:rPr>
        <w:t>.</w:t>
      </w:r>
      <w:r>
        <w:rPr>
          <w:snapToGrid w:val="0"/>
        </w:rPr>
        <w:tab/>
        <w:t>Agreements and receipts under this Act exempt from stamp duty</w:t>
      </w:r>
      <w:bookmarkEnd w:id="3132"/>
      <w:bookmarkEnd w:id="3133"/>
      <w:bookmarkEnd w:id="3134"/>
      <w:bookmarkEnd w:id="3135"/>
      <w:bookmarkEnd w:id="3136"/>
      <w:bookmarkEnd w:id="3137"/>
      <w:r>
        <w:rPr>
          <w:snapToGrid w:val="0"/>
        </w:rPr>
        <w:t xml:space="preserve"> </w:t>
      </w:r>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stamp duties chargeable under the </w:t>
      </w:r>
      <w:r>
        <w:rPr>
          <w:i/>
          <w:snapToGrid w:val="0"/>
        </w:rPr>
        <w:t>Stamp Act 1921</w:t>
      </w:r>
      <w:r>
        <w:rPr>
          <w:snapToGrid w:val="0"/>
        </w:rPr>
        <w:t>.</w:t>
      </w:r>
    </w:p>
    <w:p>
      <w:pPr>
        <w:pStyle w:val="Footnotesection"/>
      </w:pPr>
      <w:r>
        <w:tab/>
        <w:t>[Section 297, formerly section 178, renumbered as section 297 by No. 42 of 2004 s. 154(1).]</w:t>
      </w:r>
    </w:p>
    <w:p>
      <w:pPr>
        <w:pStyle w:val="Heading5"/>
        <w:spacing w:before="120"/>
        <w:rPr>
          <w:snapToGrid w:val="0"/>
        </w:rPr>
      </w:pPr>
      <w:bookmarkStart w:id="3138" w:name="_Toc440878053"/>
      <w:bookmarkStart w:id="3139" w:name="_Toc517775414"/>
      <w:bookmarkStart w:id="3140" w:name="_Toc520107162"/>
      <w:bookmarkStart w:id="3141" w:name="_Toc523111787"/>
      <w:bookmarkStart w:id="3142" w:name="_Toc122833580"/>
      <w:bookmarkStart w:id="3143" w:name="_Toc122834147"/>
      <w:r>
        <w:rPr>
          <w:rStyle w:val="CharSectno"/>
        </w:rPr>
        <w:t>298</w:t>
      </w:r>
      <w:r>
        <w:rPr>
          <w:snapToGrid w:val="0"/>
        </w:rPr>
        <w:t>.</w:t>
      </w:r>
      <w:r>
        <w:rPr>
          <w:snapToGrid w:val="0"/>
        </w:rPr>
        <w:tab/>
        <w:t>Order for detention of ship</w:t>
      </w:r>
      <w:bookmarkEnd w:id="3138"/>
      <w:bookmarkEnd w:id="3139"/>
      <w:bookmarkEnd w:id="3140"/>
      <w:bookmarkEnd w:id="3141"/>
      <w:bookmarkEnd w:id="3142"/>
      <w:bookmarkEnd w:id="3143"/>
      <w:r>
        <w:rPr>
          <w:snapToGrid w:val="0"/>
        </w:rPr>
        <w:t xml:space="preserve"> </w:t>
      </w:r>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by No. 34 of 1999 s. 57; No. 42 of 2004 s. 150 and renumbered as section 298 by No. 42 of 2004 s. 154(1); amended by No. 59 of 2004 s. 133.]</w:t>
      </w:r>
    </w:p>
    <w:p>
      <w:pPr>
        <w:pStyle w:val="Heading5"/>
        <w:spacing w:before="120"/>
        <w:rPr>
          <w:snapToGrid w:val="0"/>
        </w:rPr>
      </w:pPr>
      <w:bookmarkStart w:id="3144" w:name="_Toc440878054"/>
      <w:bookmarkStart w:id="3145" w:name="_Toc517775415"/>
      <w:bookmarkStart w:id="3146" w:name="_Toc520107163"/>
      <w:bookmarkStart w:id="3147" w:name="_Toc523111788"/>
      <w:bookmarkStart w:id="3148" w:name="_Toc122833581"/>
      <w:bookmarkStart w:id="3149" w:name="_Toc122834148"/>
      <w:r>
        <w:rPr>
          <w:rStyle w:val="CharSectno"/>
        </w:rPr>
        <w:t>299</w:t>
      </w:r>
      <w:r>
        <w:rPr>
          <w:snapToGrid w:val="0"/>
        </w:rPr>
        <w:t>.</w:t>
      </w:r>
      <w:r>
        <w:rPr>
          <w:snapToGrid w:val="0"/>
        </w:rPr>
        <w:tab/>
        <w:t>Judicial notice</w:t>
      </w:r>
      <w:bookmarkEnd w:id="3144"/>
      <w:bookmarkEnd w:id="3145"/>
      <w:bookmarkEnd w:id="3146"/>
      <w:bookmarkEnd w:id="3147"/>
      <w:bookmarkEnd w:id="3148"/>
      <w:bookmarkEnd w:id="3149"/>
      <w:r>
        <w:rPr>
          <w:snapToGrid w:val="0"/>
        </w:rPr>
        <w:t xml:space="preserve"> </w:t>
      </w:r>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 </w:t>
      </w:r>
    </w:p>
    <w:p>
      <w:pPr>
        <w:pStyle w:val="Indenta"/>
      </w:pPr>
      <w:r>
        <w:tab/>
        <w:t>(a)</w:t>
      </w:r>
      <w:r>
        <w:tab/>
        <w:t xml:space="preserve">the signature of a person who is, or was the Commissioner, an arbitrator or the Director; </w:t>
      </w:r>
    </w:p>
    <w:p>
      <w:pPr>
        <w:pStyle w:val="Indenta"/>
      </w:pPr>
      <w:r>
        <w:tab/>
        <w:t>(aa)</w:t>
      </w:r>
      <w:r>
        <w:tab/>
        <w:t>the fact that a person referred to in paragraph (a) is or was the Commissioner, an arbitrator or the Director, as the case requires;</w:t>
      </w:r>
    </w:p>
    <w:p>
      <w:pPr>
        <w:pStyle w:val="Indenta"/>
        <w:rPr>
          <w:snapToGrid w:val="0"/>
        </w:rPr>
      </w:pPr>
      <w:r>
        <w:rPr>
          <w:snapToGrid w:val="0"/>
        </w:rPr>
        <w:tab/>
        <w:t>(b)</w:t>
      </w:r>
      <w:r>
        <w:rPr>
          <w:snapToGrid w:val="0"/>
        </w:rPr>
        <w:tab/>
        <w:t>the seal of</w:t>
      </w:r>
      <w:r>
        <w:t xml:space="preserve"> WorkCover WA</w:t>
      </w:r>
      <w:r>
        <w:rPr>
          <w:snapToGrid w:val="0"/>
        </w:rPr>
        <w:t>;</w:t>
      </w:r>
    </w:p>
    <w:p>
      <w:pPr>
        <w:pStyle w:val="Indenta"/>
        <w:rPr>
          <w:snapToGrid w:val="0"/>
        </w:rPr>
      </w:pPr>
      <w:r>
        <w:rPr>
          <w:snapToGrid w:val="0"/>
        </w:rPr>
        <w:tab/>
        <w:t>(c)</w:t>
      </w:r>
      <w:r>
        <w:rPr>
          <w:snapToGrid w:val="0"/>
        </w:rPr>
        <w:tab/>
        <w:t>the official signature of a person holding or acting in —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 xml:space="preserve">[Section 299, formerly section 180, amended by No. 48 of 1993 s. 28(1); No. 42 of 2004 s. 132 and 150 and renumbered as section 299 by No. 42 of 2004 s. 154(1).] </w:t>
      </w:r>
    </w:p>
    <w:p>
      <w:pPr>
        <w:pStyle w:val="Heading5"/>
      </w:pPr>
      <w:bookmarkStart w:id="3150" w:name="_Toc122833582"/>
      <w:bookmarkStart w:id="3151" w:name="_Toc122834149"/>
      <w:bookmarkStart w:id="3152" w:name="_Toc440878055"/>
      <w:bookmarkStart w:id="3153" w:name="_Toc517775416"/>
      <w:bookmarkStart w:id="3154" w:name="_Toc520107164"/>
      <w:bookmarkStart w:id="3155" w:name="_Toc523111789"/>
      <w:r>
        <w:rPr>
          <w:rStyle w:val="CharSectno"/>
        </w:rPr>
        <w:t>300</w:t>
      </w:r>
      <w:r>
        <w:t>.</w:t>
      </w:r>
      <w:r>
        <w:tab/>
        <w:t>District Court to provide information to WorkCover WA</w:t>
      </w:r>
      <w:bookmarkEnd w:id="3150"/>
      <w:bookmarkEnd w:id="3151"/>
    </w:p>
    <w:p>
      <w:pPr>
        <w:pStyle w:val="Subsection"/>
      </w:pPr>
      <w:r>
        <w:tab/>
      </w:r>
      <w:r>
        <w:tab/>
        <w:t>WorkCover WA may make a written request to the Registrar of the District Court to provide WorkCover WA with such information concerning actions to which Part IV applies as WorkCover WA specifies and the Registrar of the District Court is to provide that information to WorkCover WA.</w:t>
      </w:r>
    </w:p>
    <w:p>
      <w:pPr>
        <w:pStyle w:val="Footnotesection"/>
      </w:pPr>
      <w:r>
        <w:tab/>
        <w:t>[Section 300, inserted as section 180A by No. 42 of 2004 s. 133 and renumbered as section 300 by No. 42 of 2004 s. 154(1).]</w:t>
      </w:r>
    </w:p>
    <w:p>
      <w:pPr>
        <w:pStyle w:val="Heading5"/>
        <w:rPr>
          <w:snapToGrid w:val="0"/>
        </w:rPr>
      </w:pPr>
      <w:bookmarkStart w:id="3156" w:name="_Toc122833583"/>
      <w:bookmarkStart w:id="3157" w:name="_Toc122834150"/>
      <w:r>
        <w:rPr>
          <w:rStyle w:val="CharSectno"/>
        </w:rPr>
        <w:t>301</w:t>
      </w:r>
      <w:r>
        <w:rPr>
          <w:snapToGrid w:val="0"/>
        </w:rPr>
        <w:t>.</w:t>
      </w:r>
      <w:r>
        <w:rPr>
          <w:snapToGrid w:val="0"/>
        </w:rPr>
        <w:tab/>
        <w:t>Prohibition of contracting out</w:t>
      </w:r>
      <w:bookmarkEnd w:id="3152"/>
      <w:bookmarkEnd w:id="3153"/>
      <w:bookmarkEnd w:id="3154"/>
      <w:bookmarkEnd w:id="3155"/>
      <w:bookmarkEnd w:id="3156"/>
      <w:bookmarkEnd w:id="3157"/>
      <w:r>
        <w:rPr>
          <w:snapToGrid w:val="0"/>
        </w:rPr>
        <w:t xml:space="preserve"> </w:t>
      </w:r>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bookmarkStart w:id="3158" w:name="_Toc440878056"/>
      <w:bookmarkStart w:id="3159" w:name="_Toc517775417"/>
      <w:bookmarkStart w:id="3160" w:name="_Toc520107165"/>
      <w:bookmarkStart w:id="3161" w:name="_Toc523111790"/>
      <w:r>
        <w:tab/>
        <w:t>[Section 301, formerly section 181, renumbered as section 301 by No. 42 of 2004 s. 154(1).]</w:t>
      </w:r>
    </w:p>
    <w:p>
      <w:pPr>
        <w:pStyle w:val="Heading5"/>
        <w:rPr>
          <w:snapToGrid w:val="0"/>
        </w:rPr>
      </w:pPr>
      <w:bookmarkStart w:id="3162" w:name="_Toc122833584"/>
      <w:bookmarkStart w:id="3163" w:name="_Toc122834151"/>
      <w:r>
        <w:rPr>
          <w:rStyle w:val="CharSectno"/>
        </w:rPr>
        <w:t>302</w:t>
      </w:r>
      <w:r>
        <w:rPr>
          <w:snapToGrid w:val="0"/>
        </w:rPr>
        <w:t>.</w:t>
      </w:r>
      <w:r>
        <w:rPr>
          <w:snapToGrid w:val="0"/>
        </w:rPr>
        <w:tab/>
        <w:t>Deductions towards compensation not lawful</w:t>
      </w:r>
      <w:bookmarkEnd w:id="3158"/>
      <w:bookmarkEnd w:id="3159"/>
      <w:bookmarkEnd w:id="3160"/>
      <w:bookmarkEnd w:id="3161"/>
      <w:bookmarkEnd w:id="3162"/>
      <w:bookmarkEnd w:id="3163"/>
      <w:r>
        <w:rPr>
          <w:snapToGrid w:val="0"/>
        </w:rPr>
        <w:t xml:space="preserve"> </w:t>
      </w:r>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by No. 34 of 1999 s. 49; renumbered as section 302 by No. 42 of 2004 s. 154(1).]</w:t>
      </w:r>
    </w:p>
    <w:p>
      <w:pPr>
        <w:pStyle w:val="Heading5"/>
        <w:rPr>
          <w:snapToGrid w:val="0"/>
        </w:rPr>
      </w:pPr>
      <w:bookmarkStart w:id="3164" w:name="_Toc440878057"/>
      <w:bookmarkStart w:id="3165" w:name="_Toc517775418"/>
      <w:bookmarkStart w:id="3166" w:name="_Toc520107166"/>
      <w:bookmarkStart w:id="3167" w:name="_Toc523111791"/>
      <w:bookmarkStart w:id="3168" w:name="_Toc122833585"/>
      <w:bookmarkStart w:id="3169" w:name="_Toc122834152"/>
      <w:r>
        <w:rPr>
          <w:rStyle w:val="CharSectno"/>
        </w:rPr>
        <w:t>303</w:t>
      </w:r>
      <w:r>
        <w:rPr>
          <w:snapToGrid w:val="0"/>
        </w:rPr>
        <w:t>.</w:t>
      </w:r>
      <w:r>
        <w:rPr>
          <w:snapToGrid w:val="0"/>
        </w:rPr>
        <w:tab/>
        <w:t>Payments not assignable</w:t>
      </w:r>
      <w:bookmarkEnd w:id="3164"/>
      <w:bookmarkEnd w:id="3165"/>
      <w:bookmarkEnd w:id="3166"/>
      <w:bookmarkEnd w:id="3167"/>
      <w:bookmarkEnd w:id="3168"/>
      <w:bookmarkEnd w:id="3169"/>
      <w:r>
        <w:rPr>
          <w:snapToGrid w:val="0"/>
        </w:rPr>
        <w:t xml:space="preserve"> </w:t>
      </w:r>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 xml:space="preserve">[Section 303, formerly section 183, amended by No. 48 of 1993 s. 28(1); No. 34 of 1999 s. 50; No. 42 of 2004 s. 134 and renumbered as section 303 by No. 42 of 2004 s. 154(1).] </w:t>
      </w:r>
    </w:p>
    <w:p>
      <w:pPr>
        <w:pStyle w:val="Heading5"/>
      </w:pPr>
      <w:bookmarkStart w:id="3170" w:name="_Toc122833586"/>
      <w:bookmarkStart w:id="3171" w:name="_Toc122834153"/>
      <w:bookmarkStart w:id="3172" w:name="_Toc440878059"/>
      <w:bookmarkStart w:id="3173" w:name="_Toc517775420"/>
      <w:bookmarkStart w:id="3174" w:name="_Toc520107168"/>
      <w:bookmarkStart w:id="3175" w:name="_Toc523111793"/>
      <w:r>
        <w:rPr>
          <w:rStyle w:val="CharSectno"/>
        </w:rPr>
        <w:t>303A</w:t>
      </w:r>
      <w:r>
        <w:t>.</w:t>
      </w:r>
      <w:r>
        <w:tab/>
        <w:t>Making employment conditional on avoidance arrangement</w:t>
      </w:r>
      <w:bookmarkEnd w:id="3170"/>
      <w:bookmarkEnd w:id="3171"/>
    </w:p>
    <w:p>
      <w:pPr>
        <w:pStyle w:val="Subsection"/>
      </w:pPr>
      <w:r>
        <w:tab/>
        <w:t>(1)</w:t>
      </w:r>
      <w:r>
        <w:tab/>
        <w:t>If a person executes work for another person (</w:t>
      </w:r>
      <w:r>
        <w:rPr>
          <w:b/>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 xml:space="preserve">[Section 303A inserted by No. 16 of 2005 s. 14.] </w:t>
      </w:r>
    </w:p>
    <w:p>
      <w:pPr>
        <w:pStyle w:val="Heading5"/>
      </w:pPr>
      <w:bookmarkStart w:id="3176" w:name="_Toc122833587"/>
      <w:bookmarkStart w:id="3177" w:name="_Toc122834154"/>
      <w:r>
        <w:rPr>
          <w:rStyle w:val="CharSectno"/>
        </w:rPr>
        <w:t>304</w:t>
      </w:r>
      <w:r>
        <w:t>.</w:t>
      </w:r>
      <w:r>
        <w:tab/>
        <w:t>Protection from liability</w:t>
      </w:r>
      <w:bookmarkEnd w:id="3176"/>
      <w:bookmarkEnd w:id="3177"/>
    </w:p>
    <w:p>
      <w:pPr>
        <w:pStyle w:val="Subsection"/>
      </w:pPr>
      <w:r>
        <w:tab/>
        <w:t>(1)</w:t>
      </w:r>
      <w:r>
        <w:tab/>
        <w:t xml:space="preserve">This section applies to — </w:t>
      </w:r>
    </w:p>
    <w:p>
      <w:pPr>
        <w:pStyle w:val="Indenta"/>
      </w:pPr>
      <w:r>
        <w:tab/>
        <w:t>(a)</w:t>
      </w:r>
      <w:r>
        <w:tab/>
        <w:t>WorkCover WA;</w:t>
      </w:r>
    </w:p>
    <w:p>
      <w:pPr>
        <w:pStyle w:val="Indenta"/>
      </w:pPr>
      <w:r>
        <w:tab/>
        <w:t>(b)</w:t>
      </w:r>
      <w:r>
        <w:tab/>
        <w:t>a member of the governing body of WorkCover WA;</w:t>
      </w:r>
    </w:p>
    <w:p>
      <w:pPr>
        <w:pStyle w:val="Indenta"/>
      </w:pPr>
      <w:r>
        <w:tab/>
        <w:t>(c)</w:t>
      </w:r>
      <w:r>
        <w:tab/>
        <w:t>an officer of WorkCover WA;</w:t>
      </w:r>
    </w:p>
    <w:p>
      <w:pPr>
        <w:pStyle w:val="Indenta"/>
      </w:pPr>
      <w:r>
        <w:tab/>
        <w:t>(d)</w:t>
      </w:r>
      <w:r>
        <w:tab/>
        <w:t>the Commissioner;</w:t>
      </w:r>
    </w:p>
    <w:p>
      <w:pPr>
        <w:pStyle w:val="Indenta"/>
      </w:pPr>
      <w:r>
        <w:tab/>
        <w:t>(e)</w:t>
      </w:r>
      <w:r>
        <w:tab/>
        <w:t>a member of a medical assessment panel;</w:t>
      </w:r>
    </w:p>
    <w:p>
      <w:pPr>
        <w:pStyle w:val="Indenta"/>
      </w:pPr>
      <w:r>
        <w:tab/>
        <w:t>(f)</w:t>
      </w:r>
      <w:r>
        <w:tab/>
        <w:t>an approved medical specialist;</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by No. 42 of 2004 s. 135 and renumbered as section 304 by No. 42 of 2004 s. 154(1).]</w:t>
      </w:r>
    </w:p>
    <w:p>
      <w:pPr>
        <w:pStyle w:val="Heading5"/>
      </w:pPr>
      <w:bookmarkStart w:id="3178" w:name="_Toc122833588"/>
      <w:bookmarkStart w:id="3179" w:name="_Toc122834155"/>
      <w:r>
        <w:rPr>
          <w:rStyle w:val="CharSectno"/>
        </w:rPr>
        <w:t>305</w:t>
      </w:r>
      <w:r>
        <w:t>.</w:t>
      </w:r>
      <w:r>
        <w:tab/>
        <w:t>Immunity</w:t>
      </w:r>
      <w:bookmarkEnd w:id="3178"/>
      <w:bookmarkEnd w:id="3179"/>
    </w:p>
    <w:p>
      <w:pPr>
        <w:pStyle w:val="Subsection"/>
      </w:pPr>
      <w:r>
        <w:tab/>
        <w:t>(1)</w:t>
      </w:r>
      <w:r>
        <w:tab/>
        <w:t>To the extent that this section is inconsistent with anything expressly stated in another provision of this Act, this section does not apply.</w:t>
      </w:r>
    </w:p>
    <w:p>
      <w:pPr>
        <w:pStyle w:val="Subsection"/>
      </w:pPr>
      <w:r>
        <w:tab/>
        <w:t>(2)</w:t>
      </w:r>
      <w:r>
        <w:tab/>
        <w:t xml:space="preserve">Each of the following persons has the same protection and immunity as a Judge of the District Court has in the performance of his duties as a Judge — </w:t>
      </w:r>
    </w:p>
    <w:p>
      <w:pPr>
        <w:pStyle w:val="Indenta"/>
      </w:pPr>
      <w:r>
        <w:tab/>
        <w:t>(a)</w:t>
      </w:r>
      <w:r>
        <w:tab/>
        <w:t>the Commissioner when performing the functions of a Commissioner;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by No. 42 of 2004 s. 135 and renumbered as section 305 by No. 42 of 2004 s. 154(1).]</w:t>
      </w:r>
    </w:p>
    <w:p>
      <w:pPr>
        <w:pStyle w:val="Heading5"/>
      </w:pPr>
      <w:bookmarkStart w:id="3180" w:name="_Toc122833589"/>
      <w:bookmarkStart w:id="3181" w:name="_Toc122834156"/>
      <w:r>
        <w:rPr>
          <w:rStyle w:val="CharSectno"/>
        </w:rPr>
        <w:t>306</w:t>
      </w:r>
      <w:r>
        <w:t>.</w:t>
      </w:r>
      <w:r>
        <w:tab/>
        <w:t>Protection for compliance with this Act</w:t>
      </w:r>
      <w:bookmarkEnd w:id="3180"/>
      <w:bookmarkEnd w:id="3181"/>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pPr>
      <w:r>
        <w:tab/>
        <w:t>[Section 306, inserted as section 186 by No. 42 of 2004 s. 135 and renumbered as section 306 by No. 42 of 2004 s. 154(1).]</w:t>
      </w:r>
    </w:p>
    <w:p>
      <w:pPr>
        <w:pStyle w:val="Heading5"/>
      </w:pPr>
      <w:bookmarkStart w:id="3182" w:name="_Toc122833590"/>
      <w:bookmarkStart w:id="3183" w:name="_Toc122834157"/>
      <w:r>
        <w:rPr>
          <w:rStyle w:val="CharSectno"/>
        </w:rPr>
        <w:t>307</w:t>
      </w:r>
      <w:r>
        <w:t>.</w:t>
      </w:r>
      <w:r>
        <w:tab/>
        <w:t>Proceedings for defamation not to lie</w:t>
      </w:r>
      <w:bookmarkEnd w:id="3182"/>
      <w:bookmarkEnd w:id="3183"/>
    </w:p>
    <w:p>
      <w:pPr>
        <w:pStyle w:val="Subsection"/>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pPr>
      <w:r>
        <w:tab/>
        <w:t>[Section 307, inserted as section 187 by No. 42 of 2004 s. 135 and renumbered as section 307 by No. 42 of 2004 s. 154(1).]</w:t>
      </w:r>
    </w:p>
    <w:p>
      <w:pPr>
        <w:pStyle w:val="Heading5"/>
        <w:rPr>
          <w:snapToGrid w:val="0"/>
        </w:rPr>
      </w:pPr>
      <w:bookmarkStart w:id="3184" w:name="_Toc122833591"/>
      <w:bookmarkStart w:id="3185" w:name="_Toc122834158"/>
      <w:r>
        <w:rPr>
          <w:rStyle w:val="CharSectno"/>
        </w:rPr>
        <w:t>308</w:t>
      </w:r>
      <w:r>
        <w:rPr>
          <w:snapToGrid w:val="0"/>
        </w:rPr>
        <w:t>.</w:t>
      </w:r>
      <w:r>
        <w:rPr>
          <w:snapToGrid w:val="0"/>
        </w:rPr>
        <w:tab/>
        <w:t>Fraud</w:t>
      </w:r>
      <w:bookmarkEnd w:id="3172"/>
      <w:bookmarkEnd w:id="3173"/>
      <w:bookmarkEnd w:id="3174"/>
      <w:bookmarkEnd w:id="3175"/>
      <w:bookmarkEnd w:id="3184"/>
      <w:bookmarkEnd w:id="3185"/>
      <w:r>
        <w:rPr>
          <w:snapToGrid w:val="0"/>
        </w:rPr>
        <w:t xml:space="preserve"> </w:t>
      </w:r>
    </w:p>
    <w:p>
      <w:pPr>
        <w:pStyle w:val="Subsection"/>
        <w:spacing w:before="10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pPr>
      <w:r>
        <w:tab/>
        <w:t xml:space="preserve">[Section 308, formerly section 188, amended by No. 34 of 1999 s. 51; renumbered as section 308 by No. 42 of 2004 s. 154(1).] </w:t>
      </w:r>
    </w:p>
    <w:p>
      <w:pPr>
        <w:pStyle w:val="Heading5"/>
      </w:pPr>
      <w:bookmarkStart w:id="3186" w:name="_Toc122833592"/>
      <w:bookmarkStart w:id="3187" w:name="_Toc122834159"/>
      <w:bookmarkStart w:id="3188" w:name="_Toc440878061"/>
      <w:bookmarkStart w:id="3189" w:name="_Toc517775422"/>
      <w:bookmarkStart w:id="3190" w:name="_Toc520107170"/>
      <w:bookmarkStart w:id="3191" w:name="_Toc523111795"/>
      <w:r>
        <w:rPr>
          <w:rStyle w:val="CharSectno"/>
        </w:rPr>
        <w:t>309</w:t>
      </w:r>
      <w:r>
        <w:t>.</w:t>
      </w:r>
      <w:r>
        <w:tab/>
        <w:t>Who can take proceedings for offences</w:t>
      </w:r>
      <w:bookmarkEnd w:id="3186"/>
      <w:bookmarkEnd w:id="3187"/>
    </w:p>
    <w:p>
      <w:pPr>
        <w:pStyle w:val="Subsection"/>
      </w:pPr>
      <w:r>
        <w:tab/>
        <w:t>(1)</w:t>
      </w:r>
      <w:r>
        <w:tab/>
        <w:t>Proceedings for an offence against this Act may be taken by a person authorised by the chief executive officer to do so.</w:t>
      </w:r>
    </w:p>
    <w:p>
      <w:pPr>
        <w:pStyle w:val="Subsection"/>
      </w:pPr>
      <w:r>
        <w:tab/>
        <w:t>(2)</w:t>
      </w:r>
      <w:r>
        <w:tab/>
        <w:t>An authorisation under subsection (1) may be given generally or in relation to a specified offence or specified offences.</w:t>
      </w:r>
    </w:p>
    <w:p>
      <w:pPr>
        <w:pStyle w:val="Subsection"/>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pPr>
      <w:r>
        <w:tab/>
        <w:t>[Section 309, inserted as section 188B by No. 42 of 2004 s. 137 and renumbered as section 309 by No. 42 of 2004 s. 154(1); amended by No. 84 of 2004 s. 80.]</w:t>
      </w:r>
    </w:p>
    <w:p>
      <w:pPr>
        <w:pStyle w:val="Heading5"/>
      </w:pPr>
      <w:bookmarkStart w:id="3192" w:name="_Toc122833593"/>
      <w:bookmarkStart w:id="3193" w:name="_Toc122834160"/>
      <w:r>
        <w:rPr>
          <w:rStyle w:val="CharSectno"/>
        </w:rPr>
        <w:t>310</w:t>
      </w:r>
      <w:r>
        <w:t>.</w:t>
      </w:r>
      <w:r>
        <w:tab/>
        <w:t>Time limit for taking proceedings</w:t>
      </w:r>
      <w:bookmarkEnd w:id="3192"/>
      <w:bookmarkEnd w:id="3193"/>
    </w:p>
    <w:p>
      <w:pPr>
        <w:pStyle w:val="Subsection"/>
      </w:pPr>
      <w:r>
        <w:tab/>
      </w:r>
      <w:r>
        <w:tab/>
        <w:t>Proceedings for an offence against this Act cannot be commenced more than 2 years after the date on which the offence is alleged to have been committed.</w:t>
      </w:r>
    </w:p>
    <w:p>
      <w:pPr>
        <w:pStyle w:val="Footnotesection"/>
      </w:pPr>
      <w:r>
        <w:tab/>
        <w:t>[Section 310, inserted as section 188C by No. 42 of 2004 s. 137 and renumbered as section 310 by No. 42 of 2004 s. 154(1).]</w:t>
      </w:r>
    </w:p>
    <w:p>
      <w:pPr>
        <w:pStyle w:val="Heading5"/>
        <w:rPr>
          <w:snapToGrid w:val="0"/>
        </w:rPr>
      </w:pPr>
      <w:bookmarkStart w:id="3194" w:name="_Toc122833594"/>
      <w:bookmarkStart w:id="3195" w:name="_Toc122834161"/>
      <w:r>
        <w:rPr>
          <w:rStyle w:val="CharSectno"/>
        </w:rPr>
        <w:t>311</w:t>
      </w:r>
      <w:r>
        <w:rPr>
          <w:snapToGrid w:val="0"/>
        </w:rPr>
        <w:t>.</w:t>
      </w:r>
      <w:r>
        <w:rPr>
          <w:snapToGrid w:val="0"/>
        </w:rPr>
        <w:tab/>
        <w:t>General penalty</w:t>
      </w:r>
      <w:bookmarkEnd w:id="3188"/>
      <w:bookmarkEnd w:id="3189"/>
      <w:bookmarkEnd w:id="3190"/>
      <w:bookmarkEnd w:id="3191"/>
      <w:bookmarkEnd w:id="3194"/>
      <w:bookmarkEnd w:id="3195"/>
      <w:r>
        <w:rPr>
          <w:snapToGrid w:val="0"/>
        </w:rPr>
        <w:t xml:space="preserve"> </w:t>
      </w:r>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by No. 34 of 1999 s. 57; renumbered as section 311 by No. 42 of 2004 s. 154(1).]</w:t>
      </w:r>
    </w:p>
    <w:p>
      <w:pPr>
        <w:pStyle w:val="Heading5"/>
        <w:rPr>
          <w:snapToGrid w:val="0"/>
        </w:rPr>
      </w:pPr>
      <w:bookmarkStart w:id="3196" w:name="_Toc440878062"/>
      <w:bookmarkStart w:id="3197" w:name="_Toc517775423"/>
      <w:bookmarkStart w:id="3198" w:name="_Toc520107171"/>
      <w:bookmarkStart w:id="3199" w:name="_Toc523111796"/>
      <w:bookmarkStart w:id="3200" w:name="_Toc122833595"/>
      <w:bookmarkStart w:id="3201" w:name="_Toc122834162"/>
      <w:r>
        <w:rPr>
          <w:rStyle w:val="CharSectno"/>
        </w:rPr>
        <w:t>312</w:t>
      </w:r>
      <w:r>
        <w:rPr>
          <w:snapToGrid w:val="0"/>
        </w:rPr>
        <w:t>.</w:t>
      </w:r>
      <w:r>
        <w:rPr>
          <w:snapToGrid w:val="0"/>
        </w:rPr>
        <w:tab/>
        <w:t>Fines</w:t>
      </w:r>
      <w:bookmarkEnd w:id="3196"/>
      <w:bookmarkEnd w:id="3197"/>
      <w:bookmarkEnd w:id="3198"/>
      <w:bookmarkEnd w:id="3199"/>
      <w:bookmarkEnd w:id="3200"/>
      <w:bookmarkEnd w:id="3201"/>
      <w:r>
        <w:rPr>
          <w:snapToGrid w:val="0"/>
        </w:rPr>
        <w:t xml:space="preserve"> </w:t>
      </w:r>
    </w:p>
    <w:p>
      <w:pPr>
        <w:pStyle w:val="Subsection"/>
        <w:rPr>
          <w:snapToGrid w:val="0"/>
        </w:rPr>
      </w:pPr>
      <w:r>
        <w:rPr>
          <w:snapToGrid w:val="0"/>
        </w:rPr>
        <w:tab/>
      </w:r>
      <w:r>
        <w:rPr>
          <w:snapToGrid w:val="0"/>
        </w:rPr>
        <w:tab/>
        <w:t>A penalty imposed for an offence against this Act shall be paid to the General Fund for use by</w:t>
      </w:r>
      <w:r>
        <w:t xml:space="preserve"> WorkCover WA</w:t>
      </w:r>
      <w:r>
        <w:rPr>
          <w:snapToGrid w:val="0"/>
        </w:rPr>
        <w:t>.</w:t>
      </w:r>
    </w:p>
    <w:p>
      <w:pPr>
        <w:pStyle w:val="Footnotesection"/>
      </w:pPr>
      <w:r>
        <w:tab/>
        <w:t xml:space="preserve">[Section 312, formerly section 190, amended by No. 78 of 1995 s. 138; No. 42 of 2004 s. 150 and renumbered as section 312 by No. 42 of 2004 s. 154(1).] </w:t>
      </w:r>
    </w:p>
    <w:p>
      <w:pPr>
        <w:pStyle w:val="Heading5"/>
        <w:rPr>
          <w:snapToGrid w:val="0"/>
        </w:rPr>
      </w:pPr>
      <w:bookmarkStart w:id="3202" w:name="_Toc440878063"/>
      <w:bookmarkStart w:id="3203" w:name="_Toc517775424"/>
      <w:bookmarkStart w:id="3204" w:name="_Toc520107172"/>
      <w:bookmarkStart w:id="3205" w:name="_Toc523111797"/>
      <w:bookmarkStart w:id="3206" w:name="_Toc122833596"/>
      <w:bookmarkStart w:id="3207" w:name="_Toc122834163"/>
      <w:r>
        <w:rPr>
          <w:rStyle w:val="CharSectno"/>
        </w:rPr>
        <w:t>313</w:t>
      </w:r>
      <w:r>
        <w:rPr>
          <w:snapToGrid w:val="0"/>
        </w:rPr>
        <w:t>.</w:t>
      </w:r>
      <w:r>
        <w:rPr>
          <w:snapToGrid w:val="0"/>
        </w:rPr>
        <w:tab/>
        <w:t>Penalties not affected</w:t>
      </w:r>
      <w:bookmarkEnd w:id="3202"/>
      <w:bookmarkEnd w:id="3203"/>
      <w:bookmarkEnd w:id="3204"/>
      <w:bookmarkEnd w:id="3205"/>
      <w:bookmarkEnd w:id="3206"/>
      <w:bookmarkEnd w:id="3207"/>
      <w:r>
        <w:rPr>
          <w:snapToGrid w:val="0"/>
        </w:rPr>
        <w:t xml:space="preserve"> </w:t>
      </w:r>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by No. 42 of 2004 s. 154(1).]</w:t>
      </w:r>
    </w:p>
    <w:p>
      <w:pPr>
        <w:pStyle w:val="Heading5"/>
      </w:pPr>
      <w:bookmarkStart w:id="3208" w:name="_Toc517775425"/>
      <w:bookmarkStart w:id="3209" w:name="_Toc520107173"/>
      <w:bookmarkStart w:id="3210" w:name="_Toc523111798"/>
      <w:bookmarkStart w:id="3211" w:name="_Toc122833597"/>
      <w:bookmarkStart w:id="3212" w:name="_Toc122834164"/>
      <w:r>
        <w:rPr>
          <w:rStyle w:val="CharSectno"/>
        </w:rPr>
        <w:t>314</w:t>
      </w:r>
      <w:r>
        <w:t>.</w:t>
      </w:r>
      <w:r>
        <w:tab/>
        <w:t>WorkCover WA may specify alternative form of sending information</w:t>
      </w:r>
      <w:bookmarkEnd w:id="3208"/>
      <w:bookmarkEnd w:id="3209"/>
      <w:bookmarkEnd w:id="3210"/>
      <w:bookmarkEnd w:id="3211"/>
      <w:bookmarkEnd w:id="3212"/>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t>“</w:t>
      </w:r>
      <w:r>
        <w:rPr>
          <w:rStyle w:val="CharDefText"/>
        </w:rPr>
        <w:t>WorkCover WA</w:t>
      </w:r>
      <w:r>
        <w:rPr>
          <w:b/>
        </w:rPr>
        <w:t>”</w:t>
      </w:r>
      <w:r>
        <w:t xml:space="preserve"> includes the chief executive officer.</w:t>
      </w:r>
    </w:p>
    <w:p>
      <w:pPr>
        <w:pStyle w:val="Footnotesection"/>
        <w:rPr>
          <w:rStyle w:val="CharSectno"/>
        </w:rPr>
      </w:pPr>
      <w:r>
        <w:rPr>
          <w:rStyle w:val="CharSectno"/>
        </w:rPr>
        <w:tab/>
        <w:t>[Section 314, inserted as section 192 by No. 34 of 1999 s. 52; amended by No. 42 of 2004 s. 138 and 150 and renumbered as section 314 by No. 42 of 2004 s. 154(1).]</w:t>
      </w:r>
    </w:p>
    <w:p>
      <w:pPr>
        <w:pStyle w:val="Heading5"/>
      </w:pPr>
      <w:bookmarkStart w:id="3213" w:name="_Toc517775426"/>
      <w:bookmarkStart w:id="3214" w:name="_Toc520107174"/>
      <w:bookmarkStart w:id="3215" w:name="_Toc523111799"/>
      <w:bookmarkStart w:id="3216" w:name="_Toc122833598"/>
      <w:bookmarkStart w:id="3217" w:name="_Toc122834165"/>
      <w:r>
        <w:rPr>
          <w:rStyle w:val="CharSectno"/>
        </w:rPr>
        <w:t>315</w:t>
      </w:r>
      <w:r>
        <w:t>.</w:t>
      </w:r>
      <w:r>
        <w:tab/>
        <w:t>Publication of prescribed amount and average weekly earnings</w:t>
      </w:r>
      <w:bookmarkEnd w:id="3213"/>
      <w:bookmarkEnd w:id="3214"/>
      <w:bookmarkEnd w:id="3215"/>
      <w:bookmarkEnd w:id="3216"/>
      <w:bookmarkEnd w:id="3217"/>
    </w:p>
    <w:p>
      <w:pPr>
        <w:pStyle w:val="Subsection"/>
      </w:pPr>
      <w:r>
        <w:tab/>
        <w:t>(1)</w:t>
      </w:r>
      <w:r>
        <w:tab/>
        <w:t xml:space="preserve">On or before the 1 July on which a financial year begins the Minister is to publish a notice in the </w:t>
      </w:r>
      <w:r>
        <w:rPr>
          <w:i/>
        </w:rPr>
        <w:t>Gazette</w:t>
      </w:r>
      <w:r>
        <w:t xml:space="preserve"> setting out, in relation to the financial year — </w:t>
      </w:r>
    </w:p>
    <w:p>
      <w:pPr>
        <w:pStyle w:val="Indenta"/>
      </w:pPr>
      <w:r>
        <w:tab/>
        <w:t>(a)</w:t>
      </w:r>
      <w:r>
        <w:tab/>
        <w:t>the prescribed amount;</w:t>
      </w:r>
    </w:p>
    <w:p>
      <w:pPr>
        <w:pStyle w:val="Indenta"/>
      </w:pPr>
      <w:r>
        <w:tab/>
        <w:t>(b)</w:t>
      </w:r>
      <w:r>
        <w:tab/>
        <w:t>Amount A for the purposes of each of sections 93F and 93K; and</w:t>
      </w:r>
    </w:p>
    <w:p>
      <w:pPr>
        <w:pStyle w:val="Indenta"/>
      </w:pPr>
      <w:r>
        <w:tab/>
        <w:t>(c)</w:t>
      </w:r>
      <w:r>
        <w:tab/>
        <w:t>Amount C for the purposes of Schedule 1 clause 11.</w:t>
      </w:r>
    </w:p>
    <w:p>
      <w:pPr>
        <w:pStyle w:val="Subsection"/>
      </w:pPr>
      <w:r>
        <w:tab/>
        <w:t>(2)</w:t>
      </w:r>
      <w:r>
        <w:tab/>
        <w:t>Publication under subsection (1) is for public information only and the operation of this Act is not affected by a failure to publish or a delay or error in publication.</w:t>
      </w:r>
    </w:p>
    <w:p>
      <w:pPr>
        <w:pStyle w:val="Footnotesection"/>
      </w:pPr>
      <w:r>
        <w:tab/>
        <w:t>[Section 315, formerly section 192A, inserted as 193 by No. 34 of 1999 s. 32(11); renumbered as 192A by No. 74 of 2003 s. 134(4); amended by No. 42 of 2004 s. 139 and renumbered as section 315 by No. 42 of 2004 s. 154(1).]</w:t>
      </w:r>
    </w:p>
    <w:p>
      <w:pPr>
        <w:pStyle w:val="Heading2"/>
      </w:pPr>
      <w:bookmarkStart w:id="3218" w:name="_Toc86740180"/>
      <w:bookmarkStart w:id="3219" w:name="_Toc88562584"/>
      <w:bookmarkStart w:id="3220" w:name="_Toc88625501"/>
      <w:bookmarkStart w:id="3221" w:name="_Toc91386163"/>
      <w:bookmarkStart w:id="3222" w:name="_Toc92705190"/>
      <w:bookmarkStart w:id="3223" w:name="_Toc93222652"/>
      <w:bookmarkStart w:id="3224" w:name="_Toc95022729"/>
      <w:bookmarkStart w:id="3225" w:name="_Toc95118001"/>
      <w:bookmarkStart w:id="3226" w:name="_Toc96498406"/>
      <w:bookmarkStart w:id="3227" w:name="_Toc96500884"/>
      <w:bookmarkStart w:id="3228" w:name="_Toc101779799"/>
      <w:bookmarkStart w:id="3229" w:name="_Toc103060247"/>
      <w:bookmarkStart w:id="3230" w:name="_Toc105471143"/>
      <w:bookmarkStart w:id="3231" w:name="_Toc105475057"/>
      <w:bookmarkStart w:id="3232" w:name="_Toc107308159"/>
      <w:bookmarkStart w:id="3233" w:name="_Toc109712392"/>
      <w:bookmarkStart w:id="3234" w:name="_Toc109724275"/>
      <w:bookmarkStart w:id="3235" w:name="_Toc110054147"/>
      <w:bookmarkStart w:id="3236" w:name="_Toc110054536"/>
      <w:bookmarkStart w:id="3237" w:name="_Toc110654616"/>
      <w:bookmarkStart w:id="3238" w:name="_Toc110736054"/>
      <w:bookmarkStart w:id="3239" w:name="_Toc110738790"/>
      <w:bookmarkStart w:id="3240" w:name="_Toc115691464"/>
      <w:bookmarkStart w:id="3241" w:name="_Toc115773761"/>
      <w:bookmarkStart w:id="3242" w:name="_Toc119132877"/>
      <w:bookmarkStart w:id="3243" w:name="_Toc119203547"/>
      <w:bookmarkStart w:id="3244" w:name="_Toc119204193"/>
      <w:bookmarkStart w:id="3245" w:name="_Toc119216523"/>
      <w:bookmarkStart w:id="3246" w:name="_Toc119301046"/>
      <w:bookmarkStart w:id="3247" w:name="_Toc119301613"/>
      <w:bookmarkStart w:id="3248" w:name="_Toc119302182"/>
      <w:bookmarkStart w:id="3249" w:name="_Toc119920369"/>
      <w:bookmarkStart w:id="3250" w:name="_Toc122774356"/>
      <w:bookmarkStart w:id="3251" w:name="_Toc122833599"/>
      <w:bookmarkStart w:id="3252" w:name="_Toc122834166"/>
      <w:r>
        <w:rPr>
          <w:rStyle w:val="CharPartNo"/>
        </w:rPr>
        <w:t>Part XX</w:t>
      </w:r>
      <w:r>
        <w:rPr>
          <w:rStyle w:val="CharDivNo"/>
        </w:rPr>
        <w:t> </w:t>
      </w:r>
      <w:r>
        <w:t>—</w:t>
      </w:r>
      <w:r>
        <w:rPr>
          <w:rStyle w:val="CharDivText"/>
        </w:rPr>
        <w:t> </w:t>
      </w:r>
      <w:r>
        <w:rPr>
          <w:rStyle w:val="CharPartText"/>
        </w:rPr>
        <w:t>Repeal, savings, and transitional</w:t>
      </w:r>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r>
        <w:rPr>
          <w:rStyle w:val="CharPartText"/>
        </w:rPr>
        <w:t xml:space="preserve"> </w:t>
      </w:r>
    </w:p>
    <w:p>
      <w:pPr>
        <w:pStyle w:val="Footnoteheading"/>
      </w:pPr>
      <w:bookmarkStart w:id="3253" w:name="_Toc440878064"/>
      <w:bookmarkStart w:id="3254" w:name="_Toc517775427"/>
      <w:bookmarkStart w:id="3255" w:name="_Toc520107175"/>
      <w:bookmarkStart w:id="3256" w:name="_Toc523111800"/>
      <w:r>
        <w:tab/>
        <w:t>[Part XX, formerly Part XIII heading, renumbered by No. 42 of 2004 s. 154(3).]</w:t>
      </w:r>
    </w:p>
    <w:p>
      <w:pPr>
        <w:pStyle w:val="Heading5"/>
        <w:rPr>
          <w:snapToGrid w:val="0"/>
        </w:rPr>
      </w:pPr>
      <w:bookmarkStart w:id="3257" w:name="_Toc122833600"/>
      <w:bookmarkStart w:id="3258" w:name="_Toc122834167"/>
      <w:r>
        <w:rPr>
          <w:rStyle w:val="CharSectno"/>
        </w:rPr>
        <w:t>316</w:t>
      </w:r>
      <w:r>
        <w:rPr>
          <w:snapToGrid w:val="0"/>
        </w:rPr>
        <w:t>.</w:t>
      </w:r>
      <w:r>
        <w:rPr>
          <w:snapToGrid w:val="0"/>
        </w:rPr>
        <w:tab/>
        <w:t>Definitions</w:t>
      </w:r>
      <w:bookmarkEnd w:id="3253"/>
      <w:bookmarkEnd w:id="3254"/>
      <w:bookmarkEnd w:id="3255"/>
      <w:bookmarkEnd w:id="3256"/>
      <w:bookmarkEnd w:id="3257"/>
      <w:bookmarkEnd w:id="3258"/>
    </w:p>
    <w:p>
      <w:pPr>
        <w:pStyle w:val="Subsection"/>
        <w:rPr>
          <w:snapToGrid w:val="0"/>
        </w:rPr>
      </w:pPr>
      <w:r>
        <w:rPr>
          <w:snapToGrid w:val="0"/>
        </w:rPr>
        <w:tab/>
      </w:r>
      <w:r>
        <w:rPr>
          <w:snapToGrid w:val="0"/>
        </w:rPr>
        <w:tab/>
        <w:t>In this Part — </w:t>
      </w:r>
    </w:p>
    <w:p>
      <w:pPr>
        <w:pStyle w:val="Defstart"/>
      </w:pPr>
      <w:r>
        <w:rPr>
          <w:b/>
        </w:rPr>
        <w:tab/>
        <w:t>“</w:t>
      </w:r>
      <w:r>
        <w:rPr>
          <w:rStyle w:val="CharDefText"/>
        </w:rPr>
        <w:t>former Board</w:t>
      </w:r>
      <w:r>
        <w:rPr>
          <w:b/>
        </w:rPr>
        <w:t>”</w:t>
      </w:r>
      <w:r>
        <w:t xml:space="preserve"> means the Workers’ Compensation Board constituted under the repealed Act;</w:t>
      </w:r>
    </w:p>
    <w:p>
      <w:pPr>
        <w:pStyle w:val="Defstart"/>
      </w:pPr>
      <w:r>
        <w:rPr>
          <w:b/>
        </w:rPr>
        <w:tab/>
        <w:t>“</w:t>
      </w:r>
      <w:r>
        <w:rPr>
          <w:rStyle w:val="CharDefText"/>
        </w:rPr>
        <w:t>former Supplementary Board</w:t>
      </w:r>
      <w:r>
        <w:rPr>
          <w:b/>
        </w:rPr>
        <w:t>”</w:t>
      </w:r>
      <w:r>
        <w:t xml:space="preserve"> means the Workers’ Compensation Supplementary Board constituted under the repealed Act;</w:t>
      </w:r>
    </w:p>
    <w:p>
      <w:pPr>
        <w:pStyle w:val="Defstart"/>
      </w:pPr>
      <w:r>
        <w:rPr>
          <w:b/>
        </w:rPr>
        <w:tab/>
        <w:t>“</w:t>
      </w:r>
      <w:r>
        <w:rPr>
          <w:rStyle w:val="CharDefText"/>
        </w:rPr>
        <w:t>new Board</w:t>
      </w:r>
      <w:r>
        <w:rPr>
          <w:b/>
        </w:rPr>
        <w:t>”</w:t>
      </w:r>
      <w:r>
        <w:t xml:space="preserve"> means the Workers’ Compensation Board continued and constituted under this Act;</w:t>
      </w:r>
    </w:p>
    <w:p>
      <w:pPr>
        <w:pStyle w:val="Defstart"/>
      </w:pPr>
      <w:r>
        <w:rPr>
          <w:b/>
        </w:rPr>
        <w:tab/>
        <w:t>“</w:t>
      </w:r>
      <w:r>
        <w:rPr>
          <w:rStyle w:val="CharDefText"/>
        </w:rPr>
        <w:t>new Supplementary Board</w:t>
      </w:r>
      <w:r>
        <w:rPr>
          <w:b/>
        </w:rPr>
        <w:t>”</w:t>
      </w:r>
      <w:r>
        <w:t xml:space="preserve"> means the Workers’ Compensation Supplementary Board continued and constituted under this Act;</w:t>
      </w:r>
    </w:p>
    <w:p>
      <w:pPr>
        <w:pStyle w:val="Defstart"/>
      </w:pPr>
      <w:r>
        <w:rPr>
          <w:b/>
        </w:rPr>
        <w:tab/>
        <w:t>“</w:t>
      </w:r>
      <w:r>
        <w:rPr>
          <w:rStyle w:val="CharDefText"/>
        </w:rPr>
        <w:t>proclaimed date</w:t>
      </w:r>
      <w:r>
        <w:rPr>
          <w:b/>
        </w:rPr>
        <w:t>”</w:t>
      </w:r>
      <w:r>
        <w:t xml:space="preserve"> means the date on which this Part comes into operation </w:t>
      </w:r>
      <w:r>
        <w:rPr>
          <w:vertAlign w:val="superscript"/>
        </w:rPr>
        <w:t>1</w:t>
      </w:r>
      <w:r>
        <w:t>.</w:t>
      </w:r>
    </w:p>
    <w:p>
      <w:pPr>
        <w:pStyle w:val="Footnotesection"/>
      </w:pPr>
      <w:r>
        <w:tab/>
        <w:t>[Section 316, formerly section 193, renumbered as section 316 by No. 42 of 2004 s. 154(1).]</w:t>
      </w:r>
    </w:p>
    <w:p>
      <w:pPr>
        <w:pStyle w:val="Heading5"/>
      </w:pPr>
      <w:bookmarkStart w:id="3259" w:name="_Toc440878065"/>
      <w:bookmarkStart w:id="3260" w:name="_Toc517775428"/>
      <w:bookmarkStart w:id="3261" w:name="_Toc520107176"/>
      <w:bookmarkStart w:id="3262" w:name="_Toc523111801"/>
      <w:bookmarkStart w:id="3263" w:name="_Toc122833601"/>
      <w:bookmarkStart w:id="3264" w:name="_Toc122834168"/>
      <w:r>
        <w:rPr>
          <w:rStyle w:val="CharSectno"/>
        </w:rPr>
        <w:t>317</w:t>
      </w:r>
      <w:r>
        <w:t>.</w:t>
      </w:r>
      <w:r>
        <w:tab/>
        <w:t>Repeal</w:t>
      </w:r>
      <w:bookmarkEnd w:id="3259"/>
      <w:bookmarkEnd w:id="3260"/>
      <w:bookmarkEnd w:id="3261"/>
      <w:bookmarkEnd w:id="3262"/>
      <w:bookmarkEnd w:id="3263"/>
      <w:bookmarkEnd w:id="3264"/>
    </w:p>
    <w:p>
      <w:pPr>
        <w:pStyle w:val="Subsection"/>
      </w:pPr>
      <w:r>
        <w:tab/>
      </w:r>
      <w:r>
        <w:tab/>
        <w:t xml:space="preserve">The </w:t>
      </w:r>
      <w:r>
        <w:rPr>
          <w:i/>
        </w:rPr>
        <w:t>Workers’ Compensation Act 1912</w:t>
      </w:r>
      <w:r>
        <w:t xml:space="preserve"> is repealed.</w:t>
      </w:r>
    </w:p>
    <w:p>
      <w:pPr>
        <w:pStyle w:val="Footnotesection"/>
      </w:pPr>
      <w:bookmarkStart w:id="3265" w:name="_Toc440878066"/>
      <w:bookmarkStart w:id="3266" w:name="_Toc517775429"/>
      <w:bookmarkStart w:id="3267" w:name="_Toc520107177"/>
      <w:bookmarkStart w:id="3268" w:name="_Toc523111802"/>
      <w:r>
        <w:tab/>
        <w:t>[Section 317, formerly section 194, renumbered as section 317 by No. 42 of 2004 s. 154(1).]</w:t>
      </w:r>
    </w:p>
    <w:p>
      <w:pPr>
        <w:pStyle w:val="Heading5"/>
        <w:rPr>
          <w:snapToGrid w:val="0"/>
        </w:rPr>
      </w:pPr>
      <w:bookmarkStart w:id="3269" w:name="_Toc122833602"/>
      <w:bookmarkStart w:id="3270" w:name="_Toc122834169"/>
      <w:r>
        <w:rPr>
          <w:rStyle w:val="CharSectno"/>
        </w:rPr>
        <w:t>318</w:t>
      </w:r>
      <w:r>
        <w:rPr>
          <w:snapToGrid w:val="0"/>
        </w:rPr>
        <w:t>.</w:t>
      </w:r>
      <w:r>
        <w:rPr>
          <w:snapToGrid w:val="0"/>
        </w:rPr>
        <w:tab/>
        <w:t xml:space="preserve">Operation of </w:t>
      </w:r>
      <w:r>
        <w:rPr>
          <w:i/>
          <w:snapToGrid w:val="0"/>
        </w:rPr>
        <w:t>Interpretation Act 1918</w:t>
      </w:r>
      <w:bookmarkEnd w:id="3265"/>
      <w:bookmarkEnd w:id="3266"/>
      <w:bookmarkEnd w:id="3267"/>
      <w:bookmarkEnd w:id="3268"/>
      <w:bookmarkEnd w:id="3269"/>
      <w:bookmarkEnd w:id="3270"/>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10</w:t>
      </w:r>
      <w:r>
        <w:rPr>
          <w:snapToGrid w:val="0"/>
        </w:rPr>
        <w:t>, and in particular sections 15 and 16 of that Act, apply to and in respect of the repealed Act except to the extent that this Act provides otherwise.</w:t>
      </w:r>
    </w:p>
    <w:p>
      <w:pPr>
        <w:pStyle w:val="Footnotesection"/>
      </w:pPr>
      <w:bookmarkStart w:id="3271" w:name="_Toc440878067"/>
      <w:bookmarkStart w:id="3272" w:name="_Toc517775430"/>
      <w:bookmarkStart w:id="3273" w:name="_Toc520107178"/>
      <w:bookmarkStart w:id="3274" w:name="_Toc523111803"/>
      <w:r>
        <w:tab/>
        <w:t>[Section 318, formerly section 195, renumbered as section 318 by No. 42 of 2004 s. 154(1).]</w:t>
      </w:r>
    </w:p>
    <w:p>
      <w:pPr>
        <w:pStyle w:val="Heading5"/>
        <w:rPr>
          <w:snapToGrid w:val="0"/>
        </w:rPr>
      </w:pPr>
      <w:bookmarkStart w:id="3275" w:name="_Toc122833603"/>
      <w:bookmarkStart w:id="3276" w:name="_Toc122834170"/>
      <w:r>
        <w:rPr>
          <w:rStyle w:val="CharSectno"/>
        </w:rPr>
        <w:t>319</w:t>
      </w:r>
      <w:r>
        <w:rPr>
          <w:snapToGrid w:val="0"/>
        </w:rPr>
        <w:t>.</w:t>
      </w:r>
      <w:r>
        <w:rPr>
          <w:snapToGrid w:val="0"/>
        </w:rPr>
        <w:tab/>
        <w:t>No renewal of liability or entitlement</w:t>
      </w:r>
      <w:bookmarkEnd w:id="3271"/>
      <w:bookmarkEnd w:id="3272"/>
      <w:bookmarkEnd w:id="3273"/>
      <w:bookmarkEnd w:id="3274"/>
      <w:bookmarkEnd w:id="3275"/>
      <w:bookmarkEnd w:id="3276"/>
      <w:r>
        <w:rPr>
          <w:snapToGrid w:val="0"/>
        </w:rPr>
        <w:t xml:space="preserve"> </w:t>
      </w:r>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bookmarkStart w:id="3277" w:name="_Toc440878068"/>
      <w:bookmarkStart w:id="3278" w:name="_Toc517775431"/>
      <w:bookmarkStart w:id="3279" w:name="_Toc520107179"/>
      <w:bookmarkStart w:id="3280" w:name="_Toc523111804"/>
      <w:r>
        <w:tab/>
        <w:t>[Section 319, formerly section 196, renumbered as section 319 by No. 42 of 2004 s. 154(1).]</w:t>
      </w:r>
    </w:p>
    <w:p>
      <w:pPr>
        <w:pStyle w:val="Heading5"/>
        <w:rPr>
          <w:snapToGrid w:val="0"/>
        </w:rPr>
      </w:pPr>
      <w:bookmarkStart w:id="3281" w:name="_Toc122833604"/>
      <w:bookmarkStart w:id="3282" w:name="_Toc122834171"/>
      <w:r>
        <w:rPr>
          <w:rStyle w:val="CharSectno"/>
        </w:rPr>
        <w:t>320</w:t>
      </w:r>
      <w:r>
        <w:rPr>
          <w:snapToGrid w:val="0"/>
        </w:rPr>
        <w:t>.</w:t>
      </w:r>
      <w:r>
        <w:rPr>
          <w:snapToGrid w:val="0"/>
        </w:rPr>
        <w:tab/>
        <w:t>Moneys paid under repealed Act taken into account</w:t>
      </w:r>
      <w:bookmarkEnd w:id="3277"/>
      <w:bookmarkEnd w:id="3278"/>
      <w:bookmarkEnd w:id="3279"/>
      <w:bookmarkEnd w:id="3280"/>
      <w:bookmarkEnd w:id="3281"/>
      <w:bookmarkEnd w:id="3282"/>
      <w:r>
        <w:rPr>
          <w:snapToGrid w:val="0"/>
        </w:rPr>
        <w:t xml:space="preserve"> </w:t>
      </w:r>
    </w:p>
    <w:p>
      <w:pPr>
        <w:pStyle w:val="Subsection"/>
        <w:keepNext/>
        <w:spacing w:before="100"/>
        <w:rPr>
          <w:snapToGrid w:val="0"/>
        </w:rPr>
      </w:pPr>
      <w:r>
        <w:rPr>
          <w:snapToGrid w:val="0"/>
        </w:rPr>
        <w:tab/>
      </w:r>
      <w:r>
        <w:rPr>
          <w:snapToGrid w:val="0"/>
        </w:rPr>
        <w:tab/>
        <w:t>Where by virtue of section 4 there is under this Act —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by No. 42 of 2004 s. 146 and 147 and renumbered as section 320 by No. 42 of 2004 s. 154(1).]</w:t>
      </w:r>
    </w:p>
    <w:p>
      <w:pPr>
        <w:pStyle w:val="Heading5"/>
        <w:rPr>
          <w:snapToGrid w:val="0"/>
        </w:rPr>
      </w:pPr>
      <w:bookmarkStart w:id="3283" w:name="_Toc440878070"/>
      <w:bookmarkStart w:id="3284" w:name="_Toc517775433"/>
      <w:bookmarkStart w:id="3285" w:name="_Toc520107181"/>
      <w:bookmarkStart w:id="3286" w:name="_Toc523111806"/>
      <w:bookmarkStart w:id="3287" w:name="_Toc122833605"/>
      <w:bookmarkStart w:id="3288" w:name="_Toc122834172"/>
      <w:r>
        <w:rPr>
          <w:rStyle w:val="CharSectno"/>
        </w:rPr>
        <w:t>321</w:t>
      </w:r>
      <w:r>
        <w:rPr>
          <w:snapToGrid w:val="0"/>
        </w:rPr>
        <w:t>.</w:t>
      </w:r>
      <w:r>
        <w:rPr>
          <w:snapToGrid w:val="0"/>
        </w:rPr>
        <w:tab/>
        <w:t>Compensation for injuries mentioned in Schedule 2</w:t>
      </w:r>
      <w:bookmarkEnd w:id="3283"/>
      <w:bookmarkEnd w:id="3284"/>
      <w:bookmarkEnd w:id="3285"/>
      <w:bookmarkEnd w:id="3286"/>
      <w:bookmarkEnd w:id="3287"/>
      <w:bookmarkEnd w:id="3288"/>
      <w:r>
        <w:rPr>
          <w:snapToGrid w:val="0"/>
        </w:rPr>
        <w:t xml:space="preserve"> </w:t>
      </w:r>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bookmarkStart w:id="3289" w:name="_Toc440878071"/>
      <w:bookmarkStart w:id="3290" w:name="_Toc517775434"/>
      <w:bookmarkStart w:id="3291" w:name="_Toc520107182"/>
      <w:bookmarkStart w:id="3292" w:name="_Toc523111807"/>
      <w:r>
        <w:tab/>
        <w:t>[Section 321, formerly section 199, renumbered as section 321 by No. 42 of 2004 s. 154(1).]</w:t>
      </w:r>
    </w:p>
    <w:p>
      <w:pPr>
        <w:pStyle w:val="Heading5"/>
        <w:rPr>
          <w:snapToGrid w:val="0"/>
        </w:rPr>
      </w:pPr>
      <w:bookmarkStart w:id="3293" w:name="_Toc122833606"/>
      <w:bookmarkStart w:id="3294" w:name="_Toc122834173"/>
      <w:r>
        <w:rPr>
          <w:rStyle w:val="CharSectno"/>
        </w:rPr>
        <w:t>322</w:t>
      </w:r>
      <w:r>
        <w:rPr>
          <w:snapToGrid w:val="0"/>
        </w:rPr>
        <w:t>.</w:t>
      </w:r>
      <w:r>
        <w:rPr>
          <w:snapToGrid w:val="0"/>
        </w:rPr>
        <w:tab/>
        <w:t>Child’s allowance</w:t>
      </w:r>
      <w:bookmarkEnd w:id="3289"/>
      <w:bookmarkEnd w:id="3290"/>
      <w:bookmarkEnd w:id="3291"/>
      <w:bookmarkEnd w:id="3292"/>
      <w:bookmarkEnd w:id="3293"/>
      <w:bookmarkEnd w:id="3294"/>
      <w:r>
        <w:rPr>
          <w:snapToGrid w:val="0"/>
        </w:rPr>
        <w:t xml:space="preserve"> </w:t>
      </w:r>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bookmarkStart w:id="3295" w:name="_Toc440878072"/>
      <w:bookmarkStart w:id="3296" w:name="_Toc517775435"/>
      <w:bookmarkStart w:id="3297" w:name="_Toc520107183"/>
      <w:bookmarkStart w:id="3298" w:name="_Toc523111808"/>
      <w:r>
        <w:tab/>
        <w:t>[Section 322, formerly section 200, renumbered as section 322 by No. 42 of 2004 s. 154(1).]</w:t>
      </w:r>
    </w:p>
    <w:p>
      <w:pPr>
        <w:pStyle w:val="Heading5"/>
        <w:rPr>
          <w:snapToGrid w:val="0"/>
        </w:rPr>
      </w:pPr>
      <w:bookmarkStart w:id="3299" w:name="_Toc122833607"/>
      <w:bookmarkStart w:id="3300" w:name="_Toc122834174"/>
      <w:r>
        <w:rPr>
          <w:rStyle w:val="CharSectno"/>
        </w:rPr>
        <w:t>323</w:t>
      </w:r>
      <w:r>
        <w:rPr>
          <w:snapToGrid w:val="0"/>
        </w:rPr>
        <w:t>.</w:t>
      </w:r>
      <w:r>
        <w:rPr>
          <w:snapToGrid w:val="0"/>
        </w:rPr>
        <w:tab/>
        <w:t>Continuation</w:t>
      </w:r>
      <w:bookmarkEnd w:id="3295"/>
      <w:bookmarkEnd w:id="3296"/>
      <w:bookmarkEnd w:id="3297"/>
      <w:bookmarkEnd w:id="3298"/>
      <w:bookmarkEnd w:id="3299"/>
      <w:bookmarkEnd w:id="3300"/>
      <w:r>
        <w:rPr>
          <w:snapToGrid w:val="0"/>
        </w:rPr>
        <w:t xml:space="preserve"> </w:t>
      </w:r>
    </w:p>
    <w:p>
      <w:pPr>
        <w:pStyle w:val="Subsection"/>
        <w:rPr>
          <w:snapToGrid w:val="0"/>
        </w:rPr>
      </w:pPr>
      <w:r>
        <w:rPr>
          <w:snapToGrid w:val="0"/>
        </w:rPr>
        <w:tab/>
        <w:t>(1)</w:t>
      </w:r>
      <w:r>
        <w:rPr>
          <w:snapToGrid w:val="0"/>
        </w:rPr>
        <w:tab/>
        <w:t>On and after the proclaimed date —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General Fund;</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 Fund;</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11, 12</w:t>
      </w:r>
      <w:r>
        <w:rPr>
          <w:snapToGrid w:val="0"/>
        </w:rPr>
        <w:t xml:space="preserve"> as if his service under and subject to the repealed Act were service under and subject to this Act.</w:t>
      </w:r>
    </w:p>
    <w:p>
      <w:pPr>
        <w:pStyle w:val="Footnotesection"/>
      </w:pPr>
      <w:r>
        <w:tab/>
        <w:t>[Section 323, formerly section 201, amended by No. 42 of 2004 s. 150 and renumbered as section 323 by No. 42 of 2004 s. 154(1).]</w:t>
      </w:r>
    </w:p>
    <w:p>
      <w:pPr>
        <w:pStyle w:val="Heading5"/>
        <w:rPr>
          <w:snapToGrid w:val="0"/>
        </w:rPr>
      </w:pPr>
      <w:bookmarkStart w:id="3301" w:name="_Toc440878073"/>
      <w:bookmarkStart w:id="3302" w:name="_Toc517775436"/>
      <w:bookmarkStart w:id="3303" w:name="_Toc520107184"/>
      <w:bookmarkStart w:id="3304" w:name="_Toc523111809"/>
      <w:bookmarkStart w:id="3305" w:name="_Toc122833608"/>
      <w:bookmarkStart w:id="3306" w:name="_Toc122834175"/>
      <w:r>
        <w:rPr>
          <w:rStyle w:val="CharSectno"/>
        </w:rPr>
        <w:t>324</w:t>
      </w:r>
      <w:r>
        <w:rPr>
          <w:snapToGrid w:val="0"/>
        </w:rPr>
        <w:t>.</w:t>
      </w:r>
      <w:r>
        <w:rPr>
          <w:snapToGrid w:val="0"/>
        </w:rPr>
        <w:tab/>
        <w:t>References to the Board, the Supplementary Board or officers</w:t>
      </w:r>
      <w:bookmarkEnd w:id="3301"/>
      <w:bookmarkEnd w:id="3302"/>
      <w:bookmarkEnd w:id="3303"/>
      <w:bookmarkEnd w:id="3304"/>
      <w:bookmarkEnd w:id="3305"/>
      <w:bookmarkEnd w:id="3306"/>
      <w:r>
        <w:rPr>
          <w:snapToGrid w:val="0"/>
        </w:rPr>
        <w:t xml:space="preserve"> </w:t>
      </w:r>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by No. 42 of 2004 s. 154(1).]</w:t>
      </w:r>
    </w:p>
    <w:p>
      <w:pPr>
        <w:rPr>
          <w:rStyle w:val="CharDivText"/>
        </w:rPr>
        <w:sectPr>
          <w:headerReference w:type="even" r:id="rId28"/>
          <w:headerReference w:type="default" r:id="rId29"/>
          <w:footerReference w:type="even" r:id="rId30"/>
          <w:footerReference w:type="default" r:id="rId31"/>
          <w:headerReference w:type="first" r:id="rId32"/>
          <w:footerReference w:type="first" r:id="rId33"/>
          <w:pgSz w:w="11906" w:h="16838" w:code="9"/>
          <w:pgMar w:top="2381" w:right="2409" w:bottom="3543" w:left="2409" w:header="720" w:footer="3380" w:gutter="0"/>
          <w:pgNumType w:start="1"/>
          <w:cols w:space="720"/>
          <w:noEndnote/>
          <w:titlePg/>
          <w:docGrid w:linePitch="326"/>
        </w:sectPr>
      </w:pPr>
      <w:bookmarkStart w:id="3307" w:name="_Toc440878075"/>
    </w:p>
    <w:p>
      <w:pPr>
        <w:pStyle w:val="yScheduleHeading"/>
        <w:outlineLvl w:val="0"/>
      </w:pPr>
      <w:bookmarkStart w:id="3308" w:name="_Toc520107186"/>
      <w:bookmarkStart w:id="3309" w:name="_Toc523906355"/>
      <w:bookmarkStart w:id="3310" w:name="_Toc524847403"/>
      <w:bookmarkStart w:id="3311" w:name="_Toc110054546"/>
      <w:bookmarkStart w:id="3312" w:name="_Toc110654626"/>
      <w:bookmarkStart w:id="3313" w:name="_Toc110738800"/>
      <w:bookmarkStart w:id="3314" w:name="_Toc122833609"/>
      <w:bookmarkStart w:id="3315" w:name="_Toc122834176"/>
      <w:r>
        <w:t>Schedules</w:t>
      </w:r>
      <w:bookmarkStart w:id="3316" w:name="_Toc440878076"/>
      <w:bookmarkStart w:id="3317" w:name="_Toc520107187"/>
      <w:bookmarkEnd w:id="3307"/>
      <w:bookmarkEnd w:id="3308"/>
      <w:bookmarkEnd w:id="3309"/>
      <w:bookmarkEnd w:id="3310"/>
      <w:bookmarkEnd w:id="3311"/>
      <w:bookmarkEnd w:id="3312"/>
      <w:bookmarkEnd w:id="3313"/>
      <w:bookmarkEnd w:id="3314"/>
      <w:bookmarkEnd w:id="3315"/>
    </w:p>
    <w:p>
      <w:pPr>
        <w:pStyle w:val="yScheduleHeading"/>
      </w:pPr>
      <w:bookmarkStart w:id="3318" w:name="_Toc110654627"/>
      <w:bookmarkStart w:id="3319" w:name="_Toc110738801"/>
      <w:bookmarkStart w:id="3320" w:name="_Toc122833610"/>
      <w:bookmarkStart w:id="3321" w:name="_Toc122834177"/>
      <w:r>
        <w:rPr>
          <w:rStyle w:val="CharSchNo"/>
        </w:rPr>
        <w:t>Schedule 1</w:t>
      </w:r>
      <w:r>
        <w:rPr>
          <w:rStyle w:val="CharSDivNo"/>
        </w:rPr>
        <w:t> </w:t>
      </w:r>
      <w:r>
        <w:t>—</w:t>
      </w:r>
      <w:r>
        <w:rPr>
          <w:rStyle w:val="CharSDivText"/>
        </w:rPr>
        <w:t> </w:t>
      </w:r>
      <w:r>
        <w:rPr>
          <w:rStyle w:val="CharSchText"/>
        </w:rPr>
        <w:t>Compensation entitlements</w:t>
      </w:r>
      <w:bookmarkEnd w:id="3316"/>
      <w:bookmarkEnd w:id="3317"/>
      <w:bookmarkEnd w:id="3318"/>
      <w:bookmarkEnd w:id="3319"/>
      <w:bookmarkEnd w:id="3320"/>
      <w:bookmarkEnd w:id="3321"/>
    </w:p>
    <w:p>
      <w:pPr>
        <w:pStyle w:val="yHeading5"/>
        <w:outlineLvl w:val="0"/>
      </w:pPr>
      <w:bookmarkStart w:id="3322" w:name="_Toc122833611"/>
      <w:bookmarkStart w:id="3323" w:name="_Toc122834178"/>
      <w:bookmarkStart w:id="3324" w:name="_Toc517775439"/>
      <w:bookmarkStart w:id="3325" w:name="_Toc520107189"/>
      <w:bookmarkStart w:id="3326" w:name="_Toc523111811"/>
      <w:r>
        <w:rPr>
          <w:rStyle w:val="CharSClsNo"/>
        </w:rPr>
        <w:t>1</w:t>
      </w:r>
      <w:r>
        <w:t>.</w:t>
      </w:r>
      <w:r>
        <w:rPr>
          <w:b w:val="0"/>
        </w:rPr>
        <w:tab/>
      </w:r>
      <w:r>
        <w:t>Death — dependants wholly dependent — notional residual entitlement</w:t>
      </w:r>
      <w:bookmarkEnd w:id="3322"/>
      <w:bookmarkEnd w:id="3323"/>
    </w:p>
    <w:p>
      <w:pPr>
        <w:pStyle w:val="ySubsection"/>
      </w:pPr>
      <w:r>
        <w:tab/>
        <w:t>(1)</w:t>
      </w:r>
      <w:r>
        <w:tab/>
        <w:t xml:space="preserve">Subject to subclauses (2) and (3), where death results from the injury and the worker leaves — </w:t>
      </w:r>
    </w:p>
    <w:p>
      <w:pPr>
        <w:pStyle w:val="yIndenta"/>
      </w:pPr>
      <w:r>
        <w:tab/>
        <w:t>(a)</w:t>
      </w:r>
      <w:r>
        <w:tab/>
        <w:t xml:space="preserve">a dependant who — </w:t>
      </w:r>
    </w:p>
    <w:p>
      <w:pPr>
        <w:pStyle w:val="yIndenti0"/>
      </w:pPr>
      <w:r>
        <w:tab/>
        <w:t>(i)</w:t>
      </w:r>
      <w:r>
        <w:tab/>
        <w:t>is not of a kind referred to in clause 1A; and</w:t>
      </w:r>
    </w:p>
    <w:p>
      <w:pPr>
        <w:pStyle w:val="yIndenti0"/>
      </w:pPr>
      <w:r>
        <w:tab/>
        <w:t>(ii)</w:t>
      </w:r>
      <w:r>
        <w:tab/>
        <w:t>is wholly dependent upon the worker’s earnings;</w:t>
      </w:r>
    </w:p>
    <w:p>
      <w:pPr>
        <w:pStyle w:val="yIndenta"/>
      </w:pPr>
      <w:r>
        <w:tab/>
      </w:r>
      <w:r>
        <w:tab/>
        <w:t>or</w:t>
      </w:r>
    </w:p>
    <w:p>
      <w:pPr>
        <w:pStyle w:val="yIndenta"/>
      </w:pPr>
      <w:r>
        <w:tab/>
        <w:t>(b)</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in respect and for the benefit only of all those dependants, a sum equal to the notional residual entitlement of the worker.</w:t>
      </w:r>
    </w:p>
    <w:p>
      <w:pPr>
        <w:pStyle w:val="ySubsection"/>
      </w:pPr>
      <w:r>
        <w:tab/>
        <w:t>(2)</w:t>
      </w:r>
      <w:r>
        <w:tab/>
        <w:t xml:space="preserve">If death results from the injury and a worker dies leaving — </w:t>
      </w:r>
    </w:p>
    <w:p>
      <w:pPr>
        <w:pStyle w:val="yIndenta"/>
      </w:pPr>
      <w:r>
        <w:tab/>
        <w:t>(a)</w:t>
      </w:r>
      <w:r>
        <w:tab/>
        <w:t>a spouse or de facto partner;</w:t>
      </w:r>
    </w:p>
    <w:p>
      <w:pPr>
        <w:pStyle w:val="yIndenta"/>
      </w:pPr>
      <w:r>
        <w:tab/>
        <w:t>(b)</w:t>
      </w:r>
      <w:r>
        <w:tab/>
        <w:t>a parent; or</w:t>
      </w:r>
    </w:p>
    <w:p>
      <w:pPr>
        <w:pStyle w:val="yIndenta"/>
      </w:pPr>
      <w:r>
        <w:tab/>
        <w:t>(c)</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wholly dependent upon the worker’s earnings, whether or not there are other dependants wholly dependent upon the worker’s earnings, there is to be a minimum amount payable being a sum equal to the aggregate weekly payments for total incapacity of the worker at a rate calculated and varied in accordance with this Schedule as at the date of the worker’s death for a period of one year after that date.</w:t>
      </w:r>
    </w:p>
    <w:p>
      <w:pPr>
        <w:pStyle w:val="ySubsection"/>
      </w:pPr>
      <w:r>
        <w:tab/>
        <w:t>(3)</w:t>
      </w:r>
      <w:r>
        <w:tab/>
        <w:t>Subject to clause 1C, in the event of there being more than one dependant wholly dependent on a worker’s earnings, the amount payable under this clause is to be apportioned between them as may be agreed upon or, in default of agreement, according to the respective financial losses of support suffered by them, which apportionment is to be determined on application under Part XI.</w:t>
      </w:r>
    </w:p>
    <w:p>
      <w:pPr>
        <w:pStyle w:val="yFootnotesection"/>
      </w:pPr>
      <w:r>
        <w:tab/>
        <w:t>[Clause 1 inserted by No. 42 of 2004 s. 141(1).]</w:t>
      </w:r>
    </w:p>
    <w:p>
      <w:pPr>
        <w:pStyle w:val="yHeading5"/>
      </w:pPr>
      <w:bookmarkStart w:id="3327" w:name="_Toc122833612"/>
      <w:bookmarkStart w:id="3328" w:name="_Toc122834179"/>
      <w:r>
        <w:rPr>
          <w:rStyle w:val="CharSClsNo"/>
        </w:rPr>
        <w:t>1A</w:t>
      </w:r>
      <w:r>
        <w:t>.</w:t>
      </w:r>
      <w:r>
        <w:rPr>
          <w:b w:val="0"/>
        </w:rPr>
        <w:tab/>
      </w:r>
      <w:r>
        <w:t>Death — dependants wholly dependent — child’s allowance</w:t>
      </w:r>
      <w:bookmarkEnd w:id="3327"/>
      <w:bookmarkEnd w:id="3328"/>
    </w:p>
    <w:p>
      <w:pPr>
        <w:pStyle w:val="ySubsection"/>
      </w:pPr>
      <w:r>
        <w:tab/>
      </w:r>
      <w:r>
        <w:tab/>
        <w:t xml:space="preserve">Subject to clause 1B, where death results from the injury and the worker leaves any dependants wholly dependent upon the worker’s earnings — </w:t>
      </w:r>
    </w:p>
    <w:p>
      <w:pPr>
        <w:pStyle w:val="yIndenta"/>
      </w:pPr>
      <w:r>
        <w:tab/>
        <w:t>(a)</w:t>
      </w:r>
      <w:r>
        <w:tab/>
        <w:t>in respect and for the benefit only of each of those dependants, if any, who is a child, or step</w:t>
      </w:r>
      <w:r>
        <w:noBreakHyphen/>
        <w:t>child, under the age of 16 years, a child’s allowance weekly until the child or step</w:t>
      </w:r>
      <w:r>
        <w:noBreakHyphen/>
        <w:t>child attains the age of 16 years;</w:t>
      </w:r>
    </w:p>
    <w:p>
      <w:pPr>
        <w:pStyle w:val="yIndenta"/>
      </w:pPr>
      <w:r>
        <w:tab/>
        <w:t>(b)</w:t>
      </w:r>
      <w:r>
        <w:tab/>
        <w:t>in respect and for the benefit only of each of those dependants, if any, who is a full</w:t>
      </w:r>
      <w:r>
        <w:noBreakHyphen/>
        <w:t>time student child, or step</w:t>
      </w:r>
      <w:r>
        <w:noBreakHyphen/>
        <w:t>child, and has attained the age of 16 years but is under the age of 21 years, a child’s allowance weekly until the child or step</w:t>
      </w:r>
      <w:r>
        <w:noBreakHyphen/>
        <w:t>child attains the age of 21 years or ceases to be a full</w:t>
      </w:r>
      <w:r>
        <w:noBreakHyphen/>
        <w:t>time student whichever is the sooner;</w:t>
      </w:r>
    </w:p>
    <w:p>
      <w:pPr>
        <w:pStyle w:val="yIndenta"/>
      </w:pPr>
      <w:r>
        <w:tab/>
        <w:t>(c)</w:t>
      </w:r>
      <w:r>
        <w:tab/>
        <w:t>in respect and for the benefit only of each of those dependants who is a child, or step</w:t>
      </w:r>
      <w:r>
        <w:noBreakHyphen/>
        <w:t>child, of any age, whether a full</w:t>
      </w:r>
      <w:r>
        <w:noBreakHyphen/>
        <w:t>time student or otherwise who, by reason of circumstances an arbitrator in the arbitrator’s absolute discretion decides should receive continued support, a child’s allowance weekly until such time as the arbitrator orders or until the child or step</w:t>
      </w:r>
      <w:r>
        <w:noBreakHyphen/>
        <w:t>child attains the age of 21 years whichever is the sooner.</w:t>
      </w:r>
    </w:p>
    <w:p>
      <w:pPr>
        <w:pStyle w:val="yFootnotesection"/>
      </w:pPr>
      <w:r>
        <w:tab/>
        <w:t>[Clause 1A inserted by No. 42 of 2004 s. 141(1).]</w:t>
      </w:r>
    </w:p>
    <w:p>
      <w:pPr>
        <w:pStyle w:val="yHeading5"/>
      </w:pPr>
      <w:bookmarkStart w:id="3329" w:name="_Toc122833613"/>
      <w:bookmarkStart w:id="3330" w:name="_Toc122834180"/>
      <w:r>
        <w:rPr>
          <w:rStyle w:val="CharSClsNo"/>
        </w:rPr>
        <w:t>1B</w:t>
      </w:r>
      <w:r>
        <w:t>.</w:t>
      </w:r>
      <w:r>
        <w:rPr>
          <w:b w:val="0"/>
        </w:rPr>
        <w:tab/>
      </w:r>
      <w:r>
        <w:t>Death — dependants wholly dependent — notional residual entitlement or child’s allowance</w:t>
      </w:r>
      <w:bookmarkEnd w:id="3329"/>
      <w:bookmarkEnd w:id="3330"/>
    </w:p>
    <w:p>
      <w:pPr>
        <w:pStyle w:val="ySubsection"/>
      </w:pPr>
      <w:r>
        <w:tab/>
        <w:t>(1)</w:t>
      </w:r>
      <w:r>
        <w:tab/>
        <w:t xml:space="preserve">Where death results from the injury and the worker dies leaving — </w:t>
      </w:r>
    </w:p>
    <w:p>
      <w:pPr>
        <w:pStyle w:val="yIndenta"/>
      </w:pPr>
      <w:r>
        <w:tab/>
        <w:t>(a)</w:t>
      </w:r>
      <w:r>
        <w:tab/>
        <w:t>a child or step</w:t>
      </w:r>
      <w:r>
        <w:noBreakHyphen/>
        <w:t>child of the worker wholly dependent upon the worker’s earnings who, apart from this subclause, would be entitled to a child’s allowance under clause 1A; and</w:t>
      </w:r>
    </w:p>
    <w:p>
      <w:pPr>
        <w:pStyle w:val="yIndenta"/>
      </w:pPr>
      <w:r>
        <w:tab/>
        <w:t>(b)</w:t>
      </w:r>
      <w:r>
        <w:tab/>
        <w:t>no spouse or de facto partner wholly dependent upon the worker’s earnings,</w:t>
      </w:r>
    </w:p>
    <w:p>
      <w:pPr>
        <w:pStyle w:val="ySubsection"/>
      </w:pPr>
      <w:r>
        <w:tab/>
      </w:r>
      <w:r>
        <w:tab/>
        <w:t xml:space="preserve">or where death results from the injury and the worker dies leaving — </w:t>
      </w:r>
    </w:p>
    <w:p>
      <w:pPr>
        <w:pStyle w:val="yIndenta"/>
      </w:pPr>
      <w:r>
        <w:tab/>
        <w:t>(c)</w:t>
      </w:r>
      <w:r>
        <w:tab/>
        <w:t>a child or step</w:t>
      </w:r>
      <w:r>
        <w:noBreakHyphen/>
        <w:t xml:space="preserve">child of the worker wholly dependent upon the worker’s earnings who, apart from this subclause, would be entitled to a child’s allowance under clause 1A; </w:t>
      </w:r>
    </w:p>
    <w:p>
      <w:pPr>
        <w:pStyle w:val="yIndenta"/>
      </w:pPr>
      <w:r>
        <w:tab/>
        <w:t>(d)</w:t>
      </w:r>
      <w:r>
        <w:tab/>
        <w:t>no spouse or de facto partner who is a parent of that child or step</w:t>
      </w:r>
      <w:r>
        <w:noBreakHyphen/>
        <w:t>child and who is wholly dependent upon the worker’s earnings; and</w:t>
      </w:r>
    </w:p>
    <w:p>
      <w:pPr>
        <w:pStyle w:val="yIndenta"/>
      </w:pPr>
      <w:r>
        <w:tab/>
        <w:t>(e)</w:t>
      </w:r>
      <w:r>
        <w:tab/>
        <w:t>a spouse or de facto partner who is not a parent of that child or step</w:t>
      </w:r>
      <w:r>
        <w:noBreakHyphen/>
        <w:t>child and who is wholly dependent upon the worker’s earnings,</w:t>
      </w:r>
    </w:p>
    <w:p>
      <w:pPr>
        <w:pStyle w:val="ySubsection"/>
      </w:pPr>
      <w:r>
        <w:tab/>
      </w:r>
      <w:r>
        <w:tab/>
        <w:t>or more than one of those persons, in respect of and for the benefit of a dependant referred to in paragraph (a) or (c) — a child’s allowance under clause 1A(a), (b) or (c) as the case may be, or an apportionment of the notional residual entitlement of the worker, as determined under clause 1C.</w:t>
      </w:r>
    </w:p>
    <w:p>
      <w:pPr>
        <w:pStyle w:val="ySubsection"/>
      </w:pPr>
      <w:r>
        <w:tab/>
        <w:t>(2)</w:t>
      </w:r>
      <w:r>
        <w:tab/>
        <w:t xml:space="preserve">Where death results from the injury and the worker dies leaving a dependant wholly dependent upon the worker’s earnings who — </w:t>
      </w:r>
    </w:p>
    <w:p>
      <w:pPr>
        <w:pStyle w:val="yIndenta"/>
      </w:pPr>
      <w:r>
        <w:tab/>
        <w:t>(a)</w:t>
      </w:r>
      <w:r>
        <w:tab/>
        <w:t>is not a dependant to whom subclause (1) applies; and</w:t>
      </w:r>
    </w:p>
    <w:p>
      <w:pPr>
        <w:pStyle w:val="yIndenta"/>
      </w:pPr>
      <w:r>
        <w:tab/>
        <w:t>(b)</w:t>
      </w:r>
      <w:r>
        <w:tab/>
        <w:t>apart from this clause, would be entitled to a child’s allowance under clause 1A,</w:t>
      </w:r>
    </w:p>
    <w:p>
      <w:pPr>
        <w:pStyle w:val="ySubsection"/>
      </w:pPr>
      <w:r>
        <w:tab/>
      </w:r>
      <w:r>
        <w:tab/>
        <w:t xml:space="preserve">the compensation entitlement of that dependant is whichever of the following an arbitrator determines as likely to be in the best interests of that dependant — </w:t>
      </w:r>
    </w:p>
    <w:p>
      <w:pPr>
        <w:pStyle w:val="yIndenta"/>
      </w:pPr>
      <w:r>
        <w:tab/>
        <w:t>(c)</w:t>
      </w:r>
      <w:r>
        <w:tab/>
        <w:t>a sum equal to 25% of the notional residual entitlement of the worker;</w:t>
      </w:r>
    </w:p>
    <w:p>
      <w:pPr>
        <w:pStyle w:val="yIndenta"/>
      </w:pPr>
      <w:r>
        <w:tab/>
        <w:t>(d)</w:t>
      </w:r>
      <w:r>
        <w:tab/>
        <w:t>a child’s allowance under clause 1A(a), (b) or (c) as the case may be.</w:t>
      </w:r>
    </w:p>
    <w:p>
      <w:pPr>
        <w:pStyle w:val="ySubsection"/>
      </w:pPr>
      <w:r>
        <w:tab/>
        <w:t>(3)</w:t>
      </w:r>
      <w:r>
        <w:tab/>
        <w:t>In the event of a sum being determined under subclause (2)(c) where there is more than one such dependant, the amount is to be apportioned between them as may be agreed or, in default of agreement, according to the respective financial losses of support suffered by them, which apportionment is to be determined by an arbitrator.</w:t>
      </w:r>
    </w:p>
    <w:p>
      <w:pPr>
        <w:pStyle w:val="yFootnotesection"/>
      </w:pPr>
      <w:r>
        <w:tab/>
        <w:t>[Clause 1B inserted by No. 42 of 2004 s. 141(1).]</w:t>
      </w:r>
    </w:p>
    <w:p>
      <w:pPr>
        <w:pStyle w:val="yHeading5"/>
        <w:outlineLvl w:val="0"/>
      </w:pPr>
      <w:bookmarkStart w:id="3331" w:name="_Toc122833614"/>
      <w:bookmarkStart w:id="3332" w:name="_Toc122834181"/>
      <w:r>
        <w:rPr>
          <w:rStyle w:val="CharSClsNo"/>
        </w:rPr>
        <w:t>1C</w:t>
      </w:r>
      <w:r>
        <w:t>.</w:t>
      </w:r>
      <w:r>
        <w:rPr>
          <w:b w:val="0"/>
        </w:rPr>
        <w:tab/>
      </w:r>
      <w:r>
        <w:t>Determination of entitlement under clause 1B</w:t>
      </w:r>
      <w:bookmarkEnd w:id="3331"/>
      <w:bookmarkEnd w:id="3332"/>
    </w:p>
    <w:p>
      <w:pPr>
        <w:pStyle w:val="ySubsection"/>
      </w:pPr>
      <w:r>
        <w:tab/>
        <w:t>(1)</w:t>
      </w:r>
      <w:r>
        <w:tab/>
        <w:t>A dependant referred to in clause 1B(1)(a) or (c) is to be notified by the Director of the dependant’s entitlement to elect to receive a child’s allowance under clause 1A or an apportionment of the notional residual entitlement of the worker.</w:t>
      </w:r>
    </w:p>
    <w:p>
      <w:pPr>
        <w:pStyle w:val="ySubsection"/>
      </w:pPr>
      <w:r>
        <w:tab/>
        <w:t>(2)</w:t>
      </w:r>
      <w:r>
        <w:tab/>
        <w:t>The dependant may, within 30 days of receiving the notification, elect in the manner prescribed by the regulations to receive the amount of the apportionment or a child’s allowance under clause 1A.</w:t>
      </w:r>
    </w:p>
    <w:p>
      <w:pPr>
        <w:pStyle w:val="ySubsection"/>
      </w:pPr>
      <w:r>
        <w:tab/>
        <w:t>(3)</w:t>
      </w:r>
      <w:r>
        <w:tab/>
        <w:t>If an election by a dependant referred to in clause 1B(1)(a) or (c) is not made under subclause (2) and registered by the Director, that dependant is to receive a child’s allowance under clause 1A.</w:t>
      </w:r>
    </w:p>
    <w:p>
      <w:pPr>
        <w:pStyle w:val="ySubsection"/>
      </w:pPr>
      <w:r>
        <w:tab/>
        <w:t>(4)</w:t>
      </w:r>
      <w:r>
        <w:tab/>
        <w:t xml:space="preserve">In the event of there being more than one dependant who elects to receive the apportionment under this clause, or who is otherwise entitled to receive an apportionment under clause 1, the compensation entitlement of each of those dependants is to be determined as follows — </w:t>
      </w:r>
    </w:p>
    <w:p>
      <w:pPr>
        <w:pStyle w:val="yIndenta"/>
      </w:pPr>
      <w:r>
        <w:tab/>
        <w:t>(a)</w:t>
      </w:r>
      <w:r>
        <w:tab/>
        <w:t>the amount of the notional residual entitlement is to be apportioned between them as may be agreed or, in default of agreement, an arbitrator is to determine the amount to be provisionally apportioned between each of the dependants, according to the respective financial losses of support suffered by them and the arbitrator is to notify each of the dependants of the amount provisionally apportioned to that dependant;</w:t>
      </w:r>
    </w:p>
    <w:p>
      <w:pPr>
        <w:pStyle w:val="yIndenta"/>
      </w:pPr>
      <w:r>
        <w:tab/>
        <w:t>(b)</w:t>
      </w:r>
      <w:r>
        <w:tab/>
        <w:t>any dependant referred to in clause 1B(1)(a) or (c) and notified under paragraph (a) may elect to receive the amount of the provisional apportionment or a child’s allowance under clause 1A;</w:t>
      </w:r>
    </w:p>
    <w:p>
      <w:pPr>
        <w:pStyle w:val="yIndenta"/>
      </w:pPr>
      <w:r>
        <w:tab/>
        <w:t>(c)</w:t>
      </w:r>
      <w:r>
        <w:tab/>
        <w:t xml:space="preserve">if an election is not made under paragraph (b) in accordance with subclause (6) and registered by the Director — </w:t>
      </w:r>
    </w:p>
    <w:p>
      <w:pPr>
        <w:pStyle w:val="yIndenti0"/>
      </w:pPr>
      <w:r>
        <w:tab/>
        <w:t>(i)</w:t>
      </w:r>
      <w:r>
        <w:tab/>
        <w:t>that dependant is to receive a child’s allowance; and</w:t>
      </w:r>
    </w:p>
    <w:p>
      <w:pPr>
        <w:pStyle w:val="yIndenti0"/>
      </w:pPr>
      <w:r>
        <w:tab/>
        <w:t>(ii)</w:t>
      </w:r>
      <w:r>
        <w:tab/>
        <w:t>an arbitrator is to reapportion the amounts to be paid to each dependant who is not receiving a child’s allowance.</w:t>
      </w:r>
    </w:p>
    <w:p>
      <w:pPr>
        <w:pStyle w:val="ySubsection"/>
      </w:pPr>
      <w:r>
        <w:tab/>
        <w:t>(5)</w:t>
      </w:r>
      <w:r>
        <w:tab/>
        <w:t>A notification for the purposes of subclause (1) or (4)(a) is to be given in the prescribed manner and form.</w:t>
      </w:r>
    </w:p>
    <w:p>
      <w:pPr>
        <w:pStyle w:val="ySubsection"/>
      </w:pPr>
      <w:r>
        <w:tab/>
        <w:t>(6)</w:t>
      </w:r>
      <w:r>
        <w:tab/>
        <w:t>A dependant referred to in subclause (4)(b) may, within 30 days of receiving the notification, elect in the prescribed manner to receive the amount of the provisional apportionment or a child’s allowance.</w:t>
      </w:r>
    </w:p>
    <w:p>
      <w:pPr>
        <w:pStyle w:val="ySubsection"/>
      </w:pPr>
      <w:r>
        <w:tab/>
        <w:t>(7)</w:t>
      </w:r>
      <w:r>
        <w:tab/>
        <w:t>The Director may refuse to register an election of a dependant under this clause if not satisfied that the dependant has been independently advised of the financial consequences of the election.</w:t>
      </w:r>
    </w:p>
    <w:p>
      <w:pPr>
        <w:pStyle w:val="yFootnotesection"/>
      </w:pPr>
      <w:r>
        <w:tab/>
        <w:t>[Clause 1C inserted by No. 42 of 2004 s. 141(1).]</w:t>
      </w:r>
    </w:p>
    <w:p>
      <w:pPr>
        <w:pStyle w:val="yHeading5"/>
        <w:outlineLvl w:val="0"/>
        <w:rPr>
          <w:snapToGrid w:val="0"/>
        </w:rPr>
      </w:pPr>
      <w:bookmarkStart w:id="3333" w:name="_Toc122833615"/>
      <w:bookmarkStart w:id="3334" w:name="_Toc122834182"/>
      <w:r>
        <w:rPr>
          <w:rStyle w:val="CharSClsNo"/>
        </w:rPr>
        <w:t>2</w:t>
      </w:r>
      <w:r>
        <w:rPr>
          <w:snapToGrid w:val="0"/>
        </w:rPr>
        <w:t>.</w:t>
      </w:r>
      <w:r>
        <w:rPr>
          <w:snapToGrid w:val="0"/>
        </w:rPr>
        <w:tab/>
        <w:t>Death — partial dependants who are not children</w:t>
      </w:r>
      <w:bookmarkEnd w:id="3324"/>
      <w:bookmarkEnd w:id="3325"/>
      <w:bookmarkEnd w:id="3326"/>
      <w:bookmarkEnd w:id="3333"/>
      <w:bookmarkEnd w:id="3334"/>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(other than a dependant of a kind referred to in</w:t>
      </w:r>
      <w:r>
        <w:t xml:space="preserve"> clause 1A</w:t>
      </w:r>
      <w:r>
        <w:rPr>
          <w:snapToGrid w:val="0"/>
        </w:rPr>
        <w:t>) but leaves a dependant (other than of a kind referred to in</w:t>
      </w:r>
      <w:r>
        <w:t xml:space="preserve"> clause 1A</w:t>
      </w:r>
      <w:r>
        <w:rPr>
          <w:snapToGrid w:val="0"/>
        </w:rPr>
        <w:t xml:space="preserve">) in part dependent on his earnings, such sum to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sum or the total of such sums, as the case requires, shall not exceed a sum equal to the notional residual entitlement.</w:t>
      </w:r>
    </w:p>
    <w:p>
      <w:pPr>
        <w:pStyle w:val="yFootnotesection"/>
        <w:keepLines w:val="0"/>
      </w:pPr>
      <w:r>
        <w:tab/>
        <w:t>[Clause 2 amended by No. 48 of 1993 s. 19(1) and 28(1); No. 42 of 2004 s. 141(2), 147 and 149.]</w:t>
      </w:r>
    </w:p>
    <w:p>
      <w:pPr>
        <w:pStyle w:val="yHeading5"/>
        <w:outlineLvl w:val="0"/>
        <w:rPr>
          <w:snapToGrid w:val="0"/>
        </w:rPr>
      </w:pPr>
      <w:bookmarkStart w:id="3335" w:name="_Toc517775440"/>
      <w:bookmarkStart w:id="3336" w:name="_Toc520107190"/>
      <w:bookmarkStart w:id="3337" w:name="_Toc523111812"/>
      <w:bookmarkStart w:id="3338" w:name="_Toc122833616"/>
      <w:bookmarkStart w:id="3339" w:name="_Toc122834183"/>
      <w:r>
        <w:rPr>
          <w:rStyle w:val="CharSClsNo"/>
        </w:rPr>
        <w:t>3</w:t>
      </w:r>
      <w:r>
        <w:rPr>
          <w:snapToGrid w:val="0"/>
        </w:rPr>
        <w:t>.</w:t>
      </w:r>
      <w:r>
        <w:rPr>
          <w:snapToGrid w:val="0"/>
        </w:rPr>
        <w:tab/>
        <w:t>Death — partial dependants who are children</w:t>
      </w:r>
      <w:bookmarkEnd w:id="3335"/>
      <w:bookmarkEnd w:id="3336"/>
      <w:bookmarkEnd w:id="3337"/>
      <w:bookmarkEnd w:id="3338"/>
      <w:bookmarkEnd w:id="3339"/>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but leaves a dependant of a kind referred to in</w:t>
      </w:r>
      <w:r>
        <w:t xml:space="preserve"> clause 1A</w:t>
      </w:r>
      <w:r>
        <w:rPr>
          <w:snapToGrid w:val="0"/>
        </w:rPr>
        <w:t xml:space="preserve">, partly dependent on his earnings, such weekly sum only for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weekly sum shall not in any case exceed the child’s allowance which would be payable weekly if the dependant were wholly dependent.</w:t>
      </w:r>
    </w:p>
    <w:p>
      <w:pPr>
        <w:pStyle w:val="yFootnotesection"/>
        <w:spacing w:before="80"/>
      </w:pPr>
      <w:r>
        <w:tab/>
        <w:t>[Clause 3 amended by No. 48 of 1993 s. 28(1); No. 42 of 2004 s. 141(3), 147 and 149.]</w:t>
      </w:r>
    </w:p>
    <w:p>
      <w:pPr>
        <w:pStyle w:val="yHeading5"/>
        <w:outlineLvl w:val="0"/>
        <w:rPr>
          <w:snapToGrid w:val="0"/>
        </w:rPr>
      </w:pPr>
      <w:bookmarkStart w:id="3340" w:name="_Toc517775441"/>
      <w:bookmarkStart w:id="3341" w:name="_Toc520107191"/>
      <w:bookmarkStart w:id="3342" w:name="_Toc523111813"/>
      <w:bookmarkStart w:id="3343" w:name="_Toc122833617"/>
      <w:bookmarkStart w:id="3344" w:name="_Toc122834184"/>
      <w:r>
        <w:rPr>
          <w:rStyle w:val="CharSClsNo"/>
        </w:rPr>
        <w:t>4</w:t>
      </w:r>
      <w:r>
        <w:rPr>
          <w:snapToGrid w:val="0"/>
        </w:rPr>
        <w:t>.</w:t>
      </w:r>
      <w:r>
        <w:rPr>
          <w:snapToGrid w:val="0"/>
        </w:rPr>
        <w:tab/>
        <w:t>Death — no dependant</w:t>
      </w:r>
      <w:bookmarkEnd w:id="3340"/>
      <w:bookmarkEnd w:id="3341"/>
      <w:bookmarkEnd w:id="3342"/>
      <w:bookmarkEnd w:id="3343"/>
      <w:bookmarkEnd w:id="3344"/>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leaves no dependant, the reasonable expenses of his medical attendance and also funeral expenses, including all cemetery board charges, but, in the case of funeral expenses, not exceeding the amount applying in accordance with section 5A, the cost of which may be awarded to and upon the application of any person by whom the expenses were properly incurred, or to whom the whole or any part of the expenses is owed.</w:t>
      </w:r>
    </w:p>
    <w:p>
      <w:pPr>
        <w:pStyle w:val="yFootnotesection"/>
        <w:spacing w:before="80"/>
      </w:pPr>
      <w:r>
        <w:tab/>
        <w:t>[Clause 4 amended by No. 34 of 1999 s. 53(a); No. 42 of 2004 s. 147.]</w:t>
      </w:r>
    </w:p>
    <w:p>
      <w:pPr>
        <w:pStyle w:val="yHeading5"/>
        <w:outlineLvl w:val="0"/>
        <w:rPr>
          <w:snapToGrid w:val="0"/>
        </w:rPr>
      </w:pPr>
      <w:bookmarkStart w:id="3345" w:name="_Toc517775442"/>
      <w:bookmarkStart w:id="3346" w:name="_Toc520107192"/>
      <w:bookmarkStart w:id="3347" w:name="_Toc523111814"/>
      <w:bookmarkStart w:id="3348" w:name="_Toc122833618"/>
      <w:bookmarkStart w:id="3349" w:name="_Toc122834185"/>
      <w:r>
        <w:rPr>
          <w:rStyle w:val="CharSClsNo"/>
        </w:rPr>
        <w:t>5</w:t>
      </w:r>
      <w:r>
        <w:rPr>
          <w:snapToGrid w:val="0"/>
        </w:rPr>
        <w:t>.</w:t>
      </w:r>
      <w:r>
        <w:rPr>
          <w:snapToGrid w:val="0"/>
        </w:rPr>
        <w:tab/>
        <w:t>Death — where not resulting from the injury but weekly payments had been made</w:t>
      </w:r>
      <w:bookmarkEnd w:id="3345"/>
      <w:bookmarkEnd w:id="3346"/>
      <w:bookmarkEnd w:id="3347"/>
      <w:bookmarkEnd w:id="3348"/>
      <w:bookmarkEnd w:id="3349"/>
    </w:p>
    <w:p>
      <w:pPr>
        <w:pStyle w:val="ySubsection"/>
        <w:rPr>
          <w:snapToGrid w:val="0"/>
        </w:rPr>
      </w:pPr>
      <w:r>
        <w:rPr>
          <w:snapToGrid w:val="0"/>
        </w:rPr>
        <w:tab/>
      </w:r>
      <w:r>
        <w:rPr>
          <w:snapToGrid w:val="0"/>
        </w:rPr>
        <w:tab/>
        <w:t>Where a worker has been in receipt of, or was entitled to receive, weekly payments for not less than 6 months immediately preceding his death</w:t>
      </w:r>
      <w:r>
        <w:t xml:space="preserve">, an order for redemption has not been made under section 67 and no memorandum of agreement for payment of a lump sum in redemption has been recorded under section 76, </w:t>
      </w:r>
      <w:r>
        <w:rPr>
          <w:snapToGrid w:val="0"/>
        </w:rPr>
        <w:t>and the worker dies but the death does not result from the</w:t>
      </w:r>
      <w:r>
        <w:t xml:space="preserve"> injury</w:t>
      </w:r>
      <w:r>
        <w:rPr>
          <w:snapToGrid w:val="0"/>
        </w:rPr>
        <w:t> — </w:t>
      </w:r>
    </w:p>
    <w:p>
      <w:pPr>
        <w:pStyle w:val="yIndenta"/>
        <w:rPr>
          <w:snapToGrid w:val="0"/>
        </w:rPr>
      </w:pPr>
      <w:r>
        <w:rPr>
          <w:snapToGrid w:val="0"/>
        </w:rPr>
        <w:tab/>
        <w:t>(1)</w:t>
      </w:r>
      <w:r>
        <w:rPr>
          <w:snapToGrid w:val="0"/>
        </w:rPr>
        <w:tab/>
        <w:t>and the worker leaves any spouse</w:t>
      </w:r>
      <w:r>
        <w:t>, de facto partner</w:t>
      </w:r>
      <w:r>
        <w:rPr>
          <w:snapToGrid w:val="0"/>
        </w:rPr>
        <w:t>, child, or step</w:t>
      </w:r>
      <w:r>
        <w:rPr>
          <w:snapToGrid w:val="0"/>
        </w:rPr>
        <w:noBreakHyphen/>
        <w:t>child wholly dependent upon his earnings — </w:t>
      </w:r>
    </w:p>
    <w:p>
      <w:pPr>
        <w:pStyle w:val="yIndenti0"/>
        <w:rPr>
          <w:snapToGrid w:val="0"/>
        </w:rPr>
      </w:pPr>
      <w:r>
        <w:rPr>
          <w:snapToGrid w:val="0"/>
        </w:rPr>
        <w:tab/>
        <w:t>(a)</w:t>
      </w:r>
      <w:r>
        <w:rPr>
          <w:snapToGrid w:val="0"/>
        </w:rPr>
        <w:tab/>
        <w:t>in respect of and for the benefit only of all those dependants — </w:t>
      </w:r>
    </w:p>
    <w:p>
      <w:pPr>
        <w:pStyle w:val="yIndentI"/>
        <w:rPr>
          <w:snapToGrid w:val="0"/>
        </w:rPr>
      </w:pPr>
      <w:r>
        <w:rPr>
          <w:snapToGrid w:val="0"/>
        </w:rPr>
        <w:tab/>
        <w:t>(i)</w:t>
      </w:r>
      <w:r>
        <w:rPr>
          <w:snapToGrid w:val="0"/>
        </w:rPr>
        <w:tab/>
        <w:t xml:space="preserve">the amount, if any, which would have been payable as a lump sum if </w:t>
      </w:r>
      <w:r>
        <w:t>an arbitrator</w:t>
      </w:r>
      <w:r>
        <w:rPr>
          <w:snapToGrid w:val="0"/>
        </w:rPr>
        <w:t xml:space="preserve"> had ordered redemption pursuant to section 67 immediately before the worker’s death; or</w:t>
      </w:r>
    </w:p>
    <w:p>
      <w:pPr>
        <w:pStyle w:val="yIndentI"/>
        <w:rPr>
          <w:snapToGrid w:val="0"/>
        </w:rPr>
      </w:pPr>
      <w:r>
        <w:rPr>
          <w:snapToGrid w:val="0"/>
        </w:rPr>
        <w:tab/>
        <w:t>(ii)</w:t>
      </w:r>
      <w:r>
        <w:rPr>
          <w:snapToGrid w:val="0"/>
        </w:rPr>
        <w:tab/>
        <w:t>the aggregate of weekly payments for total incapacity of the worker at a rate calculated and varied as at the date of the worker’s death for a period of one year after the worker’s death,</w:t>
      </w:r>
    </w:p>
    <w:p>
      <w:pPr>
        <w:pStyle w:val="yIndenti0"/>
        <w:rPr>
          <w:snapToGrid w:val="0"/>
        </w:rPr>
      </w:pPr>
      <w:r>
        <w:rPr>
          <w:snapToGrid w:val="0"/>
        </w:rPr>
        <w:tab/>
      </w:r>
      <w:r>
        <w:rPr>
          <w:snapToGrid w:val="0"/>
        </w:rPr>
        <w:tab/>
        <w:t>whichever is the greater;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financial losses of support suffered by them, which apportionment is to be determined by</w:t>
      </w:r>
      <w:r>
        <w:t xml:space="preserve"> an arbitrator</w:t>
      </w:r>
      <w:r>
        <w:rPr>
          <w:snapToGrid w:val="0"/>
        </w:rPr>
        <w:t>;</w:t>
      </w:r>
    </w:p>
    <w:p>
      <w:pPr>
        <w:pStyle w:val="yIndenta"/>
        <w:rPr>
          <w:snapToGrid w:val="0"/>
        </w:rPr>
      </w:pPr>
      <w:r>
        <w:rPr>
          <w:snapToGrid w:val="0"/>
        </w:rPr>
        <w:tab/>
        <w:t>(2)</w:t>
      </w:r>
      <w:r>
        <w:rPr>
          <w:snapToGrid w:val="0"/>
        </w:rPr>
        <w:tab/>
        <w:t>and if the worker does not leave any spouse</w:t>
      </w:r>
      <w:r>
        <w:t>, de facto partner</w:t>
      </w:r>
      <w:r>
        <w:rPr>
          <w:snapToGrid w:val="0"/>
        </w:rPr>
        <w:t>, child, or step</w:t>
      </w:r>
      <w:r>
        <w:rPr>
          <w:snapToGrid w:val="0"/>
        </w:rPr>
        <w:noBreakHyphen/>
        <w:t>child wholly dependent upon, or supported by, his earnings but leaves any spouse</w:t>
      </w:r>
      <w:r>
        <w:t>, de facto partner</w:t>
      </w:r>
      <w:r>
        <w:rPr>
          <w:snapToGrid w:val="0"/>
        </w:rPr>
        <w:t>, child or step</w:t>
      </w:r>
      <w:r>
        <w:rPr>
          <w:snapToGrid w:val="0"/>
        </w:rPr>
        <w:noBreakHyphen/>
        <w:t>child in part dependent upon his earnings — </w:t>
      </w:r>
    </w:p>
    <w:p>
      <w:pPr>
        <w:pStyle w:val="yIndenti0"/>
        <w:rPr>
          <w:snapToGrid w:val="0"/>
        </w:rPr>
      </w:pPr>
      <w:r>
        <w:rPr>
          <w:snapToGrid w:val="0"/>
        </w:rPr>
        <w:tab/>
        <w:t>(a)</w:t>
      </w:r>
      <w:r>
        <w:rPr>
          <w:snapToGrid w:val="0"/>
        </w:rPr>
        <w:tab/>
        <w:t>in respect of and for the benefit only of all those dependants — </w:t>
      </w:r>
    </w:p>
    <w:p>
      <w:pPr>
        <w:pStyle w:val="yIndentI"/>
        <w:rPr>
          <w:snapToGrid w:val="0"/>
        </w:rPr>
      </w:pPr>
      <w:r>
        <w:rPr>
          <w:snapToGrid w:val="0"/>
        </w:rPr>
        <w:tab/>
        <w:t>(i)</w:t>
      </w:r>
      <w:r>
        <w:rPr>
          <w:snapToGrid w:val="0"/>
        </w:rPr>
        <w:tab/>
        <w:t>such sum as may be agreed upon, or in default of agreement, may be determined by proceedings under this Act, to be reasonable and proportionate to the total of the loss of any necessary financial support suffered by all those dependants; or</w:t>
      </w:r>
    </w:p>
    <w:p>
      <w:pPr>
        <w:pStyle w:val="yIndentI"/>
        <w:rPr>
          <w:snapToGrid w:val="0"/>
        </w:rPr>
      </w:pPr>
      <w:r>
        <w:rPr>
          <w:snapToGrid w:val="0"/>
        </w:rPr>
        <w:tab/>
        <w:t>(ii)</w:t>
      </w:r>
      <w:r>
        <w:rPr>
          <w:snapToGrid w:val="0"/>
        </w:rPr>
        <w:tab/>
        <w:t>the amount which would have been payable if subclause (1) applied,</w:t>
      </w:r>
    </w:p>
    <w:p>
      <w:pPr>
        <w:pStyle w:val="yIndenti0"/>
        <w:rPr>
          <w:snapToGrid w:val="0"/>
        </w:rPr>
      </w:pPr>
      <w:r>
        <w:rPr>
          <w:snapToGrid w:val="0"/>
        </w:rPr>
        <w:tab/>
      </w:r>
      <w:r>
        <w:rPr>
          <w:snapToGrid w:val="0"/>
        </w:rPr>
        <w:tab/>
        <w:t>whichever is the less,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losses of any necessary financial support suffered by them, which apportionment is to be determined by</w:t>
      </w:r>
      <w:r>
        <w:t xml:space="preserve"> an arbitrator</w:t>
      </w:r>
      <w:r>
        <w:rPr>
          <w:snapToGrid w:val="0"/>
        </w:rPr>
        <w:t>.</w:t>
      </w:r>
    </w:p>
    <w:p>
      <w:pPr>
        <w:pStyle w:val="yFootnotesection"/>
        <w:keepLines w:val="0"/>
      </w:pPr>
      <w:r>
        <w:tab/>
        <w:t>[Clause 5 amended by No. 48 of 1993 s. 19(1) and 28(1); No. 33 of 1999 s. 8; No. 28 of 2003 s. 215(b) and (c); No. 42 of 2004 s. 141(4), 147 and 149; No. 16 of 2005 s. 29.]</w:t>
      </w:r>
    </w:p>
    <w:p>
      <w:pPr>
        <w:pStyle w:val="yEdnotesection"/>
      </w:pPr>
      <w:r>
        <w:t>[</w:t>
      </w:r>
      <w:r>
        <w:rPr>
          <w:b/>
        </w:rPr>
        <w:t>6.</w:t>
      </w:r>
      <w:r>
        <w:rPr>
          <w:b/>
        </w:rPr>
        <w:tab/>
      </w:r>
      <w:r>
        <w:t>Repealed by No. 34 of 1999 s. 53(b).]</w:t>
      </w:r>
    </w:p>
    <w:p>
      <w:pPr>
        <w:pStyle w:val="yHeading5"/>
        <w:outlineLvl w:val="0"/>
        <w:rPr>
          <w:snapToGrid w:val="0"/>
        </w:rPr>
      </w:pPr>
      <w:bookmarkStart w:id="3350" w:name="_Toc517775443"/>
      <w:bookmarkStart w:id="3351" w:name="_Toc520107193"/>
      <w:bookmarkStart w:id="3352" w:name="_Toc523111815"/>
      <w:bookmarkStart w:id="3353" w:name="_Toc122833619"/>
      <w:bookmarkStart w:id="3354" w:name="_Toc122834186"/>
      <w:r>
        <w:rPr>
          <w:rStyle w:val="CharSClsNo"/>
        </w:rPr>
        <w:t>7</w:t>
      </w:r>
      <w:r>
        <w:rPr>
          <w:snapToGrid w:val="0"/>
        </w:rPr>
        <w:t>.</w:t>
      </w:r>
      <w:r>
        <w:rPr>
          <w:snapToGrid w:val="0"/>
        </w:rPr>
        <w:tab/>
        <w:t>Amount of compensation in case of total or partial incapacity</w:t>
      </w:r>
      <w:bookmarkEnd w:id="3350"/>
      <w:bookmarkEnd w:id="3351"/>
      <w:bookmarkEnd w:id="3352"/>
      <w:bookmarkEnd w:id="3353"/>
      <w:bookmarkEnd w:id="3354"/>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w:t>
      </w:r>
      <w:r>
        <w:rPr>
          <w:snapToGrid w:val="0"/>
        </w:rPr>
        <w:t>.</w:t>
      </w:r>
    </w:p>
    <w:p>
      <w:pPr>
        <w:pStyle w:val="ySubsection"/>
        <w:rPr>
          <w:snapToGrid w:val="0"/>
        </w:rPr>
      </w:pPr>
      <w:r>
        <w:rPr>
          <w:snapToGrid w:val="0"/>
        </w:rPr>
        <w:tab/>
        <w:t>(5)</w:t>
      </w:r>
      <w:r>
        <w:rPr>
          <w:snapToGrid w:val="0"/>
        </w:rPr>
        <w:tab/>
        <w:t>Unless otherwise authorised by</w:t>
      </w:r>
      <w:r>
        <w:t xml:space="preserve"> WorkCover WA</w:t>
      </w:r>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by No. 85 of 1986 s. 12(1)(a); No. 48 of 1993 s. 28(1); No. 34 of 1999 s. 32(12); No. 42 of 2004 s. 141(5), (6), 146, 147, 149, 150 and 154(4).]</w:t>
      </w:r>
    </w:p>
    <w:p>
      <w:pPr>
        <w:pStyle w:val="yHeading5"/>
        <w:outlineLvl w:val="0"/>
        <w:rPr>
          <w:snapToGrid w:val="0"/>
        </w:rPr>
      </w:pPr>
      <w:bookmarkStart w:id="3355" w:name="_Toc517775444"/>
      <w:bookmarkStart w:id="3356" w:name="_Toc520107194"/>
      <w:bookmarkStart w:id="3357" w:name="_Toc523111816"/>
      <w:bookmarkStart w:id="3358" w:name="_Toc122833620"/>
      <w:bookmarkStart w:id="3359" w:name="_Toc122834187"/>
      <w:r>
        <w:rPr>
          <w:rStyle w:val="CharSClsNo"/>
        </w:rPr>
        <w:t>8</w:t>
      </w:r>
      <w:r>
        <w:rPr>
          <w:snapToGrid w:val="0"/>
        </w:rPr>
        <w:t>.</w:t>
      </w:r>
      <w:r>
        <w:rPr>
          <w:snapToGrid w:val="0"/>
        </w:rPr>
        <w:tab/>
        <w:t>Deemed total incapacity</w:t>
      </w:r>
      <w:bookmarkEnd w:id="3355"/>
      <w:bookmarkEnd w:id="3356"/>
      <w:bookmarkEnd w:id="3357"/>
      <w:bookmarkEnd w:id="3358"/>
      <w:bookmarkEnd w:id="3359"/>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by No. 42 of 2004 s. 141(7) and 147.]</w:t>
      </w:r>
    </w:p>
    <w:p>
      <w:pPr>
        <w:pStyle w:val="yHeading5"/>
        <w:outlineLvl w:val="0"/>
        <w:rPr>
          <w:snapToGrid w:val="0"/>
        </w:rPr>
      </w:pPr>
      <w:bookmarkStart w:id="3360" w:name="_Toc517775445"/>
      <w:bookmarkStart w:id="3361" w:name="_Toc520107195"/>
      <w:bookmarkStart w:id="3362" w:name="_Toc523111817"/>
      <w:bookmarkStart w:id="3363" w:name="_Toc122833621"/>
      <w:bookmarkStart w:id="3364" w:name="_Toc122834188"/>
      <w:r>
        <w:rPr>
          <w:rStyle w:val="CharSClsNo"/>
        </w:rPr>
        <w:t>9</w:t>
      </w:r>
      <w:r>
        <w:rPr>
          <w:snapToGrid w:val="0"/>
        </w:rPr>
        <w:t>.</w:t>
      </w:r>
      <w:r>
        <w:rPr>
          <w:snapToGrid w:val="0"/>
        </w:rPr>
        <w:tab/>
        <w:t>No incapacity — medical expenses</w:t>
      </w:r>
      <w:bookmarkEnd w:id="3360"/>
      <w:bookmarkEnd w:id="3361"/>
      <w:bookmarkEnd w:id="3362"/>
      <w:bookmarkEnd w:id="3363"/>
      <w:bookmarkEnd w:id="3364"/>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by No. 42 of 2004 s. 141(8) and 147.]</w:t>
      </w:r>
    </w:p>
    <w:p>
      <w:pPr>
        <w:pStyle w:val="yHeading5"/>
        <w:outlineLvl w:val="0"/>
        <w:rPr>
          <w:snapToGrid w:val="0"/>
        </w:rPr>
      </w:pPr>
      <w:bookmarkStart w:id="3365" w:name="_Toc517775446"/>
      <w:bookmarkStart w:id="3366" w:name="_Toc520107196"/>
      <w:bookmarkStart w:id="3367" w:name="_Toc523111818"/>
      <w:bookmarkStart w:id="3368" w:name="_Toc122833622"/>
      <w:bookmarkStart w:id="3369" w:name="_Toc122834189"/>
      <w:r>
        <w:rPr>
          <w:rStyle w:val="CharSClsNo"/>
        </w:rPr>
        <w:t>10</w:t>
      </w:r>
      <w:r>
        <w:rPr>
          <w:snapToGrid w:val="0"/>
        </w:rPr>
        <w:t>.</w:t>
      </w:r>
      <w:r>
        <w:rPr>
          <w:snapToGrid w:val="0"/>
        </w:rPr>
        <w:tab/>
        <w:t>Absence from work for medical attendance</w:t>
      </w:r>
      <w:bookmarkEnd w:id="3365"/>
      <w:bookmarkEnd w:id="3366"/>
      <w:bookmarkEnd w:id="3367"/>
      <w:bookmarkEnd w:id="3368"/>
      <w:bookmarkEnd w:id="3369"/>
      <w:r>
        <w:rPr>
          <w:snapToGrid w:val="0"/>
        </w:rPr>
        <w:t xml:space="preserve"> </w:t>
      </w:r>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outlineLvl w:val="0"/>
        <w:rPr>
          <w:snapToGrid w:val="0"/>
        </w:rPr>
      </w:pPr>
      <w:bookmarkStart w:id="3370" w:name="_Toc517775447"/>
      <w:bookmarkStart w:id="3371" w:name="_Toc520107197"/>
      <w:bookmarkStart w:id="3372" w:name="_Toc523111819"/>
      <w:bookmarkStart w:id="3373" w:name="_Toc122833623"/>
      <w:bookmarkStart w:id="3374" w:name="_Toc122834190"/>
      <w:r>
        <w:rPr>
          <w:rStyle w:val="CharSClsNo"/>
        </w:rPr>
        <w:t>11</w:t>
      </w:r>
      <w:r>
        <w:rPr>
          <w:snapToGrid w:val="0"/>
        </w:rPr>
        <w:t>.</w:t>
      </w:r>
      <w:r>
        <w:rPr>
          <w:snapToGrid w:val="0"/>
        </w:rPr>
        <w:tab/>
        <w:t>Weekly earnings</w:t>
      </w:r>
      <w:bookmarkEnd w:id="3370"/>
      <w:bookmarkEnd w:id="3371"/>
      <w:bookmarkEnd w:id="3372"/>
      <w:bookmarkEnd w:id="3373"/>
      <w:bookmarkEnd w:id="3374"/>
    </w:p>
    <w:p>
      <w:pPr>
        <w:pStyle w:val="ySubsection"/>
        <w:rPr>
          <w:snapToGrid w:val="0"/>
        </w:rPr>
      </w:pPr>
      <w:r>
        <w:rPr>
          <w:snapToGrid w:val="0"/>
        </w:rPr>
        <w:tab/>
        <w:t>(1)</w:t>
      </w:r>
      <w:r>
        <w:rPr>
          <w:snapToGrid w:val="0"/>
        </w:rPr>
        <w:tab/>
        <w:t xml:space="preserve">Subject to clauses 12 to 16, for the purposes of this Schedule </w:t>
      </w:r>
      <w:r>
        <w:rPr>
          <w:b/>
          <w:snapToGrid w:val="0"/>
        </w:rPr>
        <w:t>“</w:t>
      </w:r>
      <w:r>
        <w:rPr>
          <w:rStyle w:val="CharDefText"/>
        </w:rPr>
        <w:t>weekly earnings</w:t>
      </w:r>
      <w:r>
        <w:rPr>
          <w:b/>
          <w:snapToGrid w:val="0"/>
        </w:rPr>
        <w:t>”</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t>“</w:t>
      </w:r>
      <w:r>
        <w:rPr>
          <w:rStyle w:val="CharDefText"/>
        </w:rPr>
        <w:t>Amount A</w:t>
      </w:r>
      <w:r>
        <w:rPr>
          <w:b/>
        </w:rPr>
        <w:t>”</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w:t>
      </w:r>
    </w:p>
    <w:p>
      <w:pPr>
        <w:pStyle w:val="yDefpara"/>
      </w:pPr>
      <w:r>
        <w:tab/>
        <w:t>(b)</w:t>
      </w:r>
      <w:r>
        <w:tab/>
        <w:t>overtime; and</w:t>
      </w:r>
    </w:p>
    <w:p>
      <w:pPr>
        <w:pStyle w:val="yDefpara"/>
      </w:pPr>
      <w:r>
        <w:tab/>
        <w:t>(c)</w:t>
      </w:r>
      <w:r>
        <w:tab/>
        <w:t>any bonus or allowance;</w:t>
      </w:r>
    </w:p>
    <w:p>
      <w:pPr>
        <w:pStyle w:val="yDefstart"/>
      </w:pPr>
      <w:r>
        <w:rPr>
          <w:b/>
        </w:rPr>
        <w:tab/>
        <w:t>“</w:t>
      </w:r>
      <w:r>
        <w:rPr>
          <w:rStyle w:val="CharDefText"/>
        </w:rPr>
        <w:t>Amount Aa</w:t>
      </w:r>
      <w:r>
        <w:rPr>
          <w:b/>
        </w:rPr>
        <w:t>”</w:t>
      </w:r>
      <w:r>
        <w:t xml:space="preserve"> means the rate of weekly earnings payable, at the time of the incapacity, for the appropriate classification under the relevant industrial award, or which would have been payable if the relevant industrial award were still in operation, plus — </w:t>
      </w:r>
    </w:p>
    <w:p>
      <w:pPr>
        <w:pStyle w:val="yDefpara"/>
      </w:pPr>
      <w:r>
        <w:tab/>
        <w:t>(a)</w:t>
      </w:r>
      <w:r>
        <w:tab/>
        <w:t xml:space="preserve">any over award or service payments paid on a regular basis as part of the worker’s earnings; </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outlineLvl w:val="0"/>
      </w:pPr>
      <w:r>
        <w:rPr>
          <w:b/>
        </w:rPr>
        <w:tab/>
        <w:t>“</w:t>
      </w:r>
      <w:r>
        <w:rPr>
          <w:rStyle w:val="CharDefText"/>
        </w:rPr>
        <w:t>Amount B</w:t>
      </w:r>
      <w:r>
        <w:rPr>
          <w:b/>
        </w:rPr>
        <w:t>”</w:t>
      </w:r>
      <w:r>
        <w:t xml:space="preserve"> means — </w:t>
      </w:r>
    </w:p>
    <w:p>
      <w:pPr>
        <w:pStyle w:val="yDefpara"/>
      </w:pPr>
      <w:r>
        <w:tab/>
        <w:t>(a)</w:t>
      </w:r>
      <w:r>
        <w:tab/>
        <w:t xml:space="preserve">in the case of a director who is a worker for a company other than a company that is exempt under section 164 —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Defpara"/>
      </w:pPr>
      <w:r>
        <w:tab/>
        <w:t>(b)</w:t>
      </w:r>
      <w:r>
        <w:tab/>
        <w:t>in the case of a director who is a worker for a company that is exempt under section 164, the average weekly earnings of the director determined under subclause (2b);</w:t>
      </w:r>
    </w:p>
    <w:p>
      <w:pPr>
        <w:pStyle w:val="yDefpara"/>
      </w:pPr>
      <w:r>
        <w:tab/>
      </w:r>
      <w:r>
        <w:tab/>
        <w:t>and</w:t>
      </w:r>
    </w:p>
    <w:p>
      <w:pPr>
        <w:pStyle w:val="yDefpara"/>
      </w:pPr>
      <w:r>
        <w:tab/>
        <w:t>(c)</w:t>
      </w:r>
      <w:r>
        <w:tab/>
        <w:t>in any other case,</w:t>
      </w:r>
    </w:p>
    <w:p>
      <w:pPr>
        <w:pStyle w:val="yDefstart"/>
        <w:keepNext/>
      </w:pPr>
      <w:r>
        <w:tab/>
      </w:r>
      <w:r>
        <w:tab/>
        <w:t>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keepNext/>
      </w:pPr>
      <w:r>
        <w:rPr>
          <w:b/>
        </w:rPr>
        <w:tab/>
        <w:t>“</w:t>
      </w:r>
      <w:r>
        <w:rPr>
          <w:rStyle w:val="CharDefText"/>
        </w:rPr>
        <w:t>Amount C</w:t>
      </w:r>
      <w:r>
        <w:rPr>
          <w:b/>
        </w:rPr>
        <w:t>”</w:t>
      </w:r>
      <w:r>
        <w:t xml:space="preserve"> means, during a financial year —</w:t>
      </w:r>
    </w:p>
    <w:p>
      <w:pPr>
        <w:pStyle w:val="yDefpara"/>
      </w:pPr>
      <w:r>
        <w:tab/>
        <w:t>(a)</w:t>
      </w:r>
      <w:r>
        <w:tab/>
        <w:t>the amount obtained by multiplying by 2 the average of the amounts that the Australian Statistician published as the all employees average weekly total earnings in Western Australia for pay periods ending in the months of May, August, November and February preceding the financial year; or</w:t>
      </w:r>
    </w:p>
    <w:p>
      <w:pPr>
        <w:pStyle w:val="yDefpara"/>
      </w:pPr>
      <w:r>
        <w:tab/>
        <w:t>(b)</w:t>
      </w:r>
      <w:r>
        <w:tab/>
        <w:t>if any relevant amount of earnings is not published, the amount obtained by varying Amount C for the preceding financial year in accordance with the regulations;</w:t>
      </w:r>
    </w:p>
    <w:p>
      <w:pPr>
        <w:pStyle w:val="NotesPerm"/>
        <w:tabs>
          <w:tab w:val="clear" w:pos="879"/>
          <w:tab w:val="left" w:pos="1701"/>
        </w:tabs>
        <w:ind w:left="1701" w:hanging="708"/>
        <w:rPr>
          <w:sz w:val="20"/>
        </w:rPr>
      </w:pPr>
      <w:r>
        <w:rPr>
          <w:sz w:val="20"/>
        </w:rPr>
        <w:t>Note:</w:t>
      </w:r>
      <w:r>
        <w:rPr>
          <w:sz w:val="20"/>
        </w:rPr>
        <w:tab/>
        <w:t>During the financial year ending on 30 June 2000 Amount C is $852.52.</w:t>
      </w:r>
    </w:p>
    <w:p>
      <w:pPr>
        <w:pStyle w:val="yDefstart"/>
      </w:pPr>
      <w:r>
        <w:rPr>
          <w:b/>
        </w:rPr>
        <w:tab/>
        <w:t>“</w:t>
      </w:r>
      <w:r>
        <w:rPr>
          <w:rStyle w:val="CharDefText"/>
        </w:rPr>
        <w:t>Amount D</w:t>
      </w:r>
      <w:r>
        <w:rPr>
          <w:b/>
        </w:rPr>
        <w:t>”</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t>“</w:t>
      </w:r>
      <w:r>
        <w:rPr>
          <w:rStyle w:val="CharDefText"/>
        </w:rPr>
        <w:t>Amount E</w:t>
      </w:r>
      <w:r>
        <w:rPr>
          <w:b/>
        </w:rPr>
        <w:t>”</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t>“</w:t>
      </w:r>
      <w:r>
        <w:rPr>
          <w:rStyle w:val="CharDefText"/>
        </w:rPr>
        <w:t>bonus or allowance</w:t>
      </w:r>
      <w:r>
        <w:rPr>
          <w:b/>
        </w:rPr>
        <w:t>”</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t>“</w:t>
      </w:r>
      <w:r>
        <w:rPr>
          <w:rStyle w:val="CharDefText"/>
        </w:rPr>
        <w:t>earnings</w:t>
      </w:r>
      <w:r>
        <w:rPr>
          <w:b/>
        </w:rPr>
        <w:t>”</w:t>
      </w:r>
      <w:r>
        <w:t xml:space="preserve"> includes wages, salary and other remuneration;</w:t>
      </w:r>
    </w:p>
    <w:p>
      <w:pPr>
        <w:pStyle w:val="yDefstart"/>
      </w:pPr>
      <w:r>
        <w:rPr>
          <w:b/>
        </w:rPr>
        <w:tab/>
        <w:t>“</w:t>
      </w:r>
      <w:r>
        <w:rPr>
          <w:rStyle w:val="CharDefText"/>
        </w:rPr>
        <w:t>overtime</w:t>
      </w:r>
      <w:r>
        <w:rPr>
          <w:b/>
        </w:rPr>
        <w:t>”</w:t>
      </w:r>
      <w:r>
        <w:t xml:space="preserve"> means any payment for the hours in excess of the number of ordinary hours which constitute a week’s work.</w:t>
      </w:r>
    </w:p>
    <w:p>
      <w:pPr>
        <w:pStyle w:val="ySubsection"/>
      </w:pPr>
      <w:r>
        <w:tab/>
        <w:t>(2a)</w:t>
      </w:r>
      <w:r>
        <w:tab/>
        <w:t xml:space="preserve">For the purposes of paragraph (a)(ii) of the definition of “Amount B” the average weekly earnings of a director of a company are to be determined — </w:t>
      </w:r>
    </w:p>
    <w:p>
      <w:pPr>
        <w:pStyle w:val="yIndenta"/>
      </w:pPr>
      <w:r>
        <w:tab/>
        <w:t>(a)</w:t>
      </w:r>
      <w:r>
        <w:tab/>
        <w:t xml:space="preserve">if the director has been a director of the company for a period of less than one year, by averaging the earnings paid to the director by the company over that period ending on the day before the injury occurs as a worker of the company; </w:t>
      </w:r>
    </w:p>
    <w:p>
      <w:pPr>
        <w:pStyle w:val="yIndenta"/>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(2b)</w:t>
      </w:r>
      <w:r>
        <w:tab/>
        <w:t xml:space="preserve">For the purposes of paragraph (b) of the definition of “Amount B” the average weekly earnings of a director of a company are to be determined — </w:t>
      </w:r>
    </w:p>
    <w:p>
      <w:pPr>
        <w:pStyle w:val="yIndenta"/>
      </w:pPr>
      <w:r>
        <w:tab/>
        <w:t>(a)</w:t>
      </w:r>
      <w:r>
        <w:tab/>
        <w:t xml:space="preserve">if the director has been a director of the company for a period of less than one year, by averaging the earnings paid to the director by the company over that period ending on the day before the injury occurs as a worker of the company; </w:t>
      </w:r>
    </w:p>
    <w:p>
      <w:pPr>
        <w:pStyle w:val="yIndenta"/>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 </w:t>
      </w:r>
    </w:p>
    <w:p>
      <w:pPr>
        <w:pStyle w:val="yIndenta"/>
        <w:rPr>
          <w:snapToGrid w:val="0"/>
        </w:rPr>
      </w:pPr>
      <w:r>
        <w:rPr>
          <w:snapToGrid w:val="0"/>
        </w:rPr>
        <w:tab/>
        <w:t>(a)</w:t>
      </w:r>
      <w:r>
        <w:rPr>
          <w:snapToGrid w:val="0"/>
        </w:rPr>
        <w:tab/>
        <w:t xml:space="preserve">for the 1st to the </w:t>
      </w:r>
      <w:r>
        <w:t xml:space="preserve">13th </w:t>
      </w:r>
      <w:r>
        <w:rPr>
          <w:snapToGrid w:val="0"/>
        </w:rPr>
        <w:t>weekly payments:  Amount A but not more than Amount C or less than Amount D;</w:t>
      </w:r>
    </w:p>
    <w:p>
      <w:pPr>
        <w:pStyle w:val="yIndenta"/>
        <w:rPr>
          <w:snapToGrid w:val="0"/>
        </w:rPr>
      </w:pPr>
      <w:r>
        <w:rPr>
          <w:snapToGrid w:val="0"/>
        </w:rPr>
        <w:tab/>
        <w:t>(b)</w:t>
      </w:r>
      <w:r>
        <w:rPr>
          <w:snapToGrid w:val="0"/>
        </w:rPr>
        <w:tab/>
        <w:t xml:space="preserve">for weekly payments after the </w:t>
      </w:r>
      <w:r>
        <w:t>13th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 xml:space="preserve">In the case of a worker to whom subclause (3) does not apply, weekly earnings are — </w:t>
      </w:r>
    </w:p>
    <w:p>
      <w:pPr>
        <w:pStyle w:val="yIndenta"/>
        <w:rPr>
          <w:snapToGrid w:val="0"/>
        </w:rPr>
      </w:pPr>
      <w:r>
        <w:rPr>
          <w:snapToGrid w:val="0"/>
        </w:rPr>
        <w:tab/>
        <w:t>(a)</w:t>
      </w:r>
      <w:r>
        <w:rPr>
          <w:snapToGrid w:val="0"/>
        </w:rPr>
        <w:tab/>
        <w:t xml:space="preserve">for the 1st to the </w:t>
      </w:r>
      <w:r>
        <w:t>13th</w:t>
      </w:r>
      <w:r>
        <w:rPr>
          <w:snapToGrid w:val="0"/>
        </w:rPr>
        <w:t xml:space="preserve"> weekly payments:  Amount B but not more than Amount C or less than Amount E;</w:t>
      </w:r>
    </w:p>
    <w:p>
      <w:pPr>
        <w:pStyle w:val="yIndenta"/>
        <w:rPr>
          <w:snapToGrid w:val="0"/>
        </w:rPr>
      </w:pPr>
      <w:r>
        <w:rPr>
          <w:snapToGrid w:val="0"/>
        </w:rPr>
        <w:tab/>
        <w:t>(b)</w:t>
      </w:r>
      <w:r>
        <w:rPr>
          <w:snapToGrid w:val="0"/>
        </w:rPr>
        <w:tab/>
        <w:t xml:space="preserve">for weekly payments after the </w:t>
      </w:r>
      <w:r>
        <w:t>13th</w:t>
      </w:r>
      <w:r>
        <w:rPr>
          <w:snapToGrid w:val="0"/>
        </w:rPr>
        <w:t>:  85% of Amount B, or a lesser amount determined in accordance with the regulations, but not more than Amount C or less than Amount E.</w:t>
      </w:r>
    </w:p>
    <w:p>
      <w:pPr>
        <w:pStyle w:val="ySubsection"/>
        <w:spacing w:before="100"/>
      </w:pPr>
      <w:r>
        <w:tab/>
        <w:t>(5)</w:t>
      </w:r>
      <w:r>
        <w:tab/>
        <w:t xml:space="preserve">Subject to subclause (6) — </w:t>
      </w:r>
    </w:p>
    <w:p>
      <w:pPr>
        <w:pStyle w:val="yIndenta"/>
        <w:rPr>
          <w:snapToGrid w:val="0"/>
        </w:rPr>
      </w:pPr>
      <w:r>
        <w:rPr>
          <w:snapToGrid w:val="0"/>
        </w:rPr>
        <w:tab/>
        <w:t>(a)</w:t>
      </w:r>
      <w:r>
        <w:rPr>
          <w:snapToGrid w:val="0"/>
        </w:rPr>
        <w:tab/>
        <w:t>the references in the definition of Amount A in subclause (2) to overtime and any bonus or allowances; and</w:t>
      </w:r>
    </w:p>
    <w:p>
      <w:pPr>
        <w:pStyle w:val="yIndenta"/>
        <w:rPr>
          <w:snapToGrid w:val="0"/>
        </w:rPr>
      </w:pPr>
      <w:r>
        <w:rPr>
          <w:snapToGrid w:val="0"/>
        </w:rPr>
        <w:tab/>
        <w:t>(b)</w:t>
      </w:r>
      <w:r>
        <w:rPr>
          <w:snapToGrid w:val="0"/>
        </w:rPr>
        <w:tab/>
        <w:t>the references in the definition of Amount Aa in subclause (2) to allowances,</w:t>
      </w:r>
    </w:p>
    <w:p>
      <w:pPr>
        <w:pStyle w:val="ySubsection"/>
        <w:spacing w:before="100"/>
      </w:pPr>
      <w:r>
        <w:tab/>
      </w:r>
      <w:r>
        <w:tab/>
        <w:t>are references to those items averaged over the period of 13 weeks ending at the date of incapacity.</w:t>
      </w:r>
    </w:p>
    <w:p>
      <w:pPr>
        <w:pStyle w:val="ySubsection"/>
        <w:spacing w:before="100"/>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0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13th,</w:t>
      </w:r>
      <w:r>
        <w:rPr>
          <w:snapToGrid w:val="0"/>
        </w:rPr>
        <w:t xml:space="preserve"> 26th or 52nd, or after such other numbers of weekly payments as are prescribed.</w:t>
      </w:r>
    </w:p>
    <w:p>
      <w:pPr>
        <w:pStyle w:val="yFootnotesection"/>
      </w:pPr>
      <w:r>
        <w:tab/>
        <w:t>[Clause 11 inserted by No. 34 of 1994 s. 32(13); amended by No. 42 of 2004 s. 141(9)</w:t>
      </w:r>
      <w:r>
        <w:noBreakHyphen/>
        <w:t>(14) and 147; No. 16 of 2005 s. 15.]</w:t>
      </w:r>
    </w:p>
    <w:p>
      <w:pPr>
        <w:pStyle w:val="yEdnotesection"/>
      </w:pPr>
      <w:r>
        <w:t>[</w:t>
      </w:r>
      <w:r>
        <w:rPr>
          <w:b/>
        </w:rPr>
        <w:t>11A.</w:t>
      </w:r>
      <w:r>
        <w:tab/>
      </w:r>
      <w:r>
        <w:tab/>
        <w:t>Repealed by No. 34 of 1999 s. 32(13).]</w:t>
      </w:r>
    </w:p>
    <w:p>
      <w:pPr>
        <w:pStyle w:val="yHeading5"/>
        <w:outlineLvl w:val="0"/>
        <w:rPr>
          <w:snapToGrid w:val="0"/>
        </w:rPr>
      </w:pPr>
      <w:bookmarkStart w:id="3375" w:name="_Toc517775448"/>
      <w:bookmarkStart w:id="3376" w:name="_Toc520107198"/>
      <w:bookmarkStart w:id="3377" w:name="_Toc523111820"/>
      <w:bookmarkStart w:id="3378" w:name="_Toc122833624"/>
      <w:bookmarkStart w:id="3379" w:name="_Toc122834191"/>
      <w:r>
        <w:rPr>
          <w:rStyle w:val="CharSClsNo"/>
        </w:rPr>
        <w:t>12</w:t>
      </w:r>
      <w:r>
        <w:rPr>
          <w:snapToGrid w:val="0"/>
        </w:rPr>
        <w:t>.</w:t>
      </w:r>
      <w:r>
        <w:rPr>
          <w:snapToGrid w:val="0"/>
        </w:rPr>
        <w:tab/>
        <w:t>Part</w:t>
      </w:r>
      <w:r>
        <w:rPr>
          <w:snapToGrid w:val="0"/>
        </w:rPr>
        <w:noBreakHyphen/>
        <w:t>time worker</w:t>
      </w:r>
      <w:bookmarkEnd w:id="3375"/>
      <w:bookmarkEnd w:id="3376"/>
      <w:bookmarkEnd w:id="3377"/>
      <w:bookmarkEnd w:id="3378"/>
      <w:bookmarkEnd w:id="3379"/>
    </w:p>
    <w:p>
      <w:pPr>
        <w:pStyle w:val="ySubsection"/>
        <w:spacing w:before="10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by No. 34 of 1999 s. 32(14) and (19); No. 42 of 2004 s. 147.]</w:t>
      </w:r>
    </w:p>
    <w:p>
      <w:pPr>
        <w:pStyle w:val="yHeading5"/>
        <w:outlineLvl w:val="0"/>
        <w:rPr>
          <w:snapToGrid w:val="0"/>
        </w:rPr>
      </w:pPr>
      <w:bookmarkStart w:id="3380" w:name="_Toc517775449"/>
      <w:bookmarkStart w:id="3381" w:name="_Toc520107199"/>
      <w:bookmarkStart w:id="3382" w:name="_Toc523111821"/>
      <w:bookmarkStart w:id="3383" w:name="_Toc122833625"/>
      <w:bookmarkStart w:id="3384" w:name="_Toc122834192"/>
      <w:r>
        <w:rPr>
          <w:rStyle w:val="CharSClsNo"/>
        </w:rPr>
        <w:t>13</w:t>
      </w:r>
      <w:r>
        <w:rPr>
          <w:snapToGrid w:val="0"/>
        </w:rPr>
        <w:t>.</w:t>
      </w:r>
      <w:r>
        <w:rPr>
          <w:snapToGrid w:val="0"/>
        </w:rPr>
        <w:tab/>
        <w:t>Concurrent contracts</w:t>
      </w:r>
      <w:bookmarkEnd w:id="3380"/>
      <w:bookmarkEnd w:id="3381"/>
      <w:bookmarkEnd w:id="3382"/>
      <w:bookmarkEnd w:id="3383"/>
      <w:bookmarkEnd w:id="3384"/>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pPr>
      <w:r>
        <w:tab/>
        <w:t>[Clause 13 amended by No. 34 of 1999 s. 32(15)-(17) and (19); No. 42 of 2004 s. 147.]</w:t>
      </w:r>
    </w:p>
    <w:p>
      <w:pPr>
        <w:pStyle w:val="yHeading5"/>
        <w:outlineLvl w:val="0"/>
        <w:rPr>
          <w:snapToGrid w:val="0"/>
        </w:rPr>
      </w:pPr>
      <w:bookmarkStart w:id="3385" w:name="_Toc517775450"/>
      <w:bookmarkStart w:id="3386" w:name="_Toc520107200"/>
      <w:bookmarkStart w:id="3387" w:name="_Toc523111822"/>
      <w:bookmarkStart w:id="3388" w:name="_Toc122833626"/>
      <w:bookmarkStart w:id="3389" w:name="_Toc122834193"/>
      <w:r>
        <w:rPr>
          <w:rStyle w:val="CharSClsNo"/>
        </w:rPr>
        <w:t>14</w:t>
      </w:r>
      <w:r>
        <w:rPr>
          <w:snapToGrid w:val="0"/>
        </w:rPr>
        <w:t>.</w:t>
      </w:r>
      <w:r>
        <w:rPr>
          <w:snapToGrid w:val="0"/>
        </w:rPr>
        <w:tab/>
        <w:t>Casual or seasonal worker</w:t>
      </w:r>
      <w:bookmarkEnd w:id="3385"/>
      <w:bookmarkEnd w:id="3386"/>
      <w:bookmarkEnd w:id="3387"/>
      <w:bookmarkEnd w:id="3388"/>
      <w:bookmarkEnd w:id="3389"/>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b/>
          <w:snapToGrid w:val="0"/>
        </w:rPr>
        <w:t>“</w:t>
      </w:r>
      <w:r>
        <w:rPr>
          <w:rStyle w:val="CharDefText"/>
        </w:rPr>
        <w:t>weekly earnings</w:t>
      </w:r>
      <w:r>
        <w:rPr>
          <w:b/>
          <w:snapToGrid w:val="0"/>
        </w:rPr>
        <w:t>”</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outlineLvl w:val="0"/>
        <w:rPr>
          <w:snapToGrid w:val="0"/>
        </w:rPr>
      </w:pPr>
      <w:bookmarkStart w:id="3390" w:name="_Toc517775451"/>
      <w:bookmarkStart w:id="3391" w:name="_Toc520107201"/>
      <w:bookmarkStart w:id="3392" w:name="_Toc523111823"/>
      <w:bookmarkStart w:id="3393" w:name="_Toc122833627"/>
      <w:bookmarkStart w:id="3394" w:name="_Toc122834194"/>
      <w:r>
        <w:rPr>
          <w:rStyle w:val="CharSClsNo"/>
        </w:rPr>
        <w:t>15</w:t>
      </w:r>
      <w:r>
        <w:rPr>
          <w:snapToGrid w:val="0"/>
        </w:rPr>
        <w:t>.</w:t>
      </w:r>
      <w:r>
        <w:rPr>
          <w:snapToGrid w:val="0"/>
        </w:rPr>
        <w:tab/>
        <w:t>Board and lodging</w:t>
      </w:r>
      <w:bookmarkEnd w:id="3390"/>
      <w:bookmarkEnd w:id="3391"/>
      <w:bookmarkEnd w:id="3392"/>
      <w:bookmarkEnd w:id="3393"/>
      <w:bookmarkEnd w:id="3394"/>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pPr>
      <w:r>
        <w:tab/>
        <w:t>[Clause 15 amended by No. 34 of 1999 s. 53(c).]</w:t>
      </w:r>
    </w:p>
    <w:p>
      <w:pPr>
        <w:pStyle w:val="yHeading5"/>
        <w:outlineLvl w:val="0"/>
        <w:rPr>
          <w:snapToGrid w:val="0"/>
        </w:rPr>
      </w:pPr>
      <w:bookmarkStart w:id="3395" w:name="_Toc517775452"/>
      <w:bookmarkStart w:id="3396" w:name="_Toc520107202"/>
      <w:bookmarkStart w:id="3397" w:name="_Toc523111824"/>
      <w:bookmarkStart w:id="3398" w:name="_Toc122833628"/>
      <w:bookmarkStart w:id="3399" w:name="_Toc122834195"/>
      <w:r>
        <w:rPr>
          <w:rStyle w:val="CharSClsNo"/>
        </w:rPr>
        <w:t>16</w:t>
      </w:r>
      <w:r>
        <w:rPr>
          <w:snapToGrid w:val="0"/>
        </w:rPr>
        <w:t>.</w:t>
      </w:r>
      <w:r>
        <w:rPr>
          <w:snapToGrid w:val="0"/>
        </w:rPr>
        <w:tab/>
        <w:t>Variation of weekly payments</w:t>
      </w:r>
      <w:bookmarkEnd w:id="3395"/>
      <w:bookmarkEnd w:id="3396"/>
      <w:bookmarkEnd w:id="3397"/>
      <w:bookmarkEnd w:id="3398"/>
      <w:bookmarkEnd w:id="3399"/>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rPr>
          <w:snapToGrid w:val="0"/>
        </w:rPr>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any percentage increase in wages ordered in a National Wage Decision made under the </w:t>
      </w:r>
      <w:r>
        <w:rPr>
          <w:i/>
          <w:snapToGrid w:val="0"/>
        </w:rPr>
        <w:t>Conciliation and Arbitration Act 1904</w:t>
      </w:r>
      <w:r>
        <w:rPr>
          <w:snapToGrid w:val="0"/>
          <w:vertAlign w:val="superscript"/>
        </w:rPr>
        <w:t> 4</w:t>
      </w:r>
      <w:r>
        <w:rPr>
          <w:snapToGrid w:val="0"/>
        </w:rPr>
        <w:t xml:space="preserve"> of the Commonwealth as a result, </w:t>
      </w:r>
      <w:r>
        <w:rPr>
          <w:i/>
          <w:snapToGrid w:val="0"/>
        </w:rPr>
        <w:t>inter alia</w:t>
      </w:r>
      <w:r>
        <w:rPr>
          <w:snapToGrid w:val="0"/>
        </w:rPr>
        <w:t>, of consumer price index movements.</w:t>
      </w:r>
    </w:p>
    <w:p>
      <w:pPr>
        <w:pStyle w:val="yFootnotesection"/>
      </w:pPr>
      <w:r>
        <w:tab/>
        <w:t>[Clause 16 in</w:t>
      </w:r>
      <w:r>
        <w:rPr>
          <w:i w:val="0"/>
          <w:snapToGrid/>
        </w:rPr>
        <w:t>s</w:t>
      </w:r>
      <w:r>
        <w:t>erted by No. 44 of 1985 s. 41; amended by No. 34 of 1999 s. 32(18) and (19); No. 42 of 2004 s. 147.]</w:t>
      </w:r>
    </w:p>
    <w:p>
      <w:pPr>
        <w:pStyle w:val="yHeading5"/>
        <w:outlineLvl w:val="0"/>
        <w:rPr>
          <w:snapToGrid w:val="0"/>
        </w:rPr>
      </w:pPr>
      <w:bookmarkStart w:id="3400" w:name="_Toc517775453"/>
      <w:bookmarkStart w:id="3401" w:name="_Toc520107203"/>
      <w:bookmarkStart w:id="3402" w:name="_Toc523111825"/>
      <w:bookmarkStart w:id="3403" w:name="_Toc122833629"/>
      <w:bookmarkStart w:id="3404" w:name="_Toc122834196"/>
      <w:r>
        <w:rPr>
          <w:rStyle w:val="CharSClsNo"/>
        </w:rPr>
        <w:t>17</w:t>
      </w:r>
      <w:r>
        <w:rPr>
          <w:snapToGrid w:val="0"/>
        </w:rPr>
        <w:t>.</w:t>
      </w:r>
      <w:r>
        <w:rPr>
          <w:snapToGrid w:val="0"/>
        </w:rPr>
        <w:tab/>
        <w:t>Payment of medical and other expenses</w:t>
      </w:r>
      <w:bookmarkEnd w:id="3400"/>
      <w:bookmarkEnd w:id="3401"/>
      <w:bookmarkEnd w:id="3402"/>
      <w:bookmarkEnd w:id="3403"/>
      <w:bookmarkEnd w:id="3404"/>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w:t>
      </w:r>
    </w:p>
    <w:p>
      <w:pPr>
        <w:pStyle w:val="yIndenta"/>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w:t>
      </w:r>
    </w:p>
    <w:p>
      <w:pPr>
        <w:pStyle w:val="yIndenta"/>
      </w:pPr>
      <w:r>
        <w:tab/>
        <w:t>(2)</w:t>
      </w:r>
      <w:r>
        <w:tab/>
        <w:t xml:space="preserve">funeral expenses, including all cemetery board charges, in the event of the death of the worker, but not exceeding — </w:t>
      </w:r>
    </w:p>
    <w:p>
      <w:pPr>
        <w:pStyle w:val="yIndenti0"/>
      </w:pPr>
      <w:r>
        <w:tab/>
        <w:t>(a)</w:t>
      </w:r>
      <w:r>
        <w:tab/>
        <w:t>the amount prescribed by the regulations for the purposes of this subclause; or</w:t>
      </w:r>
    </w:p>
    <w:p>
      <w:pPr>
        <w:pStyle w:val="yIndenti0"/>
      </w:pPr>
      <w:r>
        <w:tab/>
        <w:t>(b)</w:t>
      </w:r>
      <w:r>
        <w:tab/>
        <w:t>$7 000,</w:t>
      </w:r>
    </w:p>
    <w:p>
      <w:pPr>
        <w:pStyle w:val="yIndenta"/>
      </w:pPr>
      <w:r>
        <w:tab/>
      </w:r>
      <w:r>
        <w:tab/>
        <w:t>whichever is the greater amount;</w:t>
      </w:r>
    </w:p>
    <w:p>
      <w:pPr>
        <w:pStyle w:val="yIndenta"/>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w:t>
      </w:r>
    </w:p>
    <w:p>
      <w:pPr>
        <w:pStyle w:val="yIndenta"/>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w:t>
      </w:r>
    </w:p>
    <w:p>
      <w:pPr>
        <w:pStyle w:val="yIndenta"/>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pPr>
      <w:r>
        <w:tab/>
        <w:t>[Clause 17 amended by No. 44 of 1985 s. 41(1)(c); No. 85 of 1986 s. 12(1)(b); No. 96 of 1990 s. 48(1)(b) and (c); No. 34 of 1999 s. 53(a); No. 42 of 2004 s. 141(15), 146 and 147.]</w:t>
      </w:r>
    </w:p>
    <w:p>
      <w:pPr>
        <w:pStyle w:val="yHeading5"/>
        <w:outlineLvl w:val="0"/>
        <w:rPr>
          <w:snapToGrid w:val="0"/>
        </w:rPr>
      </w:pPr>
      <w:bookmarkStart w:id="3405" w:name="_Toc517775454"/>
      <w:bookmarkStart w:id="3406" w:name="_Toc520107204"/>
      <w:bookmarkStart w:id="3407" w:name="_Toc523111826"/>
      <w:bookmarkStart w:id="3408" w:name="_Toc122833630"/>
      <w:bookmarkStart w:id="3409" w:name="_Toc122834197"/>
      <w:r>
        <w:rPr>
          <w:rStyle w:val="CharSClsNo"/>
        </w:rPr>
        <w:t>18</w:t>
      </w:r>
      <w:r>
        <w:rPr>
          <w:snapToGrid w:val="0"/>
        </w:rPr>
        <w:t>.</w:t>
      </w:r>
      <w:r>
        <w:rPr>
          <w:snapToGrid w:val="0"/>
        </w:rPr>
        <w:tab/>
        <w:t>Hospital charges</w:t>
      </w:r>
      <w:bookmarkEnd w:id="3405"/>
      <w:bookmarkEnd w:id="3406"/>
      <w:bookmarkEnd w:id="3407"/>
      <w:bookmarkEnd w:id="3408"/>
      <w:bookmarkEnd w:id="3409"/>
    </w:p>
    <w:p>
      <w:pPr>
        <w:pStyle w:val="ySubsection"/>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napToGrid w:val="0"/>
        </w:rPr>
        <w:t>Hospitals and Health Services Act 1927</w:t>
      </w:r>
      <w:r>
        <w:rPr>
          <w:snapToGrid w:val="0"/>
        </w:rPr>
        <w:t xml:space="preserve"> in relation to such cases.</w:t>
      </w:r>
    </w:p>
    <w:p>
      <w:pPr>
        <w:pStyle w:val="ySubsection"/>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pPr>
      <w:r>
        <w:tab/>
        <w:t>[Clause 18 amended by No. 48 of 1993 s. 28(1); No. 103 of 1994 s. 18; No. 42 of 2004 s. 149.]</w:t>
      </w:r>
    </w:p>
    <w:p>
      <w:pPr>
        <w:pStyle w:val="yHeading5"/>
        <w:outlineLvl w:val="0"/>
        <w:rPr>
          <w:snapToGrid w:val="0"/>
        </w:rPr>
      </w:pPr>
      <w:bookmarkStart w:id="3410" w:name="_Toc517775455"/>
      <w:bookmarkStart w:id="3411" w:name="_Toc520107205"/>
      <w:bookmarkStart w:id="3412" w:name="_Toc523111827"/>
      <w:bookmarkStart w:id="3413" w:name="_Toc122833631"/>
      <w:bookmarkStart w:id="3414" w:name="_Toc122834198"/>
      <w:r>
        <w:rPr>
          <w:snapToGrid w:val="0"/>
        </w:rPr>
        <w:t>18A.</w:t>
      </w:r>
      <w:r>
        <w:rPr>
          <w:snapToGrid w:val="0"/>
        </w:rPr>
        <w:tab/>
        <w:t>Payment of additional expenses</w:t>
      </w:r>
      <w:bookmarkEnd w:id="3410"/>
      <w:bookmarkEnd w:id="3411"/>
      <w:bookmarkEnd w:id="3412"/>
      <w:bookmarkEnd w:id="3413"/>
      <w:bookmarkEnd w:id="3414"/>
    </w:p>
    <w:p>
      <w:pPr>
        <w:pStyle w:val="ySubsection"/>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w:t>
      </w:r>
      <w:r>
        <w:rPr>
          <w:snapToGrid w:val="0"/>
        </w:rPr>
        <w:t xml:space="preserve">(2),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w:t>
      </w:r>
      <w:r>
        <w:rPr>
          <w:snapToGrid w:val="0"/>
        </w:rPr>
        <w:t xml:space="preserve"> (2),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pPr>
      <w:r>
        <w:tab/>
        <w:t>(1b)</w:t>
      </w:r>
      <w:r>
        <w:tab/>
        <w:t xml:space="preserve">Where — </w:t>
      </w:r>
    </w:p>
    <w:p>
      <w:pPr>
        <w:pStyle w:val="yIndenta"/>
      </w:pPr>
      <w:r>
        <w:tab/>
        <w:t>(a)</w:t>
      </w:r>
      <w:r>
        <w:tab/>
        <w:t>a worker has incurred reasonable expenses referred to in clause 17(1) in excess of the maximum amount provided for by that subclause;</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(1c)(b) and (2aa), allow such further additional sum or sums as the arbitrator thinks proper in the circumstances.</w:t>
      </w:r>
    </w:p>
    <w:p>
      <w:pPr>
        <w:pStyle w:val="ySubsection"/>
      </w:pPr>
      <w:r>
        <w:tab/>
        <w:t>(1c)</w:t>
      </w:r>
      <w:r>
        <w:tab/>
        <w:t xml:space="preserve">An arbitrator is not to allow — </w:t>
      </w:r>
    </w:p>
    <w:p>
      <w:pPr>
        <w:pStyle w:val="yIndenta"/>
      </w:pPr>
      <w:r>
        <w:tab/>
        <w:t>(a)</w:t>
      </w:r>
      <w:r>
        <w:tab/>
        <w:t>an additional sum exceeding $50 000, or additional sums exceeding in aggregate $50 000, in the exercise of a discretion under subclause (1) or (1a); or</w:t>
      </w:r>
    </w:p>
    <w:p>
      <w:pPr>
        <w:pStyle w:val="yIndenta"/>
      </w:pPr>
      <w:r>
        <w:tab/>
        <w:t>(b)</w:t>
      </w:r>
      <w:r>
        <w:tab/>
        <w:t>a further additional sum exceeding the prescribed amount or further additional sums exceeding in aggregate the prescribed amount, in the exercise of a discretion under subclause (1b).</w:t>
      </w:r>
    </w:p>
    <w:p>
      <w:pPr>
        <w:pStyle w:val="ySubsection"/>
      </w:pPr>
      <w:r>
        <w:tab/>
        <w:t>(1d)</w:t>
      </w:r>
      <w:r>
        <w:tab/>
        <w:t xml:space="preserve">In subclause (1c)(b) — </w:t>
      </w:r>
    </w:p>
    <w:p>
      <w:pPr>
        <w:pStyle w:val="yDefstart"/>
      </w:pPr>
      <w:r>
        <w:tab/>
      </w:r>
      <w:r>
        <w:rPr>
          <w:b/>
        </w:rPr>
        <w:t>“</w:t>
      </w:r>
      <w:r>
        <w:rPr>
          <w:rStyle w:val="CharDefText"/>
        </w:rPr>
        <w:t>prescribed amount</w:t>
      </w:r>
      <w:r>
        <w:rPr>
          <w:b/>
        </w:rPr>
        <w:t>”</w:t>
      </w:r>
      <w:r>
        <w:t xml:space="preserve"> means —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pPr>
      <w:r>
        <w:tab/>
        <w:t>(2aa)</w:t>
      </w:r>
      <w:r>
        <w:tab/>
        <w:t xml:space="preserve">An arbitrator is not to allow a further additional sum in the exercise of a discretion under subclause (1b) unless —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 xml:space="preserve">the arbitrator determines that — </w:t>
      </w:r>
    </w:p>
    <w:p>
      <w:pPr>
        <w:pStyle w:val="yIndenti0"/>
      </w:pPr>
      <w:r>
        <w:tab/>
        <w:t>(i)</w:t>
      </w:r>
      <w:r>
        <w:tab/>
        <w:t>such a sum ought to be allowed, having regard to the social and financial circumstances and the reasonable financial needs of the worker;</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pPr>
      <w:r>
        <w:tab/>
        <w:t>(3)</w:t>
      </w:r>
      <w:r>
        <w:tab/>
        <w:t xml:space="preserve">An application under subclause (1b) — </w:t>
      </w:r>
    </w:p>
    <w:p>
      <w:pPr>
        <w:pStyle w:val="yIndenta"/>
      </w:pPr>
      <w:r>
        <w:tab/>
        <w:t>(a)</w:t>
      </w:r>
      <w:r>
        <w:tab/>
        <w:t xml:space="preserve">may be made at any time after — </w:t>
      </w:r>
    </w:p>
    <w:p>
      <w:pPr>
        <w:pStyle w:val="yIndenti0"/>
      </w:pPr>
      <w:r>
        <w:tab/>
        <w:t>(i)</w:t>
      </w:r>
      <w:r>
        <w:tab/>
        <w:t>an additional sum has been allowed to the worker under subclause (1) or (1a); and</w:t>
      </w:r>
    </w:p>
    <w:p>
      <w:pPr>
        <w:pStyle w:val="yIndenti0"/>
      </w:pPr>
      <w:r>
        <w:tab/>
        <w:t>(ii)</w:t>
      </w:r>
      <w:r>
        <w:tab/>
        <w:t>that additional sum allowed exceeds, in whole or in aggregate, $30 000;</w:t>
      </w:r>
    </w:p>
    <w:p>
      <w:pPr>
        <w:pStyle w:val="yIndenta"/>
      </w:pPr>
      <w:r>
        <w:tab/>
      </w:r>
      <w:r>
        <w:tab/>
        <w:t>but</w:t>
      </w:r>
    </w:p>
    <w:p>
      <w:pPr>
        <w:pStyle w:val="yIndenta"/>
      </w:pPr>
      <w:r>
        <w:tab/>
        <w:t>(b)</w:t>
      </w:r>
      <w:r>
        <w:tab/>
        <w:t>may not be made after the final day within the meaning of clause 18B.</w:t>
      </w:r>
    </w:p>
    <w:p>
      <w:pPr>
        <w:pStyle w:val="ySubsection"/>
      </w:pPr>
      <w:r>
        <w:tab/>
        <w:t>(4)</w:t>
      </w:r>
      <w:r>
        <w:tab/>
        <w:t xml:space="preserve">The insurer of the employer, if the employer is insured in accordance with this Act, or otherwise the employer, is to —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w:t>
      </w:r>
    </w:p>
    <w:p>
      <w:pPr>
        <w:pStyle w:val="yPenstart"/>
      </w:pPr>
      <w:r>
        <w:tab/>
        <w:t>Penalty: $1 000.</w:t>
      </w:r>
    </w:p>
    <w:p>
      <w:pPr>
        <w:pStyle w:val="yFootnotesection"/>
      </w:pPr>
      <w:r>
        <w:tab/>
        <w:t>[Clause 18A inserted by No. 85 of 1986 s. 12(1)(c); amended by No. 96 of 1990 s. 48(1)(d); No. 72 of 1992 s. 23; No. 48 of 1993 s. 28(1); No. 42 of 2004 s. 141(16)-(23) and 149.]</w:t>
      </w:r>
    </w:p>
    <w:p>
      <w:pPr>
        <w:pStyle w:val="yHeading5"/>
        <w:outlineLvl w:val="0"/>
      </w:pPr>
      <w:bookmarkStart w:id="3415" w:name="_Toc122833632"/>
      <w:bookmarkStart w:id="3416" w:name="_Toc122834199"/>
      <w:bookmarkStart w:id="3417" w:name="_Toc517775456"/>
      <w:bookmarkStart w:id="3418" w:name="_Toc520107206"/>
      <w:bookmarkStart w:id="3419" w:name="_Toc523111828"/>
      <w:r>
        <w:rPr>
          <w:rStyle w:val="CharSClsNo"/>
        </w:rPr>
        <w:t>18B</w:t>
      </w:r>
      <w:r>
        <w:t>.</w:t>
      </w:r>
      <w:r>
        <w:rPr>
          <w:b w:val="0"/>
        </w:rPr>
        <w:tab/>
      </w:r>
      <w:r>
        <w:t>Final day for clause 18A(1b) application</w:t>
      </w:r>
      <w:bookmarkEnd w:id="3415"/>
      <w:bookmarkEnd w:id="3416"/>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pPr>
      <w:r>
        <w:tab/>
        <w:t>(2)</w:t>
      </w:r>
      <w:r>
        <w:tab/>
        <w:t xml:space="preserve">If, after the expiry of the period of 3 months after the day on which the claim is made — </w:t>
      </w:r>
    </w:p>
    <w:p>
      <w:pPr>
        <w:pStyle w:val="yIndenta"/>
      </w:pPr>
      <w:r>
        <w:tab/>
        <w:t>(a)</w:t>
      </w:r>
      <w:r>
        <w:tab/>
        <w:t>an arbitrator, acting under section 58(1) or (2), determines the question of liability to make the weekly payments claimed; or</w:t>
      </w:r>
    </w:p>
    <w:p>
      <w:pPr>
        <w:pStyle w:val="yIndenta"/>
      </w:pPr>
      <w:r>
        <w:tab/>
        <w:t>(b)</w:t>
      </w:r>
      <w:r>
        <w:tab/>
        <w:t>the worker is first notified that liability is accepted in respect of the weekly payments claimed,</w:t>
      </w:r>
    </w:p>
    <w:p>
      <w:pPr>
        <w:pStyle w:val="ySubsection"/>
      </w:pPr>
      <w:r>
        <w:tab/>
      </w:r>
      <w:r>
        <w:tab/>
        <w:t>the final day is the last day of the period 4 years and 9 months after the day of the act described in paragraph (a) or (b) that was most recently done unless a later day is fixed under subclause (3).</w:t>
      </w:r>
    </w:p>
    <w:p>
      <w:pPr>
        <w:pStyle w:val="ySubsection"/>
      </w:pPr>
      <w:r>
        <w:tab/>
        <w:t>(3)</w:t>
      </w:r>
      <w:r>
        <w:tab/>
        <w:t xml:space="preserve">The Director may, in accordance with the regulations, from time to time extend the final day, but only if the Director is satisfied that — </w:t>
      </w:r>
    </w:p>
    <w:p>
      <w:pPr>
        <w:pStyle w:val="yIndenta"/>
      </w:pPr>
      <w:r>
        <w:tab/>
        <w:t>(a)</w:t>
      </w:r>
      <w:r>
        <w:tab/>
        <w:t xml:space="preserve">in the case of a worker whose final day, as determined under subclause (1) or (2), is within 8 weeks after the coming into operation of section 141(22) of the </w:t>
      </w:r>
      <w:r>
        <w:rPr>
          <w:i/>
        </w:rPr>
        <w:t>Workers’ Compensation Reform Act 2004</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pPr>
      <w:r>
        <w:tab/>
        <w:t>(4)</w:t>
      </w:r>
      <w:r>
        <w:tab/>
        <w:t>An extension under subclause (3) is to be to a day that is not more than one year after the day that would have been the final day had there been no extension under that subclause.</w:t>
      </w:r>
    </w:p>
    <w:p>
      <w:pPr>
        <w:pStyle w:val="ySubsection"/>
      </w:pPr>
      <w:r>
        <w:tab/>
        <w:t>(5)</w:t>
      </w:r>
      <w:r>
        <w:tab/>
        <w:t>An extension is to be in writing and the Director is required to give the worker and employer each a copy of the extension.</w:t>
      </w:r>
    </w:p>
    <w:p>
      <w:pPr>
        <w:pStyle w:val="ySubsection"/>
      </w:pPr>
      <w:r>
        <w:tab/>
        <w:t>(6)</w:t>
      </w:r>
      <w:r>
        <w:tab/>
        <w:t>An extension may be given even though the final day has passed.</w:t>
      </w:r>
    </w:p>
    <w:p>
      <w:pPr>
        <w:pStyle w:val="yFootnotesection"/>
      </w:pPr>
      <w:r>
        <w:tab/>
        <w:t>[Clause 18B inserted by No. 42 of 2004 s. 141(24).]</w:t>
      </w:r>
    </w:p>
    <w:p>
      <w:pPr>
        <w:pStyle w:val="yHeading5"/>
        <w:outlineLvl w:val="0"/>
      </w:pPr>
      <w:bookmarkStart w:id="3420" w:name="_Toc122833633"/>
      <w:bookmarkStart w:id="3421" w:name="_Toc122834200"/>
      <w:r>
        <w:rPr>
          <w:rStyle w:val="CharSClsNo"/>
        </w:rPr>
        <w:t>18C</w:t>
      </w:r>
      <w:r>
        <w:t>.</w:t>
      </w:r>
      <w:r>
        <w:rPr>
          <w:b w:val="0"/>
        </w:rPr>
        <w:tab/>
      </w:r>
      <w:r>
        <w:t>Dispute as to degree of permanent whole of person impairment</w:t>
      </w:r>
      <w:bookmarkEnd w:id="3420"/>
      <w:bookmarkEnd w:id="3421"/>
    </w:p>
    <w:p>
      <w:pPr>
        <w:pStyle w:val="ySubsection"/>
      </w:pPr>
      <w:r>
        <w:tab/>
        <w:t>(1)</w:t>
      </w:r>
      <w:r>
        <w:tab/>
        <w:t xml:space="preserve">In the exercise of a discretion under clause 18A(1b), for the purposes of clause 18A(2aa)(b) an arbitrator may — </w:t>
      </w:r>
    </w:p>
    <w:p>
      <w:pPr>
        <w:pStyle w:val="yIndenta"/>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pPr>
      <w:r>
        <w:tab/>
        <w:t>(3)</w:t>
      </w:r>
      <w:r>
        <w:tab/>
        <w:t xml:space="preserve">In this clause, and in clauses 18A and 18B — </w:t>
      </w:r>
    </w:p>
    <w:p>
      <w:pPr>
        <w:pStyle w:val="yDefstart"/>
      </w:pPr>
      <w:r>
        <w:tab/>
      </w:r>
      <w:r>
        <w:rPr>
          <w:b/>
        </w:rPr>
        <w:t>“</w:t>
      </w:r>
      <w:r>
        <w:rPr>
          <w:rStyle w:val="CharDefText"/>
        </w:rPr>
        <w:t>degree of permanent whole of person impairment</w:t>
      </w:r>
      <w:r>
        <w:rPr>
          <w:b/>
        </w:rPr>
        <w:t>”</w:t>
      </w:r>
      <w:r>
        <w:t xml:space="preserve"> means the degree of permanent whole of person impairment, evaluated as described in sections 146A and 146E, resulting from the injury or injuries arising from a single event, as defined in subsection (4).</w:t>
      </w:r>
    </w:p>
    <w:p>
      <w:pPr>
        <w:pStyle w:val="ySubsection"/>
      </w:pPr>
      <w:r>
        <w:tab/>
        <w:t>(4)</w:t>
      </w:r>
      <w:r>
        <w:tab/>
        <w:t xml:space="preserve">In the definition of “degree of permanent whole of person impairment” in subclause (3) — </w:t>
      </w:r>
    </w:p>
    <w:p>
      <w:pPr>
        <w:pStyle w:val="yDefstart"/>
      </w:pPr>
      <w:r>
        <w:tab/>
      </w:r>
      <w:r>
        <w:rPr>
          <w:b/>
        </w:rPr>
        <w:t>“</w:t>
      </w:r>
      <w:r>
        <w:rPr>
          <w:rStyle w:val="CharDefText"/>
        </w:rPr>
        <w:t>event</w:t>
      </w:r>
      <w:r>
        <w:rPr>
          <w:b/>
        </w:rPr>
        <w: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pPr>
      <w:r>
        <w:tab/>
        <w:t>[Clause 18C inserted by No. 42 of 2004 s. 141(24).]</w:t>
      </w:r>
    </w:p>
    <w:p>
      <w:pPr>
        <w:pStyle w:val="yHeading5"/>
        <w:outlineLvl w:val="0"/>
      </w:pPr>
      <w:bookmarkStart w:id="3422" w:name="_Toc122833634"/>
      <w:bookmarkStart w:id="3423" w:name="_Toc122834201"/>
      <w:r>
        <w:rPr>
          <w:rStyle w:val="CharSClsNo"/>
        </w:rPr>
        <w:t>18D</w:t>
      </w:r>
      <w:r>
        <w:t>.</w:t>
      </w:r>
      <w:r>
        <w:rPr>
          <w:b w:val="0"/>
        </w:rPr>
        <w:tab/>
      </w:r>
      <w:r>
        <w:t>Interim payment of additional expenses</w:t>
      </w:r>
      <w:bookmarkEnd w:id="3422"/>
      <w:bookmarkEnd w:id="3423"/>
    </w:p>
    <w:p>
      <w:pPr>
        <w:pStyle w:val="ySubsection"/>
      </w:pPr>
      <w:r>
        <w:tab/>
        <w:t>(1)</w:t>
      </w:r>
      <w:r>
        <w:tab/>
        <w:t xml:space="preserve">If — </w:t>
      </w:r>
    </w:p>
    <w:p>
      <w:pPr>
        <w:pStyle w:val="yIndenta"/>
      </w:pPr>
      <w:r>
        <w:tab/>
        <w:t>(a)</w:t>
      </w:r>
      <w:r>
        <w:tab/>
        <w:t>the worker has incurred or is likely to incur reasonable expenses referred to in clause 17(1) in excess of the maximum amount provided for by that subclause; and</w:t>
      </w:r>
    </w:p>
    <w:p>
      <w:pPr>
        <w:pStyle w:val="yIndenta"/>
      </w:pPr>
      <w:r>
        <w:tab/>
        <w:t>(b)</w:t>
      </w:r>
      <w:r>
        <w:tab/>
        <w:t>an application is made under clause 18A(1) or (1a) for an additional sum in respect of those expenses,</w:t>
      </w:r>
    </w:p>
    <w:p>
      <w:pPr>
        <w:pStyle w:val="ySubsection"/>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by No. 42 of 2004 s. 141(25).]</w:t>
      </w:r>
    </w:p>
    <w:p>
      <w:pPr>
        <w:pStyle w:val="yHeading5"/>
        <w:outlineLvl w:val="0"/>
        <w:rPr>
          <w:snapToGrid w:val="0"/>
        </w:rPr>
      </w:pPr>
      <w:bookmarkStart w:id="3424" w:name="_Toc122833635"/>
      <w:bookmarkStart w:id="3425" w:name="_Toc122834202"/>
      <w:r>
        <w:rPr>
          <w:rStyle w:val="CharSClsNo"/>
        </w:rPr>
        <w:t>19</w:t>
      </w:r>
      <w:r>
        <w:rPr>
          <w:snapToGrid w:val="0"/>
        </w:rPr>
        <w:t>.</w:t>
      </w:r>
      <w:r>
        <w:rPr>
          <w:snapToGrid w:val="0"/>
        </w:rPr>
        <w:tab/>
        <w:t>Travelling</w:t>
      </w:r>
      <w:bookmarkEnd w:id="3417"/>
      <w:bookmarkEnd w:id="3418"/>
      <w:bookmarkEnd w:id="3419"/>
      <w:bookmarkEnd w:id="3424"/>
      <w:bookmarkEnd w:id="3425"/>
    </w:p>
    <w:p>
      <w:pPr>
        <w:pStyle w:val="ySubsection"/>
        <w:rPr>
          <w:snapToGrid w:val="0"/>
        </w:rPr>
      </w:pPr>
      <w:r>
        <w:rPr>
          <w:snapToGrid w:val="0"/>
        </w:rPr>
        <w:tab/>
        <w:t>(1)</w:t>
      </w:r>
      <w:r>
        <w:rPr>
          <w:snapToGrid w:val="0"/>
        </w:rPr>
        <w:tab/>
        <w:t>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such treatment, massage,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rPr>
          <w:snapToGrid w:val="0"/>
        </w:rPr>
      </w:pPr>
      <w:r>
        <w:rPr>
          <w:snapToGrid w:val="0"/>
        </w:rPr>
        <w:tab/>
        <w:t>(3)</w:t>
      </w:r>
      <w:r>
        <w:rPr>
          <w:snapToGrid w:val="0"/>
        </w:rPr>
        <w:tab/>
        <w:t>The amounts to cover the cost of meals and lodging shall not be payable to any worker who has no dependants, unless a worker has incurred costs for meals and lodging in excess of that which he would have incurred had he remained at his home, and then only to the amount of that excess.</w:t>
      </w:r>
    </w:p>
    <w:p>
      <w:pPr>
        <w:pStyle w:val="yFootnotesection"/>
      </w:pPr>
      <w:r>
        <w:tab/>
        <w:t xml:space="preserve">[Clause 19 amended by No. 34 of 1999 s. 53(d).] </w:t>
      </w:r>
    </w:p>
    <w:p>
      <w:pPr>
        <w:pStyle w:val="yScheduleHeading"/>
        <w:sectPr>
          <w:headerReference w:type="even" r:id="rId34"/>
          <w:headerReference w:type="default" r:id="rId35"/>
          <w:headerReference w:type="first" r:id="rId36"/>
          <w:pgSz w:w="11906" w:h="16838" w:code="9"/>
          <w:pgMar w:top="2381" w:right="2409" w:bottom="3543" w:left="2409" w:header="720" w:footer="3380" w:gutter="0"/>
          <w:cols w:space="720"/>
          <w:noEndnote/>
          <w:docGrid w:linePitch="326"/>
        </w:sectPr>
      </w:pPr>
      <w:bookmarkStart w:id="3426" w:name="_Toc440878077"/>
      <w:bookmarkStart w:id="3427" w:name="_Toc520107207"/>
    </w:p>
    <w:p>
      <w:pPr>
        <w:pStyle w:val="yScheduleHeading"/>
        <w:outlineLvl w:val="0"/>
        <w:rPr>
          <w:rStyle w:val="CharSchText"/>
        </w:rPr>
      </w:pPr>
      <w:bookmarkStart w:id="3428" w:name="_Toc70494691"/>
      <w:bookmarkStart w:id="3429" w:name="_Toc87253214"/>
      <w:bookmarkStart w:id="3430" w:name="_Toc122833636"/>
      <w:bookmarkStart w:id="3431" w:name="_Toc122834203"/>
      <w:bookmarkEnd w:id="3426"/>
      <w:bookmarkEnd w:id="3427"/>
      <w:r>
        <w:rPr>
          <w:rStyle w:val="CharSchNo"/>
        </w:rPr>
        <w:t>Schedule 2</w:t>
      </w:r>
      <w:r>
        <w:t> — </w:t>
      </w:r>
      <w:r>
        <w:rPr>
          <w:rStyle w:val="CharSchText"/>
        </w:rPr>
        <w:t>Table of compensation payable</w:t>
      </w:r>
      <w:bookmarkEnd w:id="3428"/>
      <w:bookmarkEnd w:id="3429"/>
      <w:bookmarkEnd w:id="3430"/>
      <w:bookmarkEnd w:id="3431"/>
    </w:p>
    <w:p>
      <w:pPr>
        <w:pStyle w:val="yFootnoteheading"/>
      </w:pPr>
      <w:r>
        <w:tab/>
        <w:t>[Heading inserted by No. 42 of 2004 s. 142(1).]</w:t>
      </w:r>
    </w:p>
    <w:p>
      <w:pPr>
        <w:pStyle w:val="yHeading2"/>
        <w:outlineLvl w:val="0"/>
      </w:pPr>
      <w:bookmarkStart w:id="3432" w:name="_Toc122833637"/>
      <w:bookmarkStart w:id="3433" w:name="_Toc122834204"/>
      <w:r>
        <w:t>Part 1</w:t>
      </w:r>
      <w:bookmarkEnd w:id="3432"/>
      <w:bookmarkEnd w:id="3433"/>
    </w:p>
    <w:p>
      <w:pPr>
        <w:pStyle w:val="yFootnoteheading"/>
        <w:spacing w:after="120"/>
      </w:pPr>
      <w:r>
        <w:tab/>
        <w:t>[Heading inserted by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rPr>
          <w:tblHeader/>
        </w:trPr>
        <w:tc>
          <w:tcPr>
            <w:tcW w:w="5245" w:type="dxa"/>
          </w:tcPr>
          <w:p>
            <w:pPr>
              <w:pStyle w:val="yTable"/>
              <w:rPr>
                <w:b/>
              </w:rPr>
            </w:pPr>
            <w:r>
              <w:rPr>
                <w:b/>
              </w:rPr>
              <w:t xml:space="preserve">                            Column 1</w:t>
            </w:r>
          </w:p>
          <w:p>
            <w:pPr>
              <w:pStyle w:val="ListBullet"/>
            </w:pPr>
            <w:r>
              <w:t>Item</w:t>
            </w:r>
            <w:r>
              <w:tab/>
            </w:r>
            <w:r>
              <w:rPr>
                <w:b/>
              </w:rPr>
              <w:t>Nature of injury or impairment</w:t>
            </w:r>
          </w:p>
        </w:tc>
        <w:tc>
          <w:tcPr>
            <w:tcW w:w="1843" w:type="dxa"/>
          </w:tcPr>
          <w:p>
            <w:pPr>
              <w:pStyle w:val="yTable"/>
              <w:tabs>
                <w:tab w:val="left" w:pos="737"/>
              </w:tabs>
              <w:jc w:val="center"/>
              <w:rPr>
                <w:b/>
              </w:rPr>
            </w:pPr>
            <w:r>
              <w:rPr>
                <w:b/>
              </w:rPr>
              <w:t>Column 2</w:t>
            </w:r>
          </w:p>
          <w:p>
            <w:pPr>
              <w:pStyle w:val="yTable"/>
              <w:tabs>
                <w:tab w:val="left" w:pos="737"/>
              </w:tabs>
              <w:jc w:val="center"/>
              <w:rPr>
                <w:b/>
              </w:rPr>
            </w:pPr>
            <w:r>
              <w:rPr>
                <w:b/>
              </w:rPr>
              <w:t>Ratio which the sum payable herein bears to the prescribed amount.</w:t>
            </w:r>
          </w:p>
        </w:tc>
      </w:tr>
      <w:tr>
        <w:trPr>
          <w:tblHeader/>
        </w:trPr>
        <w:tc>
          <w:tcPr>
            <w:tcW w:w="5245" w:type="dxa"/>
          </w:tcPr>
          <w:p>
            <w:pPr>
              <w:pStyle w:val="yTable"/>
            </w:pPr>
          </w:p>
        </w:tc>
        <w:tc>
          <w:tcPr>
            <w:tcW w:w="1843" w:type="dxa"/>
          </w:tcPr>
          <w:p>
            <w:pPr>
              <w:pStyle w:val="yTable"/>
              <w:tabs>
                <w:tab w:val="left" w:pos="737"/>
              </w:tabs>
              <w:jc w:val="center"/>
              <w:rPr>
                <w:b/>
                <w:i/>
              </w:rPr>
            </w:pPr>
            <w:r>
              <w:rPr>
                <w:b/>
                <w:i/>
              </w:rPr>
              <w:t>%</w:t>
            </w:r>
          </w:p>
        </w:tc>
      </w:tr>
      <w:tr>
        <w:tblPrEx>
          <w:tblCellMar>
            <w:left w:w="113" w:type="dxa"/>
            <w:right w:w="113" w:type="dxa"/>
          </w:tblCellMar>
        </w:tblPrEx>
        <w:tc>
          <w:tcPr>
            <w:tcW w:w="5245" w:type="dxa"/>
          </w:tcPr>
          <w:p>
            <w:pPr>
              <w:pStyle w:val="yTable"/>
            </w:pPr>
            <w:r>
              <w:tab/>
              <w:t>EYES</w:t>
            </w:r>
          </w:p>
        </w:tc>
        <w:tc>
          <w:tcPr>
            <w:tcW w:w="1843" w:type="dxa"/>
          </w:tcPr>
          <w:p>
            <w:pPr>
              <w:pStyle w:val="yTable"/>
              <w:tabs>
                <w:tab w:val="left" w:pos="737"/>
              </w:tabs>
            </w:pPr>
          </w:p>
        </w:tc>
      </w:tr>
      <w:tr>
        <w:tblPrEx>
          <w:tblCellMar>
            <w:left w:w="113" w:type="dxa"/>
            <w:right w:w="113" w:type="dxa"/>
          </w:tblCellMar>
        </w:tblPrEx>
        <w:tc>
          <w:tcPr>
            <w:tcW w:w="5245" w:type="dxa"/>
          </w:tcPr>
          <w:p>
            <w:pPr>
              <w:pStyle w:val="yTable"/>
            </w:pPr>
            <w:r>
              <w:t>1.</w:t>
            </w:r>
            <w:r>
              <w:tab/>
              <w:t>Total loss of sight of both eyes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2.</w:t>
            </w:r>
            <w:r>
              <w:tab/>
              <w:t>Total loss of sight of an only eye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3.</w:t>
            </w:r>
            <w:r>
              <w:tab/>
              <w:t>Total loss of sight of one eye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ind w:left="738" w:hanging="738"/>
            </w:pPr>
            <w:r>
              <w:t>4.</w:t>
            </w:r>
            <w:r>
              <w:tab/>
              <w:t>Total loss of sight of one eye and serious diminution of the sight of the other eye .............</w:t>
            </w:r>
          </w:p>
        </w:tc>
        <w:tc>
          <w:tcPr>
            <w:tcW w:w="1843" w:type="dxa"/>
          </w:tcPr>
          <w:p>
            <w:pPr>
              <w:pStyle w:val="yTable"/>
              <w:tabs>
                <w:tab w:val="right" w:pos="879"/>
              </w:tabs>
            </w:pPr>
          </w:p>
          <w:p>
            <w:pPr>
              <w:pStyle w:val="yTable"/>
              <w:tabs>
                <w:tab w:val="right" w:pos="879"/>
              </w:tabs>
              <w:spacing w:before="0"/>
            </w:pPr>
            <w:r>
              <w:tab/>
              <w:t>75</w:t>
            </w:r>
          </w:p>
        </w:tc>
      </w:tr>
      <w:tr>
        <w:tblPrEx>
          <w:tblCellMar>
            <w:left w:w="113" w:type="dxa"/>
            <w:right w:w="113" w:type="dxa"/>
          </w:tblCellMar>
        </w:tblPrEx>
        <w:tc>
          <w:tcPr>
            <w:tcW w:w="5245" w:type="dxa"/>
          </w:tcPr>
          <w:p>
            <w:pPr>
              <w:pStyle w:val="yTable"/>
            </w:pPr>
            <w:r>
              <w:t>5.</w:t>
            </w:r>
            <w:r>
              <w:tab/>
              <w:t>Loss of binocular vision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spacing w:before="200"/>
            </w:pPr>
            <w:r>
              <w:tab/>
              <w:t>HEARING</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6.</w:t>
            </w:r>
            <w:r>
              <w:tab/>
              <w:t>Total loss of hearing ...........................................</w:t>
            </w:r>
          </w:p>
        </w:tc>
        <w:tc>
          <w:tcPr>
            <w:tcW w:w="1843" w:type="dxa"/>
          </w:tcPr>
          <w:p>
            <w:pPr>
              <w:pStyle w:val="yTable"/>
              <w:tabs>
                <w:tab w:val="right" w:pos="879"/>
              </w:tabs>
            </w:pPr>
            <w:r>
              <w:tab/>
              <w:t>75</w:t>
            </w:r>
          </w:p>
        </w:tc>
      </w:tr>
      <w:tr>
        <w:tblPrEx>
          <w:tblCellMar>
            <w:left w:w="113" w:type="dxa"/>
            <w:right w:w="113" w:type="dxa"/>
          </w:tblCellMar>
        </w:tblPrEx>
        <w:tc>
          <w:tcPr>
            <w:tcW w:w="5245" w:type="dxa"/>
          </w:tcPr>
          <w:p>
            <w:pPr>
              <w:pStyle w:val="yTable"/>
              <w:spacing w:before="200"/>
            </w:pPr>
            <w:r>
              <w:tab/>
              <w:t>SPEECH</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7.</w:t>
            </w:r>
            <w:r>
              <w:tab/>
              <w:t>Total loss of power of speech .............................</w:t>
            </w:r>
          </w:p>
        </w:tc>
        <w:tc>
          <w:tcPr>
            <w:tcW w:w="1843" w:type="dxa"/>
          </w:tcPr>
          <w:p>
            <w:pPr>
              <w:pStyle w:val="yTable"/>
              <w:tabs>
                <w:tab w:val="right" w:pos="879"/>
              </w:tabs>
            </w:pPr>
            <w:r>
              <w:tab/>
              <w:t>75</w:t>
            </w:r>
          </w:p>
        </w:tc>
      </w:tr>
      <w:tr>
        <w:tblPrEx>
          <w:tblCellMar>
            <w:left w:w="113" w:type="dxa"/>
            <w:right w:w="113" w:type="dxa"/>
          </w:tblCellMar>
        </w:tblPrEx>
        <w:tc>
          <w:tcPr>
            <w:tcW w:w="5245" w:type="dxa"/>
          </w:tcPr>
          <w:p>
            <w:pPr>
              <w:pStyle w:val="yTable"/>
              <w:spacing w:before="200"/>
            </w:pPr>
            <w:r>
              <w:tab/>
              <w:t>BODY AND MENTAL</w:t>
            </w:r>
          </w:p>
        </w:tc>
        <w:tc>
          <w:tcPr>
            <w:tcW w:w="1843" w:type="dxa"/>
          </w:tcPr>
          <w:p>
            <w:pPr>
              <w:pStyle w:val="yTable"/>
              <w:tabs>
                <w:tab w:val="left" w:pos="737"/>
              </w:tabs>
            </w:pPr>
          </w:p>
        </w:tc>
      </w:tr>
      <w:tr>
        <w:tblPrEx>
          <w:tblCellMar>
            <w:left w:w="113" w:type="dxa"/>
            <w:right w:w="113" w:type="dxa"/>
          </w:tblCellMar>
        </w:tblPrEx>
        <w:tc>
          <w:tcPr>
            <w:tcW w:w="5245" w:type="dxa"/>
          </w:tcPr>
          <w:p>
            <w:pPr>
              <w:pStyle w:val="yTable"/>
              <w:ind w:left="738" w:hanging="738"/>
            </w:pPr>
            <w:r>
              <w:t>8.</w:t>
            </w:r>
            <w:r>
              <w:tab/>
              <w:t>Permanent and incurable loss of mental capacity resulting in total inability to work ......................</w:t>
            </w:r>
          </w:p>
        </w:tc>
        <w:tc>
          <w:tcPr>
            <w:tcW w:w="1843" w:type="dxa"/>
          </w:tcPr>
          <w:p>
            <w:pPr>
              <w:pStyle w:val="yTable"/>
              <w:tabs>
                <w:tab w:val="right" w:pos="879"/>
              </w:tabs>
            </w:pPr>
          </w:p>
          <w:p>
            <w:pPr>
              <w:pStyle w:val="yTable"/>
              <w:tabs>
                <w:tab w:val="right" w:pos="879"/>
              </w:tabs>
              <w:spacing w:before="0"/>
            </w:pPr>
            <w:r>
              <w:tab/>
              <w:t>100</w:t>
            </w:r>
          </w:p>
        </w:tc>
      </w:tr>
      <w:tr>
        <w:tblPrEx>
          <w:tblCellMar>
            <w:left w:w="113" w:type="dxa"/>
            <w:right w:w="113" w:type="dxa"/>
          </w:tblCellMar>
        </w:tblPrEx>
        <w:tc>
          <w:tcPr>
            <w:tcW w:w="5245" w:type="dxa"/>
          </w:tcPr>
          <w:p>
            <w:pPr>
              <w:pStyle w:val="yTable"/>
              <w:ind w:left="738" w:hanging="738"/>
            </w:pPr>
            <w:r>
              <w:t>9.</w:t>
            </w:r>
            <w:r>
              <w:tab/>
              <w:t>Total and incurable paralysis of the limbs or of mental powers ....................................................</w:t>
            </w:r>
          </w:p>
        </w:tc>
        <w:tc>
          <w:tcPr>
            <w:tcW w:w="1843" w:type="dxa"/>
          </w:tcPr>
          <w:p>
            <w:pPr>
              <w:pStyle w:val="yTable"/>
              <w:tabs>
                <w:tab w:val="right" w:pos="879"/>
              </w:tabs>
            </w:pPr>
          </w:p>
          <w:p>
            <w:pPr>
              <w:pStyle w:val="yTable"/>
              <w:tabs>
                <w:tab w:val="right" w:pos="879"/>
              </w:tabs>
              <w:spacing w:before="0"/>
            </w:pPr>
            <w:r>
              <w:tab/>
              <w:t>100</w:t>
            </w:r>
          </w:p>
        </w:tc>
      </w:tr>
      <w:tr>
        <w:tblPrEx>
          <w:tblCellMar>
            <w:left w:w="113" w:type="dxa"/>
            <w:right w:w="113" w:type="dxa"/>
          </w:tblCellMar>
        </w:tblPrEx>
        <w:tc>
          <w:tcPr>
            <w:tcW w:w="5245" w:type="dxa"/>
          </w:tcPr>
          <w:p>
            <w:pPr>
              <w:pStyle w:val="yTable"/>
              <w:spacing w:before="200"/>
            </w:pPr>
            <w:r>
              <w:tab/>
              <w:t>SENSORY</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10.</w:t>
            </w:r>
            <w:r>
              <w:tab/>
              <w:t>Total loss of sense of taste and smell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pPr>
            <w:r>
              <w:t>11.</w:t>
            </w:r>
            <w:r>
              <w:tab/>
              <w:t>Total loss of taste ................................................</w:t>
            </w:r>
          </w:p>
        </w:tc>
        <w:tc>
          <w:tcPr>
            <w:tcW w:w="1843" w:type="dxa"/>
          </w:tcPr>
          <w:p>
            <w:pPr>
              <w:pStyle w:val="yTable"/>
              <w:tabs>
                <w:tab w:val="right" w:pos="879"/>
              </w:tabs>
            </w:pPr>
            <w:r>
              <w:tab/>
              <w:t>25</w:t>
            </w:r>
          </w:p>
        </w:tc>
      </w:tr>
      <w:tr>
        <w:tblPrEx>
          <w:tblCellMar>
            <w:left w:w="113" w:type="dxa"/>
            <w:right w:w="113" w:type="dxa"/>
          </w:tblCellMar>
        </w:tblPrEx>
        <w:tc>
          <w:tcPr>
            <w:tcW w:w="5245" w:type="dxa"/>
          </w:tcPr>
          <w:p>
            <w:pPr>
              <w:pStyle w:val="yTable"/>
            </w:pPr>
            <w:r>
              <w:t>12.</w:t>
            </w:r>
            <w:r>
              <w:tab/>
              <w:t>Total loss of smell ...............................................</w:t>
            </w:r>
          </w:p>
        </w:tc>
        <w:tc>
          <w:tcPr>
            <w:tcW w:w="1843" w:type="dxa"/>
          </w:tcPr>
          <w:p>
            <w:pPr>
              <w:pStyle w:val="yTable"/>
              <w:tabs>
                <w:tab w:val="right" w:pos="879"/>
              </w:tabs>
            </w:pPr>
            <w:r>
              <w:tab/>
              <w:t>25</w:t>
            </w:r>
          </w:p>
        </w:tc>
      </w:tr>
      <w:tr>
        <w:tblPrEx>
          <w:tblCellMar>
            <w:left w:w="113" w:type="dxa"/>
            <w:right w:w="113" w:type="dxa"/>
          </w:tblCellMar>
        </w:tblPrEx>
        <w:tc>
          <w:tcPr>
            <w:tcW w:w="5245" w:type="dxa"/>
          </w:tcPr>
          <w:p>
            <w:pPr>
              <w:pStyle w:val="yTable"/>
              <w:spacing w:before="200"/>
            </w:pPr>
            <w:r>
              <w:tab/>
              <w:t>ARM</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13.</w:t>
            </w:r>
            <w:r>
              <w:tab/>
              <w:t>Loss of arm at or above elbow ............................</w:t>
            </w:r>
          </w:p>
        </w:tc>
        <w:tc>
          <w:tcPr>
            <w:tcW w:w="1843" w:type="dxa"/>
          </w:tcPr>
          <w:p>
            <w:pPr>
              <w:pStyle w:val="yTable"/>
              <w:tabs>
                <w:tab w:val="right" w:pos="879"/>
              </w:tabs>
            </w:pPr>
            <w:r>
              <w:tab/>
              <w:t>90</w:t>
            </w:r>
          </w:p>
        </w:tc>
      </w:tr>
      <w:tr>
        <w:tblPrEx>
          <w:tblCellMar>
            <w:left w:w="113" w:type="dxa"/>
            <w:right w:w="113" w:type="dxa"/>
          </w:tblCellMar>
        </w:tblPrEx>
        <w:tc>
          <w:tcPr>
            <w:tcW w:w="5245" w:type="dxa"/>
          </w:tcPr>
          <w:p>
            <w:pPr>
              <w:pStyle w:val="yTable"/>
            </w:pPr>
            <w:r>
              <w:t>14.</w:t>
            </w:r>
            <w:r>
              <w:tab/>
              <w:t>Loss of arm below elbow ....................................</w:t>
            </w:r>
          </w:p>
        </w:tc>
        <w:tc>
          <w:tcPr>
            <w:tcW w:w="1843" w:type="dxa"/>
          </w:tcPr>
          <w:p>
            <w:pPr>
              <w:pStyle w:val="yTable"/>
              <w:tabs>
                <w:tab w:val="right" w:pos="879"/>
              </w:tabs>
            </w:pPr>
            <w:r>
              <w:tab/>
              <w:t>80</w:t>
            </w:r>
          </w:p>
        </w:tc>
      </w:tr>
      <w:tr>
        <w:tblPrEx>
          <w:tblCellMar>
            <w:left w:w="113" w:type="dxa"/>
            <w:right w:w="113" w:type="dxa"/>
          </w:tblCellMar>
        </w:tblPrEx>
        <w:tc>
          <w:tcPr>
            <w:tcW w:w="5245" w:type="dxa"/>
          </w:tcPr>
          <w:p>
            <w:pPr>
              <w:pStyle w:val="yTable"/>
              <w:spacing w:before="200"/>
            </w:pPr>
            <w:r>
              <w:tab/>
              <w:t>HAND</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15.</w:t>
            </w:r>
            <w:r>
              <w:tab/>
              <w:t>Loss of both hands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16.</w:t>
            </w:r>
            <w:r>
              <w:tab/>
              <w:t>Loss of a hand and foot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17.</w:t>
            </w:r>
            <w:r>
              <w:tab/>
              <w:t>Loss of hand or thumb and 4 fingers ..................</w:t>
            </w:r>
          </w:p>
        </w:tc>
        <w:tc>
          <w:tcPr>
            <w:tcW w:w="1843" w:type="dxa"/>
          </w:tcPr>
          <w:p>
            <w:pPr>
              <w:pStyle w:val="yTable"/>
              <w:tabs>
                <w:tab w:val="right" w:pos="879"/>
              </w:tabs>
            </w:pPr>
            <w:r>
              <w:tab/>
              <w:t>80</w:t>
            </w:r>
          </w:p>
        </w:tc>
      </w:tr>
      <w:tr>
        <w:tblPrEx>
          <w:tblCellMar>
            <w:left w:w="113" w:type="dxa"/>
            <w:right w:w="113" w:type="dxa"/>
          </w:tblCellMar>
        </w:tblPrEx>
        <w:tc>
          <w:tcPr>
            <w:tcW w:w="5245" w:type="dxa"/>
          </w:tcPr>
          <w:p>
            <w:pPr>
              <w:pStyle w:val="yTable"/>
            </w:pPr>
            <w:r>
              <w:t>18.</w:t>
            </w:r>
            <w:r>
              <w:tab/>
              <w:t>Loss of thumb .....................................................</w:t>
            </w:r>
          </w:p>
        </w:tc>
        <w:tc>
          <w:tcPr>
            <w:tcW w:w="1843" w:type="dxa"/>
          </w:tcPr>
          <w:p>
            <w:pPr>
              <w:pStyle w:val="yTable"/>
              <w:tabs>
                <w:tab w:val="right" w:pos="879"/>
              </w:tabs>
            </w:pPr>
            <w:r>
              <w:tab/>
              <w:t>35</w:t>
            </w:r>
          </w:p>
        </w:tc>
      </w:tr>
      <w:tr>
        <w:tblPrEx>
          <w:tblCellMar>
            <w:left w:w="113" w:type="dxa"/>
            <w:right w:w="113" w:type="dxa"/>
          </w:tblCellMar>
        </w:tblPrEx>
        <w:tc>
          <w:tcPr>
            <w:tcW w:w="5245" w:type="dxa"/>
          </w:tcPr>
          <w:p>
            <w:pPr>
              <w:pStyle w:val="yTable"/>
            </w:pPr>
            <w:r>
              <w:t>19.</w:t>
            </w:r>
            <w:r>
              <w:tab/>
              <w:t>Loss of forefinger ................................................</w:t>
            </w:r>
          </w:p>
        </w:tc>
        <w:tc>
          <w:tcPr>
            <w:tcW w:w="1843" w:type="dxa"/>
          </w:tcPr>
          <w:p>
            <w:pPr>
              <w:pStyle w:val="yTable"/>
              <w:tabs>
                <w:tab w:val="right" w:pos="879"/>
              </w:tabs>
            </w:pPr>
            <w:r>
              <w:tab/>
              <w:t>17</w:t>
            </w:r>
          </w:p>
        </w:tc>
      </w:tr>
      <w:tr>
        <w:tblPrEx>
          <w:tblCellMar>
            <w:left w:w="113" w:type="dxa"/>
            <w:right w:w="113" w:type="dxa"/>
          </w:tblCellMar>
        </w:tblPrEx>
        <w:tc>
          <w:tcPr>
            <w:tcW w:w="5245" w:type="dxa"/>
          </w:tcPr>
          <w:p>
            <w:pPr>
              <w:pStyle w:val="yTable"/>
            </w:pPr>
            <w:r>
              <w:t>20.</w:t>
            </w:r>
            <w:r>
              <w:tab/>
              <w:t>Loss of middle finger ..........................................</w:t>
            </w:r>
          </w:p>
        </w:tc>
        <w:tc>
          <w:tcPr>
            <w:tcW w:w="1843" w:type="dxa"/>
          </w:tcPr>
          <w:p>
            <w:pPr>
              <w:pStyle w:val="yTable"/>
              <w:tabs>
                <w:tab w:val="right" w:pos="879"/>
              </w:tabs>
            </w:pPr>
            <w:r>
              <w:tab/>
              <w:t>13</w:t>
            </w:r>
          </w:p>
        </w:tc>
      </w:tr>
      <w:tr>
        <w:tblPrEx>
          <w:tblCellMar>
            <w:left w:w="113" w:type="dxa"/>
            <w:right w:w="113" w:type="dxa"/>
          </w:tblCellMar>
        </w:tblPrEx>
        <w:tc>
          <w:tcPr>
            <w:tcW w:w="5245" w:type="dxa"/>
          </w:tcPr>
          <w:p>
            <w:pPr>
              <w:pStyle w:val="yTable"/>
            </w:pPr>
            <w:r>
              <w:t>21.</w:t>
            </w:r>
            <w:r>
              <w:tab/>
              <w:t>Loss of ring finger ..............................................</w:t>
            </w:r>
          </w:p>
        </w:tc>
        <w:tc>
          <w:tcPr>
            <w:tcW w:w="1843" w:type="dxa"/>
          </w:tcPr>
          <w:p>
            <w:pPr>
              <w:pStyle w:val="yTable"/>
              <w:tabs>
                <w:tab w:val="right" w:pos="879"/>
              </w:tabs>
            </w:pPr>
            <w:r>
              <w:tab/>
              <w:t>9</w:t>
            </w:r>
          </w:p>
        </w:tc>
      </w:tr>
      <w:tr>
        <w:tblPrEx>
          <w:tblCellMar>
            <w:left w:w="113" w:type="dxa"/>
            <w:right w:w="113" w:type="dxa"/>
          </w:tblCellMar>
        </w:tblPrEx>
        <w:tc>
          <w:tcPr>
            <w:tcW w:w="5245" w:type="dxa"/>
          </w:tcPr>
          <w:p>
            <w:pPr>
              <w:pStyle w:val="yTable"/>
            </w:pPr>
            <w:r>
              <w:t>22.</w:t>
            </w:r>
            <w:r>
              <w:tab/>
              <w:t>Loss of little finger ..............................................</w:t>
            </w:r>
          </w:p>
        </w:tc>
        <w:tc>
          <w:tcPr>
            <w:tcW w:w="1843" w:type="dxa"/>
          </w:tcPr>
          <w:p>
            <w:pPr>
              <w:pStyle w:val="yTable"/>
              <w:tabs>
                <w:tab w:val="right" w:pos="879"/>
              </w:tabs>
            </w:pPr>
            <w:r>
              <w:tab/>
              <w:t>6</w:t>
            </w:r>
          </w:p>
        </w:tc>
      </w:tr>
      <w:tr>
        <w:tblPrEx>
          <w:tblCellMar>
            <w:left w:w="113" w:type="dxa"/>
            <w:right w:w="113" w:type="dxa"/>
          </w:tblCellMar>
        </w:tblPrEx>
        <w:tc>
          <w:tcPr>
            <w:tcW w:w="5245" w:type="dxa"/>
          </w:tcPr>
          <w:p>
            <w:pPr>
              <w:pStyle w:val="yTable"/>
            </w:pPr>
            <w:r>
              <w:t>23.</w:t>
            </w:r>
            <w:r>
              <w:tab/>
              <w:t>Total loss of movement of joint of thumb ..........</w:t>
            </w:r>
          </w:p>
        </w:tc>
        <w:tc>
          <w:tcPr>
            <w:tcW w:w="1843" w:type="dxa"/>
          </w:tcPr>
          <w:p>
            <w:pPr>
              <w:pStyle w:val="yTable"/>
              <w:tabs>
                <w:tab w:val="right" w:pos="879"/>
              </w:tabs>
            </w:pPr>
            <w:r>
              <w:tab/>
              <w:t>17</w:t>
            </w:r>
          </w:p>
        </w:tc>
      </w:tr>
      <w:tr>
        <w:tblPrEx>
          <w:tblCellMar>
            <w:left w:w="113" w:type="dxa"/>
            <w:right w:w="113" w:type="dxa"/>
          </w:tblCellMar>
        </w:tblPrEx>
        <w:tc>
          <w:tcPr>
            <w:tcW w:w="5245" w:type="dxa"/>
          </w:tcPr>
          <w:p>
            <w:pPr>
              <w:pStyle w:val="yTable"/>
            </w:pPr>
            <w:r>
              <w:t>24.</w:t>
            </w:r>
            <w:r>
              <w:tab/>
              <w:t>Total loss of distal phalanx of thumb .................</w:t>
            </w:r>
          </w:p>
        </w:tc>
        <w:tc>
          <w:tcPr>
            <w:tcW w:w="1843" w:type="dxa"/>
          </w:tcPr>
          <w:p>
            <w:pPr>
              <w:pStyle w:val="yTable"/>
              <w:tabs>
                <w:tab w:val="right" w:pos="879"/>
              </w:tabs>
            </w:pPr>
            <w:r>
              <w:tab/>
              <w:t>20</w:t>
            </w:r>
          </w:p>
        </w:tc>
      </w:tr>
      <w:tr>
        <w:tblPrEx>
          <w:tblCellMar>
            <w:left w:w="113" w:type="dxa"/>
            <w:right w:w="113" w:type="dxa"/>
          </w:tblCellMar>
        </w:tblPrEx>
        <w:tc>
          <w:tcPr>
            <w:tcW w:w="5245" w:type="dxa"/>
          </w:tcPr>
          <w:p>
            <w:pPr>
              <w:pStyle w:val="yTable"/>
              <w:ind w:left="737" w:hanging="737"/>
            </w:pPr>
            <w:r>
              <w:t>25.</w:t>
            </w:r>
            <w:r>
              <w:tab/>
              <w:t>Total loss of portion of terminal segment of thumb involving one</w:t>
            </w:r>
            <w:r>
              <w:noBreakHyphen/>
              <w:t>third of its flexor surface without loss of distal phalanx .............................</w:t>
            </w:r>
          </w:p>
        </w:tc>
        <w:tc>
          <w:tcPr>
            <w:tcW w:w="1843" w:type="dxa"/>
          </w:tcPr>
          <w:p>
            <w:pPr>
              <w:pStyle w:val="yTable"/>
              <w:tabs>
                <w:tab w:val="right" w:pos="879"/>
              </w:tabs>
            </w:pPr>
          </w:p>
          <w:p>
            <w:pPr>
              <w:pStyle w:val="yTable"/>
              <w:tabs>
                <w:tab w:val="right" w:pos="879"/>
              </w:tabs>
              <w:spacing w:before="0"/>
            </w:pPr>
          </w:p>
          <w:p>
            <w:pPr>
              <w:pStyle w:val="yTable"/>
              <w:tabs>
                <w:tab w:val="right" w:pos="879"/>
              </w:tabs>
              <w:spacing w:before="0"/>
            </w:pPr>
            <w:r>
              <w:tab/>
              <w:t>15</w:t>
            </w:r>
          </w:p>
        </w:tc>
      </w:tr>
      <w:tr>
        <w:tblPrEx>
          <w:tblCellMar>
            <w:left w:w="113" w:type="dxa"/>
            <w:right w:w="113" w:type="dxa"/>
          </w:tblCellMar>
        </w:tblPrEx>
        <w:tc>
          <w:tcPr>
            <w:tcW w:w="5245" w:type="dxa"/>
          </w:tcPr>
          <w:p>
            <w:pPr>
              <w:pStyle w:val="yTable"/>
            </w:pPr>
            <w:r>
              <w:t>26.</w:t>
            </w:r>
            <w:r>
              <w:tab/>
              <w:t>Total loss of distal phalanx of forefinger ............</w:t>
            </w:r>
          </w:p>
        </w:tc>
        <w:tc>
          <w:tcPr>
            <w:tcW w:w="1843" w:type="dxa"/>
          </w:tcPr>
          <w:p>
            <w:pPr>
              <w:pStyle w:val="yTable"/>
              <w:tabs>
                <w:tab w:val="right" w:pos="879"/>
              </w:tabs>
            </w:pPr>
            <w:r>
              <w:tab/>
              <w:t>10</w:t>
            </w:r>
          </w:p>
        </w:tc>
      </w:tr>
      <w:tr>
        <w:tblPrEx>
          <w:tblCellMar>
            <w:left w:w="113" w:type="dxa"/>
            <w:right w:w="113" w:type="dxa"/>
          </w:tblCellMar>
        </w:tblPrEx>
        <w:tc>
          <w:tcPr>
            <w:tcW w:w="5245" w:type="dxa"/>
          </w:tcPr>
          <w:p>
            <w:pPr>
              <w:pStyle w:val="yTable"/>
            </w:pPr>
            <w:r>
              <w:t>27.</w:t>
            </w:r>
            <w:r>
              <w:tab/>
              <w:t>Total loss of distal phalanx of</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ab/>
              <w:t> — middle finger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ab/>
              <w:t> — ring finger ....................................................</w:t>
            </w:r>
          </w:p>
        </w:tc>
        <w:tc>
          <w:tcPr>
            <w:tcW w:w="1843" w:type="dxa"/>
          </w:tcPr>
          <w:p>
            <w:pPr>
              <w:pStyle w:val="yTable"/>
              <w:tabs>
                <w:tab w:val="right" w:pos="879"/>
              </w:tabs>
            </w:pPr>
            <w:r>
              <w:tab/>
              <w:t>6</w:t>
            </w:r>
          </w:p>
        </w:tc>
      </w:tr>
      <w:tr>
        <w:tblPrEx>
          <w:tblCellMar>
            <w:left w:w="113" w:type="dxa"/>
            <w:right w:w="113" w:type="dxa"/>
          </w:tblCellMar>
        </w:tblPrEx>
        <w:tc>
          <w:tcPr>
            <w:tcW w:w="5245" w:type="dxa"/>
          </w:tcPr>
          <w:p>
            <w:pPr>
              <w:pStyle w:val="yTable"/>
            </w:pPr>
            <w:r>
              <w:tab/>
              <w:t> — little finger ...................................................</w:t>
            </w:r>
          </w:p>
        </w:tc>
        <w:tc>
          <w:tcPr>
            <w:tcW w:w="1843" w:type="dxa"/>
          </w:tcPr>
          <w:p>
            <w:pPr>
              <w:pStyle w:val="yTable"/>
              <w:tabs>
                <w:tab w:val="right" w:pos="879"/>
              </w:tabs>
            </w:pPr>
            <w:r>
              <w:tab/>
              <w:t>4</w:t>
            </w:r>
          </w:p>
        </w:tc>
      </w:tr>
      <w:tr>
        <w:tblPrEx>
          <w:tblCellMar>
            <w:left w:w="113" w:type="dxa"/>
            <w:right w:w="113" w:type="dxa"/>
          </w:tblCellMar>
        </w:tblPrEx>
        <w:tc>
          <w:tcPr>
            <w:tcW w:w="5245" w:type="dxa"/>
          </w:tcPr>
          <w:p>
            <w:pPr>
              <w:pStyle w:val="yTable"/>
              <w:keepNext/>
              <w:keepLines/>
              <w:ind w:left="737" w:hanging="737"/>
            </w:pPr>
            <w:r>
              <w:t>27A.</w:t>
            </w:r>
            <w:r>
              <w:tab/>
              <w:t>Total loss of distal phalanx of each finger of the same hand (not including the thumb) in one accident ..............................................................</w:t>
            </w:r>
          </w:p>
        </w:tc>
        <w:tc>
          <w:tcPr>
            <w:tcW w:w="1843" w:type="dxa"/>
          </w:tcPr>
          <w:p>
            <w:pPr>
              <w:pStyle w:val="yTable"/>
              <w:keepNext/>
              <w:keepLines/>
              <w:tabs>
                <w:tab w:val="right" w:pos="879"/>
              </w:tabs>
              <w:spacing w:before="0"/>
            </w:pPr>
          </w:p>
          <w:p>
            <w:pPr>
              <w:pStyle w:val="yTable"/>
              <w:keepNext/>
              <w:keepLines/>
              <w:tabs>
                <w:tab w:val="right" w:pos="879"/>
              </w:tabs>
              <w:spacing w:before="0"/>
            </w:pPr>
          </w:p>
          <w:p>
            <w:pPr>
              <w:pStyle w:val="yTable"/>
              <w:keepNext/>
              <w:keepLines/>
              <w:tabs>
                <w:tab w:val="right" w:pos="879"/>
              </w:tabs>
              <w:spacing w:before="0"/>
            </w:pPr>
            <w:r>
              <w:tab/>
              <w:t>31</w:t>
            </w:r>
          </w:p>
        </w:tc>
      </w:tr>
      <w:tr>
        <w:tblPrEx>
          <w:tblCellMar>
            <w:left w:w="113" w:type="dxa"/>
            <w:right w:w="113" w:type="dxa"/>
          </w:tblCellMar>
        </w:tblPrEx>
        <w:tc>
          <w:tcPr>
            <w:tcW w:w="5245" w:type="dxa"/>
          </w:tcPr>
          <w:p>
            <w:pPr>
              <w:pStyle w:val="yTable"/>
              <w:spacing w:before="200"/>
            </w:pPr>
            <w:r>
              <w:tab/>
              <w:t>LEG</w:t>
            </w:r>
          </w:p>
        </w:tc>
        <w:tc>
          <w:tcPr>
            <w:tcW w:w="1843" w:type="dxa"/>
          </w:tcPr>
          <w:p>
            <w:pPr>
              <w:pStyle w:val="yTable"/>
              <w:keepNext/>
              <w:tabs>
                <w:tab w:val="right" w:pos="879"/>
              </w:tabs>
            </w:pPr>
          </w:p>
        </w:tc>
      </w:tr>
      <w:tr>
        <w:tblPrEx>
          <w:tblCellMar>
            <w:left w:w="113" w:type="dxa"/>
            <w:right w:w="113" w:type="dxa"/>
          </w:tblCellMar>
        </w:tblPrEx>
        <w:tc>
          <w:tcPr>
            <w:tcW w:w="5245" w:type="dxa"/>
          </w:tcPr>
          <w:p>
            <w:pPr>
              <w:pStyle w:val="yTable"/>
            </w:pPr>
            <w:r>
              <w:t>28.</w:t>
            </w:r>
            <w:r>
              <w:tab/>
              <w:t>Loss of leg at or above knee ...............................</w:t>
            </w:r>
          </w:p>
        </w:tc>
        <w:tc>
          <w:tcPr>
            <w:tcW w:w="1843" w:type="dxa"/>
          </w:tcPr>
          <w:p>
            <w:pPr>
              <w:pStyle w:val="yTable"/>
              <w:tabs>
                <w:tab w:val="right" w:pos="879"/>
              </w:tabs>
            </w:pPr>
            <w:r>
              <w:tab/>
              <w:t>70</w:t>
            </w:r>
          </w:p>
        </w:tc>
      </w:tr>
      <w:tr>
        <w:tblPrEx>
          <w:tblCellMar>
            <w:left w:w="113" w:type="dxa"/>
            <w:right w:w="113" w:type="dxa"/>
          </w:tblCellMar>
        </w:tblPrEx>
        <w:tc>
          <w:tcPr>
            <w:tcW w:w="5245" w:type="dxa"/>
          </w:tcPr>
          <w:p>
            <w:pPr>
              <w:pStyle w:val="yTable"/>
            </w:pPr>
            <w:r>
              <w:t>29.</w:t>
            </w:r>
            <w:r>
              <w:tab/>
              <w:t>Loss of leg below knee .......................................</w:t>
            </w:r>
          </w:p>
        </w:tc>
        <w:tc>
          <w:tcPr>
            <w:tcW w:w="1843" w:type="dxa"/>
          </w:tcPr>
          <w:p>
            <w:pPr>
              <w:pStyle w:val="yTable"/>
              <w:tabs>
                <w:tab w:val="right" w:pos="879"/>
              </w:tabs>
            </w:pPr>
            <w:r>
              <w:tab/>
              <w:t>65</w:t>
            </w:r>
          </w:p>
        </w:tc>
      </w:tr>
      <w:tr>
        <w:tblPrEx>
          <w:tblCellMar>
            <w:left w:w="113" w:type="dxa"/>
            <w:right w:w="113" w:type="dxa"/>
          </w:tblCellMar>
        </w:tblPrEx>
        <w:tc>
          <w:tcPr>
            <w:tcW w:w="5245" w:type="dxa"/>
          </w:tcPr>
          <w:p>
            <w:pPr>
              <w:pStyle w:val="yTable"/>
              <w:keepNext/>
              <w:keepLines/>
              <w:spacing w:before="200"/>
            </w:pPr>
            <w:r>
              <w:tab/>
              <w:t>FEET</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30.</w:t>
            </w:r>
            <w:r>
              <w:tab/>
              <w:t>Loss of both feet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31.</w:t>
            </w:r>
            <w:r>
              <w:tab/>
              <w:t>Loss of foot .........................................................</w:t>
            </w:r>
          </w:p>
        </w:tc>
        <w:tc>
          <w:tcPr>
            <w:tcW w:w="1843" w:type="dxa"/>
          </w:tcPr>
          <w:p>
            <w:pPr>
              <w:pStyle w:val="yTable"/>
              <w:tabs>
                <w:tab w:val="right" w:pos="879"/>
              </w:tabs>
            </w:pPr>
            <w:r>
              <w:tab/>
              <w:t>65</w:t>
            </w:r>
          </w:p>
        </w:tc>
      </w:tr>
      <w:tr>
        <w:tblPrEx>
          <w:tblCellMar>
            <w:left w:w="113" w:type="dxa"/>
            <w:right w:w="113" w:type="dxa"/>
          </w:tblCellMar>
        </w:tblPrEx>
        <w:tc>
          <w:tcPr>
            <w:tcW w:w="5245" w:type="dxa"/>
          </w:tcPr>
          <w:p>
            <w:pPr>
              <w:pStyle w:val="yTable"/>
            </w:pPr>
            <w:r>
              <w:t>32.</w:t>
            </w:r>
            <w:r>
              <w:tab/>
              <w:t>Loss of great toe .................................................</w:t>
            </w:r>
          </w:p>
        </w:tc>
        <w:tc>
          <w:tcPr>
            <w:tcW w:w="1843" w:type="dxa"/>
          </w:tcPr>
          <w:p>
            <w:pPr>
              <w:pStyle w:val="yTable"/>
              <w:tabs>
                <w:tab w:val="right" w:pos="879"/>
              </w:tabs>
            </w:pPr>
            <w:r>
              <w:tab/>
              <w:t>20</w:t>
            </w:r>
          </w:p>
        </w:tc>
      </w:tr>
      <w:tr>
        <w:tblPrEx>
          <w:tblCellMar>
            <w:left w:w="113" w:type="dxa"/>
            <w:right w:w="113" w:type="dxa"/>
          </w:tblCellMar>
        </w:tblPrEx>
        <w:tc>
          <w:tcPr>
            <w:tcW w:w="5245" w:type="dxa"/>
          </w:tcPr>
          <w:p>
            <w:pPr>
              <w:pStyle w:val="yTable"/>
            </w:pPr>
            <w:r>
              <w:t>33.</w:t>
            </w:r>
            <w:r>
              <w:tab/>
              <w:t>Loss of any other toe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34.</w:t>
            </w:r>
            <w:r>
              <w:tab/>
              <w:t>Loss of 2 phalanges of any other toe ..................</w:t>
            </w:r>
          </w:p>
        </w:tc>
        <w:tc>
          <w:tcPr>
            <w:tcW w:w="1843" w:type="dxa"/>
          </w:tcPr>
          <w:p>
            <w:pPr>
              <w:pStyle w:val="yTable"/>
              <w:tabs>
                <w:tab w:val="right" w:pos="879"/>
              </w:tabs>
            </w:pPr>
            <w:r>
              <w:tab/>
              <w:t>5</w:t>
            </w:r>
          </w:p>
        </w:tc>
      </w:tr>
      <w:tr>
        <w:tblPrEx>
          <w:tblCellMar>
            <w:left w:w="113" w:type="dxa"/>
            <w:right w:w="113" w:type="dxa"/>
          </w:tblCellMar>
        </w:tblPrEx>
        <w:tc>
          <w:tcPr>
            <w:tcW w:w="5245" w:type="dxa"/>
          </w:tcPr>
          <w:p>
            <w:pPr>
              <w:pStyle w:val="yTable"/>
            </w:pPr>
            <w:r>
              <w:t>35.</w:t>
            </w:r>
            <w:r>
              <w:tab/>
              <w:t>Loss of phalanx of great toe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36.</w:t>
            </w:r>
            <w:r>
              <w:tab/>
              <w:t>Loss of phalanx of any other toe ........................</w:t>
            </w:r>
          </w:p>
        </w:tc>
        <w:tc>
          <w:tcPr>
            <w:tcW w:w="1843" w:type="dxa"/>
          </w:tcPr>
          <w:p>
            <w:pPr>
              <w:pStyle w:val="yTable"/>
              <w:tabs>
                <w:tab w:val="right" w:pos="879"/>
              </w:tabs>
            </w:pPr>
            <w:r>
              <w:tab/>
              <w:t>4</w:t>
            </w:r>
          </w:p>
        </w:tc>
      </w:tr>
      <w:tr>
        <w:tblPrEx>
          <w:tblCellMar>
            <w:left w:w="113" w:type="dxa"/>
            <w:right w:w="113" w:type="dxa"/>
          </w:tblCellMar>
        </w:tblPrEx>
        <w:tc>
          <w:tcPr>
            <w:tcW w:w="5245" w:type="dxa"/>
          </w:tcPr>
          <w:p>
            <w:pPr>
              <w:pStyle w:val="yTable"/>
              <w:spacing w:before="200"/>
            </w:pPr>
            <w:r>
              <w:tab/>
              <w:t>BACKS, NECK AND PELVIS</w:t>
            </w:r>
          </w:p>
          <w:p>
            <w:pPr>
              <w:pStyle w:val="yTable"/>
              <w:ind w:left="738" w:hanging="738"/>
            </w:pPr>
            <w:r>
              <w:t>36A.</w:t>
            </w:r>
            <w:r>
              <w:tab/>
              <w:t>Permanent loss of the full efficient use of the back (including thoracic and lumbar spine).......</w:t>
            </w:r>
          </w:p>
        </w:tc>
        <w:tc>
          <w:tcPr>
            <w:tcW w:w="1843" w:type="dxa"/>
          </w:tcPr>
          <w:p>
            <w:pPr>
              <w:pStyle w:val="yTable"/>
              <w:spacing w:before="200"/>
            </w:pPr>
          </w:p>
          <w:p>
            <w:pPr>
              <w:pStyle w:val="yTable"/>
              <w:tabs>
                <w:tab w:val="right" w:pos="879"/>
              </w:tabs>
            </w:pPr>
          </w:p>
          <w:p>
            <w:pPr>
              <w:pStyle w:val="yTable"/>
              <w:tabs>
                <w:tab w:val="right" w:pos="879"/>
              </w:tabs>
            </w:pPr>
            <w:r>
              <w:tab/>
              <w:t>60</w:t>
            </w:r>
          </w:p>
        </w:tc>
      </w:tr>
      <w:tr>
        <w:tblPrEx>
          <w:tblCellMar>
            <w:left w:w="113" w:type="dxa"/>
            <w:right w:w="113" w:type="dxa"/>
          </w:tblCellMar>
        </w:tblPrEx>
        <w:tc>
          <w:tcPr>
            <w:tcW w:w="5245" w:type="dxa"/>
          </w:tcPr>
          <w:p>
            <w:pPr>
              <w:pStyle w:val="yTable"/>
              <w:ind w:left="738" w:hanging="738"/>
            </w:pPr>
            <w:r>
              <w:t>36B.</w:t>
            </w:r>
            <w:r>
              <w:tab/>
              <w:t>Permanent loss of the full efficient use of the neck (including cervical spine) ..........................</w:t>
            </w:r>
          </w:p>
        </w:tc>
        <w:tc>
          <w:tcPr>
            <w:tcW w:w="1843" w:type="dxa"/>
          </w:tcPr>
          <w:p>
            <w:pPr>
              <w:pStyle w:val="yTable"/>
              <w:tabs>
                <w:tab w:val="right" w:pos="879"/>
              </w:tabs>
            </w:pPr>
          </w:p>
          <w:p>
            <w:pPr>
              <w:pStyle w:val="yTable"/>
              <w:tabs>
                <w:tab w:val="right" w:pos="879"/>
              </w:tabs>
              <w:spacing w:before="0"/>
            </w:pPr>
            <w:r>
              <w:tab/>
              <w:t>40</w:t>
            </w:r>
          </w:p>
        </w:tc>
      </w:tr>
      <w:tr>
        <w:tblPrEx>
          <w:tblCellMar>
            <w:left w:w="113" w:type="dxa"/>
            <w:right w:w="113" w:type="dxa"/>
          </w:tblCellMar>
        </w:tblPrEx>
        <w:tc>
          <w:tcPr>
            <w:tcW w:w="5245" w:type="dxa"/>
          </w:tcPr>
          <w:p>
            <w:pPr>
              <w:pStyle w:val="yTable"/>
              <w:ind w:left="738" w:hanging="738"/>
            </w:pPr>
            <w:r>
              <w:t>36C.</w:t>
            </w:r>
            <w:r>
              <w:tab/>
              <w:t>Permanent loss of the full efficient use of the pelvis ..................................................................</w:t>
            </w:r>
          </w:p>
        </w:tc>
        <w:tc>
          <w:tcPr>
            <w:tcW w:w="1843" w:type="dxa"/>
          </w:tcPr>
          <w:p>
            <w:pPr>
              <w:pStyle w:val="yTable"/>
              <w:tabs>
                <w:tab w:val="right" w:pos="879"/>
              </w:tabs>
            </w:pPr>
          </w:p>
          <w:p>
            <w:pPr>
              <w:pStyle w:val="yTable"/>
              <w:tabs>
                <w:tab w:val="right" w:pos="879"/>
              </w:tabs>
              <w:spacing w:before="0"/>
            </w:pPr>
            <w:r>
              <w:tab/>
              <w:t>15</w:t>
            </w:r>
          </w:p>
        </w:tc>
      </w:tr>
      <w:tr>
        <w:tblPrEx>
          <w:tblCellMar>
            <w:left w:w="113" w:type="dxa"/>
            <w:right w:w="113" w:type="dxa"/>
          </w:tblCellMar>
        </w:tblPrEx>
        <w:tc>
          <w:tcPr>
            <w:tcW w:w="5245" w:type="dxa"/>
          </w:tcPr>
          <w:p>
            <w:pPr>
              <w:pStyle w:val="yTable"/>
              <w:spacing w:before="200"/>
            </w:pPr>
            <w:r>
              <w:tab/>
              <w:t>MISCELLANEOUS</w:t>
            </w:r>
          </w:p>
        </w:tc>
        <w:tc>
          <w:tcPr>
            <w:tcW w:w="1843" w:type="dxa"/>
          </w:tcPr>
          <w:p>
            <w:pPr>
              <w:pStyle w:val="yTable"/>
              <w:keepNext/>
              <w:tabs>
                <w:tab w:val="right" w:pos="879"/>
              </w:tabs>
            </w:pPr>
          </w:p>
        </w:tc>
      </w:tr>
      <w:tr>
        <w:tblPrEx>
          <w:tblCellMar>
            <w:left w:w="113" w:type="dxa"/>
            <w:right w:w="113" w:type="dxa"/>
          </w:tblCellMar>
        </w:tblPrEx>
        <w:tc>
          <w:tcPr>
            <w:tcW w:w="5245" w:type="dxa"/>
          </w:tcPr>
          <w:p>
            <w:pPr>
              <w:pStyle w:val="yTable"/>
            </w:pPr>
            <w:r>
              <w:t>37.</w:t>
            </w:r>
            <w:r>
              <w:tab/>
              <w:t>Loss of genitals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ind w:left="738" w:hanging="738"/>
            </w:pPr>
            <w:r>
              <w:t>38.</w:t>
            </w:r>
            <w:r>
              <w:tab/>
              <w:t>Severe facial scarring or disfigurement to a maximum of .......................................................</w:t>
            </w:r>
          </w:p>
        </w:tc>
        <w:tc>
          <w:tcPr>
            <w:tcW w:w="1843" w:type="dxa"/>
          </w:tcPr>
          <w:p>
            <w:pPr>
              <w:pStyle w:val="yTable"/>
              <w:tabs>
                <w:tab w:val="right" w:pos="879"/>
              </w:tabs>
            </w:pPr>
          </w:p>
          <w:p>
            <w:pPr>
              <w:pStyle w:val="yTable"/>
              <w:tabs>
                <w:tab w:val="right" w:pos="879"/>
              </w:tabs>
              <w:spacing w:before="0"/>
            </w:pPr>
            <w:r>
              <w:tab/>
              <w:t>80</w:t>
            </w:r>
          </w:p>
        </w:tc>
      </w:tr>
      <w:tr>
        <w:tblPrEx>
          <w:tblCellMar>
            <w:left w:w="113" w:type="dxa"/>
            <w:right w:w="113" w:type="dxa"/>
          </w:tblCellMar>
        </w:tblPrEx>
        <w:tc>
          <w:tcPr>
            <w:tcW w:w="5245" w:type="dxa"/>
          </w:tcPr>
          <w:p>
            <w:pPr>
              <w:pStyle w:val="yTable"/>
              <w:ind w:left="738" w:hanging="738"/>
            </w:pPr>
            <w:r>
              <w:t>39.</w:t>
            </w:r>
            <w:r>
              <w:tab/>
              <w:t>Severe bodily, other than facial, scarring or disfigurement to a maximum of .........................</w:t>
            </w:r>
          </w:p>
        </w:tc>
        <w:tc>
          <w:tcPr>
            <w:tcW w:w="1843" w:type="dxa"/>
          </w:tcPr>
          <w:p>
            <w:pPr>
              <w:pStyle w:val="yTable"/>
              <w:keepNext/>
              <w:keepLines/>
              <w:tabs>
                <w:tab w:val="right" w:pos="879"/>
              </w:tabs>
            </w:pPr>
          </w:p>
          <w:p>
            <w:pPr>
              <w:pStyle w:val="yTable"/>
              <w:keepNext/>
              <w:keepLines/>
              <w:tabs>
                <w:tab w:val="right" w:pos="879"/>
              </w:tabs>
              <w:spacing w:before="0"/>
            </w:pPr>
            <w:r>
              <w:tab/>
              <w:t>50</w:t>
            </w:r>
          </w:p>
        </w:tc>
      </w:tr>
    </w:tbl>
    <w:p>
      <w:pPr>
        <w:pStyle w:val="yFootnotesection"/>
      </w:pPr>
      <w:r>
        <w:tab/>
        <w:t>[Part 1 amended by No. 42 of 2004 s. 142(2).]</w:t>
      </w:r>
    </w:p>
    <w:p>
      <w:pPr>
        <w:pStyle w:val="yHeading2"/>
        <w:outlineLvl w:val="0"/>
      </w:pPr>
      <w:bookmarkStart w:id="3434" w:name="_Toc122833638"/>
      <w:bookmarkStart w:id="3435" w:name="_Toc122834205"/>
      <w:r>
        <w:t>Part 2</w:t>
      </w:r>
      <w:bookmarkEnd w:id="3434"/>
      <w:bookmarkEnd w:id="3435"/>
    </w:p>
    <w:p>
      <w:pPr>
        <w:pStyle w:val="yFootnoteheading"/>
        <w:spacing w:after="120"/>
      </w:pPr>
      <w:r>
        <w:tab/>
        <w:t>[Heading inserted by No. 42 of 2004 s. 142(3).]</w:t>
      </w:r>
    </w:p>
    <w:tbl>
      <w:tblPr>
        <w:tblW w:w="0" w:type="auto"/>
        <w:tblInd w:w="108" w:type="dxa"/>
        <w:tblLayout w:type="fixed"/>
        <w:tblLook w:val="0000" w:firstRow="0" w:lastRow="0" w:firstColumn="0" w:lastColumn="0" w:noHBand="0" w:noVBand="0"/>
      </w:tblPr>
      <w:tblGrid>
        <w:gridCol w:w="720"/>
        <w:gridCol w:w="4560"/>
        <w:gridCol w:w="1524"/>
      </w:tblGrid>
      <w:tr>
        <w:trPr>
          <w:cantSplit/>
          <w:trHeight w:val="20"/>
        </w:trPr>
        <w:tc>
          <w:tcPr>
            <w:tcW w:w="720" w:type="dxa"/>
          </w:tcPr>
          <w:p>
            <w:pPr>
              <w:pStyle w:val="zytable"/>
              <w:ind w:left="0" w:firstLine="317"/>
            </w:pPr>
          </w:p>
        </w:tc>
        <w:tc>
          <w:tcPr>
            <w:tcW w:w="4560" w:type="dxa"/>
          </w:tcPr>
          <w:p>
            <w:pPr>
              <w:pStyle w:val="yTable"/>
            </w:pPr>
            <w:r>
              <w:t>EYES</w:t>
            </w:r>
          </w:p>
        </w:tc>
        <w:tc>
          <w:tcPr>
            <w:tcW w:w="1524" w:type="dxa"/>
          </w:tcPr>
          <w:p>
            <w:pPr>
              <w:pStyle w:val="yTable"/>
            </w:pPr>
          </w:p>
        </w:tc>
      </w:tr>
      <w:tr>
        <w:trPr>
          <w:cantSplit/>
          <w:trHeight w:val="20"/>
        </w:trPr>
        <w:tc>
          <w:tcPr>
            <w:tcW w:w="720" w:type="dxa"/>
          </w:tcPr>
          <w:p>
            <w:pPr>
              <w:pStyle w:val="yTable"/>
            </w:pPr>
            <w:r>
              <w:t>40.</w:t>
            </w:r>
          </w:p>
        </w:tc>
        <w:tc>
          <w:tcPr>
            <w:tcW w:w="4560" w:type="dxa"/>
          </w:tcPr>
          <w:p>
            <w:pPr>
              <w:pStyle w:val="yTable"/>
            </w:pPr>
            <w:r>
              <w:t>Impairment of sight of both eyes ..................….</w:t>
            </w:r>
          </w:p>
        </w:tc>
        <w:tc>
          <w:tcPr>
            <w:tcW w:w="1524" w:type="dxa"/>
          </w:tcPr>
          <w:p>
            <w:pPr>
              <w:pStyle w:val="yTable"/>
              <w:keepNext/>
              <w:keepLines/>
              <w:tabs>
                <w:tab w:val="right" w:pos="879"/>
              </w:tabs>
            </w:pPr>
            <w:r>
              <w:tab/>
              <w:t>100</w:t>
            </w:r>
          </w:p>
        </w:tc>
      </w:tr>
      <w:tr>
        <w:trPr>
          <w:cantSplit/>
          <w:trHeight w:val="20"/>
        </w:trPr>
        <w:tc>
          <w:tcPr>
            <w:tcW w:w="720" w:type="dxa"/>
          </w:tcPr>
          <w:p>
            <w:pPr>
              <w:pStyle w:val="yTable"/>
            </w:pPr>
            <w:r>
              <w:t>41.</w:t>
            </w:r>
          </w:p>
        </w:tc>
        <w:tc>
          <w:tcPr>
            <w:tcW w:w="4560" w:type="dxa"/>
          </w:tcPr>
          <w:p>
            <w:pPr>
              <w:pStyle w:val="yTable"/>
            </w:pPr>
            <w:r>
              <w:t>Impairment of sight of an only eye ..............….</w:t>
            </w:r>
          </w:p>
        </w:tc>
        <w:tc>
          <w:tcPr>
            <w:tcW w:w="1524" w:type="dxa"/>
          </w:tcPr>
          <w:p>
            <w:pPr>
              <w:pStyle w:val="yTable"/>
              <w:keepNext/>
              <w:keepLines/>
              <w:tabs>
                <w:tab w:val="right" w:pos="879"/>
              </w:tabs>
            </w:pPr>
            <w:r>
              <w:tab/>
              <w:t>100</w:t>
            </w:r>
          </w:p>
        </w:tc>
      </w:tr>
      <w:tr>
        <w:trPr>
          <w:cantSplit/>
          <w:trHeight w:val="20"/>
        </w:trPr>
        <w:tc>
          <w:tcPr>
            <w:tcW w:w="720" w:type="dxa"/>
          </w:tcPr>
          <w:p>
            <w:pPr>
              <w:pStyle w:val="yTable"/>
            </w:pPr>
            <w:r>
              <w:t>42.</w:t>
            </w:r>
          </w:p>
        </w:tc>
        <w:tc>
          <w:tcPr>
            <w:tcW w:w="4560" w:type="dxa"/>
          </w:tcPr>
          <w:p>
            <w:pPr>
              <w:pStyle w:val="yTable"/>
            </w:pPr>
            <w:r>
              <w:t>Impairment of sight of one eye ....................….</w:t>
            </w:r>
          </w:p>
        </w:tc>
        <w:tc>
          <w:tcPr>
            <w:tcW w:w="1524" w:type="dxa"/>
          </w:tcPr>
          <w:p>
            <w:pPr>
              <w:pStyle w:val="yTable"/>
              <w:keepNext/>
              <w:keepLines/>
              <w:tabs>
                <w:tab w:val="right" w:pos="879"/>
              </w:tabs>
            </w:pPr>
            <w:r>
              <w:tab/>
              <w:t>50</w:t>
            </w:r>
          </w:p>
        </w:tc>
      </w:tr>
      <w:tr>
        <w:trPr>
          <w:cantSplit/>
          <w:trHeight w:val="20"/>
        </w:trPr>
        <w:tc>
          <w:tcPr>
            <w:tcW w:w="720" w:type="dxa"/>
          </w:tcPr>
          <w:p>
            <w:pPr>
              <w:pStyle w:val="yTable"/>
            </w:pPr>
            <w:r>
              <w:t>43.</w:t>
            </w:r>
          </w:p>
        </w:tc>
        <w:tc>
          <w:tcPr>
            <w:tcW w:w="4560" w:type="dxa"/>
          </w:tcPr>
          <w:p>
            <w:pPr>
              <w:pStyle w:val="yTable"/>
            </w:pPr>
            <w:r>
              <w:t>Impairment of binocular vision ....................….</w:t>
            </w:r>
          </w:p>
        </w:tc>
        <w:tc>
          <w:tcPr>
            <w:tcW w:w="1524" w:type="dxa"/>
          </w:tcPr>
          <w:p>
            <w:pPr>
              <w:pStyle w:val="yTable"/>
              <w:keepNext/>
              <w:keepLines/>
              <w:tabs>
                <w:tab w:val="right" w:pos="879"/>
              </w:tabs>
            </w:pPr>
            <w:r>
              <w:tab/>
              <w:t>50</w:t>
            </w:r>
          </w:p>
        </w:tc>
      </w:tr>
      <w:tr>
        <w:trPr>
          <w:cantSplit/>
          <w:trHeight w:val="20"/>
        </w:trPr>
        <w:tc>
          <w:tcPr>
            <w:tcW w:w="720" w:type="dxa"/>
          </w:tcPr>
          <w:p>
            <w:pPr>
              <w:pStyle w:val="zytable"/>
              <w:keepNext/>
              <w:ind w:left="0"/>
            </w:pPr>
          </w:p>
        </w:tc>
        <w:tc>
          <w:tcPr>
            <w:tcW w:w="4560" w:type="dxa"/>
          </w:tcPr>
          <w:p>
            <w:pPr>
              <w:pStyle w:val="yTable"/>
            </w:pPr>
            <w:r>
              <w:t>HEARING.</w:t>
            </w:r>
          </w:p>
        </w:tc>
        <w:tc>
          <w:tcPr>
            <w:tcW w:w="1524" w:type="dxa"/>
          </w:tcPr>
          <w:p>
            <w:pPr>
              <w:pStyle w:val="yTable"/>
              <w:keepNext/>
              <w:keepLines/>
              <w:tabs>
                <w:tab w:val="right" w:pos="879"/>
              </w:tabs>
            </w:pPr>
          </w:p>
        </w:tc>
      </w:tr>
      <w:tr>
        <w:trPr>
          <w:cantSplit/>
          <w:trHeight w:val="20"/>
        </w:trPr>
        <w:tc>
          <w:tcPr>
            <w:tcW w:w="720" w:type="dxa"/>
          </w:tcPr>
          <w:p>
            <w:pPr>
              <w:pStyle w:val="yTable"/>
            </w:pPr>
            <w:r>
              <w:t>44.</w:t>
            </w:r>
          </w:p>
        </w:tc>
        <w:tc>
          <w:tcPr>
            <w:tcW w:w="4560" w:type="dxa"/>
          </w:tcPr>
          <w:p>
            <w:pPr>
              <w:pStyle w:val="yTable"/>
            </w:pPr>
            <w:r>
              <w:t>Impairment of hearing ..................................….</w:t>
            </w:r>
          </w:p>
        </w:tc>
        <w:tc>
          <w:tcPr>
            <w:tcW w:w="1524" w:type="dxa"/>
          </w:tcPr>
          <w:p>
            <w:pPr>
              <w:pStyle w:val="yTable"/>
              <w:keepNext/>
              <w:keepLines/>
              <w:tabs>
                <w:tab w:val="right" w:pos="879"/>
              </w:tabs>
            </w:pPr>
            <w:r>
              <w:tab/>
              <w:t>75</w:t>
            </w:r>
          </w:p>
        </w:tc>
      </w:tr>
      <w:tr>
        <w:trPr>
          <w:cantSplit/>
          <w:trHeight w:val="20"/>
        </w:trPr>
        <w:tc>
          <w:tcPr>
            <w:tcW w:w="720" w:type="dxa"/>
          </w:tcPr>
          <w:p>
            <w:pPr>
              <w:pStyle w:val="zytable"/>
              <w:ind w:left="0"/>
            </w:pPr>
          </w:p>
        </w:tc>
        <w:tc>
          <w:tcPr>
            <w:tcW w:w="4560" w:type="dxa"/>
          </w:tcPr>
          <w:p>
            <w:pPr>
              <w:pStyle w:val="yTable"/>
            </w:pPr>
            <w:r>
              <w:t>SPEECH</w:t>
            </w:r>
          </w:p>
        </w:tc>
        <w:tc>
          <w:tcPr>
            <w:tcW w:w="1524" w:type="dxa"/>
          </w:tcPr>
          <w:p>
            <w:pPr>
              <w:pStyle w:val="yTable"/>
              <w:keepNext/>
              <w:keepLines/>
              <w:tabs>
                <w:tab w:val="right" w:pos="879"/>
              </w:tabs>
            </w:pPr>
          </w:p>
        </w:tc>
      </w:tr>
      <w:tr>
        <w:trPr>
          <w:cantSplit/>
          <w:trHeight w:val="20"/>
        </w:trPr>
        <w:tc>
          <w:tcPr>
            <w:tcW w:w="720" w:type="dxa"/>
          </w:tcPr>
          <w:p>
            <w:pPr>
              <w:pStyle w:val="yTable"/>
            </w:pPr>
            <w:r>
              <w:t>45.</w:t>
            </w:r>
          </w:p>
        </w:tc>
        <w:tc>
          <w:tcPr>
            <w:tcW w:w="4560" w:type="dxa"/>
          </w:tcPr>
          <w:p>
            <w:pPr>
              <w:pStyle w:val="yTable"/>
            </w:pPr>
            <w:r>
              <w:t>Impairment of power of speech ....................….</w:t>
            </w:r>
          </w:p>
        </w:tc>
        <w:tc>
          <w:tcPr>
            <w:tcW w:w="1524" w:type="dxa"/>
          </w:tcPr>
          <w:p>
            <w:pPr>
              <w:pStyle w:val="yTable"/>
              <w:keepNext/>
              <w:keepLines/>
              <w:tabs>
                <w:tab w:val="right" w:pos="879"/>
              </w:tabs>
            </w:pPr>
            <w:r>
              <w:tab/>
              <w:t>75</w:t>
            </w:r>
          </w:p>
        </w:tc>
      </w:tr>
      <w:tr>
        <w:trPr>
          <w:cantSplit/>
          <w:trHeight w:val="20"/>
        </w:trPr>
        <w:tc>
          <w:tcPr>
            <w:tcW w:w="720" w:type="dxa"/>
          </w:tcPr>
          <w:p>
            <w:pPr>
              <w:pStyle w:val="zytable"/>
              <w:ind w:left="0"/>
            </w:pPr>
          </w:p>
        </w:tc>
        <w:tc>
          <w:tcPr>
            <w:tcW w:w="4560" w:type="dxa"/>
          </w:tcPr>
          <w:p>
            <w:pPr>
              <w:pStyle w:val="yTable"/>
            </w:pPr>
            <w:r>
              <w:t>BODY AND MENTAL</w:t>
            </w:r>
          </w:p>
        </w:tc>
        <w:tc>
          <w:tcPr>
            <w:tcW w:w="1524" w:type="dxa"/>
          </w:tcPr>
          <w:p>
            <w:pPr>
              <w:pStyle w:val="yTable"/>
              <w:keepNext/>
              <w:keepLines/>
              <w:tabs>
                <w:tab w:val="right" w:pos="879"/>
              </w:tabs>
            </w:pPr>
          </w:p>
        </w:tc>
      </w:tr>
      <w:tr>
        <w:trPr>
          <w:cantSplit/>
          <w:trHeight w:val="20"/>
        </w:trPr>
        <w:tc>
          <w:tcPr>
            <w:tcW w:w="720" w:type="dxa"/>
          </w:tcPr>
          <w:p>
            <w:pPr>
              <w:pStyle w:val="yTable"/>
            </w:pPr>
            <w:r>
              <w:t>46.</w:t>
            </w:r>
          </w:p>
        </w:tc>
        <w:tc>
          <w:tcPr>
            <w:tcW w:w="4560" w:type="dxa"/>
          </w:tcPr>
          <w:p>
            <w:pPr>
              <w:pStyle w:val="yTable"/>
            </w:pPr>
            <w:r>
              <w:t>Impairment of mental capacity .....................….</w:t>
            </w:r>
          </w:p>
        </w:tc>
        <w:tc>
          <w:tcPr>
            <w:tcW w:w="1524" w:type="dxa"/>
          </w:tcPr>
          <w:p>
            <w:pPr>
              <w:pStyle w:val="yTable"/>
              <w:keepNext/>
              <w:keepLines/>
              <w:tabs>
                <w:tab w:val="right" w:pos="879"/>
              </w:tabs>
            </w:pPr>
            <w:r>
              <w:tab/>
              <w:t>100</w:t>
            </w:r>
          </w:p>
        </w:tc>
      </w:tr>
      <w:tr>
        <w:trPr>
          <w:cantSplit/>
          <w:trHeight w:val="20"/>
        </w:trPr>
        <w:tc>
          <w:tcPr>
            <w:tcW w:w="720" w:type="dxa"/>
          </w:tcPr>
          <w:p>
            <w:pPr>
              <w:pStyle w:val="yTable"/>
            </w:pPr>
            <w:r>
              <w:t>47.</w:t>
            </w:r>
          </w:p>
        </w:tc>
        <w:tc>
          <w:tcPr>
            <w:tcW w:w="4560" w:type="dxa"/>
          </w:tcPr>
          <w:p>
            <w:pPr>
              <w:pStyle w:val="yTable"/>
            </w:pPr>
            <w:r>
              <w:t>Impairment of spinal cord function ..............….</w:t>
            </w:r>
          </w:p>
        </w:tc>
        <w:tc>
          <w:tcPr>
            <w:tcW w:w="1524" w:type="dxa"/>
          </w:tcPr>
          <w:p>
            <w:pPr>
              <w:pStyle w:val="yTable"/>
              <w:keepNext/>
              <w:keepLines/>
              <w:tabs>
                <w:tab w:val="right" w:pos="879"/>
              </w:tabs>
            </w:pPr>
            <w:r>
              <w:tab/>
              <w:t>100</w:t>
            </w:r>
          </w:p>
        </w:tc>
      </w:tr>
      <w:tr>
        <w:trPr>
          <w:cantSplit/>
          <w:trHeight w:val="20"/>
        </w:trPr>
        <w:tc>
          <w:tcPr>
            <w:tcW w:w="720" w:type="dxa"/>
          </w:tcPr>
          <w:p>
            <w:pPr>
              <w:pStyle w:val="zytable"/>
              <w:ind w:left="0"/>
            </w:pPr>
          </w:p>
        </w:tc>
        <w:tc>
          <w:tcPr>
            <w:tcW w:w="4560" w:type="dxa"/>
          </w:tcPr>
          <w:p>
            <w:pPr>
              <w:pStyle w:val="yTable"/>
            </w:pPr>
            <w:r>
              <w:t>SENSORY</w:t>
            </w:r>
          </w:p>
        </w:tc>
        <w:tc>
          <w:tcPr>
            <w:tcW w:w="1524" w:type="dxa"/>
          </w:tcPr>
          <w:p>
            <w:pPr>
              <w:pStyle w:val="yTable"/>
            </w:pPr>
          </w:p>
        </w:tc>
      </w:tr>
      <w:tr>
        <w:trPr>
          <w:cantSplit/>
          <w:trHeight w:val="20"/>
        </w:trPr>
        <w:tc>
          <w:tcPr>
            <w:tcW w:w="720" w:type="dxa"/>
          </w:tcPr>
          <w:p>
            <w:pPr>
              <w:pStyle w:val="yTable"/>
            </w:pPr>
            <w:r>
              <w:t>48.</w:t>
            </w:r>
          </w:p>
        </w:tc>
        <w:tc>
          <w:tcPr>
            <w:tcW w:w="4560" w:type="dxa"/>
          </w:tcPr>
          <w:p>
            <w:pPr>
              <w:pStyle w:val="yTable"/>
            </w:pPr>
            <w:r>
              <w:t>Impairment of sense of taste and smell ........….</w:t>
            </w:r>
          </w:p>
        </w:tc>
        <w:tc>
          <w:tcPr>
            <w:tcW w:w="1524" w:type="dxa"/>
          </w:tcPr>
          <w:p>
            <w:pPr>
              <w:pStyle w:val="yTable"/>
              <w:keepNext/>
              <w:keepLines/>
              <w:tabs>
                <w:tab w:val="right" w:pos="879"/>
              </w:tabs>
            </w:pPr>
            <w:r>
              <w:tab/>
              <w:t>50</w:t>
            </w:r>
          </w:p>
        </w:tc>
      </w:tr>
      <w:tr>
        <w:trPr>
          <w:cantSplit/>
          <w:trHeight w:val="20"/>
        </w:trPr>
        <w:tc>
          <w:tcPr>
            <w:tcW w:w="720" w:type="dxa"/>
          </w:tcPr>
          <w:p>
            <w:pPr>
              <w:pStyle w:val="yTable"/>
            </w:pPr>
            <w:r>
              <w:t>49.</w:t>
            </w:r>
          </w:p>
        </w:tc>
        <w:tc>
          <w:tcPr>
            <w:tcW w:w="4560" w:type="dxa"/>
          </w:tcPr>
          <w:p>
            <w:pPr>
              <w:pStyle w:val="yTable"/>
            </w:pPr>
            <w:r>
              <w:t>Impairment of sense of taste .........................….</w:t>
            </w:r>
          </w:p>
        </w:tc>
        <w:tc>
          <w:tcPr>
            <w:tcW w:w="1524" w:type="dxa"/>
          </w:tcPr>
          <w:p>
            <w:pPr>
              <w:pStyle w:val="yTable"/>
              <w:keepNext/>
              <w:keepLines/>
              <w:tabs>
                <w:tab w:val="right" w:pos="879"/>
              </w:tabs>
            </w:pPr>
            <w:r>
              <w:tab/>
              <w:t>25</w:t>
            </w:r>
          </w:p>
        </w:tc>
      </w:tr>
      <w:tr>
        <w:trPr>
          <w:cantSplit/>
          <w:trHeight w:val="20"/>
        </w:trPr>
        <w:tc>
          <w:tcPr>
            <w:tcW w:w="720" w:type="dxa"/>
          </w:tcPr>
          <w:p>
            <w:pPr>
              <w:pStyle w:val="yTable"/>
            </w:pPr>
            <w:r>
              <w:t>50.</w:t>
            </w:r>
          </w:p>
        </w:tc>
        <w:tc>
          <w:tcPr>
            <w:tcW w:w="4560" w:type="dxa"/>
          </w:tcPr>
          <w:p>
            <w:pPr>
              <w:pStyle w:val="yTable"/>
            </w:pPr>
            <w:r>
              <w:t>Impairment of sense of smell .......................….</w:t>
            </w:r>
          </w:p>
        </w:tc>
        <w:tc>
          <w:tcPr>
            <w:tcW w:w="1524" w:type="dxa"/>
          </w:tcPr>
          <w:p>
            <w:pPr>
              <w:pStyle w:val="yTable"/>
              <w:keepNext/>
              <w:keepLines/>
              <w:tabs>
                <w:tab w:val="right" w:pos="879"/>
              </w:tabs>
            </w:pPr>
            <w:r>
              <w:tab/>
              <w:t>25</w:t>
            </w:r>
          </w:p>
        </w:tc>
      </w:tr>
      <w:tr>
        <w:trPr>
          <w:cantSplit/>
          <w:trHeight w:val="20"/>
        </w:trPr>
        <w:tc>
          <w:tcPr>
            <w:tcW w:w="720" w:type="dxa"/>
          </w:tcPr>
          <w:p>
            <w:pPr>
              <w:pStyle w:val="zytable"/>
              <w:ind w:left="0"/>
            </w:pPr>
          </w:p>
        </w:tc>
        <w:tc>
          <w:tcPr>
            <w:tcW w:w="4560" w:type="dxa"/>
          </w:tcPr>
          <w:p>
            <w:pPr>
              <w:pStyle w:val="yTable"/>
            </w:pPr>
            <w:r>
              <w:t>ARM</w:t>
            </w:r>
          </w:p>
        </w:tc>
        <w:tc>
          <w:tcPr>
            <w:tcW w:w="1524" w:type="dxa"/>
          </w:tcPr>
          <w:p>
            <w:pPr>
              <w:pStyle w:val="yTable"/>
            </w:pPr>
          </w:p>
        </w:tc>
      </w:tr>
      <w:tr>
        <w:trPr>
          <w:cantSplit/>
          <w:trHeight w:val="20"/>
        </w:trPr>
        <w:tc>
          <w:tcPr>
            <w:tcW w:w="720" w:type="dxa"/>
          </w:tcPr>
          <w:p>
            <w:pPr>
              <w:pStyle w:val="yTable"/>
            </w:pPr>
            <w:r>
              <w:t>51.</w:t>
            </w:r>
          </w:p>
        </w:tc>
        <w:tc>
          <w:tcPr>
            <w:tcW w:w="4560" w:type="dxa"/>
          </w:tcPr>
          <w:p>
            <w:pPr>
              <w:pStyle w:val="yTable"/>
            </w:pPr>
            <w:r>
              <w:t>Impairment of arm at or above elbow ..........….</w:t>
            </w:r>
          </w:p>
        </w:tc>
        <w:tc>
          <w:tcPr>
            <w:tcW w:w="1524" w:type="dxa"/>
          </w:tcPr>
          <w:p>
            <w:pPr>
              <w:pStyle w:val="yTable"/>
              <w:keepNext/>
              <w:keepLines/>
              <w:tabs>
                <w:tab w:val="right" w:pos="879"/>
              </w:tabs>
            </w:pPr>
            <w:r>
              <w:tab/>
              <w:t>90</w:t>
            </w:r>
          </w:p>
        </w:tc>
      </w:tr>
      <w:tr>
        <w:trPr>
          <w:cantSplit/>
          <w:trHeight w:val="20"/>
        </w:trPr>
        <w:tc>
          <w:tcPr>
            <w:tcW w:w="720" w:type="dxa"/>
          </w:tcPr>
          <w:p>
            <w:pPr>
              <w:pStyle w:val="yTable"/>
            </w:pPr>
            <w:r>
              <w:t>52.</w:t>
            </w:r>
          </w:p>
        </w:tc>
        <w:tc>
          <w:tcPr>
            <w:tcW w:w="4560" w:type="dxa"/>
          </w:tcPr>
          <w:p>
            <w:pPr>
              <w:pStyle w:val="yTable"/>
            </w:pPr>
            <w:r>
              <w:t>Impairment of arm below elbow ..................….</w:t>
            </w:r>
          </w:p>
        </w:tc>
        <w:tc>
          <w:tcPr>
            <w:tcW w:w="1524" w:type="dxa"/>
          </w:tcPr>
          <w:p>
            <w:pPr>
              <w:pStyle w:val="yTable"/>
              <w:keepNext/>
              <w:keepLines/>
              <w:tabs>
                <w:tab w:val="right" w:pos="879"/>
              </w:tabs>
            </w:pPr>
            <w:r>
              <w:tab/>
              <w:t>80</w:t>
            </w:r>
          </w:p>
        </w:tc>
      </w:tr>
      <w:tr>
        <w:trPr>
          <w:cantSplit/>
          <w:trHeight w:val="20"/>
        </w:trPr>
        <w:tc>
          <w:tcPr>
            <w:tcW w:w="720" w:type="dxa"/>
          </w:tcPr>
          <w:p>
            <w:pPr>
              <w:pStyle w:val="zytable"/>
              <w:ind w:left="0"/>
            </w:pPr>
          </w:p>
        </w:tc>
        <w:tc>
          <w:tcPr>
            <w:tcW w:w="4560" w:type="dxa"/>
          </w:tcPr>
          <w:p>
            <w:pPr>
              <w:pStyle w:val="yTable"/>
            </w:pPr>
            <w:r>
              <w:t>HAND</w:t>
            </w:r>
          </w:p>
        </w:tc>
        <w:tc>
          <w:tcPr>
            <w:tcW w:w="1524" w:type="dxa"/>
          </w:tcPr>
          <w:p>
            <w:pPr>
              <w:pStyle w:val="yTable"/>
            </w:pPr>
          </w:p>
        </w:tc>
      </w:tr>
      <w:tr>
        <w:trPr>
          <w:cantSplit/>
          <w:trHeight w:val="20"/>
        </w:trPr>
        <w:tc>
          <w:tcPr>
            <w:tcW w:w="720" w:type="dxa"/>
          </w:tcPr>
          <w:p>
            <w:pPr>
              <w:pStyle w:val="yTable"/>
            </w:pPr>
            <w:r>
              <w:t>53.</w:t>
            </w:r>
          </w:p>
        </w:tc>
        <w:tc>
          <w:tcPr>
            <w:tcW w:w="4560" w:type="dxa"/>
          </w:tcPr>
          <w:p>
            <w:pPr>
              <w:pStyle w:val="yTable"/>
            </w:pPr>
            <w:r>
              <w:t>Impairment of both hands ............................….</w:t>
            </w:r>
          </w:p>
        </w:tc>
        <w:tc>
          <w:tcPr>
            <w:tcW w:w="1524" w:type="dxa"/>
          </w:tcPr>
          <w:p>
            <w:pPr>
              <w:pStyle w:val="yTable"/>
              <w:keepNext/>
              <w:keepLines/>
              <w:tabs>
                <w:tab w:val="right" w:pos="879"/>
              </w:tabs>
            </w:pPr>
            <w:r>
              <w:tab/>
              <w:t>100</w:t>
            </w:r>
          </w:p>
        </w:tc>
      </w:tr>
      <w:tr>
        <w:trPr>
          <w:cantSplit/>
          <w:trHeight w:val="20"/>
        </w:trPr>
        <w:tc>
          <w:tcPr>
            <w:tcW w:w="720" w:type="dxa"/>
          </w:tcPr>
          <w:p>
            <w:pPr>
              <w:pStyle w:val="yTable"/>
            </w:pPr>
            <w:r>
              <w:t>54.</w:t>
            </w:r>
          </w:p>
        </w:tc>
        <w:tc>
          <w:tcPr>
            <w:tcW w:w="4560" w:type="dxa"/>
          </w:tcPr>
          <w:p>
            <w:pPr>
              <w:pStyle w:val="yTable"/>
            </w:pPr>
            <w:r>
              <w:t>Impairment of hand and foot ........................….</w:t>
            </w:r>
          </w:p>
        </w:tc>
        <w:tc>
          <w:tcPr>
            <w:tcW w:w="1524" w:type="dxa"/>
          </w:tcPr>
          <w:p>
            <w:pPr>
              <w:pStyle w:val="yTable"/>
              <w:keepNext/>
              <w:keepLines/>
              <w:tabs>
                <w:tab w:val="right" w:pos="879"/>
              </w:tabs>
            </w:pPr>
            <w:r>
              <w:tab/>
              <w:t>100</w:t>
            </w:r>
          </w:p>
        </w:tc>
      </w:tr>
      <w:tr>
        <w:trPr>
          <w:cantSplit/>
          <w:trHeight w:val="20"/>
        </w:trPr>
        <w:tc>
          <w:tcPr>
            <w:tcW w:w="720" w:type="dxa"/>
          </w:tcPr>
          <w:p>
            <w:pPr>
              <w:pStyle w:val="yTable"/>
            </w:pPr>
            <w:r>
              <w:t>55.</w:t>
            </w:r>
          </w:p>
        </w:tc>
        <w:tc>
          <w:tcPr>
            <w:tcW w:w="4560" w:type="dxa"/>
          </w:tcPr>
          <w:p>
            <w:pPr>
              <w:pStyle w:val="yTable"/>
            </w:pPr>
            <w:r>
              <w:t>Impairment of hand or thumb and 4 fingers .….</w:t>
            </w:r>
          </w:p>
        </w:tc>
        <w:tc>
          <w:tcPr>
            <w:tcW w:w="1524" w:type="dxa"/>
          </w:tcPr>
          <w:p>
            <w:pPr>
              <w:pStyle w:val="yTable"/>
              <w:keepNext/>
              <w:keepLines/>
              <w:tabs>
                <w:tab w:val="right" w:pos="879"/>
              </w:tabs>
            </w:pPr>
            <w:r>
              <w:tab/>
              <w:t>80</w:t>
            </w:r>
          </w:p>
        </w:tc>
      </w:tr>
      <w:tr>
        <w:trPr>
          <w:cantSplit/>
          <w:trHeight w:val="20"/>
        </w:trPr>
        <w:tc>
          <w:tcPr>
            <w:tcW w:w="720" w:type="dxa"/>
          </w:tcPr>
          <w:p>
            <w:pPr>
              <w:pStyle w:val="yTable"/>
            </w:pPr>
            <w:r>
              <w:t>56.</w:t>
            </w:r>
          </w:p>
        </w:tc>
        <w:tc>
          <w:tcPr>
            <w:tcW w:w="4560" w:type="dxa"/>
          </w:tcPr>
          <w:p>
            <w:pPr>
              <w:pStyle w:val="yTable"/>
            </w:pPr>
            <w:r>
              <w:t>Impairment of thumb ....................................….</w:t>
            </w:r>
          </w:p>
        </w:tc>
        <w:tc>
          <w:tcPr>
            <w:tcW w:w="1524" w:type="dxa"/>
          </w:tcPr>
          <w:p>
            <w:pPr>
              <w:pStyle w:val="yTable"/>
              <w:keepNext/>
              <w:keepLines/>
              <w:tabs>
                <w:tab w:val="right" w:pos="879"/>
              </w:tabs>
            </w:pPr>
            <w:r>
              <w:tab/>
              <w:t>35</w:t>
            </w:r>
          </w:p>
        </w:tc>
      </w:tr>
      <w:tr>
        <w:trPr>
          <w:cantSplit/>
          <w:trHeight w:val="20"/>
        </w:trPr>
        <w:tc>
          <w:tcPr>
            <w:tcW w:w="720" w:type="dxa"/>
          </w:tcPr>
          <w:p>
            <w:pPr>
              <w:pStyle w:val="yTable"/>
            </w:pPr>
            <w:r>
              <w:t>57.</w:t>
            </w:r>
          </w:p>
        </w:tc>
        <w:tc>
          <w:tcPr>
            <w:tcW w:w="4560" w:type="dxa"/>
          </w:tcPr>
          <w:p>
            <w:pPr>
              <w:pStyle w:val="yTable"/>
            </w:pPr>
            <w:r>
              <w:t>Impairment of forefinger ..............................….</w:t>
            </w:r>
          </w:p>
        </w:tc>
        <w:tc>
          <w:tcPr>
            <w:tcW w:w="1524" w:type="dxa"/>
          </w:tcPr>
          <w:p>
            <w:pPr>
              <w:pStyle w:val="yTable"/>
              <w:keepNext/>
              <w:keepLines/>
              <w:tabs>
                <w:tab w:val="right" w:pos="879"/>
              </w:tabs>
            </w:pPr>
            <w:r>
              <w:tab/>
              <w:t>17</w:t>
            </w:r>
          </w:p>
        </w:tc>
      </w:tr>
      <w:tr>
        <w:trPr>
          <w:cantSplit/>
          <w:trHeight w:val="20"/>
        </w:trPr>
        <w:tc>
          <w:tcPr>
            <w:tcW w:w="720" w:type="dxa"/>
          </w:tcPr>
          <w:p>
            <w:pPr>
              <w:pStyle w:val="yTable"/>
            </w:pPr>
            <w:r>
              <w:t>58.</w:t>
            </w:r>
          </w:p>
        </w:tc>
        <w:tc>
          <w:tcPr>
            <w:tcW w:w="4560" w:type="dxa"/>
          </w:tcPr>
          <w:p>
            <w:pPr>
              <w:pStyle w:val="yTable"/>
            </w:pPr>
            <w:r>
              <w:t>Impairment of middle finger ........................….</w:t>
            </w:r>
          </w:p>
        </w:tc>
        <w:tc>
          <w:tcPr>
            <w:tcW w:w="1524" w:type="dxa"/>
          </w:tcPr>
          <w:p>
            <w:pPr>
              <w:pStyle w:val="yTable"/>
              <w:keepNext/>
              <w:keepLines/>
              <w:tabs>
                <w:tab w:val="right" w:pos="879"/>
              </w:tabs>
            </w:pPr>
            <w:r>
              <w:tab/>
              <w:t>13</w:t>
            </w:r>
          </w:p>
        </w:tc>
      </w:tr>
      <w:tr>
        <w:trPr>
          <w:cantSplit/>
          <w:trHeight w:val="20"/>
        </w:trPr>
        <w:tc>
          <w:tcPr>
            <w:tcW w:w="720" w:type="dxa"/>
          </w:tcPr>
          <w:p>
            <w:pPr>
              <w:pStyle w:val="yTable"/>
            </w:pPr>
            <w:r>
              <w:t>59.</w:t>
            </w:r>
          </w:p>
        </w:tc>
        <w:tc>
          <w:tcPr>
            <w:tcW w:w="4560" w:type="dxa"/>
          </w:tcPr>
          <w:p>
            <w:pPr>
              <w:pStyle w:val="yTable"/>
            </w:pPr>
            <w:r>
              <w:t>Impairment of ring finger .............................….</w:t>
            </w:r>
          </w:p>
        </w:tc>
        <w:tc>
          <w:tcPr>
            <w:tcW w:w="1524" w:type="dxa"/>
          </w:tcPr>
          <w:p>
            <w:pPr>
              <w:pStyle w:val="yTable"/>
              <w:keepNext/>
              <w:keepLines/>
              <w:tabs>
                <w:tab w:val="right" w:pos="879"/>
              </w:tabs>
            </w:pPr>
            <w:r>
              <w:tab/>
              <w:t>9</w:t>
            </w:r>
          </w:p>
        </w:tc>
      </w:tr>
      <w:tr>
        <w:trPr>
          <w:cantSplit/>
          <w:trHeight w:val="20"/>
        </w:trPr>
        <w:tc>
          <w:tcPr>
            <w:tcW w:w="720" w:type="dxa"/>
          </w:tcPr>
          <w:p>
            <w:pPr>
              <w:pStyle w:val="yTable"/>
            </w:pPr>
            <w:r>
              <w:t>60.</w:t>
            </w:r>
          </w:p>
        </w:tc>
        <w:tc>
          <w:tcPr>
            <w:tcW w:w="4560" w:type="dxa"/>
          </w:tcPr>
          <w:p>
            <w:pPr>
              <w:pStyle w:val="yTable"/>
            </w:pPr>
            <w:r>
              <w:t>Impairment of little finger ............................….</w:t>
            </w:r>
          </w:p>
        </w:tc>
        <w:tc>
          <w:tcPr>
            <w:tcW w:w="1524" w:type="dxa"/>
          </w:tcPr>
          <w:p>
            <w:pPr>
              <w:pStyle w:val="yTable"/>
              <w:keepNext/>
              <w:keepLines/>
              <w:tabs>
                <w:tab w:val="right" w:pos="879"/>
              </w:tabs>
            </w:pPr>
            <w:r>
              <w:tab/>
              <w:t>6</w:t>
            </w:r>
          </w:p>
        </w:tc>
      </w:tr>
      <w:tr>
        <w:trPr>
          <w:cantSplit/>
          <w:trHeight w:val="20"/>
        </w:trPr>
        <w:tc>
          <w:tcPr>
            <w:tcW w:w="720" w:type="dxa"/>
          </w:tcPr>
          <w:p>
            <w:pPr>
              <w:pStyle w:val="yTable"/>
            </w:pPr>
            <w:r>
              <w:t>61.</w:t>
            </w:r>
          </w:p>
        </w:tc>
        <w:tc>
          <w:tcPr>
            <w:tcW w:w="4560" w:type="dxa"/>
          </w:tcPr>
          <w:p>
            <w:pPr>
              <w:pStyle w:val="yTable"/>
            </w:pPr>
            <w:r>
              <w:t>Impairment of movement of joint of thumb .….</w:t>
            </w:r>
          </w:p>
        </w:tc>
        <w:tc>
          <w:tcPr>
            <w:tcW w:w="1524" w:type="dxa"/>
          </w:tcPr>
          <w:p>
            <w:pPr>
              <w:pStyle w:val="yTable"/>
              <w:keepNext/>
              <w:keepLines/>
              <w:tabs>
                <w:tab w:val="right" w:pos="879"/>
              </w:tabs>
            </w:pPr>
            <w:r>
              <w:tab/>
              <w:t>17</w:t>
            </w:r>
          </w:p>
        </w:tc>
      </w:tr>
      <w:tr>
        <w:trPr>
          <w:cantSplit/>
          <w:trHeight w:val="20"/>
        </w:trPr>
        <w:tc>
          <w:tcPr>
            <w:tcW w:w="720" w:type="dxa"/>
          </w:tcPr>
          <w:p>
            <w:pPr>
              <w:pStyle w:val="yTable"/>
            </w:pPr>
            <w:r>
              <w:t>62.</w:t>
            </w:r>
          </w:p>
        </w:tc>
        <w:tc>
          <w:tcPr>
            <w:tcW w:w="4560" w:type="dxa"/>
          </w:tcPr>
          <w:p>
            <w:pPr>
              <w:pStyle w:val="yTable"/>
            </w:pPr>
            <w:r>
              <w:t>Impairment of distal phalanx of thumb ........….</w:t>
            </w:r>
          </w:p>
        </w:tc>
        <w:tc>
          <w:tcPr>
            <w:tcW w:w="1524" w:type="dxa"/>
          </w:tcPr>
          <w:p>
            <w:pPr>
              <w:pStyle w:val="yTable"/>
              <w:keepNext/>
              <w:keepLines/>
              <w:tabs>
                <w:tab w:val="right" w:pos="879"/>
              </w:tabs>
            </w:pPr>
            <w:r>
              <w:tab/>
              <w:t>20</w:t>
            </w:r>
          </w:p>
        </w:tc>
      </w:tr>
      <w:tr>
        <w:trPr>
          <w:cantSplit/>
          <w:trHeight w:val="20"/>
        </w:trPr>
        <w:tc>
          <w:tcPr>
            <w:tcW w:w="720" w:type="dxa"/>
          </w:tcPr>
          <w:p>
            <w:pPr>
              <w:pStyle w:val="yTable"/>
            </w:pPr>
            <w:r>
              <w:t>63.</w:t>
            </w:r>
          </w:p>
        </w:tc>
        <w:tc>
          <w:tcPr>
            <w:tcW w:w="4560" w:type="dxa"/>
          </w:tcPr>
          <w:p>
            <w:pPr>
              <w:pStyle w:val="yTable"/>
            </w:pPr>
            <w:r>
              <w:t>Impairment of portion of terminal segment of thumb involving one</w:t>
            </w:r>
            <w:r>
              <w:noBreakHyphen/>
              <w:t>third of its flexor surface without loss of distal phalanx ..........………….</w:t>
            </w:r>
          </w:p>
        </w:tc>
        <w:tc>
          <w:tcPr>
            <w:tcW w:w="1524" w:type="dxa"/>
          </w:tcPr>
          <w:p>
            <w:pPr>
              <w:pStyle w:val="yTable"/>
              <w:keepNext/>
              <w:keepLines/>
              <w:tabs>
                <w:tab w:val="right" w:pos="879"/>
              </w:tabs>
            </w:pPr>
            <w:r>
              <w:br/>
            </w:r>
            <w:r>
              <w:br/>
            </w:r>
            <w:r>
              <w:tab/>
              <w:t>15</w:t>
            </w:r>
          </w:p>
        </w:tc>
      </w:tr>
      <w:tr>
        <w:trPr>
          <w:cantSplit/>
          <w:trHeight w:val="20"/>
        </w:trPr>
        <w:tc>
          <w:tcPr>
            <w:tcW w:w="720" w:type="dxa"/>
          </w:tcPr>
          <w:p>
            <w:pPr>
              <w:pStyle w:val="yTable"/>
            </w:pPr>
            <w:r>
              <w:t>64.</w:t>
            </w:r>
          </w:p>
        </w:tc>
        <w:tc>
          <w:tcPr>
            <w:tcW w:w="4560" w:type="dxa"/>
          </w:tcPr>
          <w:p>
            <w:pPr>
              <w:pStyle w:val="yTable"/>
            </w:pPr>
            <w:r>
              <w:t>Impairment of distal phalanx of forefinger</w:t>
            </w:r>
          </w:p>
        </w:tc>
        <w:tc>
          <w:tcPr>
            <w:tcW w:w="1524" w:type="dxa"/>
          </w:tcPr>
          <w:p>
            <w:pPr>
              <w:pStyle w:val="yTable"/>
              <w:keepNext/>
              <w:keepLines/>
              <w:tabs>
                <w:tab w:val="right" w:pos="879"/>
              </w:tabs>
            </w:pPr>
            <w:r>
              <w:tab/>
              <w:t>10</w:t>
            </w:r>
          </w:p>
        </w:tc>
      </w:tr>
      <w:tr>
        <w:trPr>
          <w:cantSplit/>
          <w:trHeight w:val="20"/>
        </w:trPr>
        <w:tc>
          <w:tcPr>
            <w:tcW w:w="720" w:type="dxa"/>
          </w:tcPr>
          <w:p>
            <w:pPr>
              <w:pStyle w:val="yTable"/>
            </w:pPr>
            <w:r>
              <w:t>65.</w:t>
            </w:r>
          </w:p>
        </w:tc>
        <w:tc>
          <w:tcPr>
            <w:tcW w:w="4560" w:type="dxa"/>
          </w:tcPr>
          <w:p>
            <w:pPr>
              <w:pStyle w:val="yTable"/>
            </w:pPr>
            <w:r>
              <w:t>Impairment of distal phalanx of</w:t>
            </w:r>
          </w:p>
          <w:p>
            <w:pPr>
              <w:pStyle w:val="yTable"/>
            </w:pPr>
            <w:r>
              <w:t> — middle finger ..........................................….</w:t>
            </w:r>
          </w:p>
          <w:p>
            <w:pPr>
              <w:pStyle w:val="yTable"/>
            </w:pPr>
            <w:r>
              <w:t> — ring finger ...............................................….</w:t>
            </w:r>
          </w:p>
          <w:p>
            <w:pPr>
              <w:pStyle w:val="yTable"/>
            </w:pPr>
            <w:r>
              <w:t> — little finger ..............................................….</w:t>
            </w:r>
          </w:p>
        </w:tc>
        <w:tc>
          <w:tcPr>
            <w:tcW w:w="1524" w:type="dxa"/>
          </w:tcPr>
          <w:p>
            <w:pPr>
              <w:pStyle w:val="yTable"/>
            </w:pPr>
          </w:p>
          <w:p>
            <w:pPr>
              <w:pStyle w:val="yTable"/>
              <w:keepNext/>
              <w:keepLines/>
              <w:tabs>
                <w:tab w:val="right" w:pos="879"/>
              </w:tabs>
            </w:pPr>
            <w:r>
              <w:tab/>
              <w:t>8</w:t>
            </w:r>
          </w:p>
          <w:p>
            <w:pPr>
              <w:pStyle w:val="yTable"/>
              <w:keepNext/>
              <w:keepLines/>
              <w:tabs>
                <w:tab w:val="right" w:pos="879"/>
              </w:tabs>
            </w:pPr>
            <w:r>
              <w:tab/>
              <w:t>6</w:t>
            </w:r>
          </w:p>
          <w:p>
            <w:pPr>
              <w:pStyle w:val="yTable"/>
              <w:keepNext/>
              <w:keepLines/>
              <w:tabs>
                <w:tab w:val="right" w:pos="879"/>
              </w:tabs>
            </w:pPr>
            <w:r>
              <w:tab/>
              <w:t>4</w:t>
            </w:r>
          </w:p>
        </w:tc>
      </w:tr>
      <w:tr>
        <w:trPr>
          <w:cantSplit/>
          <w:trHeight w:val="20"/>
        </w:trPr>
        <w:tc>
          <w:tcPr>
            <w:tcW w:w="720" w:type="dxa"/>
          </w:tcPr>
          <w:p>
            <w:pPr>
              <w:pStyle w:val="yTable"/>
            </w:pPr>
            <w:r>
              <w:t>66.</w:t>
            </w:r>
          </w:p>
        </w:tc>
        <w:tc>
          <w:tcPr>
            <w:tcW w:w="4560" w:type="dxa"/>
          </w:tcPr>
          <w:p>
            <w:pPr>
              <w:pStyle w:val="yTable"/>
            </w:pPr>
            <w:r>
              <w:t>Impairment of distal phalanx of each finger of the same hand (not including the thumb) in one accident ..................................................………</w:t>
            </w:r>
          </w:p>
        </w:tc>
        <w:tc>
          <w:tcPr>
            <w:tcW w:w="1524" w:type="dxa"/>
          </w:tcPr>
          <w:p>
            <w:pPr>
              <w:pStyle w:val="yTable"/>
              <w:keepNext/>
              <w:keepLines/>
              <w:tabs>
                <w:tab w:val="right" w:pos="879"/>
              </w:tabs>
            </w:pPr>
            <w:r>
              <w:br/>
            </w:r>
            <w:r>
              <w:br/>
            </w:r>
            <w:r>
              <w:tab/>
              <w:t>31</w:t>
            </w:r>
          </w:p>
        </w:tc>
      </w:tr>
      <w:tr>
        <w:trPr>
          <w:cantSplit/>
          <w:trHeight w:val="20"/>
        </w:trPr>
        <w:tc>
          <w:tcPr>
            <w:tcW w:w="720" w:type="dxa"/>
          </w:tcPr>
          <w:p>
            <w:pPr>
              <w:pStyle w:val="zytable"/>
              <w:ind w:left="0"/>
            </w:pPr>
          </w:p>
        </w:tc>
        <w:tc>
          <w:tcPr>
            <w:tcW w:w="4560" w:type="dxa"/>
          </w:tcPr>
          <w:p>
            <w:pPr>
              <w:pStyle w:val="yTable"/>
            </w:pPr>
            <w:r>
              <w:t>LEG</w:t>
            </w:r>
          </w:p>
        </w:tc>
        <w:tc>
          <w:tcPr>
            <w:tcW w:w="1524" w:type="dxa"/>
          </w:tcPr>
          <w:p>
            <w:pPr>
              <w:pStyle w:val="yTable"/>
            </w:pPr>
          </w:p>
        </w:tc>
      </w:tr>
      <w:tr>
        <w:trPr>
          <w:cantSplit/>
          <w:trHeight w:val="20"/>
        </w:trPr>
        <w:tc>
          <w:tcPr>
            <w:tcW w:w="720" w:type="dxa"/>
          </w:tcPr>
          <w:p>
            <w:pPr>
              <w:pStyle w:val="yTable"/>
            </w:pPr>
            <w:r>
              <w:t>67.</w:t>
            </w:r>
          </w:p>
        </w:tc>
        <w:tc>
          <w:tcPr>
            <w:tcW w:w="4560" w:type="dxa"/>
          </w:tcPr>
          <w:p>
            <w:pPr>
              <w:pStyle w:val="yTable"/>
            </w:pPr>
            <w:r>
              <w:t>Impairment of leg at or above knee ..............….</w:t>
            </w:r>
          </w:p>
        </w:tc>
        <w:tc>
          <w:tcPr>
            <w:tcW w:w="1524" w:type="dxa"/>
          </w:tcPr>
          <w:p>
            <w:pPr>
              <w:pStyle w:val="yTable"/>
              <w:keepNext/>
              <w:keepLines/>
              <w:tabs>
                <w:tab w:val="right" w:pos="879"/>
              </w:tabs>
            </w:pPr>
            <w:r>
              <w:tab/>
              <w:t>70</w:t>
            </w:r>
          </w:p>
        </w:tc>
      </w:tr>
      <w:tr>
        <w:trPr>
          <w:cantSplit/>
          <w:trHeight w:val="20"/>
        </w:trPr>
        <w:tc>
          <w:tcPr>
            <w:tcW w:w="720" w:type="dxa"/>
          </w:tcPr>
          <w:p>
            <w:pPr>
              <w:pStyle w:val="yTable"/>
            </w:pPr>
            <w:r>
              <w:t>68.</w:t>
            </w:r>
          </w:p>
        </w:tc>
        <w:tc>
          <w:tcPr>
            <w:tcW w:w="4560" w:type="dxa"/>
          </w:tcPr>
          <w:p>
            <w:pPr>
              <w:pStyle w:val="yTable"/>
            </w:pPr>
            <w:r>
              <w:t>Impairment of leg below knee ......................….</w:t>
            </w:r>
          </w:p>
        </w:tc>
        <w:tc>
          <w:tcPr>
            <w:tcW w:w="1524" w:type="dxa"/>
          </w:tcPr>
          <w:p>
            <w:pPr>
              <w:pStyle w:val="yTable"/>
              <w:keepNext/>
              <w:keepLines/>
              <w:tabs>
                <w:tab w:val="right" w:pos="879"/>
              </w:tabs>
            </w:pPr>
            <w:r>
              <w:tab/>
              <w:t>65</w:t>
            </w:r>
          </w:p>
        </w:tc>
      </w:tr>
      <w:tr>
        <w:trPr>
          <w:cantSplit/>
          <w:trHeight w:val="20"/>
        </w:trPr>
        <w:tc>
          <w:tcPr>
            <w:tcW w:w="720" w:type="dxa"/>
          </w:tcPr>
          <w:p>
            <w:pPr>
              <w:pStyle w:val="zytable"/>
              <w:ind w:left="0"/>
            </w:pPr>
          </w:p>
        </w:tc>
        <w:tc>
          <w:tcPr>
            <w:tcW w:w="4560" w:type="dxa"/>
          </w:tcPr>
          <w:p>
            <w:pPr>
              <w:pStyle w:val="yTable"/>
            </w:pPr>
            <w:r>
              <w:t>FEET</w:t>
            </w:r>
          </w:p>
        </w:tc>
        <w:tc>
          <w:tcPr>
            <w:tcW w:w="1524" w:type="dxa"/>
          </w:tcPr>
          <w:p>
            <w:pPr>
              <w:pStyle w:val="yTable"/>
            </w:pPr>
          </w:p>
        </w:tc>
      </w:tr>
      <w:tr>
        <w:trPr>
          <w:cantSplit/>
          <w:trHeight w:val="20"/>
        </w:trPr>
        <w:tc>
          <w:tcPr>
            <w:tcW w:w="720" w:type="dxa"/>
          </w:tcPr>
          <w:p>
            <w:pPr>
              <w:pStyle w:val="yTable"/>
            </w:pPr>
            <w:r>
              <w:t>69.</w:t>
            </w:r>
          </w:p>
        </w:tc>
        <w:tc>
          <w:tcPr>
            <w:tcW w:w="4560" w:type="dxa"/>
          </w:tcPr>
          <w:p>
            <w:pPr>
              <w:pStyle w:val="yTable"/>
            </w:pPr>
            <w:r>
              <w:t>Impairment of both feet ................................….</w:t>
            </w:r>
          </w:p>
        </w:tc>
        <w:tc>
          <w:tcPr>
            <w:tcW w:w="1524" w:type="dxa"/>
          </w:tcPr>
          <w:p>
            <w:pPr>
              <w:pStyle w:val="yTable"/>
              <w:keepNext/>
              <w:keepLines/>
              <w:tabs>
                <w:tab w:val="right" w:pos="879"/>
              </w:tabs>
            </w:pPr>
            <w:r>
              <w:tab/>
              <w:t>100</w:t>
            </w:r>
          </w:p>
        </w:tc>
      </w:tr>
      <w:tr>
        <w:trPr>
          <w:cantSplit/>
          <w:trHeight w:val="20"/>
        </w:trPr>
        <w:tc>
          <w:tcPr>
            <w:tcW w:w="720" w:type="dxa"/>
          </w:tcPr>
          <w:p>
            <w:pPr>
              <w:pStyle w:val="yTable"/>
            </w:pPr>
            <w:r>
              <w:t>70.</w:t>
            </w:r>
          </w:p>
        </w:tc>
        <w:tc>
          <w:tcPr>
            <w:tcW w:w="4560" w:type="dxa"/>
          </w:tcPr>
          <w:p>
            <w:pPr>
              <w:pStyle w:val="yTable"/>
            </w:pPr>
            <w:r>
              <w:t>Impairment of foot .......................................….</w:t>
            </w:r>
          </w:p>
        </w:tc>
        <w:tc>
          <w:tcPr>
            <w:tcW w:w="1524" w:type="dxa"/>
          </w:tcPr>
          <w:p>
            <w:pPr>
              <w:pStyle w:val="yTable"/>
              <w:keepNext/>
              <w:keepLines/>
              <w:tabs>
                <w:tab w:val="right" w:pos="879"/>
              </w:tabs>
            </w:pPr>
            <w:r>
              <w:tab/>
              <w:t>65</w:t>
            </w:r>
          </w:p>
        </w:tc>
      </w:tr>
      <w:tr>
        <w:trPr>
          <w:cantSplit/>
          <w:trHeight w:val="20"/>
        </w:trPr>
        <w:tc>
          <w:tcPr>
            <w:tcW w:w="720" w:type="dxa"/>
          </w:tcPr>
          <w:p>
            <w:pPr>
              <w:pStyle w:val="yTable"/>
            </w:pPr>
            <w:r>
              <w:t>71.</w:t>
            </w:r>
          </w:p>
        </w:tc>
        <w:tc>
          <w:tcPr>
            <w:tcW w:w="4560" w:type="dxa"/>
          </w:tcPr>
          <w:p>
            <w:pPr>
              <w:pStyle w:val="yTable"/>
            </w:pPr>
            <w:r>
              <w:t>Impairment of great toe ................................….</w:t>
            </w:r>
          </w:p>
        </w:tc>
        <w:tc>
          <w:tcPr>
            <w:tcW w:w="1524" w:type="dxa"/>
          </w:tcPr>
          <w:p>
            <w:pPr>
              <w:pStyle w:val="yTable"/>
              <w:keepNext/>
              <w:keepLines/>
              <w:tabs>
                <w:tab w:val="right" w:pos="879"/>
              </w:tabs>
            </w:pPr>
            <w:r>
              <w:tab/>
              <w:t>20</w:t>
            </w:r>
          </w:p>
        </w:tc>
      </w:tr>
      <w:tr>
        <w:trPr>
          <w:cantSplit/>
          <w:trHeight w:val="20"/>
        </w:trPr>
        <w:tc>
          <w:tcPr>
            <w:tcW w:w="720" w:type="dxa"/>
          </w:tcPr>
          <w:p>
            <w:pPr>
              <w:pStyle w:val="yTable"/>
            </w:pPr>
            <w:r>
              <w:t>72.</w:t>
            </w:r>
          </w:p>
        </w:tc>
        <w:tc>
          <w:tcPr>
            <w:tcW w:w="4560" w:type="dxa"/>
          </w:tcPr>
          <w:p>
            <w:pPr>
              <w:pStyle w:val="yTable"/>
            </w:pPr>
            <w:r>
              <w:t>Impairment of any other toe .........................….</w:t>
            </w:r>
          </w:p>
        </w:tc>
        <w:tc>
          <w:tcPr>
            <w:tcW w:w="1524" w:type="dxa"/>
          </w:tcPr>
          <w:p>
            <w:pPr>
              <w:pStyle w:val="yTable"/>
              <w:keepNext/>
              <w:keepLines/>
              <w:tabs>
                <w:tab w:val="right" w:pos="879"/>
              </w:tabs>
            </w:pPr>
            <w:r>
              <w:tab/>
              <w:t>8</w:t>
            </w:r>
          </w:p>
        </w:tc>
      </w:tr>
      <w:tr>
        <w:trPr>
          <w:cantSplit/>
          <w:trHeight w:val="20"/>
        </w:trPr>
        <w:tc>
          <w:tcPr>
            <w:tcW w:w="720" w:type="dxa"/>
          </w:tcPr>
          <w:p>
            <w:pPr>
              <w:pStyle w:val="yTable"/>
            </w:pPr>
            <w:r>
              <w:t>73.</w:t>
            </w:r>
          </w:p>
        </w:tc>
        <w:tc>
          <w:tcPr>
            <w:tcW w:w="4560" w:type="dxa"/>
          </w:tcPr>
          <w:p>
            <w:pPr>
              <w:pStyle w:val="yTable"/>
            </w:pPr>
            <w:r>
              <w:t>Impairment of 2 phalanges of any other toe .….</w:t>
            </w:r>
          </w:p>
        </w:tc>
        <w:tc>
          <w:tcPr>
            <w:tcW w:w="1524" w:type="dxa"/>
          </w:tcPr>
          <w:p>
            <w:pPr>
              <w:pStyle w:val="yTable"/>
              <w:keepNext/>
              <w:keepLines/>
              <w:tabs>
                <w:tab w:val="right" w:pos="879"/>
              </w:tabs>
            </w:pPr>
            <w:r>
              <w:tab/>
              <w:t>5</w:t>
            </w:r>
          </w:p>
        </w:tc>
      </w:tr>
      <w:tr>
        <w:trPr>
          <w:cantSplit/>
          <w:trHeight w:val="20"/>
        </w:trPr>
        <w:tc>
          <w:tcPr>
            <w:tcW w:w="720" w:type="dxa"/>
          </w:tcPr>
          <w:p>
            <w:pPr>
              <w:pStyle w:val="yTable"/>
            </w:pPr>
            <w:r>
              <w:t>74.</w:t>
            </w:r>
          </w:p>
        </w:tc>
        <w:tc>
          <w:tcPr>
            <w:tcW w:w="4560" w:type="dxa"/>
          </w:tcPr>
          <w:p>
            <w:pPr>
              <w:pStyle w:val="yTable"/>
            </w:pPr>
            <w:r>
              <w:t>Impairment of phalanx of great toe ..............….</w:t>
            </w:r>
          </w:p>
        </w:tc>
        <w:tc>
          <w:tcPr>
            <w:tcW w:w="1524" w:type="dxa"/>
          </w:tcPr>
          <w:p>
            <w:pPr>
              <w:pStyle w:val="yTable"/>
              <w:keepNext/>
              <w:keepLines/>
              <w:tabs>
                <w:tab w:val="right" w:pos="879"/>
              </w:tabs>
            </w:pPr>
            <w:r>
              <w:tab/>
              <w:t>8</w:t>
            </w:r>
          </w:p>
        </w:tc>
      </w:tr>
      <w:tr>
        <w:trPr>
          <w:cantSplit/>
          <w:trHeight w:val="20"/>
        </w:trPr>
        <w:tc>
          <w:tcPr>
            <w:tcW w:w="720" w:type="dxa"/>
          </w:tcPr>
          <w:p>
            <w:pPr>
              <w:pStyle w:val="yTable"/>
            </w:pPr>
            <w:r>
              <w:t>75.</w:t>
            </w:r>
          </w:p>
        </w:tc>
        <w:tc>
          <w:tcPr>
            <w:tcW w:w="4560" w:type="dxa"/>
          </w:tcPr>
          <w:p>
            <w:pPr>
              <w:pStyle w:val="yTable"/>
            </w:pPr>
            <w:r>
              <w:t>Impairment of phalanx of any other toe .......….</w:t>
            </w:r>
          </w:p>
        </w:tc>
        <w:tc>
          <w:tcPr>
            <w:tcW w:w="1524" w:type="dxa"/>
          </w:tcPr>
          <w:p>
            <w:pPr>
              <w:pStyle w:val="yTable"/>
              <w:keepNext/>
              <w:keepLines/>
              <w:tabs>
                <w:tab w:val="right" w:pos="879"/>
              </w:tabs>
            </w:pPr>
            <w:r>
              <w:tab/>
              <w:t>4</w:t>
            </w:r>
          </w:p>
        </w:tc>
      </w:tr>
      <w:tr>
        <w:trPr>
          <w:cantSplit/>
          <w:trHeight w:val="20"/>
        </w:trPr>
        <w:tc>
          <w:tcPr>
            <w:tcW w:w="720" w:type="dxa"/>
          </w:tcPr>
          <w:p>
            <w:pPr>
              <w:pStyle w:val="zytable"/>
              <w:ind w:left="0"/>
            </w:pPr>
          </w:p>
        </w:tc>
        <w:tc>
          <w:tcPr>
            <w:tcW w:w="4560" w:type="dxa"/>
          </w:tcPr>
          <w:p>
            <w:pPr>
              <w:pStyle w:val="yTable"/>
            </w:pPr>
            <w:r>
              <w:t>BACK, NECK AND PELVIS</w:t>
            </w:r>
          </w:p>
        </w:tc>
        <w:tc>
          <w:tcPr>
            <w:tcW w:w="1524" w:type="dxa"/>
          </w:tcPr>
          <w:p>
            <w:pPr>
              <w:pStyle w:val="yTable"/>
            </w:pPr>
          </w:p>
        </w:tc>
      </w:tr>
      <w:tr>
        <w:trPr>
          <w:cantSplit/>
          <w:trHeight w:val="20"/>
        </w:trPr>
        <w:tc>
          <w:tcPr>
            <w:tcW w:w="720" w:type="dxa"/>
          </w:tcPr>
          <w:p>
            <w:pPr>
              <w:pStyle w:val="yTable"/>
            </w:pPr>
            <w:r>
              <w:t>76.</w:t>
            </w:r>
          </w:p>
        </w:tc>
        <w:tc>
          <w:tcPr>
            <w:tcW w:w="4560" w:type="dxa"/>
          </w:tcPr>
          <w:p>
            <w:pPr>
              <w:pStyle w:val="yTable"/>
            </w:pPr>
            <w:r>
              <w:t>Impairment of the back (thoracic spine or lumbar spine or both) ...................................………….</w:t>
            </w:r>
          </w:p>
        </w:tc>
        <w:tc>
          <w:tcPr>
            <w:tcW w:w="1524" w:type="dxa"/>
          </w:tcPr>
          <w:p>
            <w:pPr>
              <w:pStyle w:val="yTable"/>
              <w:keepNext/>
              <w:keepLines/>
              <w:tabs>
                <w:tab w:val="right" w:pos="879"/>
              </w:tabs>
            </w:pPr>
            <w:r>
              <w:br/>
            </w:r>
            <w:r>
              <w:tab/>
              <w:t>75</w:t>
            </w:r>
          </w:p>
        </w:tc>
      </w:tr>
      <w:tr>
        <w:trPr>
          <w:cantSplit/>
          <w:trHeight w:val="20"/>
        </w:trPr>
        <w:tc>
          <w:tcPr>
            <w:tcW w:w="720" w:type="dxa"/>
          </w:tcPr>
          <w:p>
            <w:pPr>
              <w:pStyle w:val="yTable"/>
            </w:pPr>
            <w:r>
              <w:t>77.</w:t>
            </w:r>
          </w:p>
        </w:tc>
        <w:tc>
          <w:tcPr>
            <w:tcW w:w="4560" w:type="dxa"/>
          </w:tcPr>
          <w:p>
            <w:pPr>
              <w:pStyle w:val="yTable"/>
            </w:pPr>
            <w:r>
              <w:t>Impairment of the neck (including cervical spine) ............................................................….</w:t>
            </w:r>
          </w:p>
        </w:tc>
        <w:tc>
          <w:tcPr>
            <w:tcW w:w="1524" w:type="dxa"/>
          </w:tcPr>
          <w:p>
            <w:pPr>
              <w:pStyle w:val="yTable"/>
              <w:keepNext/>
              <w:keepLines/>
              <w:tabs>
                <w:tab w:val="right" w:pos="879"/>
              </w:tabs>
            </w:pPr>
            <w:r>
              <w:br/>
            </w:r>
            <w:r>
              <w:tab/>
              <w:t>55</w:t>
            </w:r>
          </w:p>
        </w:tc>
      </w:tr>
      <w:tr>
        <w:trPr>
          <w:cantSplit/>
          <w:trHeight w:val="20"/>
        </w:trPr>
        <w:tc>
          <w:tcPr>
            <w:tcW w:w="720" w:type="dxa"/>
          </w:tcPr>
          <w:p>
            <w:pPr>
              <w:pStyle w:val="yTable"/>
            </w:pPr>
            <w:r>
              <w:t>78.</w:t>
            </w:r>
          </w:p>
        </w:tc>
        <w:tc>
          <w:tcPr>
            <w:tcW w:w="4560" w:type="dxa"/>
          </w:tcPr>
          <w:p>
            <w:pPr>
              <w:pStyle w:val="yTable"/>
            </w:pPr>
            <w:r>
              <w:t>Impairment of the pelvis ..............................….</w:t>
            </w:r>
          </w:p>
        </w:tc>
        <w:tc>
          <w:tcPr>
            <w:tcW w:w="1524" w:type="dxa"/>
          </w:tcPr>
          <w:p>
            <w:pPr>
              <w:pStyle w:val="yTable"/>
              <w:keepNext/>
              <w:keepLines/>
              <w:tabs>
                <w:tab w:val="right" w:pos="879"/>
              </w:tabs>
            </w:pPr>
            <w:r>
              <w:tab/>
              <w:t>30</w:t>
            </w:r>
          </w:p>
        </w:tc>
      </w:tr>
      <w:tr>
        <w:trPr>
          <w:cantSplit/>
          <w:trHeight w:val="20"/>
        </w:trPr>
        <w:tc>
          <w:tcPr>
            <w:tcW w:w="720" w:type="dxa"/>
          </w:tcPr>
          <w:p>
            <w:pPr>
              <w:pStyle w:val="zytable"/>
              <w:ind w:left="0"/>
            </w:pPr>
          </w:p>
        </w:tc>
        <w:tc>
          <w:tcPr>
            <w:tcW w:w="4560" w:type="dxa"/>
          </w:tcPr>
          <w:p>
            <w:pPr>
              <w:pStyle w:val="yTable"/>
            </w:pPr>
            <w:r>
              <w:t>MISCELLANEOUS</w:t>
            </w:r>
          </w:p>
        </w:tc>
        <w:tc>
          <w:tcPr>
            <w:tcW w:w="1524" w:type="dxa"/>
          </w:tcPr>
          <w:p>
            <w:pPr>
              <w:pStyle w:val="yTable"/>
            </w:pPr>
          </w:p>
        </w:tc>
      </w:tr>
      <w:tr>
        <w:trPr>
          <w:cantSplit/>
          <w:trHeight w:val="20"/>
        </w:trPr>
        <w:tc>
          <w:tcPr>
            <w:tcW w:w="720" w:type="dxa"/>
          </w:tcPr>
          <w:p>
            <w:pPr>
              <w:pStyle w:val="yTable"/>
            </w:pPr>
            <w:r>
              <w:t>79.</w:t>
            </w:r>
          </w:p>
        </w:tc>
        <w:tc>
          <w:tcPr>
            <w:tcW w:w="4560" w:type="dxa"/>
          </w:tcPr>
          <w:p>
            <w:pPr>
              <w:pStyle w:val="yTable"/>
            </w:pPr>
            <w:r>
              <w:t>Impairment of genitals .................................….</w:t>
            </w:r>
          </w:p>
        </w:tc>
        <w:tc>
          <w:tcPr>
            <w:tcW w:w="1524" w:type="dxa"/>
          </w:tcPr>
          <w:p>
            <w:pPr>
              <w:pStyle w:val="yTable"/>
              <w:keepNext/>
              <w:keepLines/>
              <w:tabs>
                <w:tab w:val="right" w:pos="879"/>
              </w:tabs>
            </w:pPr>
            <w:r>
              <w:tab/>
              <w:t>50</w:t>
            </w:r>
          </w:p>
        </w:tc>
      </w:tr>
      <w:tr>
        <w:trPr>
          <w:cantSplit/>
          <w:trHeight w:val="20"/>
        </w:trPr>
        <w:tc>
          <w:tcPr>
            <w:tcW w:w="720" w:type="dxa"/>
          </w:tcPr>
          <w:p>
            <w:pPr>
              <w:pStyle w:val="yTable"/>
            </w:pPr>
            <w:r>
              <w:t>80.</w:t>
            </w:r>
          </w:p>
        </w:tc>
        <w:tc>
          <w:tcPr>
            <w:tcW w:w="4560" w:type="dxa"/>
          </w:tcPr>
          <w:p>
            <w:pPr>
              <w:pStyle w:val="yTable"/>
            </w:pPr>
            <w:r>
              <w:t xml:space="preserve">Impairment from facial scarring or </w:t>
            </w:r>
            <w:r>
              <w:br/>
              <w:t>disfigurement ................................................….</w:t>
            </w:r>
          </w:p>
        </w:tc>
        <w:tc>
          <w:tcPr>
            <w:tcW w:w="1524" w:type="dxa"/>
          </w:tcPr>
          <w:p>
            <w:pPr>
              <w:pStyle w:val="yTable"/>
              <w:keepNext/>
              <w:keepLines/>
              <w:tabs>
                <w:tab w:val="right" w:pos="879"/>
              </w:tabs>
            </w:pPr>
            <w:r>
              <w:br/>
            </w:r>
            <w:r>
              <w:tab/>
              <w:t>80</w:t>
            </w:r>
          </w:p>
        </w:tc>
      </w:tr>
      <w:tr>
        <w:trPr>
          <w:cantSplit/>
          <w:trHeight w:val="20"/>
        </w:trPr>
        <w:tc>
          <w:tcPr>
            <w:tcW w:w="720" w:type="dxa"/>
          </w:tcPr>
          <w:p>
            <w:pPr>
              <w:pStyle w:val="yTable"/>
            </w:pPr>
            <w:r>
              <w:t>81.</w:t>
            </w:r>
          </w:p>
        </w:tc>
        <w:tc>
          <w:tcPr>
            <w:tcW w:w="4560" w:type="dxa"/>
          </w:tcPr>
          <w:p>
            <w:pPr>
              <w:pStyle w:val="yTable"/>
            </w:pPr>
            <w:r>
              <w:t>Impairment from bodily, other than facial, scarring or disfigurement .............................….</w:t>
            </w:r>
          </w:p>
        </w:tc>
        <w:tc>
          <w:tcPr>
            <w:tcW w:w="1524" w:type="dxa"/>
          </w:tcPr>
          <w:p>
            <w:pPr>
              <w:pStyle w:val="yTable"/>
              <w:keepNext/>
              <w:keepLines/>
              <w:tabs>
                <w:tab w:val="right" w:pos="879"/>
              </w:tabs>
            </w:pPr>
            <w:r>
              <w:br/>
            </w:r>
            <w:r>
              <w:tab/>
              <w:t>50</w:t>
            </w:r>
          </w:p>
        </w:tc>
      </w:tr>
      <w:tr>
        <w:trPr>
          <w:cantSplit/>
          <w:trHeight w:val="20"/>
        </w:trPr>
        <w:tc>
          <w:tcPr>
            <w:tcW w:w="720" w:type="dxa"/>
          </w:tcPr>
          <w:p>
            <w:pPr>
              <w:pStyle w:val="yTable"/>
            </w:pPr>
            <w:r>
              <w:t>82.</w:t>
            </w:r>
          </w:p>
        </w:tc>
        <w:tc>
          <w:tcPr>
            <w:tcW w:w="4560" w:type="dxa"/>
          </w:tcPr>
          <w:p>
            <w:pPr>
              <w:pStyle w:val="yTable"/>
            </w:pPr>
            <w:r>
              <w:t>AIDS .............................................................….</w:t>
            </w:r>
          </w:p>
        </w:tc>
        <w:tc>
          <w:tcPr>
            <w:tcW w:w="1524" w:type="dxa"/>
          </w:tcPr>
          <w:p>
            <w:pPr>
              <w:pStyle w:val="yTable"/>
              <w:keepNext/>
              <w:keepLines/>
              <w:tabs>
                <w:tab w:val="right" w:pos="879"/>
              </w:tabs>
            </w:pPr>
            <w:r>
              <w:tab/>
              <w:t>100</w:t>
            </w:r>
          </w:p>
        </w:tc>
      </w:tr>
    </w:tbl>
    <w:p>
      <w:pPr>
        <w:pStyle w:val="yFootnotesection"/>
      </w:pPr>
      <w:r>
        <w:tab/>
        <w:t>[Part 2 inserted by No. 42 of 2004 s. 142(3).]</w:t>
      </w:r>
    </w:p>
    <w:p>
      <w:pPr>
        <w:pStyle w:val="yFootnotesection"/>
      </w:pPr>
      <w:r>
        <w:tab/>
        <w:t xml:space="preserve">[Schedule 2 amended by No. 44 of 1985 s. 42; No. 48 of 1993 s. 20; No. 34 of 1999 s. 54.] </w:t>
      </w:r>
    </w:p>
    <w:p>
      <w:pPr>
        <w:pStyle w:val="yScheduleHeading"/>
        <w:outlineLvl w:val="0"/>
      </w:pPr>
      <w:bookmarkStart w:id="3436" w:name="_Toc440878078"/>
      <w:bookmarkStart w:id="3437" w:name="_Toc520107208"/>
      <w:bookmarkStart w:id="3438" w:name="_Toc122833639"/>
      <w:bookmarkStart w:id="3439" w:name="_Toc122834206"/>
      <w:r>
        <w:rPr>
          <w:rStyle w:val="CharSchNo"/>
        </w:rPr>
        <w:t>Schedule 3</w:t>
      </w:r>
      <w:r>
        <w:t> — </w:t>
      </w:r>
      <w:r>
        <w:rPr>
          <w:rStyle w:val="CharSchText"/>
        </w:rPr>
        <w:t>Specified industrial diseases</w:t>
      </w:r>
      <w:bookmarkEnd w:id="3436"/>
      <w:bookmarkEnd w:id="3437"/>
      <w:bookmarkEnd w:id="3438"/>
      <w:bookmarkEnd w:id="3439"/>
    </w:p>
    <w:tbl>
      <w:tblPr>
        <w:tblW w:w="0" w:type="auto"/>
        <w:tblInd w:w="283" w:type="dxa"/>
        <w:tblLayout w:type="fixed"/>
        <w:tblCellMar>
          <w:left w:w="283" w:type="dxa"/>
          <w:right w:w="283" w:type="dxa"/>
        </w:tblCellMar>
        <w:tblLook w:val="0000" w:firstRow="0" w:lastRow="0" w:firstColumn="0" w:lastColumn="0" w:noHBand="0" w:noVBand="0"/>
      </w:tblPr>
      <w:tblGrid>
        <w:gridCol w:w="3544"/>
        <w:gridCol w:w="3544"/>
      </w:tblGrid>
      <w:tr>
        <w:trPr>
          <w:tblHeader/>
        </w:trPr>
        <w:tc>
          <w:tcPr>
            <w:tcW w:w="3544" w:type="dxa"/>
          </w:tcPr>
          <w:p>
            <w:pPr>
              <w:pStyle w:val="yTable"/>
              <w:ind w:left="1"/>
              <w:jc w:val="center"/>
              <w:rPr>
                <w:b/>
                <w:sz w:val="20"/>
              </w:rPr>
            </w:pPr>
            <w:r>
              <w:rPr>
                <w:b/>
                <w:sz w:val="20"/>
              </w:rPr>
              <w:t>Column 1</w:t>
            </w:r>
          </w:p>
          <w:p>
            <w:pPr>
              <w:pStyle w:val="yTable"/>
              <w:ind w:left="1"/>
              <w:jc w:val="center"/>
              <w:rPr>
                <w:b/>
                <w:sz w:val="20"/>
              </w:rPr>
            </w:pPr>
            <w:r>
              <w:rPr>
                <w:b/>
                <w:sz w:val="20"/>
              </w:rPr>
              <w:t>Description of Disease</w:t>
            </w:r>
          </w:p>
        </w:tc>
        <w:tc>
          <w:tcPr>
            <w:tcW w:w="3544" w:type="dxa"/>
          </w:tcPr>
          <w:p>
            <w:pPr>
              <w:pStyle w:val="yTable"/>
              <w:jc w:val="center"/>
              <w:rPr>
                <w:b/>
                <w:sz w:val="20"/>
              </w:rPr>
            </w:pPr>
            <w:r>
              <w:rPr>
                <w:b/>
                <w:sz w:val="20"/>
              </w:rPr>
              <w:t>Column 2</w:t>
            </w:r>
          </w:p>
          <w:p>
            <w:pPr>
              <w:pStyle w:val="yTable"/>
              <w:jc w:val="center"/>
              <w:rPr>
                <w:b/>
                <w:sz w:val="20"/>
              </w:rPr>
            </w:pPr>
            <w:r>
              <w:rPr>
                <w:b/>
                <w:sz w:val="20"/>
              </w:rPr>
              <w:t>Description of Process</w:t>
            </w:r>
          </w:p>
        </w:tc>
      </w:tr>
      <w:tr>
        <w:tc>
          <w:tcPr>
            <w:tcW w:w="3544" w:type="dxa"/>
          </w:tcPr>
          <w:p>
            <w:pPr>
              <w:pStyle w:val="yTable"/>
              <w:ind w:left="1"/>
              <w:rPr>
                <w:sz w:val="20"/>
              </w:rPr>
            </w:pPr>
            <w:r>
              <w:rPr>
                <w:sz w:val="20"/>
                <w:vertAlign w:val="superscript"/>
              </w:rPr>
              <w:t>*</w:t>
            </w:r>
            <w:r>
              <w:rPr>
                <w:sz w:val="20"/>
              </w:rPr>
              <w:t>Arsenic, phosphorus, lead, mercury or other mineral poisoning</w:t>
            </w:r>
          </w:p>
        </w:tc>
        <w:tc>
          <w:tcPr>
            <w:tcW w:w="3544" w:type="dxa"/>
          </w:tcPr>
          <w:p>
            <w:pPr>
              <w:pStyle w:val="yTable"/>
              <w:rPr>
                <w:sz w:val="20"/>
              </w:rPr>
            </w:pPr>
            <w:r>
              <w:rPr>
                <w:sz w:val="20"/>
              </w:rPr>
              <w:t>Any employment involving the use or handling of arsenic, phosphorus, lead, mercury, or other mineral, or their preparations or compounds.</w:t>
            </w:r>
          </w:p>
        </w:tc>
      </w:tr>
      <w:tr>
        <w:tc>
          <w:tcPr>
            <w:tcW w:w="3544" w:type="dxa"/>
          </w:tcPr>
          <w:p>
            <w:pPr>
              <w:pStyle w:val="yTable"/>
              <w:ind w:left="1"/>
              <w:rPr>
                <w:sz w:val="20"/>
              </w:rPr>
            </w:pPr>
            <w:r>
              <w:rPr>
                <w:sz w:val="20"/>
                <w:vertAlign w:val="superscript"/>
              </w:rPr>
              <w:t>*</w:t>
            </w:r>
            <w:r>
              <w:rPr>
                <w:sz w:val="20"/>
              </w:rPr>
              <w:t>Anthrax</w:t>
            </w:r>
          </w:p>
        </w:tc>
        <w:tc>
          <w:tcPr>
            <w:tcW w:w="3544" w:type="dxa"/>
          </w:tcPr>
          <w:p>
            <w:pPr>
              <w:pStyle w:val="yTable"/>
              <w:rPr>
                <w:sz w:val="20"/>
              </w:rPr>
            </w:pPr>
            <w:r>
              <w:rPr>
                <w:sz w:val="20"/>
              </w:rPr>
              <w:t>Wool</w:t>
            </w:r>
            <w:r>
              <w:rPr>
                <w:sz w:val="20"/>
              </w:rPr>
              <w:noBreakHyphen/>
              <w:t>combing; wool</w:t>
            </w:r>
            <w:r>
              <w:rPr>
                <w:sz w:val="20"/>
              </w:rPr>
              <w:noBreakHyphen/>
              <w:t>sorting; handling of hides, skins, wool, hair, bristles, or carcasses; loading and unloading or transport of merchandise.</w:t>
            </w:r>
          </w:p>
        </w:tc>
      </w:tr>
      <w:tr>
        <w:tc>
          <w:tcPr>
            <w:tcW w:w="3544" w:type="dxa"/>
          </w:tcPr>
          <w:p>
            <w:pPr>
              <w:pStyle w:val="yTable"/>
              <w:ind w:left="1"/>
              <w:rPr>
                <w:sz w:val="20"/>
              </w:rPr>
            </w:pPr>
            <w:r>
              <w:rPr>
                <w:sz w:val="20"/>
              </w:rPr>
              <w:t>Communicable diseases</w:t>
            </w:r>
          </w:p>
        </w:tc>
        <w:tc>
          <w:tcPr>
            <w:tcW w:w="3544" w:type="dxa"/>
          </w:tcPr>
          <w:p>
            <w:pPr>
              <w:pStyle w:val="yTable"/>
              <w:rPr>
                <w:sz w:val="20"/>
              </w:rPr>
            </w:pPr>
            <w:r>
              <w:rPr>
                <w:sz w:val="20"/>
              </w:rP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544" w:type="dxa"/>
          </w:tcPr>
          <w:p>
            <w:pPr>
              <w:pStyle w:val="yTable"/>
              <w:ind w:left="1"/>
              <w:rPr>
                <w:sz w:val="20"/>
              </w:rPr>
            </w:pPr>
            <w:r>
              <w:rPr>
                <w:sz w:val="20"/>
                <w:vertAlign w:val="superscript"/>
              </w:rPr>
              <w:t>*</w:t>
            </w:r>
            <w:r>
              <w:rPr>
                <w:sz w:val="20"/>
              </w:rPr>
              <w:t>Poisoning by trinitrotoluene or by benzol or its nitro and amido derivatives (dinitrobenzol, aniline and others)</w:t>
            </w:r>
          </w:p>
        </w:tc>
        <w:tc>
          <w:tcPr>
            <w:tcW w:w="3544" w:type="dxa"/>
          </w:tcPr>
          <w:p>
            <w:pPr>
              <w:pStyle w:val="yTable"/>
              <w:rPr>
                <w:sz w:val="20"/>
              </w:rPr>
            </w:pPr>
            <w:r>
              <w:rPr>
                <w:sz w:val="20"/>
              </w:rPr>
              <w:t>Any process involving the use of trinitrotoluene or of the nitro and amido derivatives of benzol or its preparations or compounds.</w:t>
            </w:r>
          </w:p>
        </w:tc>
      </w:tr>
      <w:tr>
        <w:tc>
          <w:tcPr>
            <w:tcW w:w="3544" w:type="dxa"/>
          </w:tcPr>
          <w:p>
            <w:pPr>
              <w:pStyle w:val="yTable"/>
              <w:ind w:left="1"/>
              <w:rPr>
                <w:sz w:val="20"/>
              </w:rPr>
            </w:pPr>
            <w:r>
              <w:rPr>
                <w:sz w:val="20"/>
              </w:rPr>
              <w:t>Poisoning by a homologue of benzol</w:t>
            </w:r>
          </w:p>
        </w:tc>
        <w:tc>
          <w:tcPr>
            <w:tcW w:w="3544" w:type="dxa"/>
          </w:tcPr>
          <w:p>
            <w:pPr>
              <w:pStyle w:val="yTable"/>
              <w:rPr>
                <w:sz w:val="20"/>
              </w:rPr>
            </w:pPr>
            <w:r>
              <w:rPr>
                <w:sz w:val="20"/>
              </w:rPr>
              <w:t>Any process involving the use of homologue of benzol.</w:t>
            </w:r>
          </w:p>
        </w:tc>
      </w:tr>
      <w:tr>
        <w:tc>
          <w:tcPr>
            <w:tcW w:w="3544" w:type="dxa"/>
          </w:tcPr>
          <w:p>
            <w:pPr>
              <w:pStyle w:val="yTable"/>
              <w:ind w:left="1"/>
              <w:rPr>
                <w:sz w:val="20"/>
              </w:rPr>
            </w:pPr>
            <w:r>
              <w:rPr>
                <w:sz w:val="20"/>
                <w:vertAlign w:val="superscript"/>
              </w:rPr>
              <w:t>*</w:t>
            </w:r>
            <w:r>
              <w:rPr>
                <w:sz w:val="20"/>
              </w:rPr>
              <w:t>Poisoning by carbon bisulphide</w:t>
            </w:r>
          </w:p>
        </w:tc>
        <w:tc>
          <w:tcPr>
            <w:tcW w:w="3544" w:type="dxa"/>
          </w:tcPr>
          <w:p>
            <w:pPr>
              <w:pStyle w:val="yTable"/>
              <w:rPr>
                <w:sz w:val="20"/>
              </w:rPr>
            </w:pPr>
            <w:r>
              <w:rPr>
                <w:sz w:val="20"/>
              </w:rPr>
              <w:t>Any process involving the use of carbon bisulphide or its preparations or compounds.</w:t>
            </w:r>
          </w:p>
        </w:tc>
      </w:tr>
      <w:tr>
        <w:tc>
          <w:tcPr>
            <w:tcW w:w="3544" w:type="dxa"/>
          </w:tcPr>
          <w:p>
            <w:pPr>
              <w:pStyle w:val="yTable"/>
              <w:ind w:left="1"/>
              <w:rPr>
                <w:sz w:val="20"/>
              </w:rPr>
            </w:pPr>
            <w:r>
              <w:rPr>
                <w:sz w:val="20"/>
              </w:rPr>
              <w:t>Poisoning by a halogen derivative of a hydrocarbon of the aliphatic series</w:t>
            </w:r>
          </w:p>
        </w:tc>
        <w:tc>
          <w:tcPr>
            <w:tcW w:w="3544" w:type="dxa"/>
          </w:tcPr>
          <w:p>
            <w:pPr>
              <w:pStyle w:val="yTable"/>
              <w:rPr>
                <w:sz w:val="20"/>
              </w:rPr>
            </w:pPr>
            <w:r>
              <w:rPr>
                <w:sz w:val="20"/>
              </w:rPr>
              <w:t>Any process involving the use of a halogen derivative or a hydrocarbon of the aliphatic series.</w:t>
            </w:r>
          </w:p>
        </w:tc>
      </w:tr>
      <w:tr>
        <w:tc>
          <w:tcPr>
            <w:tcW w:w="3544" w:type="dxa"/>
          </w:tcPr>
          <w:p>
            <w:pPr>
              <w:pStyle w:val="yTable"/>
              <w:ind w:left="1"/>
              <w:rPr>
                <w:sz w:val="20"/>
              </w:rPr>
            </w:pPr>
            <w:r>
              <w:rPr>
                <w:sz w:val="20"/>
                <w:vertAlign w:val="superscript"/>
              </w:rPr>
              <w:t>*</w:t>
            </w:r>
            <w:r>
              <w:rPr>
                <w:sz w:val="20"/>
              </w:rPr>
              <w:t>Poisoning by nitrous fumes</w:t>
            </w:r>
          </w:p>
        </w:tc>
        <w:tc>
          <w:tcPr>
            <w:tcW w:w="3544" w:type="dxa"/>
          </w:tcPr>
          <w:p>
            <w:pPr>
              <w:pStyle w:val="yTable"/>
              <w:rPr>
                <w:sz w:val="20"/>
              </w:rPr>
            </w:pPr>
            <w:r>
              <w:rPr>
                <w:sz w:val="20"/>
              </w:rPr>
              <w:t>Any process in which nitrous fumes are evolved.</w:t>
            </w:r>
          </w:p>
        </w:tc>
      </w:tr>
      <w:tr>
        <w:tc>
          <w:tcPr>
            <w:tcW w:w="3544" w:type="dxa"/>
          </w:tcPr>
          <w:p>
            <w:pPr>
              <w:pStyle w:val="yTable"/>
              <w:keepNext/>
              <w:keepLines/>
              <w:ind w:left="1"/>
              <w:rPr>
                <w:sz w:val="20"/>
              </w:rPr>
            </w:pPr>
            <w:r>
              <w:rPr>
                <w:sz w:val="20"/>
                <w:vertAlign w:val="superscript"/>
              </w:rPr>
              <w:t>*</w:t>
            </w:r>
            <w:r>
              <w:rPr>
                <w:sz w:val="20"/>
              </w:rPr>
              <w:t>Poisoning by fluorine</w:t>
            </w:r>
          </w:p>
        </w:tc>
        <w:tc>
          <w:tcPr>
            <w:tcW w:w="3544" w:type="dxa"/>
          </w:tcPr>
          <w:p>
            <w:pPr>
              <w:pStyle w:val="yTable"/>
              <w:keepNext/>
              <w:keepLines/>
              <w:rPr>
                <w:sz w:val="20"/>
              </w:rPr>
            </w:pPr>
            <w:r>
              <w:rPr>
                <w:sz w:val="20"/>
              </w:rPr>
              <w:t>Any process in which fluorine is used.</w:t>
            </w:r>
          </w:p>
        </w:tc>
      </w:tr>
      <w:tr>
        <w:tc>
          <w:tcPr>
            <w:tcW w:w="3544" w:type="dxa"/>
          </w:tcPr>
          <w:p>
            <w:pPr>
              <w:pStyle w:val="yTable"/>
              <w:ind w:left="1"/>
              <w:rPr>
                <w:sz w:val="20"/>
              </w:rPr>
            </w:pPr>
            <w:r>
              <w:rPr>
                <w:sz w:val="20"/>
                <w:vertAlign w:val="superscript"/>
              </w:rPr>
              <w:t>*</w:t>
            </w:r>
            <w:r>
              <w:rPr>
                <w:sz w:val="20"/>
              </w:rPr>
              <w:t>Poisoning by cyanogen compounds</w:t>
            </w:r>
          </w:p>
        </w:tc>
        <w:tc>
          <w:tcPr>
            <w:tcW w:w="3544" w:type="dxa"/>
          </w:tcPr>
          <w:p>
            <w:pPr>
              <w:pStyle w:val="yTable"/>
              <w:rPr>
                <w:sz w:val="20"/>
              </w:rPr>
            </w:pPr>
            <w:r>
              <w:rPr>
                <w:sz w:val="20"/>
              </w:rPr>
              <w:t>Any process in which cyanogen compounds are used.</w:t>
            </w:r>
          </w:p>
        </w:tc>
      </w:tr>
      <w:tr>
        <w:tc>
          <w:tcPr>
            <w:tcW w:w="3544" w:type="dxa"/>
          </w:tcPr>
          <w:p>
            <w:pPr>
              <w:pStyle w:val="yTable"/>
              <w:ind w:left="1"/>
              <w:rPr>
                <w:sz w:val="20"/>
              </w:rPr>
            </w:pPr>
            <w:r>
              <w:rPr>
                <w:sz w:val="20"/>
                <w:vertAlign w:val="superscript"/>
              </w:rPr>
              <w:t>*</w:t>
            </w:r>
            <w:r>
              <w:rPr>
                <w:sz w:val="20"/>
              </w:rPr>
              <w:t>Poisoning by carbon monoxide</w:t>
            </w:r>
          </w:p>
        </w:tc>
        <w:tc>
          <w:tcPr>
            <w:tcW w:w="3544" w:type="dxa"/>
          </w:tcPr>
          <w:p>
            <w:pPr>
              <w:pStyle w:val="yTable"/>
              <w:rPr>
                <w:sz w:val="20"/>
              </w:rPr>
            </w:pPr>
            <w:r>
              <w:rPr>
                <w:sz w:val="20"/>
              </w:rPr>
              <w:t>Any process in which carbon monoxide is used, or evolved.</w:t>
            </w:r>
          </w:p>
        </w:tc>
      </w:tr>
      <w:tr>
        <w:tc>
          <w:tcPr>
            <w:tcW w:w="3544" w:type="dxa"/>
          </w:tcPr>
          <w:p>
            <w:pPr>
              <w:pStyle w:val="yTable"/>
              <w:ind w:left="1"/>
              <w:rPr>
                <w:sz w:val="20"/>
              </w:rPr>
            </w:pPr>
            <w:r>
              <w:rPr>
                <w:sz w:val="20"/>
                <w:vertAlign w:val="superscript"/>
              </w:rPr>
              <w:t>*</w:t>
            </w:r>
            <w:r>
              <w:rPr>
                <w:sz w:val="20"/>
              </w:rPr>
              <w:t>Leptospirosis; endemic typhus, scrub typhus, Brill’s disease, swineherds disease, plague, mite dermatitis and scrub itch</w:t>
            </w:r>
          </w:p>
        </w:tc>
        <w:tc>
          <w:tcPr>
            <w:tcW w:w="3544" w:type="dxa"/>
          </w:tcPr>
          <w:p>
            <w:pPr>
              <w:pStyle w:val="yTable"/>
              <w:rPr>
                <w:sz w:val="20"/>
              </w:rPr>
            </w:pPr>
            <w:r>
              <w:rPr>
                <w:sz w:val="20"/>
              </w:rP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544" w:type="dxa"/>
          </w:tcPr>
          <w:p>
            <w:pPr>
              <w:pStyle w:val="yTable"/>
              <w:ind w:left="1"/>
              <w:rPr>
                <w:sz w:val="20"/>
              </w:rPr>
            </w:pPr>
            <w:r>
              <w:rPr>
                <w:sz w:val="20"/>
                <w:vertAlign w:val="superscript"/>
              </w:rPr>
              <w:t>*</w:t>
            </w:r>
            <w:r>
              <w:rPr>
                <w:sz w:val="20"/>
              </w:rPr>
              <w:t>Chrome ulceration</w:t>
            </w:r>
          </w:p>
        </w:tc>
        <w:tc>
          <w:tcPr>
            <w:tcW w:w="3544" w:type="dxa"/>
          </w:tcPr>
          <w:p>
            <w:pPr>
              <w:pStyle w:val="yTable"/>
              <w:rPr>
                <w:sz w:val="20"/>
              </w:rPr>
            </w:pPr>
            <w:r>
              <w:rPr>
                <w:sz w:val="20"/>
              </w:rPr>
              <w:t>Any process involving the use of chromic acid or bichromate of ammonium, potassium, or sodium, or their preparations.</w:t>
            </w:r>
          </w:p>
        </w:tc>
      </w:tr>
      <w:tr>
        <w:tc>
          <w:tcPr>
            <w:tcW w:w="3544" w:type="dxa"/>
          </w:tcPr>
          <w:p>
            <w:pPr>
              <w:pStyle w:val="yTable"/>
              <w:ind w:left="1"/>
              <w:rPr>
                <w:sz w:val="20"/>
              </w:rPr>
            </w:pPr>
            <w:r>
              <w:rPr>
                <w:sz w:val="20"/>
              </w:rPr>
              <w:t>Effects of insolation</w:t>
            </w:r>
          </w:p>
        </w:tc>
        <w:tc>
          <w:tcPr>
            <w:tcW w:w="3544" w:type="dxa"/>
          </w:tcPr>
          <w:p>
            <w:pPr>
              <w:pStyle w:val="yTable"/>
              <w:rPr>
                <w:sz w:val="20"/>
              </w:rPr>
            </w:pPr>
            <w:r>
              <w:rPr>
                <w:sz w:val="20"/>
              </w:rPr>
              <w:t>Work entailing prolonged exposure to sunlight.</w:t>
            </w:r>
          </w:p>
        </w:tc>
      </w:tr>
      <w:tr>
        <w:tc>
          <w:tcPr>
            <w:tcW w:w="3544" w:type="dxa"/>
          </w:tcPr>
          <w:p>
            <w:pPr>
              <w:pStyle w:val="yTable"/>
              <w:ind w:left="1"/>
              <w:rPr>
                <w:sz w:val="20"/>
              </w:rPr>
            </w:pPr>
            <w:r>
              <w:rPr>
                <w:sz w:val="20"/>
              </w:rPr>
              <w:t>Effects of electrical currents</w:t>
            </w:r>
          </w:p>
        </w:tc>
        <w:tc>
          <w:tcPr>
            <w:tcW w:w="3544" w:type="dxa"/>
          </w:tcPr>
          <w:p>
            <w:pPr>
              <w:pStyle w:val="yTable"/>
              <w:rPr>
                <w:sz w:val="20"/>
              </w:rPr>
            </w:pPr>
            <w:r>
              <w:rPr>
                <w:sz w:val="20"/>
              </w:rPr>
              <w:t>Workers exposed to electrical currents.</w:t>
            </w:r>
          </w:p>
        </w:tc>
      </w:tr>
      <w:tr>
        <w:tc>
          <w:tcPr>
            <w:tcW w:w="3544" w:type="dxa"/>
          </w:tcPr>
          <w:p>
            <w:pPr>
              <w:pStyle w:val="yTable"/>
              <w:ind w:left="1"/>
              <w:rPr>
                <w:sz w:val="20"/>
              </w:rPr>
            </w:pPr>
            <w:r>
              <w:rPr>
                <w:sz w:val="20"/>
              </w:rP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544" w:type="dxa"/>
          </w:tcPr>
          <w:p>
            <w:pPr>
              <w:pStyle w:val="yTable"/>
              <w:rPr>
                <w:sz w:val="20"/>
              </w:rPr>
            </w:pPr>
            <w:r>
              <w:rPr>
                <w:sz w:val="20"/>
              </w:rPr>
              <w:t>Any industrial process.</w:t>
            </w:r>
          </w:p>
        </w:tc>
      </w:tr>
      <w:tr>
        <w:tc>
          <w:tcPr>
            <w:tcW w:w="3544" w:type="dxa"/>
          </w:tcPr>
          <w:p>
            <w:pPr>
              <w:pStyle w:val="yTable"/>
              <w:keepNext/>
              <w:keepLines/>
              <w:ind w:left="1"/>
              <w:rPr>
                <w:sz w:val="20"/>
              </w:rPr>
            </w:pPr>
            <w:r>
              <w:rPr>
                <w:sz w:val="20"/>
              </w:rPr>
              <w:t>Epitheliomatous cancer or ulceration of skin or of the corneal surface of the eye due to tar, pitch, bitumen, mineral oil, paraffin, or the compounds, products or residues of those substances.</w:t>
            </w:r>
          </w:p>
        </w:tc>
        <w:tc>
          <w:tcPr>
            <w:tcW w:w="3544" w:type="dxa"/>
          </w:tcPr>
          <w:p>
            <w:pPr>
              <w:pStyle w:val="yTable"/>
              <w:keepNext/>
              <w:keepLines/>
              <w:rPr>
                <w:sz w:val="20"/>
              </w:rPr>
            </w:pPr>
            <w:r>
              <w:rPr>
                <w:sz w:val="20"/>
              </w:rPr>
              <w:t>Handling of tar, pitch, bitumen, mineral oil, paraffin, or the compounds, products, or residues of those substances.</w:t>
            </w:r>
          </w:p>
        </w:tc>
      </w:tr>
      <w:tr>
        <w:tc>
          <w:tcPr>
            <w:tcW w:w="3544" w:type="dxa"/>
          </w:tcPr>
          <w:p>
            <w:pPr>
              <w:pStyle w:val="yTable"/>
              <w:ind w:left="1"/>
              <w:rPr>
                <w:sz w:val="20"/>
              </w:rPr>
            </w:pPr>
            <w:r>
              <w:rPr>
                <w:sz w:val="20"/>
                <w:vertAlign w:val="superscript"/>
              </w:rPr>
              <w:t>*</w:t>
            </w:r>
            <w:r>
              <w:rPr>
                <w:sz w:val="20"/>
              </w:rPr>
              <w:t>Pneumoconiosis</w:t>
            </w:r>
          </w:p>
        </w:tc>
        <w:tc>
          <w:tcPr>
            <w:tcW w:w="3544" w:type="dxa"/>
          </w:tcPr>
          <w:p>
            <w:pPr>
              <w:pStyle w:val="yTable"/>
              <w:rPr>
                <w:sz w:val="20"/>
              </w:rPr>
            </w:pPr>
            <w:r>
              <w:rPr>
                <w:sz w:val="20"/>
              </w:rPr>
              <w:t>Any process entailing exposure to mineral dusts harmful to the lungs.</w:t>
            </w:r>
          </w:p>
        </w:tc>
      </w:tr>
      <w:tr>
        <w:tc>
          <w:tcPr>
            <w:tcW w:w="3544" w:type="dxa"/>
          </w:tcPr>
          <w:p>
            <w:pPr>
              <w:pStyle w:val="yTable"/>
              <w:ind w:left="1"/>
              <w:rPr>
                <w:sz w:val="20"/>
              </w:rPr>
            </w:pPr>
            <w:r>
              <w:rPr>
                <w:sz w:val="20"/>
              </w:rPr>
              <w:t>Mesothelioma</w:t>
            </w:r>
          </w:p>
        </w:tc>
        <w:tc>
          <w:tcPr>
            <w:tcW w:w="3544" w:type="dxa"/>
          </w:tcPr>
          <w:p>
            <w:pPr>
              <w:pStyle w:val="yTable"/>
              <w:rPr>
                <w:sz w:val="20"/>
              </w:rPr>
            </w:pPr>
            <w:r>
              <w:rPr>
                <w:sz w:val="20"/>
              </w:rPr>
              <w:t>Any process entailing substantial exposure to asbestos dust.</w:t>
            </w:r>
          </w:p>
        </w:tc>
      </w:tr>
      <w:tr>
        <w:tc>
          <w:tcPr>
            <w:tcW w:w="3544" w:type="dxa"/>
          </w:tcPr>
          <w:p>
            <w:pPr>
              <w:pStyle w:val="yTable"/>
              <w:tabs>
                <w:tab w:val="left" w:pos="568"/>
              </w:tabs>
              <w:ind w:left="1"/>
              <w:rPr>
                <w:sz w:val="20"/>
              </w:rPr>
            </w:pPr>
            <w:r>
              <w:rPr>
                <w:sz w:val="20"/>
              </w:rPr>
              <w:t>Pathological manifestation due to —</w:t>
            </w:r>
          </w:p>
          <w:p>
            <w:pPr>
              <w:pStyle w:val="yTable"/>
              <w:tabs>
                <w:tab w:val="left" w:pos="568"/>
              </w:tabs>
              <w:ind w:left="568" w:hanging="567"/>
              <w:rPr>
                <w:sz w:val="20"/>
              </w:rPr>
            </w:pPr>
            <w:r>
              <w:rPr>
                <w:sz w:val="20"/>
              </w:rPr>
              <w:t>(a)</w:t>
            </w:r>
            <w:r>
              <w:rPr>
                <w:sz w:val="20"/>
              </w:rPr>
              <w:tab/>
              <w:t>radium and other radioactive substances</w:t>
            </w:r>
          </w:p>
        </w:tc>
        <w:tc>
          <w:tcPr>
            <w:tcW w:w="3544" w:type="dxa"/>
          </w:tcPr>
          <w:p>
            <w:pPr>
              <w:pStyle w:val="yTable"/>
              <w:rPr>
                <w:sz w:val="20"/>
              </w:rPr>
            </w:pPr>
            <w:r>
              <w:rPr>
                <w:sz w:val="20"/>
              </w:rPr>
              <w:t>Any process involving exposure to the action of radium, radioactive substances, X</w:t>
            </w:r>
            <w:r>
              <w:rPr>
                <w:sz w:val="20"/>
              </w:rPr>
              <w:noBreakHyphen/>
              <w:t>rays or lasers.</w:t>
            </w:r>
          </w:p>
        </w:tc>
      </w:tr>
      <w:tr>
        <w:tc>
          <w:tcPr>
            <w:tcW w:w="3544" w:type="dxa"/>
          </w:tcPr>
          <w:p>
            <w:pPr>
              <w:pStyle w:val="yTable"/>
              <w:tabs>
                <w:tab w:val="left" w:pos="568"/>
              </w:tabs>
              <w:ind w:left="1"/>
              <w:rPr>
                <w:sz w:val="20"/>
              </w:rPr>
            </w:pPr>
            <w:r>
              <w:rPr>
                <w:sz w:val="20"/>
              </w:rPr>
              <w:t>(b)</w:t>
            </w:r>
            <w:r>
              <w:rPr>
                <w:sz w:val="20"/>
              </w:rPr>
              <w:tab/>
              <w:t>X</w:t>
            </w:r>
            <w:r>
              <w:rPr>
                <w:sz w:val="20"/>
              </w:rPr>
              <w:noBreakHyphen/>
              <w:t>rays;</w:t>
            </w:r>
          </w:p>
        </w:tc>
        <w:tc>
          <w:tcPr>
            <w:tcW w:w="3544" w:type="dxa"/>
          </w:tcPr>
          <w:p>
            <w:pPr>
              <w:pStyle w:val="yTable"/>
              <w:rPr>
                <w:sz w:val="20"/>
              </w:rPr>
            </w:pPr>
          </w:p>
        </w:tc>
      </w:tr>
      <w:tr>
        <w:tc>
          <w:tcPr>
            <w:tcW w:w="3544" w:type="dxa"/>
          </w:tcPr>
          <w:p>
            <w:pPr>
              <w:pStyle w:val="yTable"/>
              <w:tabs>
                <w:tab w:val="left" w:pos="568"/>
              </w:tabs>
              <w:ind w:left="1"/>
              <w:rPr>
                <w:sz w:val="20"/>
              </w:rPr>
            </w:pPr>
            <w:r>
              <w:rPr>
                <w:sz w:val="20"/>
              </w:rPr>
              <w:t>(c)</w:t>
            </w:r>
            <w:r>
              <w:rPr>
                <w:sz w:val="20"/>
              </w:rPr>
              <w:tab/>
              <w:t>lasers.</w:t>
            </w:r>
          </w:p>
        </w:tc>
        <w:tc>
          <w:tcPr>
            <w:tcW w:w="3544" w:type="dxa"/>
          </w:tcPr>
          <w:p>
            <w:pPr>
              <w:pStyle w:val="yTable"/>
              <w:rPr>
                <w:sz w:val="20"/>
              </w:rPr>
            </w:pPr>
          </w:p>
        </w:tc>
      </w:tr>
      <w:tr>
        <w:tc>
          <w:tcPr>
            <w:tcW w:w="3544" w:type="dxa"/>
          </w:tcPr>
          <w:p>
            <w:pPr>
              <w:pStyle w:val="yTable"/>
              <w:ind w:left="1"/>
              <w:rPr>
                <w:sz w:val="20"/>
              </w:rPr>
            </w:pPr>
            <w:r>
              <w:rPr>
                <w:sz w:val="20"/>
              </w:rPr>
              <w:t>Hepatitis B</w:t>
            </w:r>
          </w:p>
        </w:tc>
        <w:tc>
          <w:tcPr>
            <w:tcW w:w="3544" w:type="dxa"/>
          </w:tcPr>
          <w:p>
            <w:pPr>
              <w:pStyle w:val="yTable"/>
              <w:rPr>
                <w:sz w:val="20"/>
              </w:rPr>
            </w:pPr>
            <w:r>
              <w:rPr>
                <w:sz w:val="20"/>
              </w:rPr>
              <w:t>Employment in a hospital or other medical centre or a dental hospital or dental centre or employment associated with a blood bank.</w:t>
            </w:r>
          </w:p>
        </w:tc>
      </w:tr>
      <w:tr>
        <w:tc>
          <w:tcPr>
            <w:tcW w:w="3544" w:type="dxa"/>
          </w:tcPr>
          <w:p>
            <w:pPr>
              <w:pStyle w:val="yTable"/>
              <w:ind w:left="1"/>
              <w:rPr>
                <w:sz w:val="20"/>
              </w:rPr>
            </w:pPr>
            <w:r>
              <w:rPr>
                <w:sz w:val="20"/>
              </w:rPr>
              <w:t>Lung cancer</w:t>
            </w:r>
          </w:p>
        </w:tc>
        <w:tc>
          <w:tcPr>
            <w:tcW w:w="3544" w:type="dxa"/>
          </w:tcPr>
          <w:p>
            <w:pPr>
              <w:pStyle w:val="yTable"/>
              <w:rPr>
                <w:sz w:val="20"/>
              </w:rPr>
            </w:pPr>
            <w:r>
              <w:rPr>
                <w:sz w:val="20"/>
              </w:rPr>
              <w:t>Any process entailing heavy exposure to asbestos dust.</w:t>
            </w:r>
          </w:p>
        </w:tc>
      </w:tr>
      <w:tr>
        <w:tc>
          <w:tcPr>
            <w:tcW w:w="3544" w:type="dxa"/>
          </w:tcPr>
          <w:p>
            <w:pPr>
              <w:pStyle w:val="yTable"/>
              <w:ind w:left="1"/>
              <w:rPr>
                <w:sz w:val="20"/>
              </w:rPr>
            </w:pPr>
            <w:r>
              <w:rPr>
                <w:sz w:val="20"/>
              </w:rPr>
              <w:t>Bronchopulmonary diseases caused by cotton, flax, hemp or sisal dust</w:t>
            </w:r>
          </w:p>
        </w:tc>
        <w:tc>
          <w:tcPr>
            <w:tcW w:w="3544" w:type="dxa"/>
          </w:tcPr>
          <w:p>
            <w:pPr>
              <w:pStyle w:val="yTable"/>
              <w:rPr>
                <w:sz w:val="20"/>
              </w:rPr>
            </w:pPr>
            <w:r>
              <w:rPr>
                <w:sz w:val="20"/>
              </w:rPr>
              <w:t>Any process entailing exposure to cotton, flax, hemp or sisal dust.</w:t>
            </w:r>
          </w:p>
        </w:tc>
      </w:tr>
      <w:tr>
        <w:tc>
          <w:tcPr>
            <w:tcW w:w="3544" w:type="dxa"/>
          </w:tcPr>
          <w:p>
            <w:pPr>
              <w:pStyle w:val="yTable"/>
              <w:ind w:left="1"/>
              <w:rPr>
                <w:sz w:val="20"/>
              </w:rPr>
            </w:pPr>
            <w:r>
              <w:rPr>
                <w:sz w:val="20"/>
              </w:rPr>
              <w:t>Occupational asthma caused by sensitizing agents or irritants inherent to the work process</w:t>
            </w:r>
          </w:p>
        </w:tc>
        <w:tc>
          <w:tcPr>
            <w:tcW w:w="3544" w:type="dxa"/>
          </w:tcPr>
          <w:p>
            <w:pPr>
              <w:pStyle w:val="yTable"/>
              <w:rPr>
                <w:sz w:val="20"/>
              </w:rPr>
            </w:pPr>
            <w:r>
              <w:rPr>
                <w:sz w:val="20"/>
              </w:rPr>
              <w:t>Any process entailing exposure to sensitizing agents or irritants inherent to that process</w:t>
            </w:r>
          </w:p>
        </w:tc>
      </w:tr>
      <w:tr>
        <w:tc>
          <w:tcPr>
            <w:tcW w:w="3544" w:type="dxa"/>
          </w:tcPr>
          <w:p>
            <w:pPr>
              <w:pStyle w:val="yTable"/>
              <w:ind w:left="1"/>
              <w:rPr>
                <w:sz w:val="20"/>
              </w:rPr>
            </w:pPr>
            <w:r>
              <w:rPr>
                <w:sz w:val="20"/>
              </w:rPr>
              <w:t>Extrinsic allergic alveolitis caused by the inhalation of organic dusts</w:t>
            </w:r>
          </w:p>
        </w:tc>
        <w:tc>
          <w:tcPr>
            <w:tcW w:w="3544" w:type="dxa"/>
          </w:tcPr>
          <w:p>
            <w:pPr>
              <w:pStyle w:val="yTable"/>
              <w:rPr>
                <w:sz w:val="20"/>
              </w:rPr>
            </w:pPr>
            <w:r>
              <w:rPr>
                <w:sz w:val="20"/>
              </w:rPr>
              <w:t>Any process entailing exposure to organic dusts.</w:t>
            </w:r>
          </w:p>
        </w:tc>
      </w:tr>
      <w:tr>
        <w:tc>
          <w:tcPr>
            <w:tcW w:w="3544" w:type="dxa"/>
          </w:tcPr>
          <w:p>
            <w:pPr>
              <w:pStyle w:val="yTable"/>
              <w:ind w:left="1"/>
              <w:rPr>
                <w:sz w:val="20"/>
              </w:rPr>
            </w:pPr>
            <w:r>
              <w:rPr>
                <w:sz w:val="20"/>
              </w:rPr>
              <w:t>Diseases caused by alcohols, glycols or ketones</w:t>
            </w:r>
          </w:p>
        </w:tc>
        <w:tc>
          <w:tcPr>
            <w:tcW w:w="3544" w:type="dxa"/>
          </w:tcPr>
          <w:p>
            <w:pPr>
              <w:pStyle w:val="yTable"/>
              <w:rPr>
                <w:sz w:val="20"/>
              </w:rPr>
            </w:pPr>
            <w:r>
              <w:rPr>
                <w:sz w:val="20"/>
              </w:rPr>
              <w:t>Any process entailing exposure to alcohols, glycols or ketones.</w:t>
            </w:r>
          </w:p>
        </w:tc>
      </w:tr>
      <w:tr>
        <w:tc>
          <w:tcPr>
            <w:tcW w:w="3544" w:type="dxa"/>
          </w:tcPr>
          <w:p>
            <w:pPr>
              <w:pStyle w:val="yTable"/>
              <w:keepNext/>
              <w:keepLines/>
              <w:ind w:left="1"/>
              <w:rPr>
                <w:sz w:val="20"/>
              </w:rPr>
            </w:pPr>
            <w:r>
              <w:rPr>
                <w:sz w:val="20"/>
              </w:rPr>
              <w:t>Diseases caused by the asphyxiants carbon monoxide, hydrogen cyanide or its toxic derivatives or hydrogen sulfide</w:t>
            </w:r>
          </w:p>
        </w:tc>
        <w:tc>
          <w:tcPr>
            <w:tcW w:w="3544" w:type="dxa"/>
          </w:tcPr>
          <w:p>
            <w:pPr>
              <w:pStyle w:val="yTable"/>
              <w:keepNext/>
              <w:keepLines/>
              <w:rPr>
                <w:sz w:val="20"/>
              </w:rPr>
            </w:pPr>
            <w:r>
              <w:rPr>
                <w:sz w:val="20"/>
              </w:rPr>
              <w:t>Any process in which carbon monoxide, hydrogen cyanide or its toxic derivatives or hydrogen sulfide is used.</w:t>
            </w:r>
          </w:p>
        </w:tc>
      </w:tr>
    </w:tbl>
    <w:p>
      <w:pPr>
        <w:pStyle w:val="NotesPerm"/>
        <w:rPr>
          <w:snapToGrid w:val="0"/>
        </w:rPr>
      </w:pPr>
      <w:r>
        <w:rPr>
          <w:snapToGrid w:val="0"/>
        </w:rPr>
        <w:t>* See section 48(2)</w:t>
      </w:r>
    </w:p>
    <w:p>
      <w:pPr>
        <w:pStyle w:val="yFootnotesection"/>
      </w:pPr>
      <w:r>
        <w:tab/>
        <w:t xml:space="preserve">[Schedule 3 amended by No. 44 of 1985 s. 43; No. 48 of 1993 s. 42.] </w:t>
      </w:r>
    </w:p>
    <w:p>
      <w:pPr>
        <w:pStyle w:val="yScheduleHeading"/>
        <w:outlineLvl w:val="0"/>
      </w:pPr>
      <w:bookmarkStart w:id="3440" w:name="_Toc440878079"/>
      <w:bookmarkStart w:id="3441" w:name="_Toc520107209"/>
      <w:bookmarkStart w:id="3442" w:name="_Toc122833640"/>
      <w:bookmarkStart w:id="3443" w:name="_Toc122834207"/>
      <w:r>
        <w:rPr>
          <w:rStyle w:val="CharSchNo"/>
        </w:rPr>
        <w:t>Schedule 4</w:t>
      </w:r>
      <w:r>
        <w:t> — </w:t>
      </w:r>
      <w:r>
        <w:rPr>
          <w:rStyle w:val="CharSchText"/>
        </w:rPr>
        <w:t>Specified losses of functions</w:t>
      </w:r>
      <w:bookmarkEnd w:id="3440"/>
      <w:bookmarkEnd w:id="3441"/>
      <w:bookmarkEnd w:id="3442"/>
      <w:bookmarkEnd w:id="3443"/>
    </w:p>
    <w:tbl>
      <w:tblPr>
        <w:tblW w:w="0" w:type="auto"/>
        <w:tblInd w:w="283" w:type="dxa"/>
        <w:tblLayout w:type="fixed"/>
        <w:tblCellMar>
          <w:left w:w="283" w:type="dxa"/>
          <w:right w:w="283" w:type="dxa"/>
        </w:tblCellMar>
        <w:tblLook w:val="0000" w:firstRow="0" w:lastRow="0" w:firstColumn="0" w:lastColumn="0" w:noHBand="0" w:noVBand="0"/>
      </w:tblPr>
      <w:tblGrid>
        <w:gridCol w:w="3969"/>
        <w:gridCol w:w="3119"/>
      </w:tblGrid>
      <w:tr>
        <w:tc>
          <w:tcPr>
            <w:tcW w:w="3969" w:type="dxa"/>
          </w:tcPr>
          <w:p>
            <w:pPr>
              <w:pStyle w:val="yTable"/>
              <w:ind w:left="-141"/>
              <w:jc w:val="center"/>
              <w:rPr>
                <w:b/>
              </w:rPr>
            </w:pPr>
            <w:r>
              <w:rPr>
                <w:b/>
              </w:rPr>
              <w:t>Column 1</w:t>
            </w:r>
          </w:p>
          <w:p>
            <w:pPr>
              <w:pStyle w:val="yTable"/>
              <w:ind w:left="-141"/>
              <w:jc w:val="center"/>
              <w:rPr>
                <w:b/>
              </w:rPr>
            </w:pPr>
            <w:r>
              <w:rPr>
                <w:b/>
              </w:rPr>
              <w:t>Loss of Function</w:t>
            </w:r>
          </w:p>
        </w:tc>
        <w:tc>
          <w:tcPr>
            <w:tcW w:w="3119" w:type="dxa"/>
          </w:tcPr>
          <w:p>
            <w:pPr>
              <w:pStyle w:val="yTable"/>
              <w:ind w:left="-141"/>
              <w:jc w:val="center"/>
              <w:rPr>
                <w:b/>
              </w:rPr>
            </w:pPr>
            <w:r>
              <w:rPr>
                <w:b/>
              </w:rPr>
              <w:t>Column 2</w:t>
            </w:r>
          </w:p>
          <w:p>
            <w:pPr>
              <w:pStyle w:val="yTable"/>
              <w:ind w:left="-141"/>
              <w:jc w:val="center"/>
              <w:rPr>
                <w:b/>
              </w:rPr>
            </w:pPr>
            <w:r>
              <w:rPr>
                <w:b/>
              </w:rPr>
              <w:t>Description of Process</w:t>
            </w:r>
          </w:p>
        </w:tc>
      </w:tr>
      <w:tr>
        <w:tc>
          <w:tcPr>
            <w:tcW w:w="3969" w:type="dxa"/>
          </w:tcPr>
          <w:p>
            <w:pPr>
              <w:pStyle w:val="yTable"/>
              <w:ind w:left="-141"/>
            </w:pPr>
            <w:r>
              <w:t>Noise induced hearing loss</w:t>
            </w:r>
          </w:p>
        </w:tc>
        <w:tc>
          <w:tcPr>
            <w:tcW w:w="3119" w:type="dxa"/>
          </w:tcPr>
          <w:p>
            <w:pPr>
              <w:pStyle w:val="yTable"/>
              <w:ind w:left="-141"/>
            </w:pPr>
            <w:r>
              <w:t>Any work process involving continued exposure to excessive noise.</w:t>
            </w:r>
          </w:p>
        </w:tc>
      </w:tr>
      <w:tr>
        <w:tc>
          <w:tcPr>
            <w:tcW w:w="3969" w:type="dxa"/>
          </w:tcPr>
          <w:p>
            <w:pPr>
              <w:pStyle w:val="yTable"/>
              <w:ind w:left="-141"/>
            </w:pPr>
            <w:r>
              <w:t>Effects of vibration (including Raynaud’s phenomenon and dead hand)</w:t>
            </w:r>
          </w:p>
        </w:tc>
        <w:tc>
          <w:tcPr>
            <w:tcW w:w="3119" w:type="dxa"/>
          </w:tcPr>
          <w:p>
            <w:pPr>
              <w:pStyle w:val="yTable"/>
              <w:ind w:left="-141"/>
            </w:pPr>
            <w:r>
              <w:t>Use of vibratory tools, implements and appliances.</w:t>
            </w:r>
          </w:p>
        </w:tc>
      </w:tr>
      <w:tr>
        <w:tc>
          <w:tcPr>
            <w:tcW w:w="3969" w:type="dxa"/>
          </w:tcPr>
          <w:p>
            <w:pPr>
              <w:pStyle w:val="yTable"/>
              <w:ind w:left="-141"/>
            </w:pPr>
            <w:r>
              <w:t>Compressed air illness</w:t>
            </w:r>
          </w:p>
        </w:tc>
        <w:tc>
          <w:tcPr>
            <w:tcW w:w="3119" w:type="dxa"/>
          </w:tcPr>
          <w:p>
            <w:pPr>
              <w:pStyle w:val="yTable"/>
              <w:ind w:left="-141"/>
            </w:pPr>
            <w:r>
              <w:t>Any process carried on in compressed air.</w:t>
            </w:r>
          </w:p>
        </w:tc>
      </w:tr>
    </w:tbl>
    <w:p>
      <w:pPr>
        <w:pStyle w:val="yScheduleHeading"/>
        <w:keepLines/>
        <w:tabs>
          <w:tab w:val="right" w:pos="879"/>
        </w:tabs>
        <w:sectPr>
          <w:headerReference w:type="even" r:id="rId37"/>
          <w:headerReference w:type="default" r:id="rId38"/>
          <w:pgSz w:w="11906" w:h="16838" w:code="9"/>
          <w:pgMar w:top="2381" w:right="2409" w:bottom="3543" w:left="2409" w:header="720" w:footer="3380" w:gutter="0"/>
          <w:cols w:space="720"/>
          <w:noEndnote/>
          <w:docGrid w:linePitch="326"/>
        </w:sectPr>
      </w:pPr>
      <w:bookmarkStart w:id="3444" w:name="_Toc440878080"/>
      <w:bookmarkStart w:id="3445" w:name="_Toc520107210"/>
    </w:p>
    <w:p>
      <w:pPr>
        <w:pStyle w:val="yScheduleHeading"/>
      </w:pPr>
      <w:bookmarkStart w:id="3446" w:name="_Toc110654650"/>
      <w:bookmarkStart w:id="3447" w:name="_Toc110738824"/>
      <w:bookmarkStart w:id="3448" w:name="_Toc122833641"/>
      <w:bookmarkStart w:id="3449" w:name="_Toc122834208"/>
      <w:r>
        <w:rPr>
          <w:rStyle w:val="CharSchNo"/>
        </w:rPr>
        <w:t>Schedule 5</w:t>
      </w:r>
      <w:r>
        <w:t> — </w:t>
      </w:r>
      <w:r>
        <w:rPr>
          <w:rStyle w:val="CharSchText"/>
        </w:rPr>
        <w:t>Exceptions to cessation of weekly payments by reason of age</w:t>
      </w:r>
      <w:bookmarkEnd w:id="3444"/>
      <w:bookmarkEnd w:id="3445"/>
      <w:bookmarkEnd w:id="3446"/>
      <w:bookmarkEnd w:id="3447"/>
      <w:bookmarkEnd w:id="3448"/>
      <w:bookmarkEnd w:id="3449"/>
    </w:p>
    <w:p>
      <w:pPr>
        <w:pStyle w:val="yShoulderClause"/>
        <w:rPr>
          <w:snapToGrid w:val="0"/>
        </w:rPr>
      </w:pPr>
      <w:r>
        <w:rPr>
          <w:snapToGrid w:val="0"/>
        </w:rPr>
        <w:t>[Section 56]</w:t>
      </w:r>
    </w:p>
    <w:p>
      <w:pPr>
        <w:pStyle w:val="yHeading5"/>
        <w:outlineLvl w:val="0"/>
        <w:rPr>
          <w:snapToGrid w:val="0"/>
        </w:rPr>
      </w:pPr>
      <w:bookmarkStart w:id="3450" w:name="_Toc517775457"/>
      <w:bookmarkStart w:id="3451" w:name="_Toc520107211"/>
      <w:bookmarkStart w:id="3452" w:name="_Toc523111829"/>
      <w:bookmarkStart w:id="3453" w:name="_Toc122833642"/>
      <w:bookmarkStart w:id="3454" w:name="_Toc122834209"/>
      <w:r>
        <w:rPr>
          <w:rStyle w:val="CharSClsNo"/>
        </w:rPr>
        <w:t>1</w:t>
      </w:r>
      <w:r>
        <w:rPr>
          <w:snapToGrid w:val="0"/>
        </w:rPr>
        <w:t>.</w:t>
      </w:r>
      <w:r>
        <w:rPr>
          <w:snapToGrid w:val="0"/>
        </w:rPr>
        <w:tab/>
        <w:t>Definitions</w:t>
      </w:r>
      <w:bookmarkEnd w:id="3450"/>
      <w:bookmarkEnd w:id="3451"/>
      <w:bookmarkEnd w:id="3452"/>
      <w:bookmarkEnd w:id="3453"/>
      <w:bookmarkEnd w:id="3454"/>
    </w:p>
    <w:p>
      <w:pPr>
        <w:pStyle w:val="ySubsection"/>
        <w:rPr>
          <w:snapToGrid w:val="0"/>
        </w:rPr>
      </w:pPr>
      <w:r>
        <w:rPr>
          <w:snapToGrid w:val="0"/>
        </w:rPr>
        <w:tab/>
        <w:t>(1)</w:t>
      </w:r>
      <w:r>
        <w:rPr>
          <w:snapToGrid w:val="0"/>
        </w:rPr>
        <w:tab/>
        <w:t>In this Schedule — </w:t>
      </w:r>
    </w:p>
    <w:p>
      <w:pPr>
        <w:pStyle w:val="yDefstart"/>
      </w:pPr>
      <w:r>
        <w:tab/>
      </w:r>
      <w:r>
        <w:rPr>
          <w:b/>
        </w:rPr>
        <w:t>“</w:t>
      </w:r>
      <w:r>
        <w:rPr>
          <w:rStyle w:val="CharDefText"/>
        </w:rPr>
        <w:t>proclaimed date</w:t>
      </w:r>
      <w:r>
        <w:rPr>
          <w:b/>
        </w:rPr>
        <w:t>”</w:t>
      </w:r>
      <w:r>
        <w:t xml:space="preserve"> means the date on which this Schedule comes into operation;</w:t>
      </w:r>
    </w:p>
    <w:p>
      <w:pPr>
        <w:pStyle w:val="yDefstart"/>
      </w:pPr>
      <w:r>
        <w:tab/>
      </w:r>
      <w:r>
        <w:rPr>
          <w:b/>
        </w:rPr>
        <w:t>“</w:t>
      </w:r>
      <w:r>
        <w:rPr>
          <w:rStyle w:val="CharDefText"/>
        </w:rPr>
        <w:t>redemption amount</w:t>
      </w:r>
      <w:r>
        <w:rPr>
          <w:b/>
        </w:rPr>
        <w:t>”</w:t>
      </w:r>
      <w:r>
        <w:t xml:space="preserve"> means —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r>
      <w:r>
        <w:tab/>
        <w:t>whichever is the less;</w:t>
      </w:r>
    </w:p>
    <w:p>
      <w:pPr>
        <w:pStyle w:val="yDefstart"/>
      </w:pPr>
      <w:r>
        <w:rPr>
          <w:b/>
        </w:rPr>
        <w:tab/>
        <w:t>“</w:t>
      </w:r>
      <w:r>
        <w:rPr>
          <w:rStyle w:val="CharDefText"/>
        </w:rPr>
        <w:t>supplementary amount</w:t>
      </w:r>
      <w:r>
        <w:rPr>
          <w:b/>
        </w:rPr>
        <w:t>”</w:t>
      </w:r>
      <w:r>
        <w:t xml:space="preserve"> means —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bookmarkStart w:id="3455" w:name="_Toc517775458"/>
      <w:bookmarkStart w:id="3456" w:name="_Toc520107212"/>
      <w:bookmarkStart w:id="3457" w:name="_Toc523111830"/>
      <w:r>
        <w:tab/>
        <w:t>[Clause 1 amended by No. 34 of 1999 s. 55(1); No. 28 of 2003 s. 216(1).]</w:t>
      </w:r>
    </w:p>
    <w:p>
      <w:pPr>
        <w:pStyle w:val="yHeading5"/>
      </w:pPr>
      <w:bookmarkStart w:id="3458" w:name="_Toc122833643"/>
      <w:bookmarkStart w:id="3459" w:name="_Toc122834210"/>
      <w:r>
        <w:rPr>
          <w:rStyle w:val="CharSClsNo"/>
        </w:rPr>
        <w:t>1A</w:t>
      </w:r>
      <w:r>
        <w:t>.</w:t>
      </w:r>
      <w:r>
        <w:tab/>
        <w:t>Successive lung diseases to be regarded as one</w:t>
      </w:r>
      <w:bookmarkEnd w:id="3455"/>
      <w:bookmarkEnd w:id="3456"/>
      <w:bookmarkEnd w:id="3457"/>
      <w:bookmarkEnd w:id="3458"/>
      <w:bookmarkEnd w:id="3459"/>
    </w:p>
    <w:p>
      <w:pPr>
        <w:pStyle w:val="ySubsection"/>
        <w:spacing w:before="8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pPr>
      <w:r>
        <w:tab/>
        <w:t>[Clause 1A inserted by No. 34 of 1999 s. 55(2); amended by No. 42 of 2004 s. 147 and 148(1).]</w:t>
      </w:r>
    </w:p>
    <w:p>
      <w:pPr>
        <w:pStyle w:val="yHeading5"/>
        <w:outlineLvl w:val="0"/>
        <w:rPr>
          <w:snapToGrid w:val="0"/>
        </w:rPr>
      </w:pPr>
      <w:bookmarkStart w:id="3460" w:name="_Toc517775459"/>
      <w:bookmarkStart w:id="3461" w:name="_Toc520107213"/>
      <w:bookmarkStart w:id="3462" w:name="_Toc523111831"/>
      <w:bookmarkStart w:id="3463" w:name="_Toc122833644"/>
      <w:bookmarkStart w:id="3464" w:name="_Toc122834211"/>
      <w:r>
        <w:rPr>
          <w:rStyle w:val="CharSClsNo"/>
        </w:rPr>
        <w:t>2</w:t>
      </w:r>
      <w:r>
        <w:rPr>
          <w:snapToGrid w:val="0"/>
        </w:rPr>
        <w:t>.</w:t>
      </w:r>
      <w:r>
        <w:rPr>
          <w:snapToGrid w:val="0"/>
        </w:rPr>
        <w:tab/>
        <w:t>Incapacity for work resulting from disabilities other than pneumoconiosis, mesothelioma and lung cancer</w:t>
      </w:r>
      <w:bookmarkEnd w:id="3460"/>
      <w:bookmarkEnd w:id="3461"/>
      <w:bookmarkEnd w:id="3462"/>
      <w:bookmarkEnd w:id="3463"/>
      <w:bookmarkEnd w:id="3464"/>
      <w:r>
        <w:rPr>
          <w:snapToGrid w:val="0"/>
        </w:rPr>
        <w:t xml:space="preserve"> </w:t>
      </w:r>
    </w:p>
    <w:p>
      <w:pPr>
        <w:pStyle w:val="ySubsection"/>
        <w:spacing w:before="8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pPr>
      <w:r>
        <w:tab/>
        <w:t>[Clause 2 amended by No. 96 of 1990 s. 49(a); No. 48 of 1993 s. 28(1); No. 42 of 2004 s. 147 and 149.]</w:t>
      </w:r>
    </w:p>
    <w:p>
      <w:pPr>
        <w:pStyle w:val="yHeading5"/>
        <w:outlineLvl w:val="0"/>
        <w:rPr>
          <w:snapToGrid w:val="0"/>
        </w:rPr>
      </w:pPr>
      <w:bookmarkStart w:id="3465" w:name="_Toc517775460"/>
      <w:bookmarkStart w:id="3466" w:name="_Toc520107214"/>
      <w:bookmarkStart w:id="3467" w:name="_Toc523111832"/>
      <w:bookmarkStart w:id="3468" w:name="_Toc122833645"/>
      <w:bookmarkStart w:id="3469" w:name="_Toc122834212"/>
      <w:r>
        <w:rPr>
          <w:rStyle w:val="CharSClsNo"/>
        </w:rPr>
        <w:t>3</w:t>
      </w:r>
      <w:r>
        <w:rPr>
          <w:snapToGrid w:val="0"/>
        </w:rPr>
        <w:t>.</w:t>
      </w:r>
      <w:r>
        <w:rPr>
          <w:snapToGrid w:val="0"/>
        </w:rPr>
        <w:tab/>
        <w:t>Incapacity for work resulting from disabilities of pneumoconiosis, mesothelioma and lung cancer — weekly payments</w:t>
      </w:r>
      <w:bookmarkEnd w:id="3465"/>
      <w:bookmarkEnd w:id="3466"/>
      <w:bookmarkEnd w:id="3467"/>
      <w:bookmarkEnd w:id="3468"/>
      <w:bookmarkEnd w:id="3469"/>
      <w:r>
        <w:rPr>
          <w:snapToGrid w:val="0"/>
        </w:rPr>
        <w:t xml:space="preserve"> </w:t>
      </w:r>
    </w:p>
    <w:p>
      <w:pPr>
        <w:pStyle w:val="ySubsection"/>
        <w:spacing w:before="8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80"/>
        <w:rPr>
          <w:snapToGrid w:val="0"/>
        </w:rPr>
      </w:pPr>
      <w:r>
        <w:rPr>
          <w:snapToGrid w:val="0"/>
        </w:rPr>
        <w:tab/>
        <w:t>(2)</w:t>
      </w:r>
      <w:r>
        <w:rPr>
          <w:snapToGrid w:val="0"/>
        </w:rPr>
        <w:tab/>
        <w:t xml:space="preserve">In this clause </w:t>
      </w:r>
      <w:r>
        <w:rPr>
          <w:b/>
          <w:snapToGrid w:val="0"/>
        </w:rPr>
        <w:t>“</w:t>
      </w:r>
      <w:r>
        <w:rPr>
          <w:rStyle w:val="CharDefText"/>
        </w:rPr>
        <w:t>weekly payments</w:t>
      </w:r>
      <w:r>
        <w:rPr>
          <w:b/>
          <w:snapToGrid w:val="0"/>
        </w:rPr>
        <w:t>”</w:t>
      </w:r>
      <w:r>
        <w:rPr>
          <w:snapToGrid w:val="0"/>
        </w:rPr>
        <w:t xml:space="preserve"> means weekly payments of compensation calculated and varied in accordance with Schedule 1.</w:t>
      </w:r>
    </w:p>
    <w:p>
      <w:pPr>
        <w:pStyle w:val="ySubsection"/>
        <w:spacing w:before="8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8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spacing w:before="80"/>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spacing w:before="80"/>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 xml:space="preserve">Workers’ Compensation and Assistance Amendment Act 1984 </w:t>
      </w:r>
      <w:r>
        <w:rPr>
          <w:snapToGrid w:val="0"/>
          <w:vertAlign w:val="superscript"/>
        </w:rPr>
        <w:t>1</w:t>
      </w:r>
      <w:r>
        <w:rPr>
          <w:snapToGrid w:val="0"/>
        </w:rPr>
        <w:t xml:space="preserve"> comes into operation, in respect of any incapacity arising from that </w:t>
      </w:r>
      <w:r>
        <w:t>injury</w:t>
      </w:r>
      <w:r>
        <w:rPr>
          <w:snapToGrid w:val="0"/>
        </w:rPr>
        <w:t xml:space="preserve"> he is entitled to receive weekly payments.</w:t>
      </w:r>
    </w:p>
    <w:p>
      <w:pPr>
        <w:pStyle w:val="ySubsection"/>
        <w:spacing w:before="80"/>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 xml:space="preserve">Workers’ Compensation and Assistance Amendment Act 1984 </w:t>
      </w:r>
      <w:r>
        <w:rPr>
          <w:snapToGrid w:val="0"/>
          <w:vertAlign w:val="superscript"/>
        </w:rPr>
        <w:t>1</w:t>
      </w:r>
      <w:r>
        <w:rPr>
          <w:snapToGrid w:val="0"/>
        </w:rPr>
        <w:t xml:space="preserve">, in respect of any incapacity resulting from that </w:t>
      </w:r>
      <w:r>
        <w:t>injury</w:t>
      </w:r>
      <w:r>
        <w:rPr>
          <w:snapToGrid w:val="0"/>
        </w:rPr>
        <w:t xml:space="preserve"> he is entitled to receive —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 xml:space="preserve">Workers’ Compensation and Assistance Amendment Act 1984 </w:t>
      </w:r>
      <w:r>
        <w:rPr>
          <w:snapToGrid w:val="0"/>
          <w:vertAlign w:val="superscript"/>
        </w:rPr>
        <w:t>1</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spacing w:before="80"/>
        <w:rPr>
          <w:snapToGrid w:val="0"/>
        </w:rPr>
      </w:pPr>
      <w:r>
        <w:rPr>
          <w:snapToGrid w:val="0"/>
        </w:rPr>
        <w:tab/>
        <w:t>(8)</w:t>
      </w:r>
      <w:r>
        <w:rPr>
          <w:snapToGrid w:val="0"/>
        </w:rPr>
        <w:tab/>
        <w:t>Subject to the provisions of this Schedule and Schedule 1 clause 7(3) —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rPr>
          <w:b/>
          <w:snapToGrid w:val="0"/>
        </w:rPr>
        <w:t>“</w:t>
      </w:r>
      <w:r>
        <w:rPr>
          <w:rStyle w:val="CharDefText"/>
        </w:rPr>
        <w:t>the relevant day</w:t>
      </w:r>
      <w:r>
        <w:rPr>
          <w:b/>
          <w:snapToGrid w:val="0"/>
        </w:rPr>
        <w:t>”</w:t>
      </w:r>
      <w:r>
        <w:rPr>
          <w:snapToGrid w:val="0"/>
        </w:rPr>
        <w:t xml:space="preserve"> means the day of the commencement of section 49 of the </w:t>
      </w:r>
      <w:r>
        <w:rPr>
          <w:i/>
          <w:snapToGrid w:val="0"/>
        </w:rPr>
        <w:t xml:space="preserve">Workers’ Compensation and Assistance Amendment Act 1990 </w:t>
      </w:r>
      <w:r>
        <w:rPr>
          <w:snapToGrid w:val="0"/>
          <w:vertAlign w:val="superscript"/>
        </w:rPr>
        <w:t>1</w:t>
      </w:r>
      <w:r>
        <w:rPr>
          <w:snapToGrid w:val="0"/>
        </w:rPr>
        <w:t>.</w:t>
      </w:r>
    </w:p>
    <w:p>
      <w:pPr>
        <w:pStyle w:val="ySubsection"/>
        <w:spacing w:before="80"/>
        <w:rPr>
          <w:snapToGrid w:val="0"/>
        </w:rPr>
      </w:pPr>
      <w:r>
        <w:tab/>
      </w:r>
      <w:r>
        <w:tab/>
      </w:r>
      <w:r>
        <w:rPr>
          <w:i/>
        </w:rPr>
        <w:t>[</w:t>
      </w:r>
      <w:r>
        <w:rPr>
          <w:i/>
          <w:snapToGrid w:val="0"/>
        </w:rPr>
        <w:t>Clause 3 inserted by No. 104 of 1984 s. 8; amended by No. 96 of 1990 s. 49(b); No. 42 of 2004 s. 147 and 148(1).]</w:t>
      </w:r>
    </w:p>
    <w:p>
      <w:pPr>
        <w:pStyle w:val="yHeading5"/>
        <w:outlineLvl w:val="0"/>
        <w:rPr>
          <w:snapToGrid w:val="0"/>
        </w:rPr>
      </w:pPr>
      <w:bookmarkStart w:id="3470" w:name="_Toc517775461"/>
      <w:bookmarkStart w:id="3471" w:name="_Toc520107215"/>
      <w:bookmarkStart w:id="3472" w:name="_Toc523111833"/>
      <w:bookmarkStart w:id="3473" w:name="_Toc122833646"/>
      <w:bookmarkStart w:id="3474" w:name="_Toc122834213"/>
      <w:r>
        <w:rPr>
          <w:rStyle w:val="CharSClsNo"/>
        </w:rPr>
        <w:t>4</w:t>
      </w:r>
      <w:r>
        <w:rPr>
          <w:snapToGrid w:val="0"/>
        </w:rPr>
        <w:t>.</w:t>
      </w:r>
      <w:r>
        <w:rPr>
          <w:snapToGrid w:val="0"/>
        </w:rPr>
        <w:tab/>
        <w:t>Election to take redemption amount as lump sum or supplementary amount weekly</w:t>
      </w:r>
      <w:bookmarkEnd w:id="3470"/>
      <w:bookmarkEnd w:id="3471"/>
      <w:bookmarkEnd w:id="3472"/>
      <w:bookmarkEnd w:id="3473"/>
      <w:bookmarkEnd w:id="3474"/>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 xml:space="preserve">Workers’ Compensation and Assistance Amendment Act 1984 </w:t>
      </w:r>
      <w:r>
        <w:rPr>
          <w:snapToGrid w:val="0"/>
          <w:vertAlign w:val="superscript"/>
        </w:rPr>
        <w:t>1</w:t>
      </w:r>
      <w:r>
        <w:rPr>
          <w:snapToGrid w:val="0"/>
        </w:rPr>
        <w:t>;</w:t>
      </w:r>
    </w:p>
    <w:p>
      <w:pPr>
        <w:pStyle w:val="yIndenta"/>
        <w:rPr>
          <w:snapToGrid w:val="0"/>
        </w:rPr>
      </w:pPr>
      <w:r>
        <w:rPr>
          <w:snapToGrid w:val="0"/>
        </w:rPr>
        <w:tab/>
        <w:t>(b)</w:t>
      </w:r>
      <w:r>
        <w:rPr>
          <w:snapToGrid w:val="0"/>
        </w:rPr>
        <w:tab/>
        <w:t>where he receives payments under clause 3(4), within the period ending on the date that is — </w:t>
      </w:r>
    </w:p>
    <w:p>
      <w:pPr>
        <w:pStyle w:val="yIndenti0"/>
        <w:rPr>
          <w:snapToGrid w:val="0"/>
        </w:rPr>
      </w:pPr>
      <w:r>
        <w:rPr>
          <w:snapToGrid w:val="0"/>
        </w:rPr>
        <w:tab/>
        <w:t>(i)</w:t>
      </w:r>
      <w:r>
        <w:rPr>
          <w:snapToGrid w:val="0"/>
        </w:rPr>
        <w:tab/>
        <w:t xml:space="preserve">3 months after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w:t>
      </w:r>
    </w:p>
    <w:p>
      <w:pPr>
        <w:pStyle w:val="yIndenta"/>
        <w:rPr>
          <w:snapToGrid w:val="0"/>
        </w:rPr>
      </w:pPr>
      <w:r>
        <w:rPr>
          <w:snapToGrid w:val="0"/>
        </w:rPr>
        <w:tab/>
        <w:t>(c)</w:t>
      </w:r>
      <w:r>
        <w:rPr>
          <w:snapToGrid w:val="0"/>
        </w:rPr>
        <w:tab/>
        <w:t>where he receives payments under clause 3(5) — </w:t>
      </w:r>
    </w:p>
    <w:p>
      <w:pPr>
        <w:pStyle w:val="yIndenti0"/>
        <w:rPr>
          <w:snapToGrid w:val="0"/>
        </w:rPr>
      </w:pPr>
      <w:r>
        <w:rPr>
          <w:snapToGrid w:val="0"/>
        </w:rPr>
        <w:tab/>
        <w:t>(i)</w:t>
      </w:r>
      <w:r>
        <w:rPr>
          <w:snapToGrid w:val="0"/>
        </w:rPr>
        <w:tab/>
        <w:t xml:space="preserve">if, at the coming into operation of the </w:t>
      </w:r>
      <w:r>
        <w:rPr>
          <w:i/>
          <w:snapToGrid w:val="0"/>
        </w:rPr>
        <w:t xml:space="preserve">Workers’ Compensation and Assistance Amendment Act 1984 </w:t>
      </w:r>
      <w:r>
        <w:rPr>
          <w:snapToGrid w:val="0"/>
          <w:vertAlign w:val="superscript"/>
        </w:rPr>
        <w:t>1</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rPr>
          <w:snapToGrid w:val="0"/>
        </w:rPr>
      </w:pPr>
      <w:r>
        <w:rPr>
          <w:snapToGrid w:val="0"/>
        </w:rPr>
        <w:tab/>
        <w:t>(e)</w:t>
      </w:r>
      <w:r>
        <w:rPr>
          <w:snapToGrid w:val="0"/>
        </w:rPr>
        <w:tab/>
        <w:t>where he receives — </w:t>
      </w:r>
    </w:p>
    <w:p>
      <w:pPr>
        <w:pStyle w:val="yIndenti0"/>
        <w:rPr>
          <w:snapToGrid w:val="0"/>
        </w:rPr>
      </w:pPr>
      <w:r>
        <w:rPr>
          <w:snapToGrid w:val="0"/>
        </w:rPr>
        <w:tab/>
        <w:t>(i)</w:t>
      </w:r>
      <w:r>
        <w:rPr>
          <w:snapToGrid w:val="0"/>
        </w:rPr>
        <w:tab/>
        <w:t>only a lump sum payment under clause 3(7) or 3(8)(e), at the time of receiving that lump sum payment; or</w:t>
      </w:r>
    </w:p>
    <w:p>
      <w:pPr>
        <w:pStyle w:val="yIndenti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pPr>
      <w:r>
        <w:tab/>
        <w:t>[Clause 4 inserted by No. 104 of 1984 s. 8; amended by No. 96 of 1990 s. 49(c).]</w:t>
      </w:r>
    </w:p>
    <w:p>
      <w:pPr>
        <w:pStyle w:val="yHeading5"/>
        <w:outlineLvl w:val="0"/>
        <w:rPr>
          <w:snapToGrid w:val="0"/>
        </w:rPr>
      </w:pPr>
      <w:bookmarkStart w:id="3475" w:name="_Toc517775462"/>
      <w:bookmarkStart w:id="3476" w:name="_Toc520107216"/>
      <w:bookmarkStart w:id="3477" w:name="_Toc523111834"/>
      <w:bookmarkStart w:id="3478" w:name="_Toc122833647"/>
      <w:bookmarkStart w:id="3479" w:name="_Toc122834214"/>
      <w:r>
        <w:rPr>
          <w:rStyle w:val="CharSClsNo"/>
        </w:rPr>
        <w:t>5</w:t>
      </w:r>
      <w:r>
        <w:rPr>
          <w:snapToGrid w:val="0"/>
        </w:rPr>
        <w:t>.</w:t>
      </w:r>
      <w:r>
        <w:rPr>
          <w:snapToGrid w:val="0"/>
        </w:rPr>
        <w:tab/>
        <w:t>Requirements for election under clause 4</w:t>
      </w:r>
      <w:bookmarkEnd w:id="3475"/>
      <w:bookmarkEnd w:id="3476"/>
      <w:bookmarkEnd w:id="3477"/>
      <w:bookmarkEnd w:id="3478"/>
      <w:bookmarkEnd w:id="3479"/>
    </w:p>
    <w:p>
      <w:pPr>
        <w:pStyle w:val="ySubsection"/>
        <w:keepNext/>
        <w:keepLines/>
        <w:spacing w:before="80"/>
        <w:rPr>
          <w:snapToGrid w:val="0"/>
        </w:rPr>
      </w:pPr>
      <w:r>
        <w:rPr>
          <w:snapToGrid w:val="0"/>
        </w:rPr>
        <w:tab/>
        <w:t>(1)</w:t>
      </w:r>
      <w:r>
        <w:rPr>
          <w:snapToGrid w:val="0"/>
        </w:rPr>
        <w:tab/>
        <w:t>A worker elects for the purposes of clause 4 if, and only if —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spacing w:before="80"/>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spacing w:before="80"/>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pPr>
      <w:r>
        <w:tab/>
        <w:t>[Clause 5 inserted by No. 104 of 1984 s. 8; amended by No. 48 of 1993 s. 28(1); No. 42 of 2004 s. 143(1) and 147.]</w:t>
      </w:r>
    </w:p>
    <w:p>
      <w:pPr>
        <w:pStyle w:val="yHeading5"/>
        <w:outlineLvl w:val="0"/>
        <w:rPr>
          <w:snapToGrid w:val="0"/>
        </w:rPr>
      </w:pPr>
      <w:bookmarkStart w:id="3480" w:name="_Toc517775463"/>
      <w:bookmarkStart w:id="3481" w:name="_Toc520107217"/>
      <w:bookmarkStart w:id="3482" w:name="_Toc523111835"/>
      <w:bookmarkStart w:id="3483" w:name="_Toc122833648"/>
      <w:bookmarkStart w:id="3484" w:name="_Toc122834215"/>
      <w:r>
        <w:rPr>
          <w:rStyle w:val="CharSClsNo"/>
        </w:rPr>
        <w:t>6</w:t>
      </w:r>
      <w:r>
        <w:rPr>
          <w:snapToGrid w:val="0"/>
        </w:rPr>
        <w:t>.</w:t>
      </w:r>
      <w:r>
        <w:rPr>
          <w:snapToGrid w:val="0"/>
        </w:rPr>
        <w:tab/>
        <w:t>Effect of receiving the redemption amount as a lump sum</w:t>
      </w:r>
      <w:bookmarkEnd w:id="3480"/>
      <w:bookmarkEnd w:id="3481"/>
      <w:bookmarkEnd w:id="3482"/>
      <w:bookmarkEnd w:id="3483"/>
      <w:bookmarkEnd w:id="3484"/>
    </w:p>
    <w:p>
      <w:pPr>
        <w:pStyle w:val="ySubsection"/>
        <w:rPr>
          <w:snapToGrid w:val="0"/>
        </w:rPr>
      </w:pPr>
      <w:r>
        <w:rPr>
          <w:snapToGrid w:val="0"/>
        </w:rPr>
        <w:tab/>
      </w:r>
      <w:r>
        <w:rPr>
          <w:snapToGrid w:val="0"/>
        </w:rPr>
        <w:tab/>
        <w:t>From the date a worker receives the redemption amount as a lump sum — </w:t>
      </w:r>
    </w:p>
    <w:p>
      <w:pPr>
        <w:pStyle w:val="yIndenta"/>
        <w:spacing w:before="100"/>
        <w:rPr>
          <w:snapToGrid w:val="0"/>
        </w:rPr>
      </w:pPr>
      <w:r>
        <w:rPr>
          <w:snapToGrid w:val="0"/>
        </w:rPr>
        <w:tab/>
        <w:t>(a)</w:t>
      </w:r>
      <w:r>
        <w:rPr>
          <w:snapToGrid w:val="0"/>
        </w:rPr>
        <w:tab/>
        <w:t>section 67 does not apply;</w:t>
      </w:r>
    </w:p>
    <w:p>
      <w:pPr>
        <w:pStyle w:val="yIndenta"/>
        <w:spacing w:before="100"/>
        <w:rPr>
          <w:snapToGrid w:val="0"/>
        </w:rPr>
      </w:pPr>
      <w:r>
        <w:rPr>
          <w:snapToGrid w:val="0"/>
        </w:rPr>
        <w:tab/>
        <w:t>(b)</w:t>
      </w:r>
      <w:r>
        <w:rPr>
          <w:snapToGrid w:val="0"/>
        </w:rPr>
        <w:tab/>
        <w:t xml:space="preserve">for the </w:t>
      </w:r>
      <w:r>
        <w:t>injury</w:t>
      </w:r>
      <w:r>
        <w:rPr>
          <w:snapToGrid w:val="0"/>
        </w:rPr>
        <w:t xml:space="preserve"> from which the incapacity resulted — </w:t>
      </w:r>
    </w:p>
    <w:p>
      <w:pPr>
        <w:pStyle w:val="yIndenti0"/>
        <w:spacing w:before="100"/>
        <w:rPr>
          <w:snapToGrid w:val="0"/>
        </w:rPr>
      </w:pPr>
      <w:r>
        <w:rPr>
          <w:snapToGrid w:val="0"/>
        </w:rPr>
        <w:tab/>
        <w:t>(i)</w:t>
      </w:r>
      <w:r>
        <w:rPr>
          <w:snapToGrid w:val="0"/>
        </w:rPr>
        <w:tab/>
        <w:t>the worker is not entitled to further compensation; and</w:t>
      </w:r>
    </w:p>
    <w:p>
      <w:pPr>
        <w:pStyle w:val="yIndenti0"/>
        <w:spacing w:before="100"/>
        <w:rPr>
          <w:snapToGrid w:val="0"/>
        </w:rPr>
      </w:pPr>
      <w:r>
        <w:rPr>
          <w:snapToGrid w:val="0"/>
        </w:rPr>
        <w:tab/>
        <w:t>(ii)</w:t>
      </w:r>
      <w:r>
        <w:rPr>
          <w:snapToGrid w:val="0"/>
        </w:rPr>
        <w:tab/>
        <w:t>clauses 9, 10, 17, 18, 18A and 19 of Schedule 1 cease to apply to the worker;</w:t>
      </w:r>
    </w:p>
    <w:p>
      <w:pPr>
        <w:pStyle w:val="yIndenta"/>
        <w:spacing w:before="100"/>
        <w:rPr>
          <w:snapToGrid w:val="0"/>
        </w:rPr>
      </w:pPr>
      <w:r>
        <w:rPr>
          <w:snapToGrid w:val="0"/>
        </w:rPr>
        <w:tab/>
      </w:r>
      <w:r>
        <w:rPr>
          <w:snapToGrid w:val="0"/>
        </w:rPr>
        <w:tab/>
        <w:t>and</w:t>
      </w:r>
    </w:p>
    <w:p>
      <w:pPr>
        <w:pStyle w:val="yIndenta"/>
        <w:spacing w:before="100"/>
        <w:rPr>
          <w:snapToGrid w:val="0"/>
        </w:rPr>
      </w:pPr>
      <w:r>
        <w:rPr>
          <w:snapToGrid w:val="0"/>
        </w:rPr>
        <w:tab/>
        <w:t>(c)</w:t>
      </w:r>
      <w:r>
        <w:rPr>
          <w:snapToGrid w:val="0"/>
        </w:rPr>
        <w:tab/>
        <w:t>clauses 1, 2, 3, 4, 5 and 17(2) of Schedule 1 shall not apply in respect of the worker’s death.</w:t>
      </w:r>
    </w:p>
    <w:p>
      <w:pPr>
        <w:pStyle w:val="yFootnotesection"/>
      </w:pPr>
      <w:r>
        <w:tab/>
        <w:t>[Clause 6 inserted by No. 104 of 1984 s. 8; amended by No. 42 of 2004 s. 143(2) and 147.]</w:t>
      </w:r>
    </w:p>
    <w:p>
      <w:pPr>
        <w:pStyle w:val="yHeading5"/>
        <w:outlineLvl w:val="0"/>
        <w:rPr>
          <w:snapToGrid w:val="0"/>
        </w:rPr>
      </w:pPr>
      <w:bookmarkStart w:id="3485" w:name="_Toc517775464"/>
      <w:bookmarkStart w:id="3486" w:name="_Toc520107218"/>
      <w:bookmarkStart w:id="3487" w:name="_Toc523111836"/>
      <w:bookmarkStart w:id="3488" w:name="_Toc122833649"/>
      <w:bookmarkStart w:id="3489" w:name="_Toc122834216"/>
      <w:r>
        <w:rPr>
          <w:rStyle w:val="CharSClsNo"/>
        </w:rPr>
        <w:t>7</w:t>
      </w:r>
      <w:r>
        <w:rPr>
          <w:snapToGrid w:val="0"/>
        </w:rPr>
        <w:t>.</w:t>
      </w:r>
      <w:r>
        <w:rPr>
          <w:snapToGrid w:val="0"/>
        </w:rPr>
        <w:tab/>
        <w:t>Effect of receiving supplementary amount</w:t>
      </w:r>
      <w:bookmarkEnd w:id="3485"/>
      <w:bookmarkEnd w:id="3486"/>
      <w:bookmarkEnd w:id="3487"/>
      <w:bookmarkEnd w:id="3488"/>
      <w:bookmarkEnd w:id="3489"/>
    </w:p>
    <w:p>
      <w:pPr>
        <w:pStyle w:val="ySubsection"/>
        <w:rPr>
          <w:snapToGrid w:val="0"/>
        </w:rPr>
      </w:pPr>
      <w:r>
        <w:rPr>
          <w:snapToGrid w:val="0"/>
        </w:rPr>
        <w:tab/>
      </w:r>
      <w:r>
        <w:rPr>
          <w:snapToGrid w:val="0"/>
        </w:rPr>
        <w:tab/>
        <w:t>From the date a worker commences to receive a supplementary amount weekly — </w:t>
      </w:r>
    </w:p>
    <w:p>
      <w:pPr>
        <w:pStyle w:val="yIndenta"/>
        <w:spacing w:before="100"/>
        <w:rPr>
          <w:snapToGrid w:val="0"/>
        </w:rPr>
      </w:pPr>
      <w:r>
        <w:rPr>
          <w:snapToGrid w:val="0"/>
        </w:rPr>
        <w:tab/>
        <w:t>(a)</w:t>
      </w:r>
      <w:r>
        <w:rPr>
          <w:snapToGrid w:val="0"/>
        </w:rPr>
        <w:tab/>
        <w:t>section 67 does not apply;</w:t>
      </w:r>
    </w:p>
    <w:p>
      <w:pPr>
        <w:pStyle w:val="yIndenta"/>
        <w:spacing w:before="100"/>
      </w:pPr>
      <w:r>
        <w:tab/>
        <w:t>(b)</w:t>
      </w:r>
      <w:r>
        <w:tab/>
        <w:t xml:space="preserve">if his death results from the injury and a dependent spouse or dependent de facto partner, survives him — </w:t>
      </w:r>
    </w:p>
    <w:p>
      <w:pPr>
        <w:pStyle w:val="yIndenti0"/>
        <w:spacing w:before="10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w:t>
      </w:r>
    </w:p>
    <w:p>
      <w:pPr>
        <w:pStyle w:val="yIndenti0"/>
        <w:keepNext/>
        <w:keepLines/>
        <w:spacing w:before="10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do not apply in respect of the worker’s death.</w:t>
      </w:r>
    </w:p>
    <w:p>
      <w:pPr>
        <w:pStyle w:val="yFootnotesection"/>
      </w:pPr>
      <w:bookmarkStart w:id="3490" w:name="_Toc517775465"/>
      <w:bookmarkStart w:id="3491" w:name="_Toc520107219"/>
      <w:bookmarkStart w:id="3492" w:name="_Toc523111837"/>
      <w:r>
        <w:tab/>
        <w:t>[Clause 7 inserted by No. 104 of 1984 s. 8; amended by No. 28 of 2003 s. 216(2); No. 42 of 2004 s. 147, 149 and 150.]</w:t>
      </w:r>
    </w:p>
    <w:p>
      <w:pPr>
        <w:pStyle w:val="yHeading5"/>
        <w:outlineLvl w:val="0"/>
        <w:rPr>
          <w:snapToGrid w:val="0"/>
        </w:rPr>
      </w:pPr>
      <w:bookmarkStart w:id="3493" w:name="_Toc122833650"/>
      <w:bookmarkStart w:id="3494" w:name="_Toc122834217"/>
      <w:r>
        <w:rPr>
          <w:rStyle w:val="CharSClsNo"/>
        </w:rPr>
        <w:t>8</w:t>
      </w:r>
      <w:r>
        <w:rPr>
          <w:snapToGrid w:val="0"/>
        </w:rPr>
        <w:t>.</w:t>
      </w:r>
      <w:r>
        <w:rPr>
          <w:snapToGrid w:val="0"/>
        </w:rPr>
        <w:tab/>
        <w:t>Payment of supplementary amount</w:t>
      </w:r>
      <w:bookmarkEnd w:id="3490"/>
      <w:bookmarkEnd w:id="3491"/>
      <w:bookmarkEnd w:id="3492"/>
      <w:bookmarkEnd w:id="3493"/>
      <w:bookmarkEnd w:id="3494"/>
      <w:r>
        <w:rPr>
          <w:snapToGrid w:val="0"/>
        </w:rPr>
        <w:t xml:space="preserve"> </w:t>
      </w:r>
    </w:p>
    <w:p>
      <w:pPr>
        <w:pStyle w:val="ySubsection"/>
        <w:spacing w:before="10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00"/>
        <w:rPr>
          <w:snapToGrid w:val="0"/>
        </w:rPr>
      </w:pPr>
      <w:r>
        <w:rPr>
          <w:snapToGrid w:val="0"/>
        </w:rPr>
        <w:tab/>
        <w:t>(2)</w:t>
      </w:r>
      <w:r>
        <w:rPr>
          <w:snapToGrid w:val="0"/>
        </w:rPr>
        <w:tab/>
        <w:t>A worker who — </w:t>
      </w:r>
    </w:p>
    <w:p>
      <w:pPr>
        <w:pStyle w:val="yIndenta"/>
        <w:rPr>
          <w:snapToGrid w:val="0"/>
        </w:rPr>
      </w:pPr>
      <w:r>
        <w:rPr>
          <w:snapToGrid w:val="0"/>
        </w:rPr>
        <w:tab/>
        <w:t>(a)</w:t>
      </w:r>
      <w:r>
        <w:rPr>
          <w:snapToGrid w:val="0"/>
        </w:rPr>
        <w:tab/>
        <w:t>receives a lump sum payment under clause 3(7)(a) or 3(8)(e)(i);</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by No. 104 of 1984 s. 8; amended by No. 96 of 1990 s. 49(d); No. 42 of 2004 s. 147.]</w:t>
      </w:r>
    </w:p>
    <w:p>
      <w:pPr>
        <w:pStyle w:val="yHeading5"/>
        <w:outlineLvl w:val="0"/>
        <w:rPr>
          <w:snapToGrid w:val="0"/>
        </w:rPr>
      </w:pPr>
      <w:bookmarkStart w:id="3495" w:name="_Toc122833651"/>
      <w:bookmarkStart w:id="3496" w:name="_Toc122834218"/>
      <w:bookmarkStart w:id="3497" w:name="_Toc517775466"/>
      <w:bookmarkStart w:id="3498" w:name="_Toc520107220"/>
      <w:bookmarkStart w:id="3499" w:name="_Toc523111838"/>
      <w:r>
        <w:rPr>
          <w:rStyle w:val="CharSClsNo"/>
        </w:rPr>
        <w:t>9</w:t>
      </w:r>
      <w:r>
        <w:rPr>
          <w:snapToGrid w:val="0"/>
        </w:rPr>
        <w:t>.</w:t>
      </w:r>
      <w:r>
        <w:rPr>
          <w:snapToGrid w:val="0"/>
        </w:rPr>
        <w:tab/>
        <w:t xml:space="preserve">Death of a worker prior to commencement of section 49 of </w:t>
      </w:r>
      <w:r>
        <w:rPr>
          <w:i/>
          <w:snapToGrid w:val="0"/>
        </w:rPr>
        <w:t>Workers’ Compensation and Assistance Amendment Act 1990</w:t>
      </w:r>
      <w:bookmarkEnd w:id="3495"/>
      <w:bookmarkEnd w:id="3496"/>
      <w:r>
        <w:rPr>
          <w:snapToGrid w:val="0"/>
        </w:rPr>
        <w:t xml:space="preserve"> </w:t>
      </w:r>
      <w:bookmarkEnd w:id="3497"/>
      <w:bookmarkEnd w:id="3498"/>
      <w:bookmarkEnd w:id="3499"/>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 xml:space="preserve">Workers’ Compensation and Assistance Amendment Act 1990 </w:t>
      </w:r>
      <w:r>
        <w:rPr>
          <w:snapToGrid w:val="0"/>
          <w:vertAlign w:val="superscript"/>
        </w:rPr>
        <w:t>1</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by No. 96 of 1990 s. 49(e); amended by No. 42 of 2004 s. 147.]</w:t>
      </w:r>
    </w:p>
    <w:p>
      <w:pPr>
        <w:pStyle w:val="yScheduleHeading"/>
        <w:outlineLvl w:val="0"/>
      </w:pPr>
      <w:bookmarkStart w:id="3500" w:name="_Toc110654663"/>
      <w:bookmarkStart w:id="3501" w:name="_Toc110738835"/>
      <w:bookmarkStart w:id="3502" w:name="_Toc122833652"/>
      <w:bookmarkStart w:id="3503" w:name="_Toc122834219"/>
      <w:bookmarkStart w:id="3504" w:name="_Toc440878081"/>
      <w:bookmarkStart w:id="3505" w:name="_Toc520107221"/>
      <w:r>
        <w:rPr>
          <w:rStyle w:val="CharSchNo"/>
        </w:rPr>
        <w:t>Schedule 6</w:t>
      </w:r>
      <w:r>
        <w:t> — </w:t>
      </w:r>
      <w:r>
        <w:rPr>
          <w:rStyle w:val="CharSchText"/>
        </w:rPr>
        <w:t>Adjacent areas</w:t>
      </w:r>
      <w:bookmarkEnd w:id="3500"/>
      <w:bookmarkEnd w:id="3501"/>
      <w:bookmarkEnd w:id="3502"/>
      <w:bookmarkEnd w:id="3503"/>
    </w:p>
    <w:p>
      <w:pPr>
        <w:pStyle w:val="yShoulderClause"/>
      </w:pPr>
      <w:r>
        <w:t>[s. 20]</w:t>
      </w:r>
    </w:p>
    <w:p>
      <w:pPr>
        <w:pStyle w:val="yFootnoteheading"/>
        <w:tabs>
          <w:tab w:val="left" w:pos="851"/>
        </w:tabs>
      </w:pPr>
      <w:r>
        <w:tab/>
        <w:t>[Heading inserted by No. 36 of 2004 s. 13.]</w:t>
      </w:r>
    </w:p>
    <w:p>
      <w:pPr>
        <w:pStyle w:val="yHeading5"/>
        <w:outlineLvl w:val="0"/>
      </w:pPr>
      <w:bookmarkStart w:id="3506" w:name="_Toc122833653"/>
      <w:bookmarkStart w:id="3507" w:name="_Toc122834220"/>
      <w:r>
        <w:rPr>
          <w:rStyle w:val="CharSClsNo"/>
        </w:rPr>
        <w:t>1</w:t>
      </w:r>
      <w:r>
        <w:t>.</w:t>
      </w:r>
      <w:r>
        <w:tab/>
        <w:t>Terms used in this Schedule</w:t>
      </w:r>
      <w:bookmarkEnd w:id="3506"/>
      <w:bookmarkEnd w:id="3507"/>
    </w:p>
    <w:p>
      <w:pPr>
        <w:pStyle w:val="ySubsection"/>
      </w:pPr>
      <w:r>
        <w:tab/>
      </w:r>
      <w:r>
        <w:tab/>
        <w:t xml:space="preserve">In this Schedule — </w:t>
      </w:r>
    </w:p>
    <w:p>
      <w:pPr>
        <w:pStyle w:val="yDefstart"/>
      </w:pPr>
      <w:r>
        <w:tab/>
      </w:r>
      <w:r>
        <w:rPr>
          <w:b/>
        </w:rPr>
        <w:t>“</w:t>
      </w:r>
      <w:r>
        <w:rPr>
          <w:rStyle w:val="CharDefText"/>
        </w:rPr>
        <w:t>continental shelf</w:t>
      </w:r>
      <w:r>
        <w:rPr>
          <w:b/>
        </w:rPr>
        <w:t>”</w:t>
      </w:r>
      <w:r>
        <w:t xml:space="preserve"> and </w:t>
      </w:r>
      <w:r>
        <w:rPr>
          <w:b/>
        </w:rPr>
        <w:t>“</w:t>
      </w:r>
      <w:r>
        <w:rPr>
          <w:rStyle w:val="CharDefText"/>
        </w:rPr>
        <w:t>territorial sea</w:t>
      </w:r>
      <w:r>
        <w:rPr>
          <w:b/>
        </w:rPr>
        <w:t xml:space="preserve">” </w:t>
      </w:r>
      <w:r>
        <w:t>have the same meanings as those terms have in the Seas and Submerged Lands Act;</w:t>
      </w:r>
    </w:p>
    <w:p>
      <w:pPr>
        <w:pStyle w:val="yDefstart"/>
      </w:pPr>
      <w:r>
        <w:tab/>
      </w:r>
      <w:r>
        <w:rPr>
          <w:b/>
        </w:rPr>
        <w:t>“</w:t>
      </w:r>
      <w:r>
        <w:rPr>
          <w:rStyle w:val="CharDefText"/>
        </w:rPr>
        <w:t>Petroleum Act</w:t>
      </w:r>
      <w:r>
        <w:rPr>
          <w:b/>
        </w:rPr>
        <w:t>”</w:t>
      </w:r>
      <w:r>
        <w:t xml:space="preserve"> means the </w:t>
      </w:r>
      <w:r>
        <w:rPr>
          <w:i/>
        </w:rPr>
        <w:t>Petroleum (Submerged Lands) Act 1967</w:t>
      </w:r>
      <w:r>
        <w:t xml:space="preserve"> of the Commonwealth;</w:t>
      </w:r>
    </w:p>
    <w:p>
      <w:pPr>
        <w:pStyle w:val="yDefstart"/>
      </w:pPr>
      <w:r>
        <w:tab/>
      </w:r>
      <w:r>
        <w:rPr>
          <w:b/>
        </w:rPr>
        <w:t>“</w:t>
      </w:r>
      <w:r>
        <w:rPr>
          <w:rStyle w:val="CharDefText"/>
        </w:rPr>
        <w:t>Seas and Submerged Lands Act</w:t>
      </w:r>
      <w:r>
        <w:rPr>
          <w:b/>
        </w:rPr>
        <w:t>”</w:t>
      </w:r>
      <w:r>
        <w:t xml:space="preserve"> means the </w:t>
      </w:r>
      <w:r>
        <w:rPr>
          <w:i/>
        </w:rPr>
        <w:t>Seas and Submerged Lands Act 1973</w:t>
      </w:r>
      <w:r>
        <w:t xml:space="preserve"> of the Commonwealth.</w:t>
      </w:r>
    </w:p>
    <w:p>
      <w:pPr>
        <w:pStyle w:val="yFootnotesection"/>
      </w:pPr>
      <w:r>
        <w:tab/>
        <w:t>[Clause 1 inserted by No. 36 of 2004 s. 13.]</w:t>
      </w:r>
    </w:p>
    <w:p>
      <w:pPr>
        <w:pStyle w:val="yHeading5"/>
        <w:outlineLvl w:val="0"/>
      </w:pPr>
      <w:bookmarkStart w:id="3508" w:name="_Toc122833654"/>
      <w:bookmarkStart w:id="3509" w:name="_Toc122834221"/>
      <w:r>
        <w:rPr>
          <w:rStyle w:val="CharSClsNo"/>
        </w:rPr>
        <w:t>2</w:t>
      </w:r>
      <w:r>
        <w:t>.</w:t>
      </w:r>
      <w:r>
        <w:tab/>
        <w:t>Adjacent areas</w:t>
      </w:r>
      <w:bookmarkEnd w:id="3508"/>
      <w:bookmarkEnd w:id="3509"/>
    </w:p>
    <w:p>
      <w:pPr>
        <w:pStyle w:val="ySubsection"/>
      </w:pPr>
      <w:r>
        <w:tab/>
        <w:t>(1)</w:t>
      </w:r>
      <w:r>
        <w:tab/>
        <w:t xml:space="preserve">The </w:t>
      </w:r>
      <w:r>
        <w:rPr>
          <w:b/>
        </w:rPr>
        <w:t>“</w:t>
      </w:r>
      <w:r>
        <w:rPr>
          <w:rStyle w:val="CharDefText"/>
        </w:rPr>
        <w:t>adjacent area</w:t>
      </w:r>
      <w:r>
        <w:rPr>
          <w:b/>
        </w:rPr>
        <w:t>”</w:t>
      </w:r>
      <w:r>
        <w:t xml:space="preserve"> for New South Wales, Victoria, South Australia or Tasmania is so much of the area described in Schedule 2 to the Petroleum Act in relation to that State as is within the outer limits of the continental shelf and includes the space above and below that area.</w:t>
      </w:r>
    </w:p>
    <w:p>
      <w:pPr>
        <w:pStyle w:val="ySubsection"/>
      </w:pPr>
      <w:r>
        <w:tab/>
        <w:t>(2)</w:t>
      </w:r>
      <w:r>
        <w:tab/>
        <w:t xml:space="preserve">The </w:t>
      </w:r>
      <w:r>
        <w:rPr>
          <w:b/>
        </w:rPr>
        <w:t>“</w:t>
      </w:r>
      <w:r>
        <w:rPr>
          <w:rStyle w:val="CharDefText"/>
        </w:rPr>
        <w:t>adjacent area</w:t>
      </w:r>
      <w:r>
        <w:rPr>
          <w:b/>
        </w:rPr>
        <w:t>”</w:t>
      </w:r>
      <w:r>
        <w:t xml:space="preserve"> for Queensland is —</w:t>
      </w:r>
    </w:p>
    <w:p>
      <w:pPr>
        <w:pStyle w:val="yIndenta"/>
      </w:pPr>
      <w:r>
        <w:tab/>
        <w:t>(a)</w:t>
      </w:r>
      <w:r>
        <w:tab/>
        <w:t>so much of the area described in Schedule 2 to the Petroleum Act in relation to Queensland as is within the outer limits of the continental shelf;</w:t>
      </w:r>
    </w:p>
    <w:p>
      <w:pPr>
        <w:pStyle w:val="yIndenta"/>
      </w:pPr>
      <w:r>
        <w:tab/>
        <w:t>(b)</w:t>
      </w:r>
      <w:r>
        <w:tab/>
        <w:t>the Coral Sea area (within the meaning of subsection (7) of section 5A of the Petroleum Act other than the territorial sea within the Coral Sea area;</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b/>
        </w:rPr>
        <w:t>“</w:t>
      </w:r>
      <w:r>
        <w:rPr>
          <w:rStyle w:val="CharDefText"/>
        </w:rPr>
        <w:t>adjacent area</w:t>
      </w:r>
      <w:r>
        <w:rPr>
          <w:b/>
        </w:rPr>
        <w:t>”</w:t>
      </w:r>
      <w:r>
        <w:t xml:space="preserve"> for Western Australia is so much of the area described in Schedule 2 to the Petroleum Act in relation to Western Australia as —</w:t>
      </w:r>
    </w:p>
    <w:p>
      <w:pPr>
        <w:pStyle w:val="yIndenta"/>
      </w:pPr>
      <w:r>
        <w:tab/>
        <w:t>(a)</w:t>
      </w:r>
      <w:r>
        <w:tab/>
        <w:t>is within the outer limits of the continental shelf; and</w:t>
      </w:r>
    </w:p>
    <w:p>
      <w:pPr>
        <w:pStyle w:val="yIndenta"/>
      </w:pPr>
      <w:r>
        <w:tab/>
        <w:t>(b)</w:t>
      </w:r>
      <w:r>
        <w:tab/>
        <w:t>is not within Area A of the Zone of Cooperation,</w:t>
      </w:r>
    </w:p>
    <w:p>
      <w:pPr>
        <w:pStyle w:val="ySubsection"/>
      </w:pPr>
      <w:r>
        <w:tab/>
      </w:r>
      <w:r>
        <w:tab/>
        <w:t>and includes the space above and below that area.</w:t>
      </w:r>
    </w:p>
    <w:p>
      <w:pPr>
        <w:pStyle w:val="ySubsection"/>
      </w:pPr>
      <w:r>
        <w:tab/>
        <w:t>(4)</w:t>
      </w:r>
      <w:r>
        <w:tab/>
        <w:t xml:space="preserve">The </w:t>
      </w:r>
      <w:r>
        <w:rPr>
          <w:b/>
        </w:rPr>
        <w:t>“</w:t>
      </w:r>
      <w:r>
        <w:rPr>
          <w:rStyle w:val="CharDefText"/>
        </w:rPr>
        <w:t>adjacent area</w:t>
      </w:r>
      <w:r>
        <w:rPr>
          <w:b/>
        </w:rPr>
        <w:t>”</w:t>
      </w:r>
      <w:r>
        <w:t xml:space="preserve"> for the Northern Territory is —</w:t>
      </w:r>
    </w:p>
    <w:p>
      <w:pPr>
        <w:pStyle w:val="yIndenta"/>
      </w:pPr>
      <w:r>
        <w:tab/>
        <w:t>(a)</w:t>
      </w:r>
      <w:r>
        <w:tab/>
        <w:t>so much of the area described in Schedule 2 to the Petroleum Act in relation to the Northern Territory as —</w:t>
      </w:r>
    </w:p>
    <w:p>
      <w:pPr>
        <w:pStyle w:val="yIndenti0"/>
      </w:pPr>
      <w:r>
        <w:tab/>
        <w:t>(i)</w:t>
      </w:r>
      <w:r>
        <w:tab/>
        <w:t>is within the outer limits of the continental shelf; and</w:t>
      </w:r>
    </w:p>
    <w:p>
      <w:pPr>
        <w:pStyle w:val="yIndenti0"/>
      </w:pPr>
      <w:r>
        <w:tab/>
        <w:t>(ii)</w:t>
      </w:r>
      <w:r>
        <w:tab/>
        <w:t>is not within Area A of the Zone of Cooperation;</w:t>
      </w:r>
    </w:p>
    <w:p>
      <w:pPr>
        <w:pStyle w:val="yIndenta"/>
      </w:pPr>
      <w:r>
        <w:tab/>
        <w:t>(b)</w:t>
      </w:r>
      <w:r>
        <w:tab/>
        <w:t>the adjacent area for the Territory of Ashmore and Cartier Islands (within the meaning of subsection (3) of section 5A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Footnotesection"/>
      </w:pPr>
      <w:r>
        <w:tab/>
        <w:t>[Clause 2 inserted by No. 36 of 2004 s. 13.]</w:t>
      </w:r>
    </w:p>
    <w:p>
      <w:pPr>
        <w:pStyle w:val="yScheduleHeading"/>
        <w:outlineLvl w:val="0"/>
      </w:pPr>
      <w:bookmarkStart w:id="3510" w:name="_Toc110654666"/>
      <w:bookmarkStart w:id="3511" w:name="_Toc110738838"/>
      <w:bookmarkStart w:id="3512" w:name="_Toc122833655"/>
      <w:bookmarkStart w:id="3513" w:name="_Toc122834222"/>
      <w:r>
        <w:rPr>
          <w:rStyle w:val="CharSchNo"/>
        </w:rPr>
        <w:t>Schedule 7</w:t>
      </w:r>
      <w:r>
        <w:t> — </w:t>
      </w:r>
      <w:r>
        <w:rPr>
          <w:rStyle w:val="CharSchText"/>
        </w:rPr>
        <w:t>Noise induced hearing loss</w:t>
      </w:r>
      <w:bookmarkEnd w:id="3504"/>
      <w:bookmarkEnd w:id="3505"/>
      <w:bookmarkEnd w:id="3510"/>
      <w:bookmarkEnd w:id="3511"/>
      <w:bookmarkEnd w:id="3512"/>
      <w:bookmarkEnd w:id="3513"/>
    </w:p>
    <w:p>
      <w:pPr>
        <w:pStyle w:val="yShoulderClause"/>
        <w:rPr>
          <w:snapToGrid w:val="0"/>
        </w:rPr>
      </w:pPr>
      <w:r>
        <w:rPr>
          <w:snapToGrid w:val="0"/>
        </w:rPr>
        <w:t>[Section 24A]</w:t>
      </w:r>
    </w:p>
    <w:p>
      <w:pPr>
        <w:pStyle w:val="yFootnoteheading"/>
        <w:rPr>
          <w:snapToGrid w:val="0"/>
        </w:rPr>
      </w:pPr>
      <w:bookmarkStart w:id="3514" w:name="_Toc517775467"/>
      <w:bookmarkStart w:id="3515" w:name="_Toc520107222"/>
      <w:bookmarkStart w:id="3516" w:name="_Toc523111839"/>
      <w:r>
        <w:tab/>
        <w:t>[Heading inserted by No. 36 of 1988 s. 12.]</w:t>
      </w:r>
    </w:p>
    <w:p>
      <w:pPr>
        <w:pStyle w:val="yHeading5"/>
        <w:outlineLvl w:val="0"/>
        <w:rPr>
          <w:snapToGrid w:val="0"/>
        </w:rPr>
      </w:pPr>
      <w:bookmarkStart w:id="3517" w:name="_Toc122833656"/>
      <w:bookmarkStart w:id="3518" w:name="_Toc122834223"/>
      <w:r>
        <w:rPr>
          <w:rStyle w:val="CharSClsNo"/>
        </w:rPr>
        <w:t>1</w:t>
      </w:r>
      <w:r>
        <w:rPr>
          <w:snapToGrid w:val="0"/>
        </w:rPr>
        <w:t>.</w:t>
      </w:r>
      <w:r>
        <w:rPr>
          <w:snapToGrid w:val="0"/>
        </w:rPr>
        <w:tab/>
        <w:t>Definitions</w:t>
      </w:r>
      <w:bookmarkEnd w:id="3514"/>
      <w:bookmarkEnd w:id="3515"/>
      <w:bookmarkEnd w:id="3516"/>
      <w:bookmarkEnd w:id="3517"/>
      <w:bookmarkEnd w:id="3518"/>
    </w:p>
    <w:p>
      <w:pPr>
        <w:pStyle w:val="ySubsection"/>
        <w:rPr>
          <w:snapToGrid w:val="0"/>
        </w:rPr>
      </w:pPr>
      <w:r>
        <w:rPr>
          <w:snapToGrid w:val="0"/>
        </w:rPr>
        <w:tab/>
      </w:r>
      <w:r>
        <w:rPr>
          <w:snapToGrid w:val="0"/>
        </w:rPr>
        <w:tab/>
        <w:t>In this Schedule — </w:t>
      </w:r>
    </w:p>
    <w:p>
      <w:pPr>
        <w:pStyle w:val="yDefstart"/>
      </w:pPr>
      <w:r>
        <w:rPr>
          <w:b/>
        </w:rPr>
        <w:tab/>
        <w:t>“</w:t>
      </w:r>
      <w:r>
        <w:rPr>
          <w:rStyle w:val="CharDefText"/>
        </w:rPr>
        <w:t>audiometric test</w:t>
      </w:r>
      <w:r>
        <w:rPr>
          <w:b/>
        </w:rPr>
        <w:t>”</w:t>
      </w:r>
      <w:r>
        <w:t xml:space="preserve"> means an audiometric test carried out in accordance with clause 4(1);</w:t>
      </w:r>
    </w:p>
    <w:p>
      <w:pPr>
        <w:pStyle w:val="yDefstart"/>
      </w:pPr>
      <w:r>
        <w:rPr>
          <w:b/>
        </w:rPr>
        <w:tab/>
        <w:t>“</w:t>
      </w:r>
      <w:r>
        <w:rPr>
          <w:rStyle w:val="CharDefText"/>
        </w:rPr>
        <w:t>prescribed workplace</w:t>
      </w:r>
      <w:r>
        <w:rPr>
          <w:b/>
        </w:rPr>
        <w:t>”</w:t>
      </w:r>
      <w:r>
        <w:t xml:space="preserve"> means a workplace prescribed under clause 10;</w:t>
      </w:r>
    </w:p>
    <w:p>
      <w:pPr>
        <w:pStyle w:val="yDefstart"/>
      </w:pPr>
      <w:r>
        <w:rPr>
          <w:b/>
        </w:rPr>
        <w:tab/>
        <w:t>“</w:t>
      </w:r>
      <w:r>
        <w:rPr>
          <w:rStyle w:val="CharDefText"/>
        </w:rPr>
        <w:t>proclaimed date</w:t>
      </w:r>
      <w:r>
        <w:rPr>
          <w:b/>
        </w:rPr>
        <w:t>”</w:t>
      </w:r>
      <w:r>
        <w:t xml:space="preserve"> means the date on which the </w:t>
      </w:r>
      <w:r>
        <w:rPr>
          <w:i/>
        </w:rPr>
        <w:t xml:space="preserve">Workers’ Compensation and Assistance Amendment Act 1988 </w:t>
      </w:r>
      <w:r>
        <w:rPr>
          <w:vertAlign w:val="superscript"/>
        </w:rPr>
        <w:t>1</w:t>
      </w:r>
      <w:r>
        <w:t xml:space="preserve"> comes into operation.</w:t>
      </w:r>
    </w:p>
    <w:p>
      <w:pPr>
        <w:pStyle w:val="yFootnotesection"/>
      </w:pPr>
      <w:r>
        <w:tab/>
        <w:t>[Clause 1 inserted by No. 36 of 1988 s. 12.]</w:t>
      </w:r>
    </w:p>
    <w:p>
      <w:pPr>
        <w:pStyle w:val="yHeading5"/>
        <w:outlineLvl w:val="0"/>
        <w:rPr>
          <w:snapToGrid w:val="0"/>
        </w:rPr>
      </w:pPr>
      <w:bookmarkStart w:id="3519" w:name="_Toc517775468"/>
      <w:bookmarkStart w:id="3520" w:name="_Toc520107223"/>
      <w:bookmarkStart w:id="3521" w:name="_Toc523111840"/>
      <w:bookmarkStart w:id="3522" w:name="_Toc122833657"/>
      <w:bookmarkStart w:id="3523" w:name="_Toc122834224"/>
      <w:r>
        <w:rPr>
          <w:rStyle w:val="CharSClsNo"/>
        </w:rPr>
        <w:t>2</w:t>
      </w:r>
      <w:r>
        <w:rPr>
          <w:snapToGrid w:val="0"/>
        </w:rPr>
        <w:t>.</w:t>
      </w:r>
      <w:r>
        <w:rPr>
          <w:snapToGrid w:val="0"/>
        </w:rPr>
        <w:tab/>
        <w:t>Audiometric tests</w:t>
      </w:r>
      <w:bookmarkEnd w:id="3519"/>
      <w:bookmarkEnd w:id="3520"/>
      <w:bookmarkEnd w:id="3521"/>
      <w:bookmarkEnd w:id="3522"/>
      <w:bookmarkEnd w:id="3523"/>
    </w:p>
    <w:p>
      <w:pPr>
        <w:pStyle w:val="ySubsection"/>
        <w:rPr>
          <w:snapToGrid w:val="0"/>
        </w:rPr>
      </w:pPr>
      <w:r>
        <w:rPr>
          <w:snapToGrid w:val="0"/>
        </w:rPr>
        <w:tab/>
        <w:t>(1)</w:t>
      </w:r>
      <w:r>
        <w:rPr>
          <w:snapToGrid w:val="0"/>
        </w:rPr>
        <w:tab/>
        <w:t>A worker employed in a prescribed work place shall undergo an initial audiometric test as soon as practicable but no later than — </w:t>
      </w:r>
    </w:p>
    <w:p>
      <w:pPr>
        <w:pStyle w:val="yIndenta"/>
        <w:rPr>
          <w:snapToGrid w:val="0"/>
        </w:rPr>
      </w:pPr>
      <w:r>
        <w:rPr>
          <w:snapToGrid w:val="0"/>
        </w:rPr>
        <w:tab/>
        <w:t>(a)</w:t>
      </w:r>
      <w:r>
        <w:rPr>
          <w:snapToGrid w:val="0"/>
        </w:rPr>
        <w:tab/>
        <w:t>where the worker is employed in a prescribed workplace at the proclaimed date, 12 months after that date; or</w:t>
      </w:r>
    </w:p>
    <w:p>
      <w:pPr>
        <w:pStyle w:val="yIndenta"/>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by No. 36 of 1988 s. 12.]</w:t>
      </w:r>
    </w:p>
    <w:p>
      <w:pPr>
        <w:pStyle w:val="yHeading5"/>
        <w:outlineLvl w:val="0"/>
        <w:rPr>
          <w:snapToGrid w:val="0"/>
        </w:rPr>
      </w:pPr>
      <w:bookmarkStart w:id="3524" w:name="_Toc517775469"/>
      <w:bookmarkStart w:id="3525" w:name="_Toc520107224"/>
      <w:bookmarkStart w:id="3526" w:name="_Toc523111841"/>
      <w:bookmarkStart w:id="3527" w:name="_Toc122833658"/>
      <w:bookmarkStart w:id="3528" w:name="_Toc122834225"/>
      <w:r>
        <w:rPr>
          <w:rStyle w:val="CharSClsNo"/>
        </w:rPr>
        <w:t>3</w:t>
      </w:r>
      <w:r>
        <w:rPr>
          <w:snapToGrid w:val="0"/>
        </w:rPr>
        <w:t>.</w:t>
      </w:r>
      <w:r>
        <w:rPr>
          <w:snapToGrid w:val="0"/>
        </w:rPr>
        <w:tab/>
        <w:t>Employer to arrange and pay for audiometric test</w:t>
      </w:r>
      <w:bookmarkEnd w:id="3524"/>
      <w:bookmarkEnd w:id="3525"/>
      <w:bookmarkEnd w:id="3526"/>
      <w:bookmarkEnd w:id="3527"/>
      <w:bookmarkEnd w:id="3528"/>
    </w:p>
    <w:p>
      <w:pPr>
        <w:pStyle w:val="ySubsection"/>
        <w:spacing w:before="80"/>
        <w:rPr>
          <w:snapToGrid w:val="0"/>
        </w:rPr>
      </w:pPr>
      <w:r>
        <w:rPr>
          <w:snapToGrid w:val="0"/>
        </w:rPr>
        <w:tab/>
        <w:t>(1)</w:t>
      </w:r>
      <w:r>
        <w:rPr>
          <w:snapToGrid w:val="0"/>
        </w:rPr>
        <w:tab/>
        <w:t>The employer of a worker who is required, or who makes a request, to undergo an audiometric test under clause 2 shall — </w:t>
      </w:r>
    </w:p>
    <w:p>
      <w:pPr>
        <w:pStyle w:val="yIndenta"/>
        <w:rPr>
          <w:snapToGrid w:val="0"/>
        </w:rPr>
      </w:pPr>
      <w:r>
        <w:rPr>
          <w:snapToGrid w:val="0"/>
        </w:rPr>
        <w:tab/>
        <w:t>(a)</w:t>
      </w:r>
      <w:r>
        <w:rPr>
          <w:snapToGrid w:val="0"/>
        </w:rPr>
        <w:tab/>
        <w:t>arrange for the test;</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spacing w:before="80"/>
        <w:rPr>
          <w:snapToGrid w:val="0"/>
        </w:rPr>
      </w:pPr>
      <w:r>
        <w:rPr>
          <w:snapToGrid w:val="0"/>
        </w:rPr>
        <w:tab/>
        <w:t>(2)</w:t>
      </w:r>
      <w:r>
        <w:rPr>
          <w:snapToGrid w:val="0"/>
        </w:rPr>
        <w:tab/>
        <w:t>An employer who contravenes subclause (1) commits an offence.</w:t>
      </w:r>
    </w:p>
    <w:p>
      <w:pPr>
        <w:pStyle w:val="yFootnotesection"/>
      </w:pPr>
      <w:r>
        <w:tab/>
        <w:t>[Clause 3 inserted by No. 36 of 1988 s. 12.]</w:t>
      </w:r>
    </w:p>
    <w:p>
      <w:pPr>
        <w:pStyle w:val="yHeading5"/>
        <w:outlineLvl w:val="0"/>
        <w:rPr>
          <w:snapToGrid w:val="0"/>
        </w:rPr>
      </w:pPr>
      <w:bookmarkStart w:id="3529" w:name="_Toc517775470"/>
      <w:bookmarkStart w:id="3530" w:name="_Toc520107225"/>
      <w:bookmarkStart w:id="3531" w:name="_Toc523111842"/>
      <w:bookmarkStart w:id="3532" w:name="_Toc122833659"/>
      <w:bookmarkStart w:id="3533" w:name="_Toc122834226"/>
      <w:r>
        <w:rPr>
          <w:rStyle w:val="CharSClsNo"/>
        </w:rPr>
        <w:t>4</w:t>
      </w:r>
      <w:r>
        <w:rPr>
          <w:snapToGrid w:val="0"/>
        </w:rPr>
        <w:t>.</w:t>
      </w:r>
      <w:r>
        <w:rPr>
          <w:snapToGrid w:val="0"/>
        </w:rPr>
        <w:tab/>
        <w:t>Carrying out of audiometric tests</w:t>
      </w:r>
      <w:bookmarkEnd w:id="3529"/>
      <w:bookmarkEnd w:id="3530"/>
      <w:bookmarkEnd w:id="3531"/>
      <w:bookmarkEnd w:id="3532"/>
      <w:bookmarkEnd w:id="3533"/>
    </w:p>
    <w:p>
      <w:pPr>
        <w:pStyle w:val="ySubsection"/>
        <w:spacing w:before="80"/>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spacing w:before="80"/>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r>
        <w:t>WorkCover WA</w:t>
      </w:r>
      <w:r>
        <w:rPr>
          <w:snapToGrid w:val="0"/>
        </w:rPr>
        <w:t xml:space="preserve"> and to the worker tested within one month after the day of the test.</w:t>
      </w:r>
    </w:p>
    <w:p>
      <w:pPr>
        <w:pStyle w:val="ySubsection"/>
        <w:spacing w:before="80"/>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spacing w:before="80"/>
        <w:rPr>
          <w:snapToGrid w:val="0"/>
        </w:rPr>
      </w:pPr>
      <w:r>
        <w:rPr>
          <w:snapToGrid w:val="0"/>
        </w:rPr>
        <w:tab/>
        <w:t>(4)</w:t>
      </w:r>
      <w:r>
        <w:rPr>
          <w:snapToGrid w:val="0"/>
        </w:rPr>
        <w:tab/>
        <w:t>A person who contravenes subclause (2) or (3) commits an offence.</w:t>
      </w:r>
    </w:p>
    <w:p>
      <w:pPr>
        <w:pStyle w:val="yFootnotesection"/>
      </w:pPr>
      <w:r>
        <w:tab/>
        <w:t>[Clause 4 inserted by No. 36 of 1988 s. 12; amended by No. 42 of 2004 s. 150 and 152.]</w:t>
      </w:r>
    </w:p>
    <w:p>
      <w:pPr>
        <w:pStyle w:val="yHeading5"/>
        <w:outlineLvl w:val="0"/>
        <w:rPr>
          <w:snapToGrid w:val="0"/>
        </w:rPr>
      </w:pPr>
      <w:bookmarkStart w:id="3534" w:name="_Toc517775471"/>
      <w:bookmarkStart w:id="3535" w:name="_Toc520107226"/>
      <w:bookmarkStart w:id="3536" w:name="_Toc523111843"/>
      <w:bookmarkStart w:id="3537" w:name="_Toc122833660"/>
      <w:bookmarkStart w:id="3538" w:name="_Toc122834227"/>
      <w:r>
        <w:rPr>
          <w:rStyle w:val="CharSClsNo"/>
        </w:rPr>
        <w:t>5</w:t>
      </w:r>
      <w:r>
        <w:rPr>
          <w:snapToGrid w:val="0"/>
        </w:rPr>
        <w:t>.</w:t>
      </w:r>
      <w:r>
        <w:rPr>
          <w:snapToGrid w:val="0"/>
        </w:rPr>
        <w:tab/>
        <w:t>Communication and storage of audiometric test results</w:t>
      </w:r>
      <w:bookmarkEnd w:id="3534"/>
      <w:bookmarkEnd w:id="3535"/>
      <w:bookmarkEnd w:id="3536"/>
      <w:bookmarkEnd w:id="3537"/>
      <w:bookmarkEnd w:id="3538"/>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r>
        <w:t>WorkCover WA</w:t>
      </w:r>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by No. 36 of 1988 s. 12; amended by No. 48 of 1993 s. 43; No. 34 of 1999 s. 56(1); No. 42 of 2004 s. 144(1) and 150.]</w:t>
      </w:r>
    </w:p>
    <w:p>
      <w:pPr>
        <w:pStyle w:val="yHeading5"/>
        <w:outlineLvl w:val="0"/>
      </w:pPr>
      <w:bookmarkStart w:id="3539" w:name="_Toc122833661"/>
      <w:bookmarkStart w:id="3540" w:name="_Toc122834228"/>
      <w:bookmarkStart w:id="3541" w:name="_Toc517775473"/>
      <w:bookmarkStart w:id="3542" w:name="_Toc520107228"/>
      <w:bookmarkStart w:id="3543" w:name="_Toc523111845"/>
      <w:r>
        <w:rPr>
          <w:rStyle w:val="CharSClsNo"/>
        </w:rPr>
        <w:t>6</w:t>
      </w:r>
      <w:r>
        <w:t>.</w:t>
      </w:r>
      <w:r>
        <w:rPr>
          <w:b w:val="0"/>
        </w:rPr>
        <w:tab/>
      </w:r>
      <w:r>
        <w:t>Reference to medical assessment panel</w:t>
      </w:r>
      <w:bookmarkEnd w:id="3539"/>
      <w:bookmarkEnd w:id="3540"/>
    </w:p>
    <w:p>
      <w:pPr>
        <w:pStyle w:val="ySubsection"/>
      </w:pPr>
      <w:r>
        <w:tab/>
      </w:r>
      <w:r>
        <w:tab/>
        <w:t>If permitted by section 145A to do so, an arbitrator may refer a question that arises under section 24A or 31E regarding audiometric testing or hearing loss, including whether or to what extent hearing loss is noise induced hearing loss, for determination by a medical assessment panel.</w:t>
      </w:r>
    </w:p>
    <w:p>
      <w:pPr>
        <w:pStyle w:val="yFootnotesection"/>
      </w:pPr>
      <w:r>
        <w:tab/>
        <w:t>[Clause 6 inserted by No. 42 of 2004 s. 144(2).]</w:t>
      </w:r>
    </w:p>
    <w:p>
      <w:pPr>
        <w:pStyle w:val="yHeading5"/>
        <w:outlineLvl w:val="0"/>
        <w:rPr>
          <w:snapToGrid w:val="0"/>
        </w:rPr>
      </w:pPr>
      <w:bookmarkStart w:id="3544" w:name="_Toc122833662"/>
      <w:bookmarkStart w:id="3545" w:name="_Toc122834229"/>
      <w:r>
        <w:rPr>
          <w:rStyle w:val="CharSClsNo"/>
        </w:rPr>
        <w:t>7</w:t>
      </w:r>
      <w:r>
        <w:rPr>
          <w:snapToGrid w:val="0"/>
        </w:rPr>
        <w:t>.</w:t>
      </w:r>
      <w:r>
        <w:rPr>
          <w:snapToGrid w:val="0"/>
        </w:rPr>
        <w:tab/>
        <w:t>Re</w:t>
      </w:r>
      <w:r>
        <w:rPr>
          <w:snapToGrid w:val="0"/>
        </w:rPr>
        <w:noBreakHyphen/>
        <w:t>test of person’s hearing</w:t>
      </w:r>
      <w:bookmarkEnd w:id="3541"/>
      <w:bookmarkEnd w:id="3542"/>
      <w:bookmarkEnd w:id="3543"/>
      <w:bookmarkEnd w:id="3544"/>
      <w:bookmarkEnd w:id="3545"/>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Fund.</w:t>
      </w:r>
    </w:p>
    <w:p>
      <w:pPr>
        <w:pStyle w:val="yFootnotesection"/>
      </w:pPr>
      <w:r>
        <w:tab/>
        <w:t>[Clause 7 inserted by No. 36 of 1988 s. 12; amended by No. 49 of 1996 s. 64; No. 42 of 2004 s. 144(3) and 150.]</w:t>
      </w:r>
    </w:p>
    <w:p>
      <w:pPr>
        <w:pStyle w:val="yHeading5"/>
        <w:outlineLvl w:val="0"/>
        <w:rPr>
          <w:snapToGrid w:val="0"/>
        </w:rPr>
      </w:pPr>
      <w:bookmarkStart w:id="3546" w:name="_Toc517775474"/>
      <w:bookmarkStart w:id="3547" w:name="_Toc520107229"/>
      <w:bookmarkStart w:id="3548" w:name="_Toc523111846"/>
      <w:bookmarkStart w:id="3549" w:name="_Toc122833663"/>
      <w:bookmarkStart w:id="3550" w:name="_Toc122834230"/>
      <w:r>
        <w:rPr>
          <w:rStyle w:val="CharSClsNo"/>
        </w:rPr>
        <w:t>8</w:t>
      </w:r>
      <w:r>
        <w:rPr>
          <w:snapToGrid w:val="0"/>
        </w:rPr>
        <w:t>.</w:t>
      </w:r>
      <w:r>
        <w:rPr>
          <w:snapToGrid w:val="0"/>
        </w:rPr>
        <w:tab/>
        <w:t>Determination of hearing loss</w:t>
      </w:r>
      <w:bookmarkEnd w:id="3546"/>
      <w:bookmarkEnd w:id="3547"/>
      <w:bookmarkEnd w:id="3548"/>
      <w:bookmarkEnd w:id="3549"/>
      <w:bookmarkEnd w:id="3550"/>
    </w:p>
    <w:p>
      <w:pPr>
        <w:pStyle w:val="ySubsection"/>
        <w:spacing w:before="100"/>
        <w:rPr>
          <w:snapToGrid w:val="0"/>
        </w:rPr>
      </w:pPr>
      <w:r>
        <w:rPr>
          <w:snapToGrid w:val="0"/>
        </w:rPr>
        <w:tab/>
        <w:t>(1)</w:t>
      </w:r>
      <w:r>
        <w:rPr>
          <w:snapToGrid w:val="0"/>
        </w:rPr>
        <w:tab/>
        <w:t xml:space="preserve">The results of an audiometric test carried out on a worker and stored in any form by </w:t>
      </w:r>
      <w:r>
        <w:t>WorkCover WA</w:t>
      </w:r>
      <w:r>
        <w:rPr>
          <w:snapToGrid w:val="0"/>
        </w:rPr>
        <w:t xml:space="preserve"> under clause 5 are prima facie evidence of the level of hearing of the person at the date of the test.</w:t>
      </w:r>
    </w:p>
    <w:p>
      <w:pPr>
        <w:pStyle w:val="ySubsection"/>
        <w:spacing w:before="100"/>
        <w:rPr>
          <w:snapToGrid w:val="0"/>
        </w:rPr>
      </w:pPr>
      <w:r>
        <w:rPr>
          <w:snapToGrid w:val="0"/>
        </w:rPr>
        <w:tab/>
        <w:t>(2)</w:t>
      </w:r>
      <w:r>
        <w:rPr>
          <w:snapToGrid w:val="0"/>
        </w:rPr>
        <w:tab/>
        <w:t xml:space="preserve">Where a comparison of the results of 2 audiometric tests stored by </w:t>
      </w:r>
      <w:r>
        <w:t>WorkCover WA</w:t>
      </w:r>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spacing w:before="100"/>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spacing w:before="100"/>
        <w:rPr>
          <w:snapToGrid w:val="0"/>
        </w:rPr>
      </w:pPr>
      <w:r>
        <w:rPr>
          <w:snapToGrid w:val="0"/>
        </w:rPr>
        <w:tab/>
        <w:t>(4)</w:t>
      </w:r>
      <w:r>
        <w:rPr>
          <w:snapToGrid w:val="0"/>
        </w:rPr>
        <w:tab/>
        <w:t>If a worker —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by No. 36 of 1988 s. 12; amended by No. 48 of 1993 s. 28(1); No. 34 of 1999 s. 56(3); No. 42 of 2004 s. 144(4), (5) and 150.]</w:t>
      </w:r>
    </w:p>
    <w:p>
      <w:pPr>
        <w:pStyle w:val="yHeading5"/>
        <w:outlineLvl w:val="0"/>
        <w:rPr>
          <w:snapToGrid w:val="0"/>
        </w:rPr>
      </w:pPr>
      <w:bookmarkStart w:id="3551" w:name="_Toc517775475"/>
      <w:bookmarkStart w:id="3552" w:name="_Toc520107230"/>
      <w:bookmarkStart w:id="3553" w:name="_Toc523111847"/>
      <w:bookmarkStart w:id="3554" w:name="_Toc122833664"/>
      <w:bookmarkStart w:id="3555" w:name="_Toc122834231"/>
      <w:r>
        <w:rPr>
          <w:rStyle w:val="CharSClsNo"/>
        </w:rPr>
        <w:t>9</w:t>
      </w:r>
      <w:r>
        <w:rPr>
          <w:snapToGrid w:val="0"/>
        </w:rPr>
        <w:t>.</w:t>
      </w:r>
      <w:r>
        <w:rPr>
          <w:snapToGrid w:val="0"/>
        </w:rPr>
        <w:tab/>
        <w:t>Audiometric test not conclusive proof that hearing loss is noise induced</w:t>
      </w:r>
      <w:bookmarkEnd w:id="3551"/>
      <w:bookmarkEnd w:id="3552"/>
      <w:bookmarkEnd w:id="3553"/>
      <w:bookmarkEnd w:id="3554"/>
      <w:bookmarkEnd w:id="3555"/>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bookmarkStart w:id="3556" w:name="_Toc517775476"/>
      <w:bookmarkStart w:id="3557" w:name="_Toc520107231"/>
      <w:bookmarkStart w:id="3558" w:name="_Toc523111848"/>
      <w:r>
        <w:tab/>
        <w:t>[Clause 9 inserted by No. 36 of 1988 s. 12.]</w:t>
      </w:r>
    </w:p>
    <w:p>
      <w:pPr>
        <w:pStyle w:val="yHeading5"/>
        <w:outlineLvl w:val="0"/>
        <w:rPr>
          <w:snapToGrid w:val="0"/>
        </w:rPr>
      </w:pPr>
      <w:bookmarkStart w:id="3559" w:name="_Toc122833665"/>
      <w:bookmarkStart w:id="3560" w:name="_Toc122834232"/>
      <w:r>
        <w:rPr>
          <w:rStyle w:val="CharSClsNo"/>
        </w:rPr>
        <w:t>10</w:t>
      </w:r>
      <w:r>
        <w:rPr>
          <w:snapToGrid w:val="0"/>
        </w:rPr>
        <w:t>.</w:t>
      </w:r>
      <w:r>
        <w:rPr>
          <w:snapToGrid w:val="0"/>
        </w:rPr>
        <w:tab/>
        <w:t>Prescribed workplaces</w:t>
      </w:r>
      <w:bookmarkEnd w:id="3556"/>
      <w:bookmarkEnd w:id="3557"/>
      <w:bookmarkEnd w:id="3558"/>
      <w:bookmarkEnd w:id="3559"/>
      <w:bookmarkEnd w:id="3560"/>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by No. 36 of 1988 s. 12.]</w:t>
      </w:r>
    </w:p>
    <w:p>
      <w:pPr>
        <w:pStyle w:val="yScheduleHeading"/>
      </w:pPr>
      <w:bookmarkStart w:id="3561" w:name="_Toc87253218"/>
      <w:bookmarkStart w:id="3562" w:name="_Toc122833666"/>
      <w:bookmarkStart w:id="3563" w:name="_Toc122834233"/>
      <w:r>
        <w:rPr>
          <w:rStyle w:val="CharSchNo"/>
        </w:rPr>
        <w:t>Schedule 8</w:t>
      </w:r>
      <w:r>
        <w:t> — </w:t>
      </w:r>
      <w:r>
        <w:rPr>
          <w:rStyle w:val="CharSchText"/>
        </w:rPr>
        <w:t>Terms and conditions of service of Commissioner</w:t>
      </w:r>
      <w:bookmarkEnd w:id="3561"/>
      <w:bookmarkEnd w:id="3562"/>
      <w:bookmarkEnd w:id="3563"/>
    </w:p>
    <w:p>
      <w:pPr>
        <w:pStyle w:val="yShoulderClause"/>
      </w:pPr>
      <w:r>
        <w:t>[s. 282]</w:t>
      </w:r>
    </w:p>
    <w:p>
      <w:pPr>
        <w:pStyle w:val="yFootnoteheading"/>
      </w:pPr>
      <w:r>
        <w:tab/>
        <w:t>[Heading inserted by No. 42 of 2004 s. 145.]</w:t>
      </w:r>
    </w:p>
    <w:p>
      <w:pPr>
        <w:pStyle w:val="yHeading5"/>
      </w:pPr>
      <w:bookmarkStart w:id="3564" w:name="_Toc122833667"/>
      <w:bookmarkStart w:id="3565" w:name="_Toc122834234"/>
      <w:r>
        <w:rPr>
          <w:rStyle w:val="CharSClsNo"/>
        </w:rPr>
        <w:t>1</w:t>
      </w:r>
      <w:r>
        <w:t>.</w:t>
      </w:r>
      <w:r>
        <w:rPr>
          <w:b w:val="0"/>
        </w:rPr>
        <w:tab/>
      </w:r>
      <w:r>
        <w:t>Tenure of Commissioner’s office</w:t>
      </w:r>
      <w:bookmarkEnd w:id="3564"/>
      <w:bookmarkEnd w:id="3565"/>
    </w:p>
    <w:p>
      <w:pPr>
        <w:pStyle w:val="ySubsection"/>
      </w:pPr>
      <w:r>
        <w:tab/>
        <w:t>(1)</w:t>
      </w:r>
      <w:r>
        <w:tab/>
        <w:t>The term for which a person is appointed as the Commissioner is to be fixed in the instrument of appointment and is to be not longer than 5 years.</w:t>
      </w:r>
    </w:p>
    <w:p>
      <w:pPr>
        <w:pStyle w:val="ySubsection"/>
      </w:pPr>
      <w:r>
        <w:tab/>
        <w:t>(2)</w:t>
      </w:r>
      <w:r>
        <w:tab/>
        <w:t>The Commissioner’s eligibility for reappointment or the term for which the Commissioner may be reappointed is not affected by an earlier appointment.</w:t>
      </w:r>
    </w:p>
    <w:p>
      <w:pPr>
        <w:pStyle w:val="yFootnotesection"/>
      </w:pPr>
      <w:r>
        <w:tab/>
        <w:t>[Clause 1 inserted by No. 42 of 2004 s. 145.]</w:t>
      </w:r>
    </w:p>
    <w:p>
      <w:pPr>
        <w:pStyle w:val="yHeading5"/>
      </w:pPr>
      <w:bookmarkStart w:id="3566" w:name="_Toc122833668"/>
      <w:bookmarkStart w:id="3567" w:name="_Toc122834235"/>
      <w:r>
        <w:rPr>
          <w:rStyle w:val="CharSClsNo"/>
        </w:rPr>
        <w:t>2</w:t>
      </w:r>
      <w:r>
        <w:t>.</w:t>
      </w:r>
      <w:r>
        <w:rPr>
          <w:b w:val="0"/>
        </w:rPr>
        <w:tab/>
      </w:r>
      <w:r>
        <w:t>Vacating office prematurely</w:t>
      </w:r>
      <w:bookmarkEnd w:id="3566"/>
      <w:bookmarkEnd w:id="3567"/>
    </w:p>
    <w:p>
      <w:pPr>
        <w:pStyle w:val="ySubsection"/>
      </w:pPr>
      <w:r>
        <w:tab/>
        <w:t>(1)</w:t>
      </w:r>
      <w:r>
        <w:tab/>
        <w:t>The Commissioner may resign from office by giving the Governor a signed letter of resignation.</w:t>
      </w:r>
    </w:p>
    <w:p>
      <w:pPr>
        <w:pStyle w:val="ySubsection"/>
      </w:pPr>
      <w:r>
        <w:tab/>
        <w:t>(2)</w:t>
      </w:r>
      <w:r>
        <w:tab/>
        <w:t>A resignation is not effective until the Governor has accepted it.</w:t>
      </w:r>
    </w:p>
    <w:p>
      <w:pPr>
        <w:pStyle w:val="ySubsection"/>
      </w:pPr>
      <w:r>
        <w:tab/>
        <w:t>(3)</w:t>
      </w:r>
      <w:r>
        <w:tab/>
        <w:t>If a resignation is accepted it takes effect when it is accepted or at any later date stated in the letter.</w:t>
      </w:r>
    </w:p>
    <w:p>
      <w:pPr>
        <w:pStyle w:val="ySubsection"/>
      </w:pPr>
      <w:r>
        <w:tab/>
        <w:t>(4)</w:t>
      </w:r>
      <w:r>
        <w:tab/>
        <w:t>A person who has resigned from office as the Commissioner is not precluded from again being appointed to the office.</w:t>
      </w:r>
    </w:p>
    <w:p>
      <w:pPr>
        <w:pStyle w:val="ySubsection"/>
      </w:pPr>
      <w:r>
        <w:tab/>
        <w:t>(5)</w:t>
      </w:r>
      <w:r>
        <w:tab/>
        <w:t>A person who holds office as the Commissioner does so during good behaviour but the Governor may, on the address of both Houses of Parliament, terminate the person’s term of office.</w:t>
      </w:r>
    </w:p>
    <w:p>
      <w:pPr>
        <w:pStyle w:val="ySubsection"/>
      </w:pPr>
      <w:r>
        <w:tab/>
        <w:t>(6)</w:t>
      </w:r>
      <w:r>
        <w:tab/>
        <w:t>If a person who holds office as the Commissioner becomes ineligible, because of section 281(2), to hold the office, the person’s term of office terminates.</w:t>
      </w:r>
    </w:p>
    <w:p>
      <w:pPr>
        <w:pStyle w:val="yFootnotesection"/>
      </w:pPr>
      <w:r>
        <w:tab/>
        <w:t>[Clause 2 inserted by No. 42 of 2004 s. 145.]</w:t>
      </w:r>
    </w:p>
    <w:p>
      <w:pPr>
        <w:pStyle w:val="yHeading5"/>
      </w:pPr>
      <w:bookmarkStart w:id="3568" w:name="_Toc122833669"/>
      <w:bookmarkStart w:id="3569" w:name="_Toc122834236"/>
      <w:r>
        <w:rPr>
          <w:rStyle w:val="CharSClsNo"/>
        </w:rPr>
        <w:t>3</w:t>
      </w:r>
      <w:r>
        <w:t>.</w:t>
      </w:r>
      <w:r>
        <w:rPr>
          <w:b w:val="0"/>
        </w:rPr>
        <w:tab/>
      </w:r>
      <w:r>
        <w:t>Commissioner’s status as District Court Judge</w:t>
      </w:r>
      <w:bookmarkEnd w:id="3568"/>
      <w:bookmarkEnd w:id="3569"/>
    </w:p>
    <w:p>
      <w:pPr>
        <w:pStyle w:val="ySubsection"/>
      </w:pPr>
      <w:r>
        <w:tab/>
        <w:t>(1)</w:t>
      </w:r>
      <w:r>
        <w:tab/>
        <w:t>The appointment of a person as the Commissioner does not affect the person’s tenure of office as, or status as, a Judge of the District Court nor the payment of the person’s salary or allowances as a Judge nor any other rights or privileges of the person as a Judge.</w:t>
      </w:r>
    </w:p>
    <w:p>
      <w:pPr>
        <w:pStyle w:val="ySubsection"/>
      </w:pPr>
      <w:r>
        <w:tab/>
        <w:t>(2)</w:t>
      </w:r>
      <w:r>
        <w:tab/>
        <w:t>A person’s service in the office of Commissioner is to be taken for all purposes to be service in the person’s office of Judge of the District Court.</w:t>
      </w:r>
    </w:p>
    <w:p>
      <w:pPr>
        <w:pStyle w:val="ySubsection"/>
      </w:pPr>
      <w:r>
        <w:tab/>
        <w:t>(3)</w:t>
      </w:r>
      <w:r>
        <w:tab/>
        <w:t>Nothing in this Act prevents a person who holds office as Commissioner from doing anything in the person’s capacity as a Judge of the District Court.</w:t>
      </w:r>
    </w:p>
    <w:p>
      <w:pPr>
        <w:pStyle w:val="ySubsection"/>
      </w:pPr>
      <w:r>
        <w:tab/>
        <w:t>(4)</w:t>
      </w:r>
      <w:r>
        <w:tab/>
        <w:t>A person’s resignation from office as Commissioner or the termination of a person’s term of office as Commissioner does not affect the person’s office as a Judge of the District Court.</w:t>
      </w:r>
    </w:p>
    <w:p>
      <w:pPr>
        <w:pStyle w:val="yFootnotesection"/>
      </w:pPr>
      <w:r>
        <w:tab/>
        <w:t>[Clause 3 inserted by No. 42 of 2004 s. 145.]</w:t>
      </w:r>
    </w:p>
    <w:p>
      <w:pPr>
        <w:pStyle w:val="yHeading5"/>
      </w:pPr>
      <w:bookmarkStart w:id="3570" w:name="_Toc122833670"/>
      <w:bookmarkStart w:id="3571" w:name="_Toc122834237"/>
      <w:r>
        <w:rPr>
          <w:rStyle w:val="CharSClsNo"/>
        </w:rPr>
        <w:t>4</w:t>
      </w:r>
      <w:r>
        <w:t>.</w:t>
      </w:r>
      <w:r>
        <w:rPr>
          <w:b w:val="0"/>
        </w:rPr>
        <w:tab/>
      </w:r>
      <w:r>
        <w:t>Completion of matters</w:t>
      </w:r>
      <w:bookmarkEnd w:id="3570"/>
      <w:bookmarkEnd w:id="3571"/>
    </w:p>
    <w:p>
      <w:pPr>
        <w:pStyle w:val="ySubsection"/>
      </w:pPr>
      <w:r>
        <w:tab/>
        <w:t>(1)</w:t>
      </w:r>
      <w:r>
        <w:tab/>
        <w:t>A former Commissioner may, despite the expiration of the Commissioner’s term of appointment, complete or otherwise continue to deal with any matters relating to proceedings before the Commissioner that have been heard or partly heard by the Commissioner before the expiration of that term.</w:t>
      </w:r>
    </w:p>
    <w:p>
      <w:pPr>
        <w:pStyle w:val="ySubsection"/>
      </w:pPr>
      <w:r>
        <w:tab/>
        <w:t>(2)</w:t>
      </w:r>
      <w:r>
        <w:tab/>
        <w:t>While completing or otherwise dealing with matters under subclause (1), a former Commissioner is taken to have all the powers and immunities as the Commissioner that the former Commissioner had immediately before the expiration of that person’s term as the Commissioner.</w:t>
      </w:r>
    </w:p>
    <w:p>
      <w:pPr>
        <w:pStyle w:val="yFootnotesection"/>
      </w:pPr>
      <w:bookmarkStart w:id="3572" w:name="_Toc86740237"/>
      <w:bookmarkStart w:id="3573" w:name="_Toc88562641"/>
      <w:bookmarkStart w:id="3574" w:name="_Toc88625558"/>
      <w:bookmarkStart w:id="3575" w:name="_Toc91386223"/>
      <w:bookmarkStart w:id="3576" w:name="_Toc92705250"/>
      <w:bookmarkStart w:id="3577" w:name="_Toc93222711"/>
      <w:bookmarkStart w:id="3578" w:name="_Toc95022788"/>
      <w:bookmarkStart w:id="3579" w:name="_Toc95118060"/>
      <w:bookmarkStart w:id="3580" w:name="_Toc96498465"/>
      <w:bookmarkStart w:id="3581" w:name="_Toc96500943"/>
      <w:bookmarkStart w:id="3582" w:name="_Toc101779858"/>
      <w:bookmarkStart w:id="3583" w:name="_Toc103060306"/>
      <w:bookmarkStart w:id="3584" w:name="_Toc105471202"/>
      <w:bookmarkStart w:id="3585" w:name="_Toc105475116"/>
      <w:bookmarkStart w:id="3586" w:name="_Toc107308220"/>
      <w:bookmarkStart w:id="3587" w:name="_Toc109712453"/>
      <w:bookmarkStart w:id="3588" w:name="_Toc109724336"/>
      <w:bookmarkStart w:id="3589" w:name="_Toc110054208"/>
      <w:bookmarkStart w:id="3590" w:name="_Toc110054597"/>
      <w:r>
        <w:tab/>
        <w:t>[Clause 4 inserted by No. 42 of 2004 s. 145.]</w:t>
      </w:r>
    </w:p>
    <w:p>
      <w:pPr>
        <w:sectPr>
          <w:headerReference w:type="even" r:id="rId39"/>
          <w:headerReference w:type="default" r:id="rId40"/>
          <w:headerReference w:type="first" r:id="rId41"/>
          <w:pgSz w:w="11906" w:h="16838" w:code="9"/>
          <w:pgMar w:top="2376" w:right="2405" w:bottom="3542" w:left="2405" w:header="706" w:footer="3380" w:gutter="0"/>
          <w:cols w:space="720"/>
          <w:noEndnote/>
          <w:docGrid w:linePitch="326"/>
        </w:sectPr>
      </w:pPr>
    </w:p>
    <w:p>
      <w:pPr>
        <w:pStyle w:val="nHeading2"/>
        <w:outlineLvl w:val="0"/>
      </w:pPr>
      <w:bookmarkStart w:id="3591" w:name="_Toc110654677"/>
      <w:bookmarkStart w:id="3592" w:name="_Toc110736115"/>
      <w:bookmarkStart w:id="3593" w:name="_Toc110738849"/>
      <w:bookmarkStart w:id="3594" w:name="_Toc115691523"/>
      <w:bookmarkStart w:id="3595" w:name="_Toc115773820"/>
      <w:bookmarkStart w:id="3596" w:name="_Toc119132949"/>
      <w:bookmarkStart w:id="3597" w:name="_Toc119203619"/>
      <w:bookmarkStart w:id="3598" w:name="_Toc119204265"/>
      <w:bookmarkStart w:id="3599" w:name="_Toc119216595"/>
      <w:bookmarkStart w:id="3600" w:name="_Toc119301118"/>
      <w:bookmarkStart w:id="3601" w:name="_Toc119301685"/>
      <w:bookmarkStart w:id="3602" w:name="_Toc119302254"/>
      <w:bookmarkStart w:id="3603" w:name="_Toc119920441"/>
      <w:bookmarkStart w:id="3604" w:name="_Toc122774428"/>
      <w:bookmarkStart w:id="3605" w:name="_Toc122833671"/>
      <w:bookmarkStart w:id="3606" w:name="_Toc122834238"/>
      <w:r>
        <w:t>Notes</w:t>
      </w:r>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Act 1981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outlineLvl w:val="0"/>
        <w:rPr>
          <w:snapToGrid w:val="0"/>
        </w:rPr>
      </w:pPr>
      <w:bookmarkStart w:id="3607" w:name="_Toc122833672"/>
      <w:bookmarkStart w:id="3608" w:name="_Toc122834239"/>
      <w:r>
        <w:rPr>
          <w:snapToGrid w:val="0"/>
        </w:rPr>
        <w:t>Compilation table</w:t>
      </w:r>
      <w:bookmarkEnd w:id="3607"/>
      <w:bookmarkEnd w:id="3608"/>
    </w:p>
    <w:tbl>
      <w:tblPr>
        <w:tblW w:w="0" w:type="auto"/>
        <w:tblInd w:w="36" w:type="dxa"/>
        <w:tblLayout w:type="fixed"/>
        <w:tblCellMar>
          <w:left w:w="56" w:type="dxa"/>
          <w:right w:w="56" w:type="dxa"/>
        </w:tblCellMar>
        <w:tblLook w:val="0000" w:firstRow="0" w:lastRow="0" w:firstColumn="0" w:lastColumn="0" w:noHBand="0" w:noVBand="0"/>
      </w:tblPr>
      <w:tblGrid>
        <w:gridCol w:w="2268"/>
        <w:gridCol w:w="1134"/>
        <w:gridCol w:w="1134"/>
        <w:gridCol w:w="2552"/>
        <w:gridCol w:w="19"/>
      </w:tblGrid>
      <w:tr>
        <w:trPr>
          <w:gridAfter w:val="1"/>
          <w:wAfter w:w="19" w:type="dxa"/>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19" w:type="dxa"/>
          <w:cantSplit/>
        </w:trPr>
        <w:tc>
          <w:tcPr>
            <w:tcW w:w="2268" w:type="dxa"/>
            <w:tcBorders>
              <w:top w:val="single" w:sz="8" w:space="0" w:color="auto"/>
            </w:tcBorders>
          </w:tcPr>
          <w:p>
            <w:pPr>
              <w:pStyle w:val="nTable"/>
              <w:spacing w:after="60"/>
              <w:rPr>
                <w:sz w:val="19"/>
              </w:rPr>
            </w:pPr>
            <w:r>
              <w:rPr>
                <w:i/>
                <w:sz w:val="19"/>
              </w:rPr>
              <w:t>Workers’ Compensation and Assistance Act 1981</w:t>
            </w:r>
            <w:r>
              <w:rPr>
                <w:sz w:val="19"/>
                <w:vertAlign w:val="superscript"/>
              </w:rPr>
              <w:t> 13</w:t>
            </w:r>
          </w:p>
        </w:tc>
        <w:tc>
          <w:tcPr>
            <w:tcW w:w="1134" w:type="dxa"/>
            <w:tcBorders>
              <w:top w:val="single" w:sz="8" w:space="0" w:color="auto"/>
            </w:tcBorders>
          </w:tcPr>
          <w:p>
            <w:pPr>
              <w:pStyle w:val="nTable"/>
              <w:spacing w:after="60"/>
              <w:rPr>
                <w:sz w:val="19"/>
              </w:rPr>
            </w:pPr>
            <w:r>
              <w:rPr>
                <w:sz w:val="19"/>
              </w:rPr>
              <w:t>86 of 1981</w:t>
            </w:r>
          </w:p>
        </w:tc>
        <w:tc>
          <w:tcPr>
            <w:tcW w:w="1134" w:type="dxa"/>
            <w:tcBorders>
              <w:top w:val="single" w:sz="8" w:space="0" w:color="auto"/>
            </w:tcBorders>
          </w:tcPr>
          <w:p>
            <w:pPr>
              <w:pStyle w:val="nTable"/>
              <w:spacing w:after="60"/>
              <w:rPr>
                <w:sz w:val="19"/>
              </w:rPr>
            </w:pPr>
            <w:r>
              <w:rPr>
                <w:sz w:val="19"/>
              </w:rPr>
              <w:t>23 Nov 1981</w:t>
            </w:r>
          </w:p>
        </w:tc>
        <w:tc>
          <w:tcPr>
            <w:tcW w:w="2552" w:type="dxa"/>
            <w:tcBorders>
              <w:top w:val="single" w:sz="8" w:space="0" w:color="auto"/>
            </w:tcBorders>
          </w:tcPr>
          <w:p>
            <w:pPr>
              <w:pStyle w:val="nTable"/>
              <w:spacing w:after="60"/>
              <w:rPr>
                <w:sz w:val="19"/>
              </w:rPr>
            </w:pPr>
            <w:r>
              <w:rPr>
                <w:sz w:val="19"/>
              </w:rPr>
              <w:t xml:space="preserve">3 May 1982 (see s. 2 and </w:t>
            </w:r>
            <w:r>
              <w:rPr>
                <w:i/>
                <w:sz w:val="19"/>
              </w:rPr>
              <w:t>Gazette</w:t>
            </w:r>
            <w:r>
              <w:rPr>
                <w:sz w:val="19"/>
              </w:rPr>
              <w:t xml:space="preserve"> 8 Apr 1982 p. 1205)</w:t>
            </w:r>
          </w:p>
        </w:tc>
      </w:tr>
      <w:tr>
        <w:trPr>
          <w:gridAfter w:val="1"/>
          <w:wAfter w:w="19" w:type="dxa"/>
          <w:cantSplit/>
        </w:trPr>
        <w:tc>
          <w:tcPr>
            <w:tcW w:w="2268" w:type="dxa"/>
          </w:tcPr>
          <w:p>
            <w:pPr>
              <w:pStyle w:val="nTable"/>
              <w:spacing w:after="60"/>
              <w:rPr>
                <w:sz w:val="19"/>
              </w:rPr>
            </w:pPr>
            <w:r>
              <w:rPr>
                <w:i/>
                <w:sz w:val="19"/>
              </w:rPr>
              <w:t>Workers’ Compensation and Assistance Amendment Act 1983</w:t>
            </w:r>
          </w:p>
        </w:tc>
        <w:tc>
          <w:tcPr>
            <w:tcW w:w="1134" w:type="dxa"/>
          </w:tcPr>
          <w:p>
            <w:pPr>
              <w:pStyle w:val="nTable"/>
              <w:spacing w:after="60"/>
              <w:rPr>
                <w:sz w:val="19"/>
              </w:rPr>
            </w:pPr>
            <w:r>
              <w:rPr>
                <w:sz w:val="19"/>
              </w:rPr>
              <w:t>16 of 1983</w:t>
            </w:r>
          </w:p>
        </w:tc>
        <w:tc>
          <w:tcPr>
            <w:tcW w:w="1134" w:type="dxa"/>
          </w:tcPr>
          <w:p>
            <w:pPr>
              <w:pStyle w:val="nTable"/>
              <w:spacing w:after="60"/>
              <w:rPr>
                <w:sz w:val="19"/>
              </w:rPr>
            </w:pPr>
            <w:r>
              <w:rPr>
                <w:sz w:val="19"/>
              </w:rPr>
              <w:t>7 Nov 1983</w:t>
            </w:r>
          </w:p>
        </w:tc>
        <w:tc>
          <w:tcPr>
            <w:tcW w:w="2552" w:type="dxa"/>
          </w:tcPr>
          <w:p>
            <w:pPr>
              <w:pStyle w:val="nTable"/>
              <w:spacing w:after="60"/>
              <w:rPr>
                <w:sz w:val="19"/>
              </w:rPr>
            </w:pPr>
            <w:r>
              <w:rPr>
                <w:sz w:val="19"/>
              </w:rPr>
              <w:t>7 Nov 1983</w:t>
            </w:r>
          </w:p>
        </w:tc>
      </w:tr>
      <w:tr>
        <w:trPr>
          <w:gridAfter w:val="1"/>
          <w:wAfter w:w="19" w:type="dxa"/>
          <w:cantSplit/>
        </w:trPr>
        <w:tc>
          <w:tcPr>
            <w:tcW w:w="2268" w:type="dxa"/>
          </w:tcPr>
          <w:p>
            <w:pPr>
              <w:pStyle w:val="nTable"/>
              <w:spacing w:after="60"/>
              <w:rPr>
                <w:sz w:val="19"/>
              </w:rPr>
            </w:pPr>
            <w:r>
              <w:rPr>
                <w:i/>
                <w:sz w:val="19"/>
              </w:rPr>
              <w:t>Workers’ Compensation and Assistance Amendment Act (No. 2) 1983</w:t>
            </w:r>
          </w:p>
        </w:tc>
        <w:tc>
          <w:tcPr>
            <w:tcW w:w="1134" w:type="dxa"/>
          </w:tcPr>
          <w:p>
            <w:pPr>
              <w:pStyle w:val="nTable"/>
              <w:spacing w:after="60"/>
              <w:rPr>
                <w:sz w:val="19"/>
              </w:rPr>
            </w:pPr>
            <w:r>
              <w:rPr>
                <w:sz w:val="19"/>
              </w:rPr>
              <w:t>79 of 1983</w:t>
            </w:r>
          </w:p>
        </w:tc>
        <w:tc>
          <w:tcPr>
            <w:tcW w:w="1134" w:type="dxa"/>
          </w:tcPr>
          <w:p>
            <w:pPr>
              <w:pStyle w:val="nTable"/>
              <w:spacing w:after="60"/>
              <w:rPr>
                <w:sz w:val="19"/>
              </w:rPr>
            </w:pPr>
            <w:r>
              <w:rPr>
                <w:sz w:val="19"/>
              </w:rPr>
              <w:t>22 Dec 1983</w:t>
            </w:r>
          </w:p>
        </w:tc>
        <w:tc>
          <w:tcPr>
            <w:tcW w:w="2552" w:type="dxa"/>
          </w:tcPr>
          <w:p>
            <w:pPr>
              <w:pStyle w:val="nTable"/>
              <w:spacing w:after="60"/>
              <w:rPr>
                <w:sz w:val="19"/>
              </w:rPr>
            </w:pPr>
            <w:r>
              <w:rPr>
                <w:sz w:val="19"/>
              </w:rPr>
              <w:t>22 Dec 1983</w:t>
            </w:r>
          </w:p>
        </w:tc>
      </w:tr>
      <w:tr>
        <w:trPr>
          <w:gridAfter w:val="1"/>
          <w:wAfter w:w="19" w:type="dxa"/>
          <w:cantSplit/>
        </w:trPr>
        <w:tc>
          <w:tcPr>
            <w:tcW w:w="2268" w:type="dxa"/>
          </w:tcPr>
          <w:p>
            <w:pPr>
              <w:pStyle w:val="nTable"/>
              <w:spacing w:after="60"/>
              <w:rPr>
                <w:sz w:val="19"/>
              </w:rPr>
            </w:pPr>
            <w:r>
              <w:rPr>
                <w:i/>
                <w:sz w:val="19"/>
              </w:rPr>
              <w:t>Health Legislation Amendment Act 1984</w:t>
            </w:r>
            <w:r>
              <w:rPr>
                <w:sz w:val="19"/>
              </w:rPr>
              <w:t xml:space="preserve"> Pt. XXIV</w:t>
            </w:r>
          </w:p>
        </w:tc>
        <w:tc>
          <w:tcPr>
            <w:tcW w:w="1134" w:type="dxa"/>
          </w:tcPr>
          <w:p>
            <w:pPr>
              <w:pStyle w:val="nTable"/>
              <w:spacing w:after="60"/>
              <w:rPr>
                <w:sz w:val="19"/>
              </w:rPr>
            </w:pPr>
            <w:r>
              <w:rPr>
                <w:sz w:val="19"/>
              </w:rPr>
              <w:t>28 of 1984</w:t>
            </w:r>
          </w:p>
        </w:tc>
        <w:tc>
          <w:tcPr>
            <w:tcW w:w="1134" w:type="dxa"/>
          </w:tcPr>
          <w:p>
            <w:pPr>
              <w:pStyle w:val="nTable"/>
              <w:spacing w:after="60"/>
              <w:rPr>
                <w:sz w:val="19"/>
              </w:rPr>
            </w:pPr>
            <w:r>
              <w:rPr>
                <w:sz w:val="19"/>
              </w:rPr>
              <w:t xml:space="preserve">31 May 1984 </w:t>
            </w:r>
          </w:p>
        </w:tc>
        <w:tc>
          <w:tcPr>
            <w:tcW w:w="2552" w:type="dxa"/>
          </w:tcPr>
          <w:p>
            <w:pPr>
              <w:pStyle w:val="nTable"/>
              <w:spacing w:after="60"/>
              <w:rPr>
                <w:sz w:val="19"/>
              </w:rPr>
            </w:pPr>
            <w:r>
              <w:rPr>
                <w:sz w:val="19"/>
              </w:rPr>
              <w:t xml:space="preserve">1 Jul 1984 (see s. 2 and </w:t>
            </w:r>
            <w:r>
              <w:rPr>
                <w:i/>
                <w:sz w:val="19"/>
              </w:rPr>
              <w:t>Gazette</w:t>
            </w:r>
            <w:r>
              <w:rPr>
                <w:sz w:val="19"/>
              </w:rPr>
              <w:t xml:space="preserve"> 15 Jun 1984 p. 1629)</w:t>
            </w:r>
          </w:p>
        </w:tc>
      </w:tr>
      <w:tr>
        <w:trPr>
          <w:gridAfter w:val="1"/>
          <w:wAfter w:w="19" w:type="dxa"/>
          <w:cantSplit/>
        </w:trPr>
        <w:tc>
          <w:tcPr>
            <w:tcW w:w="2268" w:type="dxa"/>
          </w:tcPr>
          <w:p>
            <w:pPr>
              <w:pStyle w:val="nTable"/>
              <w:spacing w:after="60"/>
              <w:rPr>
                <w:sz w:val="19"/>
              </w:rPr>
            </w:pPr>
            <w:r>
              <w:rPr>
                <w:i/>
                <w:sz w:val="19"/>
              </w:rPr>
              <w:t>Workers’ Compensation and Assistance Amendment Act 1984</w:t>
            </w:r>
            <w:r>
              <w:rPr>
                <w:sz w:val="19"/>
                <w:vertAlign w:val="superscript"/>
              </w:rPr>
              <w:t> 14</w:t>
            </w:r>
          </w:p>
        </w:tc>
        <w:tc>
          <w:tcPr>
            <w:tcW w:w="1134" w:type="dxa"/>
          </w:tcPr>
          <w:p>
            <w:pPr>
              <w:pStyle w:val="nTable"/>
              <w:spacing w:after="60"/>
              <w:rPr>
                <w:sz w:val="19"/>
              </w:rPr>
            </w:pPr>
            <w:r>
              <w:rPr>
                <w:sz w:val="19"/>
              </w:rPr>
              <w:t>104 of 1984</w:t>
            </w:r>
          </w:p>
        </w:tc>
        <w:tc>
          <w:tcPr>
            <w:tcW w:w="1134" w:type="dxa"/>
          </w:tcPr>
          <w:p>
            <w:pPr>
              <w:pStyle w:val="nTable"/>
              <w:spacing w:after="60"/>
              <w:rPr>
                <w:sz w:val="19"/>
              </w:rPr>
            </w:pPr>
            <w:r>
              <w:rPr>
                <w:sz w:val="19"/>
              </w:rPr>
              <w:t>19 Dec 1984</w:t>
            </w:r>
          </w:p>
        </w:tc>
        <w:tc>
          <w:tcPr>
            <w:tcW w:w="2552" w:type="dxa"/>
          </w:tcPr>
          <w:p>
            <w:pPr>
              <w:pStyle w:val="nTable"/>
              <w:spacing w:after="60"/>
              <w:rPr>
                <w:sz w:val="19"/>
              </w:rPr>
            </w:pPr>
            <w:r>
              <w:rPr>
                <w:sz w:val="19"/>
              </w:rPr>
              <w:t>19 Dec 1984 (see s. 2)</w:t>
            </w:r>
          </w:p>
        </w:tc>
      </w:tr>
      <w:tr>
        <w:trPr>
          <w:gridAfter w:val="1"/>
          <w:wAfter w:w="19" w:type="dxa"/>
          <w:cantSplit/>
        </w:trPr>
        <w:tc>
          <w:tcPr>
            <w:tcW w:w="2268" w:type="dxa"/>
          </w:tcPr>
          <w:p>
            <w:pPr>
              <w:pStyle w:val="nTable"/>
              <w:spacing w:after="60"/>
              <w:rPr>
                <w:sz w:val="19"/>
                <w:vertAlign w:val="superscript"/>
              </w:rPr>
            </w:pPr>
            <w:r>
              <w:rPr>
                <w:i/>
                <w:sz w:val="19"/>
              </w:rPr>
              <w:t>Workers’ Compensation and Assistance Amendment Act 1985</w:t>
            </w:r>
            <w:r>
              <w:rPr>
                <w:sz w:val="19"/>
                <w:vertAlign w:val="superscript"/>
              </w:rPr>
              <w:t> 15-21</w:t>
            </w:r>
          </w:p>
        </w:tc>
        <w:tc>
          <w:tcPr>
            <w:tcW w:w="1134" w:type="dxa"/>
          </w:tcPr>
          <w:p>
            <w:pPr>
              <w:pStyle w:val="nTable"/>
              <w:keepNext/>
              <w:keepLines/>
              <w:spacing w:after="60"/>
              <w:rPr>
                <w:sz w:val="19"/>
              </w:rPr>
            </w:pPr>
            <w:r>
              <w:rPr>
                <w:sz w:val="19"/>
              </w:rPr>
              <w:t>44 of 1985</w:t>
            </w:r>
          </w:p>
        </w:tc>
        <w:tc>
          <w:tcPr>
            <w:tcW w:w="1134" w:type="dxa"/>
          </w:tcPr>
          <w:p>
            <w:pPr>
              <w:pStyle w:val="nTable"/>
              <w:keepNext/>
              <w:keepLines/>
              <w:spacing w:after="60"/>
              <w:rPr>
                <w:sz w:val="19"/>
              </w:rPr>
            </w:pPr>
            <w:r>
              <w:rPr>
                <w:sz w:val="19"/>
              </w:rPr>
              <w:t>20 May 1985</w:t>
            </w:r>
          </w:p>
        </w:tc>
        <w:tc>
          <w:tcPr>
            <w:tcW w:w="2552" w:type="dxa"/>
          </w:tcPr>
          <w:p>
            <w:pPr>
              <w:pStyle w:val="nTable"/>
              <w:keepNext/>
              <w:keepLines/>
              <w:spacing w:after="60"/>
              <w:rPr>
                <w:sz w:val="19"/>
              </w:rPr>
            </w:pPr>
            <w:r>
              <w:rPr>
                <w:sz w:val="19"/>
              </w:rPr>
              <w:t xml:space="preserve">s. 3(1) and (2) and 26: </w:t>
            </w:r>
            <w:r>
              <w:rPr>
                <w:sz w:val="19"/>
              </w:rPr>
              <w:br/>
              <w:t xml:space="preserve">20 May 1985 (see s. 2(1)); </w:t>
            </w:r>
            <w:r>
              <w:rPr>
                <w:sz w:val="19"/>
              </w:rPr>
              <w:br/>
              <w:t xml:space="preserve">s. 3(3), 4-9, 13-18, 21, 22, 24, 27-37, 39-43: 28 Jun 1985 (see s. 2(2) and </w:t>
            </w:r>
            <w:r>
              <w:rPr>
                <w:i/>
                <w:sz w:val="19"/>
              </w:rPr>
              <w:t>Gazette</w:t>
            </w:r>
            <w:r>
              <w:rPr>
                <w:sz w:val="19"/>
              </w:rPr>
              <w:t xml:space="preserve"> 14 Jun 1985 p. 2134); </w:t>
            </w:r>
            <w:r>
              <w:rPr>
                <w:sz w:val="19"/>
              </w:rPr>
              <w:br/>
              <w:t xml:space="preserve">s. 25: 1 Jul 1985 (see s. 2(3)); s. 20: 25 Oct 1985 (see s. 2(2) and </w:t>
            </w:r>
            <w:r>
              <w:rPr>
                <w:i/>
                <w:sz w:val="19"/>
              </w:rPr>
              <w:t>Gazette</w:t>
            </w:r>
            <w:r>
              <w:rPr>
                <w:sz w:val="19"/>
              </w:rPr>
              <w:t xml:space="preserve"> 25 Oct 1985 p. 4100); </w:t>
            </w:r>
            <w:r>
              <w:rPr>
                <w:sz w:val="19"/>
              </w:rPr>
              <w:br/>
              <w:t xml:space="preserve">s. 23: 7 Feb 1986 (see s. 2(2) and </w:t>
            </w:r>
            <w:r>
              <w:rPr>
                <w:i/>
                <w:sz w:val="19"/>
              </w:rPr>
              <w:t>Gazette</w:t>
            </w:r>
            <w:r>
              <w:rPr>
                <w:sz w:val="19"/>
              </w:rPr>
              <w:t xml:space="preserve"> 7 Feb 1986 p. 425);</w:t>
            </w:r>
            <w:r>
              <w:rPr>
                <w:sz w:val="19"/>
              </w:rPr>
              <w:br/>
              <w:t xml:space="preserve">s. 38: 25 Jul 1986 (see s. 2(2) and </w:t>
            </w:r>
            <w:r>
              <w:rPr>
                <w:i/>
                <w:sz w:val="19"/>
              </w:rPr>
              <w:t>Gazette</w:t>
            </w:r>
            <w:r>
              <w:rPr>
                <w:sz w:val="19"/>
              </w:rPr>
              <w:t xml:space="preserve"> 25 Jul 1986 p. 2453)</w:t>
            </w:r>
          </w:p>
        </w:tc>
      </w:tr>
      <w:tr>
        <w:trPr>
          <w:gridAfter w:val="1"/>
          <w:wAfter w:w="19" w:type="dxa"/>
          <w:cantSplit/>
        </w:trPr>
        <w:tc>
          <w:tcPr>
            <w:tcW w:w="2268" w:type="dxa"/>
          </w:tcPr>
          <w:p>
            <w:pPr>
              <w:pStyle w:val="nTable"/>
              <w:spacing w:after="60"/>
              <w:rPr>
                <w:sz w:val="19"/>
              </w:rPr>
            </w:pPr>
            <w:r>
              <w:rPr>
                <w:i/>
                <w:sz w:val="19"/>
              </w:rPr>
              <w:t>Acts Amendment (Financial Administration and Audit) Act 1985</w:t>
            </w:r>
            <w:r>
              <w:rPr>
                <w:sz w:val="19"/>
              </w:rPr>
              <w:t xml:space="preserve"> s. 3</w:t>
            </w:r>
          </w:p>
        </w:tc>
        <w:tc>
          <w:tcPr>
            <w:tcW w:w="1134" w:type="dxa"/>
          </w:tcPr>
          <w:p>
            <w:pPr>
              <w:pStyle w:val="nTable"/>
              <w:spacing w:after="60"/>
              <w:rPr>
                <w:sz w:val="19"/>
              </w:rPr>
            </w:pPr>
            <w:r>
              <w:rPr>
                <w:sz w:val="19"/>
              </w:rPr>
              <w:t>98 of 1985</w:t>
            </w:r>
          </w:p>
        </w:tc>
        <w:tc>
          <w:tcPr>
            <w:tcW w:w="1134" w:type="dxa"/>
          </w:tcPr>
          <w:p>
            <w:pPr>
              <w:pStyle w:val="nTable"/>
              <w:spacing w:after="60"/>
              <w:rPr>
                <w:sz w:val="19"/>
              </w:rPr>
            </w:pPr>
            <w:r>
              <w:rPr>
                <w:sz w:val="19"/>
              </w:rPr>
              <w:t>4 Dec 1985</w:t>
            </w:r>
          </w:p>
        </w:tc>
        <w:tc>
          <w:tcPr>
            <w:tcW w:w="2552" w:type="dxa"/>
          </w:tcPr>
          <w:p>
            <w:pPr>
              <w:pStyle w:val="nTable"/>
              <w:spacing w:after="60"/>
              <w:rPr>
                <w:sz w:val="19"/>
              </w:rPr>
            </w:pPr>
            <w:r>
              <w:rPr>
                <w:sz w:val="19"/>
              </w:rPr>
              <w:t xml:space="preserve">1 Jul 1986 (see s. 2 and </w:t>
            </w:r>
            <w:r>
              <w:rPr>
                <w:i/>
                <w:sz w:val="19"/>
              </w:rPr>
              <w:t>Gazette</w:t>
            </w:r>
            <w:r>
              <w:rPr>
                <w:sz w:val="19"/>
              </w:rPr>
              <w:t xml:space="preserve"> 30 Jun 1986 p. 2255)</w:t>
            </w:r>
          </w:p>
        </w:tc>
      </w:tr>
      <w:tr>
        <w:trPr>
          <w:gridAfter w:val="1"/>
          <w:wAfter w:w="19" w:type="dxa"/>
          <w:cantSplit/>
        </w:trPr>
        <w:tc>
          <w:tcPr>
            <w:tcW w:w="2268" w:type="dxa"/>
          </w:tcPr>
          <w:p>
            <w:pPr>
              <w:pStyle w:val="nTable"/>
              <w:spacing w:after="60"/>
              <w:rPr>
                <w:sz w:val="19"/>
                <w:vertAlign w:val="superscript"/>
              </w:rPr>
            </w:pPr>
            <w:r>
              <w:rPr>
                <w:i/>
                <w:sz w:val="19"/>
              </w:rPr>
              <w:t>Workers’ Compensation and Assistance Amendment Act 1986</w:t>
            </w:r>
            <w:r>
              <w:rPr>
                <w:sz w:val="19"/>
              </w:rPr>
              <w:t> </w:t>
            </w:r>
            <w:r>
              <w:rPr>
                <w:sz w:val="19"/>
                <w:vertAlign w:val="superscript"/>
              </w:rPr>
              <w:t>22</w:t>
            </w:r>
          </w:p>
        </w:tc>
        <w:tc>
          <w:tcPr>
            <w:tcW w:w="1134" w:type="dxa"/>
          </w:tcPr>
          <w:p>
            <w:pPr>
              <w:pStyle w:val="nTable"/>
              <w:spacing w:after="60"/>
              <w:rPr>
                <w:sz w:val="19"/>
              </w:rPr>
            </w:pPr>
            <w:r>
              <w:rPr>
                <w:sz w:val="19"/>
              </w:rPr>
              <w:t>33 of 1986</w:t>
            </w:r>
          </w:p>
        </w:tc>
        <w:tc>
          <w:tcPr>
            <w:tcW w:w="1134" w:type="dxa"/>
          </w:tcPr>
          <w:p>
            <w:pPr>
              <w:pStyle w:val="nTable"/>
              <w:spacing w:after="60"/>
              <w:rPr>
                <w:sz w:val="19"/>
              </w:rPr>
            </w:pPr>
            <w:r>
              <w:rPr>
                <w:sz w:val="19"/>
              </w:rPr>
              <w:t>1 Aug 1986</w:t>
            </w:r>
          </w:p>
        </w:tc>
        <w:tc>
          <w:tcPr>
            <w:tcW w:w="2552" w:type="dxa"/>
          </w:tcPr>
          <w:p>
            <w:pPr>
              <w:pStyle w:val="nTable"/>
              <w:spacing w:after="60"/>
              <w:rPr>
                <w:sz w:val="19"/>
              </w:rPr>
            </w:pPr>
            <w:r>
              <w:rPr>
                <w:sz w:val="19"/>
              </w:rPr>
              <w:t>1 Aug 1986 (see s. 2)</w:t>
            </w:r>
          </w:p>
        </w:tc>
      </w:tr>
      <w:tr>
        <w:trPr>
          <w:gridAfter w:val="1"/>
          <w:wAfter w:w="19" w:type="dxa"/>
          <w:cantSplit/>
        </w:trPr>
        <w:tc>
          <w:tcPr>
            <w:tcW w:w="2268" w:type="dxa"/>
          </w:tcPr>
          <w:p>
            <w:pPr>
              <w:pStyle w:val="nTable"/>
              <w:spacing w:after="60"/>
              <w:rPr>
                <w:sz w:val="19"/>
              </w:rPr>
            </w:pPr>
            <w:r>
              <w:rPr>
                <w:i/>
                <w:sz w:val="19"/>
              </w:rPr>
              <w:t>State Government Insurance Commission Act 1986</w:t>
            </w:r>
            <w:r>
              <w:rPr>
                <w:sz w:val="19"/>
              </w:rPr>
              <w:t xml:space="preserve"> s. 46(2)</w:t>
            </w:r>
          </w:p>
        </w:tc>
        <w:tc>
          <w:tcPr>
            <w:tcW w:w="1134" w:type="dxa"/>
          </w:tcPr>
          <w:p>
            <w:pPr>
              <w:pStyle w:val="nTable"/>
              <w:spacing w:after="60"/>
              <w:rPr>
                <w:sz w:val="19"/>
              </w:rPr>
            </w:pPr>
            <w:r>
              <w:rPr>
                <w:sz w:val="19"/>
              </w:rPr>
              <w:t>51 of 1986</w:t>
            </w:r>
          </w:p>
        </w:tc>
        <w:tc>
          <w:tcPr>
            <w:tcW w:w="1134" w:type="dxa"/>
          </w:tcPr>
          <w:p>
            <w:pPr>
              <w:pStyle w:val="nTable"/>
              <w:spacing w:after="60"/>
              <w:rPr>
                <w:sz w:val="19"/>
              </w:rPr>
            </w:pPr>
            <w:r>
              <w:rPr>
                <w:sz w:val="19"/>
              </w:rPr>
              <w:t>5 Aug 1986</w:t>
            </w:r>
          </w:p>
        </w:tc>
        <w:tc>
          <w:tcPr>
            <w:tcW w:w="2552" w:type="dxa"/>
          </w:tcPr>
          <w:p>
            <w:pPr>
              <w:pStyle w:val="nTable"/>
              <w:spacing w:after="60"/>
              <w:rPr>
                <w:sz w:val="19"/>
              </w:rPr>
            </w:pPr>
            <w:r>
              <w:rPr>
                <w:sz w:val="19"/>
              </w:rPr>
              <w:t xml:space="preserve">1 Jan 1987 (see s. 2 and </w:t>
            </w:r>
            <w:r>
              <w:rPr>
                <w:i/>
                <w:sz w:val="19"/>
              </w:rPr>
              <w:t>Gazette</w:t>
            </w:r>
            <w:r>
              <w:rPr>
                <w:sz w:val="19"/>
              </w:rPr>
              <w:t xml:space="preserve"> 19 Dec 1986 p. 4859)</w:t>
            </w:r>
          </w:p>
        </w:tc>
      </w:tr>
      <w:tr>
        <w:trPr>
          <w:gridAfter w:val="1"/>
          <w:wAfter w:w="19" w:type="dxa"/>
          <w:cantSplit/>
        </w:trPr>
        <w:tc>
          <w:tcPr>
            <w:tcW w:w="2268" w:type="dxa"/>
          </w:tcPr>
          <w:p>
            <w:pPr>
              <w:pStyle w:val="nTable"/>
              <w:spacing w:after="60"/>
              <w:rPr>
                <w:sz w:val="19"/>
              </w:rPr>
            </w:pPr>
            <w:r>
              <w:rPr>
                <w:i/>
                <w:sz w:val="19"/>
              </w:rPr>
              <w:t>Workers’ Compensation and Assistance Amendment Act (No. 2) 1986</w:t>
            </w:r>
          </w:p>
        </w:tc>
        <w:tc>
          <w:tcPr>
            <w:tcW w:w="1134" w:type="dxa"/>
          </w:tcPr>
          <w:p>
            <w:pPr>
              <w:pStyle w:val="nTable"/>
              <w:keepNext/>
              <w:spacing w:after="60"/>
              <w:rPr>
                <w:sz w:val="19"/>
              </w:rPr>
            </w:pPr>
            <w:r>
              <w:rPr>
                <w:sz w:val="19"/>
              </w:rPr>
              <w:t>85 of 1986</w:t>
            </w:r>
          </w:p>
        </w:tc>
        <w:tc>
          <w:tcPr>
            <w:tcW w:w="1134" w:type="dxa"/>
          </w:tcPr>
          <w:p>
            <w:pPr>
              <w:pStyle w:val="nTable"/>
              <w:keepNext/>
              <w:spacing w:after="60"/>
              <w:rPr>
                <w:sz w:val="19"/>
              </w:rPr>
            </w:pPr>
            <w:r>
              <w:rPr>
                <w:sz w:val="19"/>
              </w:rPr>
              <w:t>5 Dec 1986</w:t>
            </w:r>
          </w:p>
        </w:tc>
        <w:tc>
          <w:tcPr>
            <w:tcW w:w="2552" w:type="dxa"/>
          </w:tcPr>
          <w:p>
            <w:pPr>
              <w:pStyle w:val="nTable"/>
              <w:keepNext/>
              <w:spacing w:after="60"/>
              <w:rPr>
                <w:sz w:val="19"/>
              </w:rPr>
            </w:pPr>
            <w:r>
              <w:rPr>
                <w:sz w:val="19"/>
              </w:rPr>
              <w:t>Act other than s. 7 and 11: 5 Dec 1986 (see s. 2(1));</w:t>
            </w:r>
            <w:r>
              <w:rPr>
                <w:sz w:val="19"/>
              </w:rPr>
              <w:br/>
              <w:t xml:space="preserve">s. 7 and 11: 22 May 1987 (see s. 2(2) and </w:t>
            </w:r>
            <w:r>
              <w:rPr>
                <w:i/>
                <w:sz w:val="19"/>
              </w:rPr>
              <w:t>Gazette</w:t>
            </w:r>
            <w:r>
              <w:rPr>
                <w:sz w:val="19"/>
              </w:rPr>
              <w:t xml:space="preserve"> 22 May 1987 p. 2167) </w:t>
            </w:r>
          </w:p>
        </w:tc>
      </w:tr>
      <w:tr>
        <w:trPr>
          <w:gridAfter w:val="1"/>
          <w:wAfter w:w="19" w:type="dxa"/>
          <w:cantSplit/>
        </w:trPr>
        <w:tc>
          <w:tcPr>
            <w:tcW w:w="2268" w:type="dxa"/>
          </w:tcPr>
          <w:p>
            <w:pPr>
              <w:pStyle w:val="nTable"/>
              <w:spacing w:after="60"/>
              <w:rPr>
                <w:sz w:val="19"/>
              </w:rPr>
            </w:pPr>
            <w:r>
              <w:rPr>
                <w:i/>
                <w:sz w:val="19"/>
              </w:rPr>
              <w:t>Acts Amendment (Workers’ Compensation and Assistance) Act 1986</w:t>
            </w:r>
            <w:r>
              <w:rPr>
                <w:sz w:val="19"/>
              </w:rPr>
              <w:t xml:space="preserve"> Pt. III</w:t>
            </w:r>
          </w:p>
        </w:tc>
        <w:tc>
          <w:tcPr>
            <w:tcW w:w="1134" w:type="dxa"/>
          </w:tcPr>
          <w:p>
            <w:pPr>
              <w:pStyle w:val="nTable"/>
              <w:spacing w:after="60"/>
              <w:rPr>
                <w:sz w:val="19"/>
              </w:rPr>
            </w:pPr>
            <w:r>
              <w:rPr>
                <w:sz w:val="19"/>
              </w:rPr>
              <w:t>86 of 1986</w:t>
            </w:r>
          </w:p>
        </w:tc>
        <w:tc>
          <w:tcPr>
            <w:tcW w:w="1134" w:type="dxa"/>
          </w:tcPr>
          <w:p>
            <w:pPr>
              <w:pStyle w:val="nTable"/>
              <w:spacing w:after="60"/>
              <w:rPr>
                <w:sz w:val="19"/>
              </w:rPr>
            </w:pPr>
            <w:r>
              <w:rPr>
                <w:sz w:val="19"/>
              </w:rPr>
              <w:t>5 Dec 1986</w:t>
            </w:r>
          </w:p>
        </w:tc>
        <w:tc>
          <w:tcPr>
            <w:tcW w:w="2552" w:type="dxa"/>
          </w:tcPr>
          <w:p>
            <w:pPr>
              <w:pStyle w:val="nTable"/>
              <w:spacing w:after="60"/>
              <w:rPr>
                <w:sz w:val="19"/>
              </w:rPr>
            </w:pPr>
            <w:r>
              <w:rPr>
                <w:sz w:val="19"/>
              </w:rPr>
              <w:t>2 Jan 1987</w:t>
            </w:r>
          </w:p>
        </w:tc>
      </w:tr>
      <w:tr>
        <w:trPr>
          <w:gridAfter w:val="1"/>
          <w:wAfter w:w="19" w:type="dxa"/>
          <w:cantSplit/>
        </w:trPr>
        <w:tc>
          <w:tcPr>
            <w:tcW w:w="7088" w:type="dxa"/>
            <w:gridSpan w:val="4"/>
          </w:tcPr>
          <w:p>
            <w:pPr>
              <w:pStyle w:val="nTable"/>
              <w:spacing w:after="60"/>
              <w:rPr>
                <w:sz w:val="19"/>
              </w:rPr>
            </w:pPr>
            <w:r>
              <w:rPr>
                <w:b/>
                <w:sz w:val="19"/>
              </w:rPr>
              <w:t xml:space="preserve">Reprint of the </w:t>
            </w:r>
            <w:r>
              <w:rPr>
                <w:b/>
                <w:i/>
                <w:sz w:val="19"/>
              </w:rPr>
              <w:t>Workers’ Compensation and Assistance Act 1981</w:t>
            </w:r>
            <w:r>
              <w:rPr>
                <w:b/>
                <w:sz w:val="19"/>
              </w:rPr>
              <w:t xml:space="preserve"> as at 6 Feb 1987</w:t>
            </w:r>
            <w:r>
              <w:rPr>
                <w:sz w:val="19"/>
              </w:rPr>
              <w:t xml:space="preserve"> (includes amendments listed above except those in the </w:t>
            </w:r>
            <w:r>
              <w:rPr>
                <w:i/>
                <w:sz w:val="19"/>
              </w:rPr>
              <w:t>Workers’ Compensation and Assistance Amendment Act (No. 2) 1986</w:t>
            </w:r>
            <w:r>
              <w:rPr>
                <w:sz w:val="19"/>
              </w:rPr>
              <w:t xml:space="preserve"> s. 7 and 11)</w:t>
            </w:r>
          </w:p>
        </w:tc>
      </w:tr>
      <w:tr>
        <w:trPr>
          <w:gridAfter w:val="1"/>
          <w:wAfter w:w="19" w:type="dxa"/>
          <w:cantSplit/>
        </w:trPr>
        <w:tc>
          <w:tcPr>
            <w:tcW w:w="2268" w:type="dxa"/>
          </w:tcPr>
          <w:p>
            <w:pPr>
              <w:pStyle w:val="nTable"/>
              <w:spacing w:after="60"/>
              <w:rPr>
                <w:sz w:val="19"/>
              </w:rPr>
            </w:pPr>
            <w:r>
              <w:rPr>
                <w:i/>
                <w:sz w:val="19"/>
              </w:rPr>
              <w:t>Workers’ Compensation and Assistance Amendment Act 1987</w:t>
            </w:r>
            <w:r>
              <w:rPr>
                <w:sz w:val="19"/>
              </w:rPr>
              <w:t> </w:t>
            </w:r>
            <w:r>
              <w:rPr>
                <w:sz w:val="19"/>
                <w:vertAlign w:val="superscript"/>
              </w:rPr>
              <w:t>23</w:t>
            </w:r>
          </w:p>
        </w:tc>
        <w:tc>
          <w:tcPr>
            <w:tcW w:w="1134" w:type="dxa"/>
          </w:tcPr>
          <w:p>
            <w:pPr>
              <w:pStyle w:val="nTable"/>
              <w:spacing w:after="60"/>
              <w:rPr>
                <w:sz w:val="19"/>
              </w:rPr>
            </w:pPr>
            <w:r>
              <w:rPr>
                <w:sz w:val="19"/>
              </w:rPr>
              <w:t>21 of 1987</w:t>
            </w:r>
          </w:p>
        </w:tc>
        <w:tc>
          <w:tcPr>
            <w:tcW w:w="1134" w:type="dxa"/>
          </w:tcPr>
          <w:p>
            <w:pPr>
              <w:pStyle w:val="nTable"/>
              <w:spacing w:after="60"/>
              <w:rPr>
                <w:sz w:val="19"/>
              </w:rPr>
            </w:pPr>
            <w:r>
              <w:rPr>
                <w:sz w:val="19"/>
              </w:rPr>
              <w:t>25 Jun 1987</w:t>
            </w:r>
          </w:p>
        </w:tc>
        <w:tc>
          <w:tcPr>
            <w:tcW w:w="2552" w:type="dxa"/>
          </w:tcPr>
          <w:p>
            <w:pPr>
              <w:pStyle w:val="nTable"/>
              <w:spacing w:after="60"/>
              <w:rPr>
                <w:sz w:val="19"/>
              </w:rPr>
            </w:pPr>
            <w:r>
              <w:rPr>
                <w:sz w:val="19"/>
              </w:rPr>
              <w:t>23 Jul 1987</w:t>
            </w:r>
          </w:p>
        </w:tc>
      </w:tr>
      <w:tr>
        <w:trPr>
          <w:gridAfter w:val="1"/>
          <w:wAfter w:w="19" w:type="dxa"/>
          <w:cantSplit/>
        </w:trPr>
        <w:tc>
          <w:tcPr>
            <w:tcW w:w="2268" w:type="dxa"/>
          </w:tcPr>
          <w:p>
            <w:pPr>
              <w:pStyle w:val="nTable"/>
              <w:spacing w:after="60"/>
              <w:rPr>
                <w:sz w:val="19"/>
              </w:rPr>
            </w:pPr>
            <w:r>
              <w:rPr>
                <w:i/>
                <w:sz w:val="19"/>
              </w:rPr>
              <w:t>Acts Amendment (Legal Practitioners, Costs and Taxation) Act 1987</w:t>
            </w:r>
            <w:r>
              <w:rPr>
                <w:sz w:val="19"/>
              </w:rPr>
              <w:t xml:space="preserve"> Pt. VII</w:t>
            </w:r>
          </w:p>
        </w:tc>
        <w:tc>
          <w:tcPr>
            <w:tcW w:w="1134" w:type="dxa"/>
          </w:tcPr>
          <w:p>
            <w:pPr>
              <w:pStyle w:val="nTable"/>
              <w:spacing w:after="60"/>
              <w:rPr>
                <w:sz w:val="19"/>
              </w:rPr>
            </w:pPr>
            <w:r>
              <w:rPr>
                <w:sz w:val="19"/>
              </w:rPr>
              <w:t>65 of 1987</w:t>
            </w:r>
          </w:p>
        </w:tc>
        <w:tc>
          <w:tcPr>
            <w:tcW w:w="1134" w:type="dxa"/>
          </w:tcPr>
          <w:p>
            <w:pPr>
              <w:pStyle w:val="nTable"/>
              <w:spacing w:after="60"/>
              <w:rPr>
                <w:sz w:val="19"/>
              </w:rPr>
            </w:pPr>
            <w:r>
              <w:rPr>
                <w:sz w:val="19"/>
              </w:rPr>
              <w:t>1 Dec 1987</w:t>
            </w:r>
          </w:p>
        </w:tc>
        <w:tc>
          <w:tcPr>
            <w:tcW w:w="2552" w:type="dxa"/>
          </w:tcPr>
          <w:p>
            <w:pPr>
              <w:pStyle w:val="nTable"/>
              <w:spacing w:after="60"/>
              <w:rPr>
                <w:sz w:val="19"/>
              </w:rPr>
            </w:pPr>
            <w:r>
              <w:rPr>
                <w:sz w:val="19"/>
              </w:rPr>
              <w:t xml:space="preserve">12 Feb 1988 (see s. 2(2) and </w:t>
            </w:r>
            <w:r>
              <w:rPr>
                <w:i/>
                <w:sz w:val="19"/>
              </w:rPr>
              <w:t>Gazette</w:t>
            </w:r>
            <w:r>
              <w:rPr>
                <w:sz w:val="19"/>
              </w:rPr>
              <w:t xml:space="preserve"> 12 Feb 1988 p. 397)</w:t>
            </w:r>
          </w:p>
        </w:tc>
      </w:tr>
      <w:tr>
        <w:trPr>
          <w:gridAfter w:val="1"/>
          <w:wAfter w:w="19" w:type="dxa"/>
          <w:cantSplit/>
        </w:trPr>
        <w:tc>
          <w:tcPr>
            <w:tcW w:w="2268" w:type="dxa"/>
          </w:tcPr>
          <w:p>
            <w:pPr>
              <w:pStyle w:val="nTable"/>
              <w:spacing w:after="60"/>
              <w:rPr>
                <w:sz w:val="19"/>
              </w:rPr>
            </w:pPr>
            <w:r>
              <w:rPr>
                <w:sz w:val="19"/>
              </w:rPr>
              <w:fldChar w:fldCharType="begin"/>
            </w:r>
            <w:r>
              <w:rPr>
                <w:sz w:val="19"/>
              </w:rPr>
              <w:instrText>ADVANCE \D 4.25</w:instrText>
            </w:r>
            <w:r>
              <w:rPr>
                <w:sz w:val="19"/>
              </w:rPr>
              <w:fldChar w:fldCharType="end"/>
            </w:r>
            <w:r>
              <w:rPr>
                <w:i/>
                <w:sz w:val="19"/>
              </w:rPr>
              <w:t>Workers’ Compensation and Assistance Amendment Act 1988</w:t>
            </w:r>
            <w:r>
              <w:rPr>
                <w:sz w:val="19"/>
              </w:rPr>
              <w:t xml:space="preserve"> Pt. 2</w:t>
            </w:r>
          </w:p>
        </w:tc>
        <w:tc>
          <w:tcPr>
            <w:tcW w:w="1134" w:type="dxa"/>
          </w:tcPr>
          <w:p>
            <w:pPr>
              <w:pStyle w:val="nTable"/>
              <w:spacing w:after="60"/>
              <w:rPr>
                <w:sz w:val="19"/>
              </w:rPr>
            </w:pPr>
            <w:r>
              <w:rPr>
                <w:sz w:val="19"/>
              </w:rPr>
              <w:t>36 of 1988</w:t>
            </w:r>
          </w:p>
        </w:tc>
        <w:tc>
          <w:tcPr>
            <w:tcW w:w="1134" w:type="dxa"/>
          </w:tcPr>
          <w:p>
            <w:pPr>
              <w:pStyle w:val="nTable"/>
              <w:spacing w:after="60"/>
              <w:rPr>
                <w:sz w:val="19"/>
              </w:rPr>
            </w:pPr>
            <w:r>
              <w:rPr>
                <w:sz w:val="19"/>
              </w:rPr>
              <w:t>24 Nov 1988</w:t>
            </w:r>
          </w:p>
        </w:tc>
        <w:tc>
          <w:tcPr>
            <w:tcW w:w="2552" w:type="dxa"/>
          </w:tcPr>
          <w:p>
            <w:pPr>
              <w:pStyle w:val="nTable"/>
              <w:spacing w:after="60"/>
              <w:rPr>
                <w:sz w:val="19"/>
              </w:rPr>
            </w:pPr>
            <w:r>
              <w:rPr>
                <w:sz w:val="19"/>
              </w:rPr>
              <w:t xml:space="preserve">1 Mar 1991 (see s. 2 and </w:t>
            </w:r>
            <w:r>
              <w:rPr>
                <w:i/>
                <w:sz w:val="19"/>
              </w:rPr>
              <w:t>Gazette</w:t>
            </w:r>
            <w:r>
              <w:rPr>
                <w:sz w:val="19"/>
              </w:rPr>
              <w:t xml:space="preserve"> 1 Mar 1991 p. 967)</w:t>
            </w:r>
          </w:p>
        </w:tc>
      </w:tr>
      <w:tr>
        <w:trPr>
          <w:gridAfter w:val="1"/>
          <w:wAfter w:w="19" w:type="dxa"/>
          <w:cantSplit/>
        </w:trPr>
        <w:tc>
          <w:tcPr>
            <w:tcW w:w="2268" w:type="dxa"/>
          </w:tcPr>
          <w:p>
            <w:pPr>
              <w:pStyle w:val="nTable"/>
              <w:spacing w:after="60"/>
              <w:rPr>
                <w:sz w:val="19"/>
              </w:rPr>
            </w:pPr>
            <w:r>
              <w:rPr>
                <w:i/>
                <w:sz w:val="19"/>
              </w:rPr>
              <w:t>Workers’ Compensation and Assistance Amendment Act 1990</w:t>
            </w:r>
            <w:r>
              <w:rPr>
                <w:sz w:val="19"/>
              </w:rPr>
              <w:t> </w:t>
            </w:r>
            <w:r>
              <w:rPr>
                <w:sz w:val="19"/>
                <w:vertAlign w:val="superscript"/>
              </w:rPr>
              <w:t>24-27</w:t>
            </w:r>
          </w:p>
        </w:tc>
        <w:tc>
          <w:tcPr>
            <w:tcW w:w="1134" w:type="dxa"/>
          </w:tcPr>
          <w:p>
            <w:pPr>
              <w:pStyle w:val="nTable"/>
              <w:spacing w:after="60"/>
              <w:rPr>
                <w:sz w:val="19"/>
              </w:rPr>
            </w:pPr>
            <w:r>
              <w:rPr>
                <w:sz w:val="19"/>
              </w:rPr>
              <w:t>96 of 1990</w:t>
            </w:r>
          </w:p>
        </w:tc>
        <w:tc>
          <w:tcPr>
            <w:tcW w:w="1134" w:type="dxa"/>
          </w:tcPr>
          <w:p>
            <w:pPr>
              <w:pStyle w:val="nTable"/>
              <w:spacing w:after="60"/>
              <w:rPr>
                <w:sz w:val="19"/>
              </w:rPr>
            </w:pPr>
            <w:r>
              <w:rPr>
                <w:sz w:val="19"/>
              </w:rPr>
              <w:t>22 Dec 1990</w:t>
            </w:r>
          </w:p>
        </w:tc>
        <w:tc>
          <w:tcPr>
            <w:tcW w:w="2552" w:type="dxa"/>
          </w:tcPr>
          <w:p>
            <w:pPr>
              <w:pStyle w:val="nTable"/>
              <w:spacing w:after="60"/>
              <w:rPr>
                <w:sz w:val="19"/>
              </w:rPr>
            </w:pPr>
            <w:r>
              <w:rPr>
                <w:sz w:val="19"/>
              </w:rPr>
              <w:t xml:space="preserve">8 Mar 1991 (see s. 2 and </w:t>
            </w:r>
            <w:r>
              <w:rPr>
                <w:i/>
                <w:sz w:val="19"/>
              </w:rPr>
              <w:t>Gazette</w:t>
            </w:r>
            <w:r>
              <w:rPr>
                <w:sz w:val="19"/>
              </w:rPr>
              <w:t xml:space="preserve"> 8 Mar 1991 p. 1030)</w:t>
            </w:r>
          </w:p>
        </w:tc>
      </w:tr>
      <w:tr>
        <w:trPr>
          <w:gridAfter w:val="1"/>
          <w:wAfter w:w="19" w:type="dxa"/>
          <w:cantSplit/>
        </w:trPr>
        <w:tc>
          <w:tcPr>
            <w:tcW w:w="7088" w:type="dxa"/>
            <w:gridSpan w:val="4"/>
          </w:tcPr>
          <w:p>
            <w:pPr>
              <w:pStyle w:val="nTable"/>
              <w:keepNext/>
              <w:spacing w:after="60"/>
              <w:rPr>
                <w:sz w:val="19"/>
              </w:rPr>
            </w:pPr>
            <w:r>
              <w:rPr>
                <w:b/>
                <w:sz w:val="19"/>
              </w:rPr>
              <w:t xml:space="preserve">Reprint of the </w:t>
            </w:r>
            <w:r>
              <w:rPr>
                <w:b/>
                <w:i/>
                <w:sz w:val="19"/>
              </w:rPr>
              <w:t>Workers’ Compensation and Rehabilitation Act 1981</w:t>
            </w:r>
            <w:r>
              <w:rPr>
                <w:b/>
                <w:sz w:val="19"/>
              </w:rPr>
              <w:t xml:space="preserve"> as at 9 Oct 1991</w:t>
            </w:r>
            <w:r>
              <w:rPr>
                <w:sz w:val="19"/>
              </w:rPr>
              <w:t xml:space="preserve"> (includes amendments listed above) (errata in </w:t>
            </w:r>
            <w:r>
              <w:rPr>
                <w:i/>
                <w:sz w:val="19"/>
              </w:rPr>
              <w:t>Gazette</w:t>
            </w:r>
            <w:r>
              <w:rPr>
                <w:sz w:val="19"/>
              </w:rPr>
              <w:t xml:space="preserve"> 1 May 1992 p. 1866)</w:t>
            </w:r>
          </w:p>
        </w:tc>
      </w:tr>
      <w:tr>
        <w:trPr>
          <w:gridAfter w:val="1"/>
          <w:wAfter w:w="19" w:type="dxa"/>
          <w:cantSplit/>
        </w:trPr>
        <w:tc>
          <w:tcPr>
            <w:tcW w:w="2268" w:type="dxa"/>
          </w:tcPr>
          <w:p>
            <w:pPr>
              <w:pStyle w:val="nTable"/>
              <w:spacing w:after="60"/>
              <w:rPr>
                <w:sz w:val="19"/>
              </w:rPr>
            </w:pPr>
            <w:r>
              <w:rPr>
                <w:i/>
                <w:sz w:val="19"/>
              </w:rPr>
              <w:t>Acts Amendment (Parliamentary, Electorate and Gubernatorial Staff) Act 1992</w:t>
            </w:r>
            <w:r>
              <w:rPr>
                <w:sz w:val="19"/>
              </w:rPr>
              <w:t xml:space="preserve"> Pt. 6</w:t>
            </w:r>
          </w:p>
        </w:tc>
        <w:tc>
          <w:tcPr>
            <w:tcW w:w="1134" w:type="dxa"/>
          </w:tcPr>
          <w:p>
            <w:pPr>
              <w:pStyle w:val="nTable"/>
              <w:spacing w:after="60"/>
              <w:rPr>
                <w:sz w:val="19"/>
              </w:rPr>
            </w:pPr>
            <w:r>
              <w:rPr>
                <w:sz w:val="19"/>
              </w:rPr>
              <w:t>40 of 1992</w:t>
            </w:r>
          </w:p>
        </w:tc>
        <w:tc>
          <w:tcPr>
            <w:tcW w:w="1134" w:type="dxa"/>
          </w:tcPr>
          <w:p>
            <w:pPr>
              <w:pStyle w:val="nTable"/>
              <w:spacing w:after="60"/>
              <w:rPr>
                <w:sz w:val="19"/>
              </w:rPr>
            </w:pPr>
            <w:r>
              <w:rPr>
                <w:sz w:val="19"/>
              </w:rPr>
              <w:t>2 Oct 1992</w:t>
            </w:r>
          </w:p>
        </w:tc>
        <w:tc>
          <w:tcPr>
            <w:tcW w:w="2552" w:type="dxa"/>
          </w:tcPr>
          <w:p>
            <w:pPr>
              <w:pStyle w:val="nTable"/>
              <w:spacing w:after="60"/>
              <w:rPr>
                <w:sz w:val="19"/>
              </w:rPr>
            </w:pPr>
            <w:r>
              <w:rPr>
                <w:sz w:val="19"/>
              </w:rPr>
              <w:t xml:space="preserve">3 Nov 1992 (see s. 2 and </w:t>
            </w:r>
            <w:r>
              <w:rPr>
                <w:i/>
                <w:sz w:val="19"/>
              </w:rPr>
              <w:t>Gazette</w:t>
            </w:r>
            <w:r>
              <w:rPr>
                <w:sz w:val="19"/>
              </w:rPr>
              <w:t xml:space="preserve"> 3 Nov 1992 p. 5389)</w:t>
            </w:r>
          </w:p>
        </w:tc>
      </w:tr>
      <w:tr>
        <w:trPr>
          <w:gridAfter w:val="1"/>
          <w:wAfter w:w="19" w:type="dxa"/>
          <w:cantSplit/>
        </w:trPr>
        <w:tc>
          <w:tcPr>
            <w:tcW w:w="2268" w:type="dxa"/>
          </w:tcPr>
          <w:p>
            <w:pPr>
              <w:pStyle w:val="nTable"/>
              <w:spacing w:after="60"/>
              <w:rPr>
                <w:sz w:val="19"/>
              </w:rPr>
            </w:pPr>
            <w:r>
              <w:rPr>
                <w:i/>
                <w:sz w:val="19"/>
              </w:rPr>
              <w:t>Workers’ Compensation and Rehabilitation Amendment Act (No. 2) 1992</w:t>
            </w:r>
          </w:p>
        </w:tc>
        <w:tc>
          <w:tcPr>
            <w:tcW w:w="1134" w:type="dxa"/>
          </w:tcPr>
          <w:p>
            <w:pPr>
              <w:pStyle w:val="nTable"/>
              <w:spacing w:after="60"/>
              <w:rPr>
                <w:sz w:val="19"/>
              </w:rPr>
            </w:pPr>
            <w:r>
              <w:rPr>
                <w:sz w:val="19"/>
              </w:rPr>
              <w:t>72 of 1992</w:t>
            </w:r>
          </w:p>
        </w:tc>
        <w:tc>
          <w:tcPr>
            <w:tcW w:w="1134" w:type="dxa"/>
          </w:tcPr>
          <w:p>
            <w:pPr>
              <w:pStyle w:val="nTable"/>
              <w:spacing w:after="60"/>
              <w:rPr>
                <w:sz w:val="19"/>
              </w:rPr>
            </w:pPr>
            <w:r>
              <w:rPr>
                <w:sz w:val="19"/>
              </w:rPr>
              <w:t>15 Dec 1992</w:t>
            </w:r>
          </w:p>
        </w:tc>
        <w:tc>
          <w:tcPr>
            <w:tcW w:w="2552" w:type="dxa"/>
          </w:tcPr>
          <w:p>
            <w:pPr>
              <w:pStyle w:val="nTable"/>
              <w:spacing w:after="60"/>
              <w:rPr>
                <w:sz w:val="19"/>
              </w:rPr>
            </w:pPr>
            <w:r>
              <w:rPr>
                <w:sz w:val="19"/>
              </w:rPr>
              <w:t xml:space="preserve">Act other than s. 6-8: 24 Dec 1992 (see s. 2 and </w:t>
            </w:r>
            <w:r>
              <w:rPr>
                <w:i/>
                <w:sz w:val="19"/>
              </w:rPr>
              <w:t>Gazette</w:t>
            </w:r>
            <w:r>
              <w:rPr>
                <w:sz w:val="19"/>
              </w:rPr>
              <w:t xml:space="preserve"> 24 Dec 1992 p. 6277);</w:t>
            </w:r>
            <w:r>
              <w:rPr>
                <w:sz w:val="19"/>
              </w:rPr>
              <w:br/>
              <w:t xml:space="preserve">s. 6-8: 5 Feb 1993 (see s. 2 and </w:t>
            </w:r>
            <w:r>
              <w:rPr>
                <w:i/>
                <w:sz w:val="19"/>
              </w:rPr>
              <w:t>Gazette</w:t>
            </w:r>
            <w:r>
              <w:rPr>
                <w:sz w:val="19"/>
              </w:rPr>
              <w:t xml:space="preserve"> 5 Feb 1993 p. 975)</w:t>
            </w:r>
          </w:p>
        </w:tc>
      </w:tr>
      <w:tr>
        <w:trPr>
          <w:gridAfter w:val="1"/>
          <w:wAfter w:w="19" w:type="dxa"/>
          <w:cantSplit/>
        </w:trPr>
        <w:tc>
          <w:tcPr>
            <w:tcW w:w="2268" w:type="dxa"/>
          </w:tcPr>
          <w:p>
            <w:pPr>
              <w:pStyle w:val="nTable"/>
              <w:spacing w:after="60"/>
              <w:rPr>
                <w:sz w:val="19"/>
              </w:rPr>
            </w:pPr>
            <w:r>
              <w:rPr>
                <w:i/>
                <w:sz w:val="19"/>
              </w:rPr>
              <w:t>Employers’ Indemnity Supplementation Fund Amendment Act 1993</w:t>
            </w:r>
            <w:r>
              <w:rPr>
                <w:sz w:val="19"/>
              </w:rPr>
              <w:t xml:space="preserve"> s. 14</w:t>
            </w:r>
          </w:p>
        </w:tc>
        <w:tc>
          <w:tcPr>
            <w:tcW w:w="1134" w:type="dxa"/>
          </w:tcPr>
          <w:p>
            <w:pPr>
              <w:pStyle w:val="nTable"/>
              <w:spacing w:after="60"/>
              <w:rPr>
                <w:sz w:val="19"/>
              </w:rPr>
            </w:pPr>
            <w:r>
              <w:rPr>
                <w:sz w:val="19"/>
              </w:rPr>
              <w:t>1 of 1993</w:t>
            </w:r>
          </w:p>
        </w:tc>
        <w:tc>
          <w:tcPr>
            <w:tcW w:w="1134" w:type="dxa"/>
          </w:tcPr>
          <w:p>
            <w:pPr>
              <w:pStyle w:val="nTable"/>
              <w:spacing w:after="60"/>
              <w:rPr>
                <w:sz w:val="19"/>
              </w:rPr>
            </w:pPr>
            <w:r>
              <w:rPr>
                <w:sz w:val="19"/>
              </w:rPr>
              <w:t>19 Jul 1993</w:t>
            </w:r>
          </w:p>
        </w:tc>
        <w:tc>
          <w:tcPr>
            <w:tcW w:w="2552" w:type="dxa"/>
          </w:tcPr>
          <w:p>
            <w:pPr>
              <w:pStyle w:val="nTable"/>
              <w:spacing w:after="60"/>
              <w:rPr>
                <w:sz w:val="19"/>
              </w:rPr>
            </w:pPr>
            <w:r>
              <w:rPr>
                <w:sz w:val="19"/>
              </w:rPr>
              <w:t>19 Jul 1993 (see s. 2)</w:t>
            </w:r>
          </w:p>
        </w:tc>
      </w:tr>
      <w:tr>
        <w:trPr>
          <w:gridAfter w:val="1"/>
          <w:wAfter w:w="19" w:type="dxa"/>
          <w:cantSplit/>
        </w:trPr>
        <w:tc>
          <w:tcPr>
            <w:tcW w:w="2268" w:type="dxa"/>
          </w:tcPr>
          <w:p>
            <w:pPr>
              <w:pStyle w:val="nTable"/>
              <w:spacing w:after="60"/>
              <w:rPr>
                <w:sz w:val="19"/>
              </w:rPr>
            </w:pPr>
            <w:r>
              <w:rPr>
                <w:i/>
                <w:sz w:val="19"/>
              </w:rPr>
              <w:t>Financial Administration Legislation Amendment Act 1993</w:t>
            </w:r>
            <w:r>
              <w:rPr>
                <w:sz w:val="19"/>
              </w:rPr>
              <w:t xml:space="preserve"> s. 11</w:t>
            </w:r>
          </w:p>
        </w:tc>
        <w:tc>
          <w:tcPr>
            <w:tcW w:w="1134" w:type="dxa"/>
          </w:tcPr>
          <w:p>
            <w:pPr>
              <w:pStyle w:val="nTable"/>
              <w:spacing w:after="60"/>
              <w:rPr>
                <w:sz w:val="19"/>
              </w:rPr>
            </w:pPr>
            <w:r>
              <w:rPr>
                <w:sz w:val="19"/>
              </w:rPr>
              <w:t>6 of 1993</w:t>
            </w:r>
          </w:p>
        </w:tc>
        <w:tc>
          <w:tcPr>
            <w:tcW w:w="1134" w:type="dxa"/>
          </w:tcPr>
          <w:p>
            <w:pPr>
              <w:pStyle w:val="nTable"/>
              <w:spacing w:after="60"/>
              <w:rPr>
                <w:sz w:val="19"/>
              </w:rPr>
            </w:pPr>
            <w:r>
              <w:rPr>
                <w:sz w:val="19"/>
              </w:rPr>
              <w:t>27 Aug 1993</w:t>
            </w:r>
          </w:p>
        </w:tc>
        <w:tc>
          <w:tcPr>
            <w:tcW w:w="2552" w:type="dxa"/>
          </w:tcPr>
          <w:p>
            <w:pPr>
              <w:pStyle w:val="nTable"/>
              <w:spacing w:after="60"/>
              <w:rPr>
                <w:sz w:val="19"/>
              </w:rPr>
            </w:pPr>
            <w:r>
              <w:rPr>
                <w:sz w:val="19"/>
              </w:rPr>
              <w:t>1 Jul 1993 (see s. 2(1))</w:t>
            </w:r>
          </w:p>
        </w:tc>
      </w:tr>
      <w:tr>
        <w:trPr>
          <w:gridAfter w:val="1"/>
          <w:wAfter w:w="19" w:type="dxa"/>
          <w:cantSplit/>
        </w:trPr>
        <w:tc>
          <w:tcPr>
            <w:tcW w:w="2268" w:type="dxa"/>
          </w:tcPr>
          <w:p>
            <w:pPr>
              <w:pStyle w:val="nTable"/>
              <w:spacing w:after="60"/>
              <w:rPr>
                <w:sz w:val="19"/>
              </w:rPr>
            </w:pPr>
            <w:r>
              <w:rPr>
                <w:i/>
                <w:sz w:val="19"/>
              </w:rPr>
              <w:t>Mines Regulation Amendment Act 1993</w:t>
            </w:r>
            <w:r>
              <w:rPr>
                <w:sz w:val="19"/>
              </w:rPr>
              <w:t xml:space="preserve"> s. 13</w:t>
            </w:r>
          </w:p>
        </w:tc>
        <w:tc>
          <w:tcPr>
            <w:tcW w:w="1134" w:type="dxa"/>
          </w:tcPr>
          <w:p>
            <w:pPr>
              <w:pStyle w:val="nTable"/>
              <w:spacing w:after="60"/>
              <w:rPr>
                <w:sz w:val="19"/>
              </w:rPr>
            </w:pPr>
            <w:r>
              <w:rPr>
                <w:sz w:val="19"/>
              </w:rPr>
              <w:t>30 of 1993</w:t>
            </w:r>
          </w:p>
        </w:tc>
        <w:tc>
          <w:tcPr>
            <w:tcW w:w="1134" w:type="dxa"/>
          </w:tcPr>
          <w:p>
            <w:pPr>
              <w:pStyle w:val="nTable"/>
              <w:spacing w:after="60"/>
              <w:rPr>
                <w:sz w:val="19"/>
              </w:rPr>
            </w:pPr>
            <w:r>
              <w:rPr>
                <w:sz w:val="19"/>
              </w:rPr>
              <w:t>16 Dec 1993</w:t>
            </w:r>
          </w:p>
        </w:tc>
        <w:tc>
          <w:tcPr>
            <w:tcW w:w="2552" w:type="dxa"/>
          </w:tcPr>
          <w:p>
            <w:pPr>
              <w:pStyle w:val="nTable"/>
              <w:spacing w:after="60"/>
              <w:rPr>
                <w:sz w:val="19"/>
              </w:rPr>
            </w:pPr>
            <w:r>
              <w:rPr>
                <w:sz w:val="19"/>
              </w:rPr>
              <w:t xml:space="preserve">24 Dec 1993 (see s. 2 and </w:t>
            </w:r>
            <w:r>
              <w:rPr>
                <w:i/>
                <w:sz w:val="19"/>
              </w:rPr>
              <w:t>Gazette</w:t>
            </w:r>
            <w:r>
              <w:rPr>
                <w:sz w:val="19"/>
              </w:rPr>
              <w:t xml:space="preserve"> 24 Dec 1993 p. 6796)</w:t>
            </w:r>
          </w:p>
        </w:tc>
      </w:tr>
      <w:tr>
        <w:trPr>
          <w:gridAfter w:val="1"/>
          <w:wAfter w:w="19" w:type="dxa"/>
          <w:cantSplit/>
        </w:trPr>
        <w:tc>
          <w:tcPr>
            <w:tcW w:w="2268" w:type="dxa"/>
            <w:tcBorders>
              <w:bottom w:val="nil"/>
            </w:tcBorders>
          </w:tcPr>
          <w:p>
            <w:pPr>
              <w:pStyle w:val="nTable"/>
              <w:spacing w:after="60"/>
              <w:rPr>
                <w:sz w:val="19"/>
              </w:rPr>
            </w:pPr>
            <w:r>
              <w:rPr>
                <w:i/>
                <w:sz w:val="19"/>
              </w:rPr>
              <w:t>Workers’ Compensation and Rehabilitation Amendment Act 1993</w:t>
            </w:r>
            <w:r>
              <w:rPr>
                <w:sz w:val="19"/>
              </w:rPr>
              <w:t> </w:t>
            </w:r>
            <w:r>
              <w:rPr>
                <w:sz w:val="19"/>
                <w:vertAlign w:val="superscript"/>
              </w:rPr>
              <w:t>28-36</w:t>
            </w:r>
          </w:p>
        </w:tc>
        <w:tc>
          <w:tcPr>
            <w:tcW w:w="1134" w:type="dxa"/>
          </w:tcPr>
          <w:p>
            <w:pPr>
              <w:pStyle w:val="nTable"/>
              <w:spacing w:after="60"/>
              <w:rPr>
                <w:sz w:val="19"/>
              </w:rPr>
            </w:pPr>
            <w:r>
              <w:rPr>
                <w:sz w:val="19"/>
              </w:rPr>
              <w:t>48 of 1993</w:t>
            </w:r>
            <w:r>
              <w:rPr>
                <w:sz w:val="19"/>
              </w:rPr>
              <w:br/>
              <w:t>(as amended by No. 34 of 1999 Pt. 3 and No. 42 of 2004 s. 172)</w:t>
            </w:r>
          </w:p>
        </w:tc>
        <w:tc>
          <w:tcPr>
            <w:tcW w:w="1134" w:type="dxa"/>
          </w:tcPr>
          <w:p>
            <w:pPr>
              <w:pStyle w:val="nTable"/>
              <w:spacing w:after="60"/>
              <w:rPr>
                <w:sz w:val="19"/>
              </w:rPr>
            </w:pPr>
            <w:r>
              <w:rPr>
                <w:sz w:val="19"/>
              </w:rPr>
              <w:t>20 Dec 1993</w:t>
            </w:r>
          </w:p>
        </w:tc>
        <w:tc>
          <w:tcPr>
            <w:tcW w:w="2552" w:type="dxa"/>
          </w:tcPr>
          <w:p>
            <w:pPr>
              <w:pStyle w:val="nTable"/>
              <w:spacing w:after="60"/>
              <w:rPr>
                <w:sz w:val="19"/>
              </w:rPr>
            </w:pPr>
            <w:r>
              <w:rPr>
                <w:sz w:val="19"/>
              </w:rPr>
              <w:t xml:space="preserve">Pt. 1-3: 20 Dec 1993 (see s. 2(1)); </w:t>
            </w:r>
            <w:r>
              <w:rPr>
                <w:sz w:val="19"/>
              </w:rPr>
              <w:br/>
              <w:t xml:space="preserve">s. 21, 23, 25, 28(1) (only so far as it gives effect to Sch. 1 cl. 13, 14, 27(a)(i), (b)(i) and (c) and 31) of Pt. 4, and Pt. 5 (other than s. 36-38, 41 and 43): 24 Dec 1993 (see s. 2(2) and </w:t>
            </w:r>
            <w:r>
              <w:rPr>
                <w:i/>
                <w:sz w:val="19"/>
              </w:rPr>
              <w:t>Gazette</w:t>
            </w:r>
            <w:r>
              <w:rPr>
                <w:sz w:val="19"/>
              </w:rPr>
              <w:t xml:space="preserve"> 24 Dec 1993 p. 6795); </w:t>
            </w:r>
            <w:r>
              <w:rPr>
                <w:sz w:val="19"/>
              </w:rPr>
              <w:br/>
              <w:t xml:space="preserve">balance: 1 Mar 1994 (see s. 2(2) and </w:t>
            </w:r>
            <w:r>
              <w:rPr>
                <w:i/>
                <w:sz w:val="19"/>
              </w:rPr>
              <w:t>Gazette</w:t>
            </w:r>
            <w:r>
              <w:rPr>
                <w:sz w:val="19"/>
              </w:rPr>
              <w:t xml:space="preserve"> 24 Dec 1993 p. 6795)</w:t>
            </w:r>
          </w:p>
        </w:tc>
      </w:tr>
      <w:tr>
        <w:trPr>
          <w:gridAfter w:val="1"/>
          <w:wAfter w:w="19" w:type="dxa"/>
          <w:cantSplit/>
        </w:trPr>
        <w:tc>
          <w:tcPr>
            <w:tcW w:w="7088" w:type="dxa"/>
            <w:gridSpan w:val="4"/>
            <w:tcBorders>
              <w:bottom w:val="nil"/>
            </w:tcBorders>
          </w:tcPr>
          <w:p>
            <w:pPr>
              <w:pStyle w:val="nTable"/>
              <w:spacing w:after="60"/>
              <w:rPr>
                <w:sz w:val="19"/>
              </w:rPr>
            </w:pPr>
            <w:r>
              <w:rPr>
                <w:b/>
                <w:sz w:val="19"/>
              </w:rPr>
              <w:t xml:space="preserve">Reprint of the </w:t>
            </w:r>
            <w:r>
              <w:rPr>
                <w:b/>
                <w:i/>
                <w:sz w:val="19"/>
              </w:rPr>
              <w:t>Workers’ Compensation and Rehabilitation Act 1981</w:t>
            </w:r>
            <w:r>
              <w:rPr>
                <w:b/>
                <w:sz w:val="19"/>
              </w:rPr>
              <w:t xml:space="preserve"> as at 14 Mar 1994</w:t>
            </w:r>
            <w:r>
              <w:rPr>
                <w:sz w:val="19"/>
              </w:rPr>
              <w:t xml:space="preserve"> (includes amendments listed above)</w:t>
            </w:r>
          </w:p>
        </w:tc>
      </w:tr>
      <w:tr>
        <w:trPr>
          <w:gridAfter w:val="1"/>
          <w:wAfter w:w="19" w:type="dxa"/>
          <w:cantSplit/>
        </w:trPr>
        <w:tc>
          <w:tcPr>
            <w:tcW w:w="2268" w:type="dxa"/>
          </w:tcPr>
          <w:p>
            <w:pPr>
              <w:pStyle w:val="nTable"/>
              <w:spacing w:after="60"/>
              <w:rPr>
                <w:sz w:val="19"/>
              </w:rPr>
            </w:pPr>
            <w:r>
              <w:rPr>
                <w:i/>
                <w:sz w:val="19"/>
              </w:rPr>
              <w:t>Acts Amendment (Public Sector Management) Act 1994</w:t>
            </w:r>
            <w:r>
              <w:rPr>
                <w:sz w:val="19"/>
              </w:rPr>
              <w:t xml:space="preserve"> s. 19</w:t>
            </w:r>
          </w:p>
        </w:tc>
        <w:tc>
          <w:tcPr>
            <w:tcW w:w="1134" w:type="dxa"/>
          </w:tcPr>
          <w:p>
            <w:pPr>
              <w:pStyle w:val="nTable"/>
              <w:spacing w:after="60"/>
              <w:rPr>
                <w:sz w:val="19"/>
              </w:rPr>
            </w:pPr>
            <w:r>
              <w:rPr>
                <w:sz w:val="19"/>
              </w:rPr>
              <w:t>32 of 1994</w:t>
            </w:r>
          </w:p>
        </w:tc>
        <w:tc>
          <w:tcPr>
            <w:tcW w:w="1134" w:type="dxa"/>
          </w:tcPr>
          <w:p>
            <w:pPr>
              <w:pStyle w:val="nTable"/>
              <w:spacing w:after="60"/>
              <w:rPr>
                <w:sz w:val="19"/>
              </w:rPr>
            </w:pPr>
            <w:r>
              <w:rPr>
                <w:sz w:val="19"/>
              </w:rPr>
              <w:t>29 Jun 1994</w:t>
            </w:r>
          </w:p>
        </w:tc>
        <w:tc>
          <w:tcPr>
            <w:tcW w:w="2552" w:type="dxa"/>
          </w:tcPr>
          <w:p>
            <w:pPr>
              <w:pStyle w:val="nTable"/>
              <w:spacing w:after="60"/>
              <w:rPr>
                <w:sz w:val="19"/>
              </w:rPr>
            </w:pPr>
            <w:r>
              <w:rPr>
                <w:sz w:val="19"/>
              </w:rPr>
              <w:t xml:space="preserve">1 Oct 1994 (see s. 2 and </w:t>
            </w:r>
            <w:r>
              <w:rPr>
                <w:i/>
                <w:sz w:val="19"/>
              </w:rPr>
              <w:t>Gazette</w:t>
            </w:r>
            <w:r>
              <w:rPr>
                <w:sz w:val="19"/>
              </w:rPr>
              <w:t xml:space="preserve"> 30 Sep 1994 p. 4948)</w:t>
            </w:r>
          </w:p>
        </w:tc>
      </w:tr>
      <w:tr>
        <w:trPr>
          <w:gridAfter w:val="1"/>
          <w:wAfter w:w="19" w:type="dxa"/>
          <w:cantSplit/>
        </w:trPr>
        <w:tc>
          <w:tcPr>
            <w:tcW w:w="2268" w:type="dxa"/>
          </w:tcPr>
          <w:p>
            <w:pPr>
              <w:pStyle w:val="nTable"/>
              <w:spacing w:after="60"/>
              <w:rPr>
                <w:sz w:val="19"/>
              </w:rPr>
            </w:pPr>
            <w:r>
              <w:rPr>
                <w:i/>
                <w:sz w:val="19"/>
              </w:rPr>
              <w:t>Mines Safety and Inspection Act 1994</w:t>
            </w:r>
            <w:r>
              <w:rPr>
                <w:sz w:val="19"/>
              </w:rPr>
              <w:t xml:space="preserve"> s. 109</w:t>
            </w:r>
          </w:p>
        </w:tc>
        <w:tc>
          <w:tcPr>
            <w:tcW w:w="1134" w:type="dxa"/>
          </w:tcPr>
          <w:p>
            <w:pPr>
              <w:pStyle w:val="nTable"/>
              <w:spacing w:after="60"/>
              <w:rPr>
                <w:sz w:val="19"/>
              </w:rPr>
            </w:pPr>
            <w:r>
              <w:rPr>
                <w:sz w:val="19"/>
              </w:rPr>
              <w:t>62 of 1994</w:t>
            </w:r>
          </w:p>
        </w:tc>
        <w:tc>
          <w:tcPr>
            <w:tcW w:w="1134" w:type="dxa"/>
          </w:tcPr>
          <w:p>
            <w:pPr>
              <w:pStyle w:val="nTable"/>
              <w:spacing w:after="60"/>
              <w:rPr>
                <w:sz w:val="19"/>
              </w:rPr>
            </w:pPr>
            <w:r>
              <w:rPr>
                <w:sz w:val="19"/>
              </w:rPr>
              <w:t>7 Nov 1994</w:t>
            </w:r>
          </w:p>
        </w:tc>
        <w:tc>
          <w:tcPr>
            <w:tcW w:w="2552" w:type="dxa"/>
          </w:tcPr>
          <w:p>
            <w:pPr>
              <w:pStyle w:val="nTable"/>
              <w:spacing w:after="60"/>
              <w:rPr>
                <w:sz w:val="19"/>
              </w:rPr>
            </w:pPr>
            <w:r>
              <w:rPr>
                <w:sz w:val="19"/>
              </w:rPr>
              <w:t xml:space="preserve">9 Dec 1995 (see s. 2 and </w:t>
            </w:r>
            <w:r>
              <w:rPr>
                <w:i/>
                <w:sz w:val="19"/>
              </w:rPr>
              <w:t>Gazette</w:t>
            </w:r>
            <w:r>
              <w:rPr>
                <w:sz w:val="19"/>
              </w:rPr>
              <w:t xml:space="preserve"> 8 Dec 1995 p. 5935)</w:t>
            </w:r>
          </w:p>
        </w:tc>
      </w:tr>
      <w:tr>
        <w:trPr>
          <w:gridAfter w:val="1"/>
          <w:wAfter w:w="19" w:type="dxa"/>
          <w:cantSplit/>
        </w:trPr>
        <w:tc>
          <w:tcPr>
            <w:tcW w:w="2268" w:type="dxa"/>
          </w:tcPr>
          <w:p>
            <w:pPr>
              <w:pStyle w:val="nTable"/>
              <w:spacing w:after="60"/>
              <w:rPr>
                <w:sz w:val="19"/>
              </w:rPr>
            </w:pPr>
            <w:r>
              <w:rPr>
                <w:i/>
                <w:sz w:val="19"/>
              </w:rPr>
              <w:t>Hospitals Amendment Act 1994</w:t>
            </w:r>
            <w:r>
              <w:rPr>
                <w:sz w:val="19"/>
              </w:rPr>
              <w:t xml:space="preserve"> s. 18</w:t>
            </w:r>
          </w:p>
        </w:tc>
        <w:tc>
          <w:tcPr>
            <w:tcW w:w="1134" w:type="dxa"/>
          </w:tcPr>
          <w:p>
            <w:pPr>
              <w:pStyle w:val="nTable"/>
              <w:spacing w:after="60"/>
              <w:rPr>
                <w:sz w:val="19"/>
              </w:rPr>
            </w:pPr>
            <w:r>
              <w:rPr>
                <w:sz w:val="19"/>
              </w:rPr>
              <w:t>103 of 1994</w:t>
            </w:r>
          </w:p>
        </w:tc>
        <w:tc>
          <w:tcPr>
            <w:tcW w:w="1134" w:type="dxa"/>
          </w:tcPr>
          <w:p>
            <w:pPr>
              <w:pStyle w:val="nTable"/>
              <w:spacing w:after="60"/>
              <w:rPr>
                <w:sz w:val="19"/>
              </w:rPr>
            </w:pPr>
            <w:r>
              <w:rPr>
                <w:sz w:val="19"/>
              </w:rPr>
              <w:t>11 Jan 1995</w:t>
            </w:r>
          </w:p>
        </w:tc>
        <w:tc>
          <w:tcPr>
            <w:tcW w:w="2552" w:type="dxa"/>
          </w:tcPr>
          <w:p>
            <w:pPr>
              <w:pStyle w:val="nTable"/>
              <w:spacing w:after="60"/>
              <w:rPr>
                <w:sz w:val="19"/>
              </w:rPr>
            </w:pPr>
            <w:r>
              <w:rPr>
                <w:sz w:val="19"/>
              </w:rPr>
              <w:t xml:space="preserve">3 Feb 1995 (see s. 2 and </w:t>
            </w:r>
            <w:r>
              <w:rPr>
                <w:i/>
                <w:sz w:val="19"/>
              </w:rPr>
              <w:t>Gazette</w:t>
            </w:r>
            <w:r>
              <w:rPr>
                <w:sz w:val="19"/>
              </w:rPr>
              <w:t xml:space="preserve"> 3 Feb 1995 p. 333)</w:t>
            </w:r>
          </w:p>
        </w:tc>
      </w:tr>
      <w:tr>
        <w:trPr>
          <w:gridAfter w:val="1"/>
          <w:wAfter w:w="19" w:type="dxa"/>
          <w:cantSplit/>
        </w:trPr>
        <w:tc>
          <w:tcPr>
            <w:tcW w:w="2268" w:type="dxa"/>
          </w:tcPr>
          <w:p>
            <w:pPr>
              <w:pStyle w:val="nTable"/>
              <w:spacing w:after="60"/>
              <w:rPr>
                <w:sz w:val="19"/>
              </w:rPr>
            </w:pPr>
            <w:r>
              <w:rPr>
                <w:i/>
                <w:sz w:val="19"/>
              </w:rPr>
              <w:t>Occupational Safety and Health Legislation Amendment Act 1995</w:t>
            </w:r>
            <w:r>
              <w:rPr>
                <w:sz w:val="19"/>
              </w:rPr>
              <w:t xml:space="preserve"> s. 48</w:t>
            </w:r>
          </w:p>
        </w:tc>
        <w:tc>
          <w:tcPr>
            <w:tcW w:w="1134" w:type="dxa"/>
          </w:tcPr>
          <w:p>
            <w:pPr>
              <w:pStyle w:val="nTable"/>
              <w:spacing w:after="60"/>
              <w:rPr>
                <w:sz w:val="19"/>
              </w:rPr>
            </w:pPr>
            <w:r>
              <w:rPr>
                <w:sz w:val="19"/>
              </w:rPr>
              <w:t>30 of 1995</w:t>
            </w:r>
          </w:p>
        </w:tc>
        <w:tc>
          <w:tcPr>
            <w:tcW w:w="1134" w:type="dxa"/>
          </w:tcPr>
          <w:p>
            <w:pPr>
              <w:pStyle w:val="nTable"/>
              <w:spacing w:after="60"/>
              <w:rPr>
                <w:sz w:val="19"/>
              </w:rPr>
            </w:pPr>
            <w:r>
              <w:rPr>
                <w:sz w:val="19"/>
              </w:rPr>
              <w:t>11 Sep 1995</w:t>
            </w:r>
          </w:p>
        </w:tc>
        <w:tc>
          <w:tcPr>
            <w:tcW w:w="2552" w:type="dxa"/>
          </w:tcPr>
          <w:p>
            <w:pPr>
              <w:pStyle w:val="nTable"/>
              <w:spacing w:after="60"/>
              <w:rPr>
                <w:sz w:val="19"/>
              </w:rPr>
            </w:pPr>
            <w:r>
              <w:rPr>
                <w:sz w:val="19"/>
              </w:rPr>
              <w:t xml:space="preserve">1 Oct 1995 (see s. 2 and </w:t>
            </w:r>
            <w:r>
              <w:rPr>
                <w:i/>
                <w:sz w:val="19"/>
              </w:rPr>
              <w:t>Gazette</w:t>
            </w:r>
            <w:r>
              <w:rPr>
                <w:sz w:val="19"/>
              </w:rPr>
              <w:t xml:space="preserve"> 15 Sep 1995 p. 4301)</w:t>
            </w:r>
          </w:p>
        </w:tc>
      </w:tr>
      <w:tr>
        <w:trPr>
          <w:gridAfter w:val="1"/>
          <w:wAfter w:w="19" w:type="dxa"/>
          <w:cantSplit/>
        </w:trPr>
        <w:tc>
          <w:tcPr>
            <w:tcW w:w="2268" w:type="dxa"/>
          </w:tcPr>
          <w:p>
            <w:pPr>
              <w:pStyle w:val="nTable"/>
              <w:spacing w:after="60"/>
              <w:rPr>
                <w:sz w:val="19"/>
              </w:rPr>
            </w:pPr>
            <w:r>
              <w:rPr>
                <w:i/>
                <w:sz w:val="19"/>
              </w:rPr>
              <w:t>Sentencing (Consequential Provisions) Act 1995</w:t>
            </w:r>
            <w:r>
              <w:rPr>
                <w:sz w:val="19"/>
              </w:rPr>
              <w:t xml:space="preserve"> Pt. 84</w:t>
            </w:r>
          </w:p>
        </w:tc>
        <w:tc>
          <w:tcPr>
            <w:tcW w:w="1134" w:type="dxa"/>
          </w:tcPr>
          <w:p>
            <w:pPr>
              <w:pStyle w:val="nTable"/>
              <w:spacing w:after="60"/>
              <w:rPr>
                <w:sz w:val="19"/>
              </w:rPr>
            </w:pPr>
            <w:r>
              <w:rPr>
                <w:sz w:val="19"/>
              </w:rPr>
              <w:t>78 of 1995</w:t>
            </w:r>
          </w:p>
        </w:tc>
        <w:tc>
          <w:tcPr>
            <w:tcW w:w="1134" w:type="dxa"/>
          </w:tcPr>
          <w:p>
            <w:pPr>
              <w:pStyle w:val="nTable"/>
              <w:spacing w:after="60"/>
              <w:rPr>
                <w:sz w:val="19"/>
              </w:rPr>
            </w:pPr>
            <w:r>
              <w:rPr>
                <w:sz w:val="19"/>
              </w:rPr>
              <w:t>16 Jan 1996</w:t>
            </w:r>
          </w:p>
        </w:tc>
        <w:tc>
          <w:tcPr>
            <w:tcW w:w="2552" w:type="dxa"/>
          </w:tcPr>
          <w:p>
            <w:pPr>
              <w:pStyle w:val="nTable"/>
              <w:spacing w:after="60"/>
              <w:rPr>
                <w:sz w:val="19"/>
              </w:rPr>
            </w:pPr>
            <w:r>
              <w:rPr>
                <w:sz w:val="19"/>
              </w:rPr>
              <w:t xml:space="preserve">4 Nov 1996 (see s. 2 and </w:t>
            </w:r>
            <w:r>
              <w:rPr>
                <w:i/>
                <w:sz w:val="19"/>
              </w:rPr>
              <w:t>Gazette</w:t>
            </w:r>
            <w:r>
              <w:rPr>
                <w:sz w:val="19"/>
              </w:rPr>
              <w:t xml:space="preserve"> 25 Oct 1996 p. 5632)</w:t>
            </w:r>
          </w:p>
        </w:tc>
      </w:tr>
      <w:tr>
        <w:trPr>
          <w:gridAfter w:val="1"/>
          <w:wAfter w:w="19" w:type="dxa"/>
          <w:cantSplit/>
        </w:trPr>
        <w:tc>
          <w:tcPr>
            <w:tcW w:w="2268" w:type="dxa"/>
          </w:tcPr>
          <w:p>
            <w:pPr>
              <w:pStyle w:val="nTable"/>
              <w:spacing w:after="60"/>
              <w:rPr>
                <w:sz w:val="19"/>
              </w:rPr>
            </w:pPr>
            <w:r>
              <w:rPr>
                <w:i/>
                <w:sz w:val="19"/>
              </w:rPr>
              <w:t>Local Government (Consequential Amendments) Act 1996</w:t>
            </w:r>
            <w:r>
              <w:rPr>
                <w:sz w:val="19"/>
              </w:rPr>
              <w:t xml:space="preserve"> s. 4</w:t>
            </w:r>
          </w:p>
        </w:tc>
        <w:tc>
          <w:tcPr>
            <w:tcW w:w="1134" w:type="dxa"/>
          </w:tcPr>
          <w:p>
            <w:pPr>
              <w:pStyle w:val="nTable"/>
              <w:spacing w:after="60"/>
              <w:rPr>
                <w:sz w:val="19"/>
              </w:rPr>
            </w:pPr>
            <w:r>
              <w:rPr>
                <w:sz w:val="19"/>
              </w:rPr>
              <w:t>14 of 1996</w:t>
            </w:r>
          </w:p>
        </w:tc>
        <w:tc>
          <w:tcPr>
            <w:tcW w:w="1134" w:type="dxa"/>
          </w:tcPr>
          <w:p>
            <w:pPr>
              <w:pStyle w:val="nTable"/>
              <w:spacing w:after="60"/>
              <w:rPr>
                <w:sz w:val="19"/>
              </w:rPr>
            </w:pPr>
            <w:r>
              <w:rPr>
                <w:sz w:val="19"/>
              </w:rPr>
              <w:t>28 Jun 1996</w:t>
            </w:r>
          </w:p>
        </w:tc>
        <w:tc>
          <w:tcPr>
            <w:tcW w:w="2552" w:type="dxa"/>
          </w:tcPr>
          <w:p>
            <w:pPr>
              <w:pStyle w:val="nTable"/>
              <w:spacing w:after="60"/>
              <w:rPr>
                <w:sz w:val="19"/>
              </w:rPr>
            </w:pPr>
            <w:r>
              <w:rPr>
                <w:sz w:val="19"/>
              </w:rPr>
              <w:t>1 Jul 1996 (see s. 2)</w:t>
            </w:r>
          </w:p>
        </w:tc>
      </w:tr>
      <w:tr>
        <w:trPr>
          <w:gridAfter w:val="1"/>
          <w:wAfter w:w="19" w:type="dxa"/>
          <w:cantSplit/>
        </w:trPr>
        <w:tc>
          <w:tcPr>
            <w:tcW w:w="2268" w:type="dxa"/>
          </w:tcPr>
          <w:p>
            <w:pPr>
              <w:pStyle w:val="nTable"/>
              <w:spacing w:after="60"/>
              <w:rPr>
                <w:sz w:val="19"/>
              </w:rPr>
            </w:pPr>
            <w:r>
              <w:rPr>
                <w:i/>
                <w:sz w:val="19"/>
              </w:rPr>
              <w:t>Financial Legislation Amendment Act 1996</w:t>
            </w:r>
            <w:r>
              <w:rPr>
                <w:sz w:val="19"/>
              </w:rPr>
              <w:t xml:space="preserve"> s. 64</w:t>
            </w:r>
          </w:p>
        </w:tc>
        <w:tc>
          <w:tcPr>
            <w:tcW w:w="1134" w:type="dxa"/>
          </w:tcPr>
          <w:p>
            <w:pPr>
              <w:pStyle w:val="nTable"/>
              <w:spacing w:after="60"/>
              <w:rPr>
                <w:sz w:val="19"/>
              </w:rPr>
            </w:pPr>
            <w:r>
              <w:rPr>
                <w:sz w:val="19"/>
              </w:rPr>
              <w:t>49 of 1996</w:t>
            </w:r>
          </w:p>
        </w:tc>
        <w:tc>
          <w:tcPr>
            <w:tcW w:w="1134" w:type="dxa"/>
          </w:tcPr>
          <w:p>
            <w:pPr>
              <w:pStyle w:val="nTable"/>
              <w:spacing w:after="60"/>
              <w:rPr>
                <w:sz w:val="19"/>
              </w:rPr>
            </w:pPr>
            <w:r>
              <w:rPr>
                <w:sz w:val="19"/>
              </w:rPr>
              <w:t>25 Oct 1996</w:t>
            </w:r>
          </w:p>
        </w:tc>
        <w:tc>
          <w:tcPr>
            <w:tcW w:w="2552" w:type="dxa"/>
          </w:tcPr>
          <w:p>
            <w:pPr>
              <w:pStyle w:val="nTable"/>
              <w:spacing w:after="60"/>
              <w:rPr>
                <w:sz w:val="19"/>
              </w:rPr>
            </w:pPr>
            <w:r>
              <w:rPr>
                <w:sz w:val="19"/>
              </w:rPr>
              <w:t>25 Oct 1996 (see s. 2(1))</w:t>
            </w:r>
          </w:p>
        </w:tc>
      </w:tr>
      <w:tr>
        <w:trPr>
          <w:gridAfter w:val="1"/>
          <w:wAfter w:w="19" w:type="dxa"/>
          <w:cantSplit/>
        </w:trPr>
        <w:tc>
          <w:tcPr>
            <w:tcW w:w="7088" w:type="dxa"/>
            <w:gridSpan w:val="4"/>
          </w:tcPr>
          <w:p>
            <w:pPr>
              <w:pStyle w:val="nTable"/>
              <w:spacing w:after="60"/>
              <w:rPr>
                <w:sz w:val="19"/>
              </w:rPr>
            </w:pPr>
            <w:r>
              <w:rPr>
                <w:b/>
                <w:sz w:val="19"/>
              </w:rPr>
              <w:t xml:space="preserve">Reprint of the </w:t>
            </w:r>
            <w:r>
              <w:rPr>
                <w:b/>
                <w:i/>
                <w:sz w:val="19"/>
              </w:rPr>
              <w:t>Workers’ Compensation and Rehabilitation Act 1981</w:t>
            </w:r>
            <w:r>
              <w:rPr>
                <w:b/>
                <w:sz w:val="19"/>
              </w:rPr>
              <w:t xml:space="preserve"> as at 29 Jan 1999</w:t>
            </w:r>
            <w:r>
              <w:rPr>
                <w:sz w:val="19"/>
              </w:rPr>
              <w:t xml:space="preserve"> (includes amendments listed above)</w:t>
            </w:r>
          </w:p>
        </w:tc>
      </w:tr>
      <w:tr>
        <w:trPr>
          <w:gridAfter w:val="1"/>
          <w:wAfter w:w="19" w:type="dxa"/>
          <w:cantSplit/>
        </w:trPr>
        <w:tc>
          <w:tcPr>
            <w:tcW w:w="2268" w:type="dxa"/>
          </w:tcPr>
          <w:p>
            <w:pPr>
              <w:pStyle w:val="nTable"/>
              <w:spacing w:after="60"/>
              <w:rPr>
                <w:sz w:val="19"/>
              </w:rPr>
            </w:pPr>
            <w:r>
              <w:rPr>
                <w:i/>
                <w:sz w:val="19"/>
              </w:rPr>
              <w:t>Workers’ Compensation and Rehabilitation Amendment Act (No. 2) 1999</w:t>
            </w:r>
            <w:r>
              <w:rPr>
                <w:sz w:val="19"/>
              </w:rPr>
              <w:t> </w:t>
            </w:r>
            <w:r>
              <w:rPr>
                <w:sz w:val="19"/>
                <w:vertAlign w:val="superscript"/>
              </w:rPr>
              <w:t>37</w:t>
            </w:r>
          </w:p>
        </w:tc>
        <w:tc>
          <w:tcPr>
            <w:tcW w:w="1134" w:type="dxa"/>
          </w:tcPr>
          <w:p>
            <w:pPr>
              <w:pStyle w:val="nTable"/>
              <w:spacing w:after="60"/>
              <w:rPr>
                <w:sz w:val="19"/>
              </w:rPr>
            </w:pPr>
            <w:r>
              <w:rPr>
                <w:sz w:val="19"/>
              </w:rPr>
              <w:t>33 of 1999</w:t>
            </w:r>
          </w:p>
        </w:tc>
        <w:tc>
          <w:tcPr>
            <w:tcW w:w="1134" w:type="dxa"/>
          </w:tcPr>
          <w:p>
            <w:pPr>
              <w:pStyle w:val="nTable"/>
              <w:spacing w:after="60"/>
              <w:rPr>
                <w:sz w:val="19"/>
              </w:rPr>
            </w:pPr>
            <w:r>
              <w:rPr>
                <w:sz w:val="19"/>
              </w:rPr>
              <w:t>5 Oct 1999</w:t>
            </w:r>
          </w:p>
        </w:tc>
        <w:tc>
          <w:tcPr>
            <w:tcW w:w="2552" w:type="dxa"/>
          </w:tcPr>
          <w:p>
            <w:pPr>
              <w:pStyle w:val="nTable"/>
              <w:spacing w:after="60"/>
              <w:rPr>
                <w:sz w:val="19"/>
              </w:rPr>
            </w:pPr>
            <w:r>
              <w:rPr>
                <w:sz w:val="19"/>
              </w:rPr>
              <w:t>5 Oct 1999 (see s. 2)</w:t>
            </w:r>
          </w:p>
        </w:tc>
      </w:tr>
      <w:tr>
        <w:trPr>
          <w:gridAfter w:val="1"/>
          <w:wAfter w:w="19" w:type="dxa"/>
          <w:cantSplit/>
        </w:trPr>
        <w:tc>
          <w:tcPr>
            <w:tcW w:w="2268" w:type="dxa"/>
          </w:tcPr>
          <w:p>
            <w:pPr>
              <w:pStyle w:val="nTable"/>
              <w:spacing w:after="60"/>
              <w:rPr>
                <w:sz w:val="19"/>
              </w:rPr>
            </w:pPr>
            <w:r>
              <w:rPr>
                <w:i/>
                <w:sz w:val="19"/>
              </w:rPr>
              <w:t>Workers’ Compensation and Rehabilitation Amendment Act 1999</w:t>
            </w:r>
            <w:r>
              <w:rPr>
                <w:sz w:val="19"/>
                <w:vertAlign w:val="superscript"/>
              </w:rPr>
              <w:t> 7, 8, 38, 39</w:t>
            </w:r>
          </w:p>
        </w:tc>
        <w:tc>
          <w:tcPr>
            <w:tcW w:w="1134" w:type="dxa"/>
          </w:tcPr>
          <w:p>
            <w:pPr>
              <w:pStyle w:val="nTable"/>
              <w:spacing w:after="60"/>
              <w:rPr>
                <w:sz w:val="19"/>
              </w:rPr>
            </w:pPr>
            <w:r>
              <w:rPr>
                <w:sz w:val="19"/>
              </w:rPr>
              <w:t>34 of 1999</w:t>
            </w:r>
            <w:r>
              <w:rPr>
                <w:sz w:val="19"/>
              </w:rPr>
              <w:br/>
              <w:t>(as amended by No. 37 of 1999 s. 3)</w:t>
            </w:r>
          </w:p>
        </w:tc>
        <w:tc>
          <w:tcPr>
            <w:tcW w:w="1134" w:type="dxa"/>
          </w:tcPr>
          <w:p>
            <w:pPr>
              <w:pStyle w:val="nTable"/>
              <w:spacing w:after="60"/>
              <w:rPr>
                <w:sz w:val="19"/>
              </w:rPr>
            </w:pPr>
            <w:r>
              <w:rPr>
                <w:sz w:val="19"/>
              </w:rPr>
              <w:t>5 Oct 1999</w:t>
            </w:r>
          </w:p>
        </w:tc>
        <w:tc>
          <w:tcPr>
            <w:tcW w:w="2552" w:type="dxa"/>
          </w:tcPr>
          <w:p>
            <w:pPr>
              <w:pStyle w:val="nTable"/>
              <w:spacing w:after="60"/>
              <w:rPr>
                <w:sz w:val="19"/>
              </w:rPr>
            </w:pPr>
            <w:r>
              <w:rPr>
                <w:sz w:val="19"/>
              </w:rPr>
              <w:t>s. 5, 14, 15, 32, 48(a)(iv), 53(a),(c) and (d)(ii): 5 Oct 1999 (see s. 2(1));</w:t>
            </w:r>
            <w:r>
              <w:rPr>
                <w:sz w:val="19"/>
              </w:rPr>
              <w:br/>
              <w:t xml:space="preserve">balance: 15 Oct 1999 (see s. 2(2) and </w:t>
            </w:r>
            <w:r>
              <w:rPr>
                <w:i/>
                <w:sz w:val="19"/>
              </w:rPr>
              <w:t>Gazette</w:t>
            </w:r>
            <w:r>
              <w:rPr>
                <w:sz w:val="19"/>
              </w:rPr>
              <w:t xml:space="preserve"> 15 Oct 1999 p. 4889)</w:t>
            </w:r>
          </w:p>
        </w:tc>
      </w:tr>
      <w:tr>
        <w:trPr>
          <w:gridAfter w:val="1"/>
          <w:wAfter w:w="19" w:type="dxa"/>
          <w:cantSplit/>
        </w:trPr>
        <w:tc>
          <w:tcPr>
            <w:tcW w:w="2268" w:type="dxa"/>
          </w:tcPr>
          <w:p>
            <w:pPr>
              <w:pStyle w:val="nTable"/>
              <w:spacing w:after="60"/>
              <w:rPr>
                <w:i/>
                <w:sz w:val="19"/>
              </w:rPr>
            </w:pPr>
            <w:r>
              <w:rPr>
                <w:i/>
                <w:sz w:val="19"/>
              </w:rPr>
              <w:t>Workers’ Compensation and Rehabilitation Amendment Act 2000</w:t>
            </w:r>
          </w:p>
        </w:tc>
        <w:tc>
          <w:tcPr>
            <w:tcW w:w="1134" w:type="dxa"/>
          </w:tcPr>
          <w:p>
            <w:pPr>
              <w:pStyle w:val="nTable"/>
              <w:spacing w:after="60"/>
              <w:rPr>
                <w:sz w:val="19"/>
              </w:rPr>
            </w:pPr>
            <w:r>
              <w:rPr>
                <w:sz w:val="19"/>
              </w:rPr>
              <w:t>44 of 2000</w:t>
            </w:r>
          </w:p>
        </w:tc>
        <w:tc>
          <w:tcPr>
            <w:tcW w:w="1134" w:type="dxa"/>
          </w:tcPr>
          <w:p>
            <w:pPr>
              <w:pStyle w:val="nTable"/>
              <w:spacing w:after="60"/>
              <w:rPr>
                <w:sz w:val="19"/>
              </w:rPr>
            </w:pPr>
            <w:r>
              <w:rPr>
                <w:sz w:val="19"/>
              </w:rPr>
              <w:t>17 Nov 2000</w:t>
            </w:r>
          </w:p>
        </w:tc>
        <w:tc>
          <w:tcPr>
            <w:tcW w:w="2552" w:type="dxa"/>
          </w:tcPr>
          <w:p>
            <w:pPr>
              <w:pStyle w:val="nTable"/>
              <w:spacing w:after="60"/>
              <w:rPr>
                <w:sz w:val="19"/>
              </w:rPr>
            </w:pPr>
            <w:r>
              <w:rPr>
                <w:sz w:val="19"/>
              </w:rPr>
              <w:t>Act other than s. 1, 2 and 4(2)(b): 5 Oct 1999 (see s. 2(1));</w:t>
            </w:r>
            <w:r>
              <w:rPr>
                <w:sz w:val="19"/>
              </w:rPr>
              <w:br/>
              <w:t>s. 1, 2 and 4(2)(b): 17 Nov 2000 (see s. 2(2))</w:t>
            </w:r>
          </w:p>
        </w:tc>
      </w:tr>
      <w:tr>
        <w:trPr>
          <w:gridAfter w:val="1"/>
          <w:wAfter w:w="19" w:type="dxa"/>
          <w:cantSplit/>
        </w:trPr>
        <w:tc>
          <w:tcPr>
            <w:tcW w:w="2268" w:type="dxa"/>
          </w:tcPr>
          <w:p>
            <w:pPr>
              <w:pStyle w:val="nTable"/>
              <w:spacing w:after="60"/>
              <w:rPr>
                <w:i/>
                <w:sz w:val="19"/>
              </w:rPr>
            </w:pPr>
            <w:r>
              <w:rPr>
                <w:i/>
                <w:sz w:val="19"/>
              </w:rPr>
              <w:t>Corporations (Consequential Amendments) Act 2001</w:t>
            </w:r>
            <w:r>
              <w:rPr>
                <w:sz w:val="19"/>
              </w:rPr>
              <w:t xml:space="preserve"> Pt. 57</w:t>
            </w:r>
          </w:p>
        </w:tc>
        <w:tc>
          <w:tcPr>
            <w:tcW w:w="1134" w:type="dxa"/>
          </w:tcPr>
          <w:p>
            <w:pPr>
              <w:pStyle w:val="nTable"/>
              <w:spacing w:after="60"/>
              <w:rPr>
                <w:sz w:val="19"/>
              </w:rPr>
            </w:pPr>
            <w:r>
              <w:rPr>
                <w:sz w:val="19"/>
              </w:rPr>
              <w:t>10 of 2001</w:t>
            </w:r>
          </w:p>
        </w:tc>
        <w:tc>
          <w:tcPr>
            <w:tcW w:w="1134" w:type="dxa"/>
          </w:tcPr>
          <w:p>
            <w:pPr>
              <w:pStyle w:val="nTable"/>
              <w:spacing w:after="60"/>
              <w:rPr>
                <w:sz w:val="19"/>
              </w:rPr>
            </w:pPr>
            <w:r>
              <w:rPr>
                <w:sz w:val="19"/>
              </w:rPr>
              <w:t>28 Jun 2001</w:t>
            </w:r>
          </w:p>
        </w:tc>
        <w:tc>
          <w:tcPr>
            <w:tcW w:w="2552" w:type="dxa"/>
          </w:tcPr>
          <w:p>
            <w:pPr>
              <w:pStyle w:val="nTable"/>
              <w:spacing w:after="6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19" w:type="dxa"/>
          <w:cantSplit/>
        </w:trPr>
        <w:tc>
          <w:tcPr>
            <w:tcW w:w="7088" w:type="dxa"/>
            <w:gridSpan w:val="4"/>
          </w:tcPr>
          <w:p>
            <w:pPr>
              <w:pStyle w:val="nTable"/>
              <w:spacing w:after="60"/>
              <w:rPr>
                <w:sz w:val="19"/>
              </w:rPr>
            </w:pPr>
            <w:r>
              <w:rPr>
                <w:b/>
                <w:sz w:val="19"/>
              </w:rPr>
              <w:t xml:space="preserve">Reprint of the </w:t>
            </w:r>
            <w:r>
              <w:rPr>
                <w:b/>
                <w:i/>
                <w:sz w:val="19"/>
              </w:rPr>
              <w:t>Workers’ Compensation and Rehabilitation Act 1981</w:t>
            </w:r>
            <w:r>
              <w:rPr>
                <w:b/>
                <w:sz w:val="19"/>
              </w:rPr>
              <w:t xml:space="preserve"> as at 14 Sep 2001</w:t>
            </w:r>
            <w:r>
              <w:rPr>
                <w:sz w:val="19"/>
              </w:rPr>
              <w:t xml:space="preserve"> (includes amendments listed above)</w:t>
            </w:r>
          </w:p>
        </w:tc>
      </w:tr>
      <w:tr>
        <w:trPr>
          <w:gridAfter w:val="1"/>
          <w:wAfter w:w="19" w:type="dxa"/>
          <w:cantSplit/>
        </w:trPr>
        <w:tc>
          <w:tcPr>
            <w:tcW w:w="2268" w:type="dxa"/>
          </w:tcPr>
          <w:p>
            <w:pPr>
              <w:pStyle w:val="nTable"/>
              <w:spacing w:after="60"/>
              <w:rPr>
                <w:sz w:val="19"/>
              </w:rPr>
            </w:pPr>
            <w:r>
              <w:rPr>
                <w:i/>
                <w:sz w:val="19"/>
              </w:rPr>
              <w:t>Acts Amendment (Equality of Status) Act 2003</w:t>
            </w:r>
            <w:r>
              <w:rPr>
                <w:sz w:val="19"/>
              </w:rPr>
              <w:t xml:space="preserve"> Pt. 63</w:t>
            </w:r>
          </w:p>
        </w:tc>
        <w:tc>
          <w:tcPr>
            <w:tcW w:w="1134" w:type="dxa"/>
          </w:tcPr>
          <w:p>
            <w:pPr>
              <w:pStyle w:val="nTable"/>
              <w:spacing w:after="60"/>
              <w:rPr>
                <w:sz w:val="19"/>
              </w:rPr>
            </w:pPr>
            <w:r>
              <w:rPr>
                <w:sz w:val="19"/>
              </w:rPr>
              <w:t>28 of 2003</w:t>
            </w:r>
          </w:p>
        </w:tc>
        <w:tc>
          <w:tcPr>
            <w:tcW w:w="1134" w:type="dxa"/>
          </w:tcPr>
          <w:p>
            <w:pPr>
              <w:pStyle w:val="nTable"/>
              <w:spacing w:after="60"/>
              <w:rPr>
                <w:sz w:val="19"/>
              </w:rPr>
            </w:pPr>
            <w:r>
              <w:rPr>
                <w:sz w:val="19"/>
              </w:rPr>
              <w:t>22 May 2003</w:t>
            </w:r>
          </w:p>
        </w:tc>
        <w:tc>
          <w:tcPr>
            <w:tcW w:w="2552" w:type="dxa"/>
          </w:tcPr>
          <w:p>
            <w:pPr>
              <w:pStyle w:val="nTable"/>
              <w:spacing w:after="60"/>
              <w:rPr>
                <w:sz w:val="19"/>
              </w:rPr>
            </w:pPr>
            <w:r>
              <w:rPr>
                <w:sz w:val="19"/>
              </w:rPr>
              <w:t xml:space="preserve">1 Jul 2003 (see s. 2 and </w:t>
            </w:r>
            <w:r>
              <w:rPr>
                <w:i/>
                <w:sz w:val="19"/>
              </w:rPr>
              <w:t xml:space="preserve">Gazette </w:t>
            </w:r>
            <w:r>
              <w:rPr>
                <w:sz w:val="19"/>
              </w:rPr>
              <w:t>30 Jun 2003 p. 2579)</w:t>
            </w:r>
          </w:p>
        </w:tc>
      </w:tr>
      <w:tr>
        <w:trPr>
          <w:gridAfter w:val="1"/>
          <w:wAfter w:w="19" w:type="dxa"/>
          <w:cantSplit/>
        </w:trPr>
        <w:tc>
          <w:tcPr>
            <w:tcW w:w="2268" w:type="dxa"/>
          </w:tcPr>
          <w:p>
            <w:pPr>
              <w:pStyle w:val="nTable"/>
              <w:spacing w:after="60"/>
              <w:rPr>
                <w:i/>
                <w:sz w:val="19"/>
              </w:rPr>
            </w:pPr>
            <w:r>
              <w:rPr>
                <w:i/>
                <w:sz w:val="19"/>
              </w:rPr>
              <w:t>Racing and Gambling Legislation Amendment and Repeal Act 2003</w:t>
            </w:r>
            <w:r>
              <w:rPr>
                <w:sz w:val="19"/>
              </w:rPr>
              <w:t xml:space="preserve"> Pt. 15</w:t>
            </w:r>
            <w:r>
              <w:rPr>
                <w:sz w:val="19"/>
                <w:vertAlign w:val="superscript"/>
              </w:rPr>
              <w:t> 40</w:t>
            </w:r>
          </w:p>
        </w:tc>
        <w:tc>
          <w:tcPr>
            <w:tcW w:w="1134" w:type="dxa"/>
          </w:tcPr>
          <w:p>
            <w:pPr>
              <w:pStyle w:val="nTable"/>
              <w:spacing w:after="60"/>
              <w:rPr>
                <w:sz w:val="19"/>
              </w:rPr>
            </w:pPr>
            <w:r>
              <w:rPr>
                <w:sz w:val="19"/>
              </w:rPr>
              <w:t>35 of 2003</w:t>
            </w:r>
          </w:p>
        </w:tc>
        <w:tc>
          <w:tcPr>
            <w:tcW w:w="1134" w:type="dxa"/>
          </w:tcPr>
          <w:p>
            <w:pPr>
              <w:pStyle w:val="nTable"/>
              <w:spacing w:after="60"/>
              <w:rPr>
                <w:sz w:val="19"/>
              </w:rPr>
            </w:pPr>
            <w:r>
              <w:rPr>
                <w:sz w:val="19"/>
              </w:rPr>
              <w:t>26 Jun 2003</w:t>
            </w:r>
          </w:p>
        </w:tc>
        <w:tc>
          <w:tcPr>
            <w:tcW w:w="2552" w:type="dxa"/>
          </w:tcPr>
          <w:p>
            <w:pPr>
              <w:pStyle w:val="nTable"/>
              <w:spacing w:after="60"/>
              <w:rPr>
                <w:sz w:val="19"/>
              </w:rPr>
            </w:pPr>
            <w:r>
              <w:rPr>
                <w:sz w:val="19"/>
              </w:rPr>
              <w:t xml:space="preserve">1 Aug 2003 (see s. 2 and </w:t>
            </w:r>
            <w:r>
              <w:rPr>
                <w:i/>
                <w:sz w:val="19"/>
              </w:rPr>
              <w:t>Gazette</w:t>
            </w:r>
            <w:r>
              <w:rPr>
                <w:sz w:val="19"/>
              </w:rPr>
              <w:t xml:space="preserve"> 29 Jul 2003 p. 3259)</w:t>
            </w:r>
          </w:p>
        </w:tc>
      </w:tr>
      <w:tr>
        <w:trPr>
          <w:gridAfter w:val="1"/>
          <w:wAfter w:w="19" w:type="dxa"/>
          <w:cantSplit/>
        </w:trPr>
        <w:tc>
          <w:tcPr>
            <w:tcW w:w="2268" w:type="dxa"/>
          </w:tcPr>
          <w:p>
            <w:pPr>
              <w:pStyle w:val="nTable"/>
              <w:spacing w:after="60"/>
              <w:rPr>
                <w:sz w:val="19"/>
                <w:vertAlign w:val="superscript"/>
              </w:rPr>
            </w:pPr>
            <w:r>
              <w:rPr>
                <w:i/>
                <w:sz w:val="19"/>
              </w:rPr>
              <w:t>Acts Amendment and Repeal (Courts and Legal Practice) Act 2003</w:t>
            </w:r>
            <w:r>
              <w:rPr>
                <w:sz w:val="19"/>
              </w:rPr>
              <w:t xml:space="preserve"> s. 72 and 96 </w:t>
            </w:r>
            <w:r>
              <w:rPr>
                <w:sz w:val="19"/>
                <w:vertAlign w:val="superscript"/>
              </w:rPr>
              <w:t>41</w:t>
            </w:r>
          </w:p>
        </w:tc>
        <w:tc>
          <w:tcPr>
            <w:tcW w:w="1134" w:type="dxa"/>
          </w:tcPr>
          <w:p>
            <w:pPr>
              <w:pStyle w:val="nTable"/>
              <w:spacing w:after="60"/>
              <w:rPr>
                <w:sz w:val="19"/>
              </w:rPr>
            </w:pPr>
            <w:r>
              <w:rPr>
                <w:sz w:val="19"/>
              </w:rPr>
              <w:t>65 of 2003</w:t>
            </w:r>
          </w:p>
        </w:tc>
        <w:tc>
          <w:tcPr>
            <w:tcW w:w="1134" w:type="dxa"/>
          </w:tcPr>
          <w:p>
            <w:pPr>
              <w:pStyle w:val="nTable"/>
              <w:spacing w:after="60"/>
              <w:rPr>
                <w:sz w:val="19"/>
              </w:rPr>
            </w:pPr>
            <w:r>
              <w:rPr>
                <w:sz w:val="19"/>
              </w:rPr>
              <w:t>4 Dec 2003</w:t>
            </w:r>
          </w:p>
        </w:tc>
        <w:tc>
          <w:tcPr>
            <w:tcW w:w="2552" w:type="dxa"/>
          </w:tcPr>
          <w:p>
            <w:pPr>
              <w:pStyle w:val="nTable"/>
              <w:spacing w:after="60"/>
              <w:rPr>
                <w:sz w:val="19"/>
              </w:rPr>
            </w:pPr>
            <w:r>
              <w:rPr>
                <w:sz w:val="19"/>
              </w:rPr>
              <w:t xml:space="preserve">1 Jan 2004 (see s. 2 and </w:t>
            </w:r>
            <w:r>
              <w:rPr>
                <w:i/>
                <w:sz w:val="19"/>
              </w:rPr>
              <w:t>Gazette</w:t>
            </w:r>
            <w:r>
              <w:rPr>
                <w:sz w:val="19"/>
              </w:rPr>
              <w:t xml:space="preserve"> 30 Dec 2003 p. 5722)</w:t>
            </w:r>
          </w:p>
        </w:tc>
      </w:tr>
      <w:tr>
        <w:trPr>
          <w:gridAfter w:val="1"/>
          <w:wAfter w:w="19" w:type="dxa"/>
          <w:cantSplit/>
        </w:trPr>
        <w:tc>
          <w:tcPr>
            <w:tcW w:w="2268" w:type="dxa"/>
          </w:tcPr>
          <w:p>
            <w:pPr>
              <w:pStyle w:val="nTable"/>
              <w:spacing w:after="60"/>
              <w:rPr>
                <w:sz w:val="19"/>
              </w:rPr>
            </w:pPr>
            <w:r>
              <w:rPr>
                <w:i/>
                <w:sz w:val="19"/>
              </w:rPr>
              <w:t>Statutes (Repeals and Minor Amendments) Act 2003</w:t>
            </w:r>
            <w:r>
              <w:rPr>
                <w:sz w:val="19"/>
              </w:rPr>
              <w:t xml:space="preserve"> s. 134</w:t>
            </w:r>
          </w:p>
        </w:tc>
        <w:tc>
          <w:tcPr>
            <w:tcW w:w="1134" w:type="dxa"/>
          </w:tcPr>
          <w:p>
            <w:pPr>
              <w:pStyle w:val="nTable"/>
              <w:spacing w:after="60"/>
              <w:rPr>
                <w:sz w:val="19"/>
              </w:rPr>
            </w:pPr>
            <w:r>
              <w:rPr>
                <w:sz w:val="19"/>
              </w:rPr>
              <w:t>74 of 2003</w:t>
            </w:r>
          </w:p>
        </w:tc>
        <w:tc>
          <w:tcPr>
            <w:tcW w:w="1134" w:type="dxa"/>
          </w:tcPr>
          <w:p>
            <w:pPr>
              <w:pStyle w:val="nTable"/>
              <w:spacing w:after="60"/>
              <w:rPr>
                <w:sz w:val="19"/>
              </w:rPr>
            </w:pPr>
            <w:r>
              <w:rPr>
                <w:sz w:val="19"/>
              </w:rPr>
              <w:t>15 Dec 2003</w:t>
            </w:r>
          </w:p>
        </w:tc>
        <w:tc>
          <w:tcPr>
            <w:tcW w:w="2552" w:type="dxa"/>
          </w:tcPr>
          <w:p>
            <w:pPr>
              <w:pStyle w:val="nTable"/>
              <w:spacing w:after="60"/>
              <w:rPr>
                <w:sz w:val="19"/>
              </w:rPr>
            </w:pPr>
            <w:r>
              <w:rPr>
                <w:sz w:val="19"/>
              </w:rPr>
              <w:t>15 Dec 2003 (see s. 2)</w:t>
            </w:r>
          </w:p>
        </w:tc>
      </w:tr>
      <w:tr>
        <w:trPr>
          <w:gridAfter w:val="1"/>
          <w:wAfter w:w="19" w:type="dxa"/>
          <w:cantSplit/>
        </w:trPr>
        <w:tc>
          <w:tcPr>
            <w:tcW w:w="2268" w:type="dxa"/>
          </w:tcPr>
          <w:p>
            <w:pPr>
              <w:pStyle w:val="nTable"/>
              <w:spacing w:after="60"/>
              <w:rPr>
                <w:sz w:val="19"/>
              </w:rPr>
            </w:pPr>
            <w:r>
              <w:rPr>
                <w:i/>
                <w:sz w:val="19"/>
              </w:rPr>
              <w:t>Workers’ Compensation (Common Law Proceedings) Act 2004</w:t>
            </w:r>
            <w:r>
              <w:rPr>
                <w:sz w:val="19"/>
              </w:rPr>
              <w:t xml:space="preserve"> s. 8</w:t>
            </w:r>
            <w:r>
              <w:rPr>
                <w:sz w:val="19"/>
              </w:rPr>
              <w:noBreakHyphen/>
              <w:t xml:space="preserve">11 </w:t>
            </w:r>
            <w:r>
              <w:rPr>
                <w:sz w:val="19"/>
                <w:vertAlign w:val="superscript"/>
              </w:rPr>
              <w:t>9</w:t>
            </w:r>
          </w:p>
        </w:tc>
        <w:tc>
          <w:tcPr>
            <w:tcW w:w="1134" w:type="dxa"/>
          </w:tcPr>
          <w:p>
            <w:pPr>
              <w:pStyle w:val="nTable"/>
              <w:spacing w:after="60"/>
              <w:rPr>
                <w:sz w:val="19"/>
              </w:rPr>
            </w:pPr>
            <w:r>
              <w:rPr>
                <w:sz w:val="19"/>
              </w:rPr>
              <w:t>35 of 2004</w:t>
            </w:r>
          </w:p>
        </w:tc>
        <w:tc>
          <w:tcPr>
            <w:tcW w:w="1134" w:type="dxa"/>
          </w:tcPr>
          <w:p>
            <w:pPr>
              <w:pStyle w:val="nTable"/>
              <w:spacing w:after="60"/>
              <w:rPr>
                <w:sz w:val="19"/>
              </w:rPr>
            </w:pPr>
            <w:r>
              <w:rPr>
                <w:sz w:val="19"/>
              </w:rPr>
              <w:t>25 Oct 2004</w:t>
            </w:r>
          </w:p>
        </w:tc>
        <w:tc>
          <w:tcPr>
            <w:tcW w:w="2552" w:type="dxa"/>
          </w:tcPr>
          <w:p>
            <w:pPr>
              <w:pStyle w:val="nTable"/>
              <w:spacing w:after="60"/>
              <w:rPr>
                <w:sz w:val="19"/>
              </w:rPr>
            </w:pPr>
            <w:r>
              <w:rPr>
                <w:sz w:val="19"/>
              </w:rPr>
              <w:t>s. 5(1) and (2): 5 Oct 1999 (see s. 2(2));</w:t>
            </w:r>
            <w:r>
              <w:rPr>
                <w:sz w:val="19"/>
              </w:rPr>
              <w:br/>
              <w:t>balance: 25 Oct 2004 (see s. 2(1))</w:t>
            </w:r>
          </w:p>
        </w:tc>
      </w:tr>
      <w:tr>
        <w:trPr>
          <w:gridAfter w:val="1"/>
          <w:wAfter w:w="19" w:type="dxa"/>
          <w:cantSplit/>
        </w:trPr>
        <w:tc>
          <w:tcPr>
            <w:tcW w:w="2268" w:type="dxa"/>
          </w:tcPr>
          <w:p>
            <w:pPr>
              <w:pStyle w:val="nTable"/>
              <w:spacing w:after="60"/>
              <w:rPr>
                <w:sz w:val="19"/>
              </w:rPr>
            </w:pPr>
            <w:r>
              <w:rPr>
                <w:i/>
                <w:sz w:val="19"/>
              </w:rPr>
              <w:t>Workers’ Compensation and Rehabilitation Amendment (Cross Border) Act 2004</w:t>
            </w:r>
          </w:p>
        </w:tc>
        <w:tc>
          <w:tcPr>
            <w:tcW w:w="1134" w:type="dxa"/>
          </w:tcPr>
          <w:p>
            <w:pPr>
              <w:pStyle w:val="nTable"/>
              <w:spacing w:after="60"/>
              <w:rPr>
                <w:sz w:val="19"/>
              </w:rPr>
            </w:pPr>
            <w:r>
              <w:rPr>
                <w:sz w:val="19"/>
              </w:rPr>
              <w:t>36 of 2004</w:t>
            </w:r>
          </w:p>
        </w:tc>
        <w:tc>
          <w:tcPr>
            <w:tcW w:w="1134" w:type="dxa"/>
          </w:tcPr>
          <w:p>
            <w:pPr>
              <w:pStyle w:val="nTable"/>
              <w:spacing w:after="60"/>
              <w:rPr>
                <w:sz w:val="19"/>
              </w:rPr>
            </w:pPr>
            <w:r>
              <w:rPr>
                <w:sz w:val="19"/>
              </w:rPr>
              <w:t>28 Oct 2004</w:t>
            </w:r>
          </w:p>
        </w:tc>
        <w:tc>
          <w:tcPr>
            <w:tcW w:w="2552" w:type="dxa"/>
          </w:tcPr>
          <w:p>
            <w:pPr>
              <w:pStyle w:val="nTable"/>
              <w:spacing w:after="60"/>
              <w:rPr>
                <w:sz w:val="19"/>
              </w:rPr>
            </w:pPr>
            <w:r>
              <w:rPr>
                <w:sz w:val="20"/>
              </w:rPr>
              <w:t xml:space="preserve">Act other than Pt. 3: 22 Dec 2004 (see s. 2 and </w:t>
            </w:r>
            <w:r>
              <w:rPr>
                <w:i/>
                <w:sz w:val="20"/>
              </w:rPr>
              <w:t>Gazette</w:t>
            </w:r>
            <w:r>
              <w:rPr>
                <w:sz w:val="20"/>
              </w:rPr>
              <w:t xml:space="preserve"> 21 Dec 2004 p. 6143);</w:t>
            </w:r>
            <w:r>
              <w:rPr>
                <w:sz w:val="20"/>
              </w:rPr>
              <w:br/>
              <w:t xml:space="preserve">Pt. 3: 14 Nov 2005 (see s. 2(2) and </w:t>
            </w:r>
            <w:r>
              <w:rPr>
                <w:i/>
                <w:sz w:val="20"/>
              </w:rPr>
              <w:t>Gazette</w:t>
            </w:r>
            <w:r>
              <w:rPr>
                <w:sz w:val="20"/>
              </w:rPr>
              <w:t xml:space="preserve"> 1 Nov 2005 p. 4975)</w:t>
            </w:r>
          </w:p>
        </w:tc>
      </w:tr>
      <w:tr>
        <w:trPr>
          <w:gridAfter w:val="1"/>
          <w:wAfter w:w="19" w:type="dxa"/>
          <w:cantSplit/>
        </w:trPr>
        <w:tc>
          <w:tcPr>
            <w:tcW w:w="2268" w:type="dxa"/>
          </w:tcPr>
          <w:p>
            <w:pPr>
              <w:pStyle w:val="nTable"/>
              <w:spacing w:after="60"/>
              <w:rPr>
                <w:i/>
                <w:sz w:val="19"/>
              </w:rPr>
            </w:pPr>
            <w:r>
              <w:rPr>
                <w:i/>
                <w:snapToGrid w:val="0"/>
                <w:sz w:val="19"/>
              </w:rPr>
              <w:t>Workers’ Compensation Reform Act 2004</w:t>
            </w:r>
            <w:r>
              <w:rPr>
                <w:snapToGrid w:val="0"/>
                <w:sz w:val="19"/>
              </w:rPr>
              <w:t xml:space="preserve"> </w:t>
            </w:r>
            <w:r>
              <w:rPr>
                <w:snapToGrid w:val="0"/>
                <w:sz w:val="19"/>
                <w:vertAlign w:val="superscript"/>
              </w:rPr>
              <w:t>43, 48</w:t>
            </w:r>
          </w:p>
        </w:tc>
        <w:tc>
          <w:tcPr>
            <w:tcW w:w="1134" w:type="dxa"/>
          </w:tcPr>
          <w:p>
            <w:pPr>
              <w:pStyle w:val="nTable"/>
              <w:spacing w:after="60"/>
              <w:rPr>
                <w:sz w:val="19"/>
              </w:rPr>
            </w:pPr>
            <w:r>
              <w:rPr>
                <w:sz w:val="19"/>
              </w:rPr>
              <w:t>42 of 2004</w:t>
            </w:r>
            <w:r>
              <w:rPr>
                <w:sz w:val="19"/>
              </w:rPr>
              <w:br/>
              <w:t>(as amended by No. 16 of 2005 s. 4-7)</w:t>
            </w:r>
          </w:p>
        </w:tc>
        <w:tc>
          <w:tcPr>
            <w:tcW w:w="1134" w:type="dxa"/>
          </w:tcPr>
          <w:p>
            <w:pPr>
              <w:pStyle w:val="nTable"/>
              <w:spacing w:after="60"/>
              <w:rPr>
                <w:sz w:val="19"/>
              </w:rPr>
            </w:pPr>
            <w:r>
              <w:rPr>
                <w:sz w:val="19"/>
              </w:rPr>
              <w:t>9 Nov 2004</w:t>
            </w:r>
          </w:p>
        </w:tc>
        <w:tc>
          <w:tcPr>
            <w:tcW w:w="2552" w:type="dxa"/>
          </w:tcPr>
          <w:p>
            <w:pPr>
              <w:pStyle w:val="nTable"/>
              <w:spacing w:after="60"/>
              <w:rPr>
                <w:sz w:val="19"/>
              </w:rPr>
            </w:pPr>
            <w:r>
              <w:rPr>
                <w:sz w:val="19"/>
              </w:rPr>
              <w:t xml:space="preserve">s. 3, 4(b), 5, 8(1) in so far as it deletes the definitions of “Commission”, “Committee”, “Executive Director”, and “the Chairman of the Commission”, s. 8(2) in so far as it inserts the definitions of “chief executive officer”, “the Chairman of WorkCover WA”, and “WorkCover WA”, </w:t>
            </w:r>
            <w:r>
              <w:rPr>
                <w:sz w:val="19"/>
              </w:rPr>
              <w:br/>
              <w:t>s. 8(3)(a), (b), (d), (e) and (i), 9, 19, 23</w:t>
            </w:r>
            <w:r>
              <w:rPr>
                <w:sz w:val="19"/>
              </w:rPr>
              <w:noBreakHyphen/>
              <w:t>26, 28</w:t>
            </w:r>
            <w:r>
              <w:rPr>
                <w:sz w:val="19"/>
              </w:rPr>
              <w:noBreakHyphen/>
              <w:t>35, 38</w:t>
            </w:r>
            <w:r>
              <w:rPr>
                <w:sz w:val="19"/>
              </w:rPr>
              <w:noBreakHyphen/>
              <w:t>39, 40(a), 55(3)(b), 57(a) and (b), 64, 65(1), 80</w:t>
            </w:r>
            <w:r>
              <w:rPr>
                <w:sz w:val="19"/>
              </w:rPr>
              <w:noBreakHyphen/>
              <w:t>86, 87(8), 88(1)</w:t>
            </w:r>
            <w:r>
              <w:rPr>
                <w:sz w:val="19"/>
              </w:rPr>
              <w:noBreakHyphen/>
              <w:t>(4), 89</w:t>
            </w:r>
            <w:r>
              <w:rPr>
                <w:sz w:val="19"/>
              </w:rPr>
              <w:noBreakHyphen/>
              <w:t>91, 93(a), (c), and (d), 94</w:t>
            </w:r>
            <w:r>
              <w:rPr>
                <w:sz w:val="19"/>
              </w:rPr>
              <w:noBreakHyphen/>
              <w:t>95, 97, 98(1), (2) and (3)(a), 99</w:t>
            </w:r>
            <w:r>
              <w:rPr>
                <w:sz w:val="19"/>
              </w:rPr>
              <w:noBreakHyphen/>
              <w:t>100, 101(1), 102, 111</w:t>
            </w:r>
            <w:r>
              <w:rPr>
                <w:sz w:val="19"/>
              </w:rPr>
              <w:noBreakHyphen/>
              <w:t>113, 115</w:t>
            </w:r>
            <w:r>
              <w:rPr>
                <w:sz w:val="19"/>
              </w:rPr>
              <w:noBreakHyphen/>
              <w:t>117, 122, 123(1)</w:t>
            </w:r>
            <w:r>
              <w:rPr>
                <w:sz w:val="19"/>
              </w:rPr>
              <w:noBreakHyphen/>
              <w:t>(5), 124, 125(1), 126(1), (2), (3) and (5), 127, 131, 133, 135, 137</w:t>
            </w:r>
            <w:r>
              <w:rPr>
                <w:sz w:val="19"/>
              </w:rPr>
              <w:noBreakHyphen/>
              <w:t>138, 140, 141(4)(a), (5)(a), (8)-(14), (15)(a), (c) and (d), and (21), 143(2), 150</w:t>
            </w:r>
            <w:r>
              <w:rPr>
                <w:sz w:val="19"/>
              </w:rPr>
              <w:noBreakHyphen/>
              <w:t xml:space="preserve">153 and Pt. 4 (other than Div. 3): 4 Jan 2005 (see s. 2 and </w:t>
            </w:r>
            <w:r>
              <w:rPr>
                <w:i/>
                <w:sz w:val="19"/>
              </w:rPr>
              <w:t>Gazette</w:t>
            </w:r>
            <w:r>
              <w:rPr>
                <w:sz w:val="19"/>
              </w:rPr>
              <w:t xml:space="preserve"> 31 Dec 2004 p. 7131);</w:t>
            </w:r>
          </w:p>
        </w:tc>
      </w:tr>
      <w:tr>
        <w:trPr>
          <w:gridAfter w:val="1"/>
          <w:wAfter w:w="19" w:type="dxa"/>
          <w:cantSplit/>
        </w:trPr>
        <w:tc>
          <w:tcPr>
            <w:tcW w:w="2268" w:type="dxa"/>
          </w:tcPr>
          <w:p>
            <w:pPr>
              <w:pStyle w:val="nTable"/>
              <w:spacing w:after="60"/>
              <w:rPr>
                <w:i/>
                <w:sz w:val="19"/>
              </w:rPr>
            </w:pPr>
          </w:p>
        </w:tc>
        <w:tc>
          <w:tcPr>
            <w:tcW w:w="1134" w:type="dxa"/>
          </w:tcPr>
          <w:p>
            <w:pPr>
              <w:pStyle w:val="nTable"/>
              <w:spacing w:after="60"/>
              <w:rPr>
                <w:sz w:val="19"/>
              </w:rPr>
            </w:pPr>
          </w:p>
        </w:tc>
        <w:tc>
          <w:tcPr>
            <w:tcW w:w="1134" w:type="dxa"/>
          </w:tcPr>
          <w:p>
            <w:pPr>
              <w:pStyle w:val="nTable"/>
              <w:spacing w:after="60"/>
              <w:rPr>
                <w:sz w:val="19"/>
              </w:rPr>
            </w:pPr>
          </w:p>
        </w:tc>
        <w:tc>
          <w:tcPr>
            <w:tcW w:w="2552" w:type="dxa"/>
          </w:tcPr>
          <w:p>
            <w:pPr>
              <w:pStyle w:val="nTable"/>
              <w:spacing w:after="60"/>
              <w:rPr>
                <w:sz w:val="19"/>
              </w:rPr>
            </w:pPr>
            <w:r>
              <w:rPr>
                <w:sz w:val="19"/>
              </w:rPr>
              <w:t>s. 4(a) and (c), 6 and 7, 8(1) other than the definitions of “Commission”, “Committee”, “Executive Director”, and “the Chairman of the Commission”, s. 8(2) other than the definitions of “chief executive officer”, “the Chairman of WorkCover WA”, and “WorkCover WA”, s. 8(3)(c), (f)</w:t>
            </w:r>
            <w:r>
              <w:rPr>
                <w:sz w:val="19"/>
              </w:rPr>
              <w:noBreakHyphen/>
              <w:t>(h) and (4)</w:t>
            </w:r>
            <w:r>
              <w:rPr>
                <w:sz w:val="19"/>
              </w:rPr>
              <w:noBreakHyphen/>
              <w:t>(5), 11</w:t>
            </w:r>
            <w:r>
              <w:rPr>
                <w:sz w:val="19"/>
              </w:rPr>
              <w:noBreakHyphen/>
              <w:t>18, 20</w:t>
            </w:r>
            <w:r>
              <w:rPr>
                <w:sz w:val="19"/>
              </w:rPr>
              <w:noBreakHyphen/>
              <w:t>22, 27, 36, 37, 40(b), 41</w:t>
            </w:r>
            <w:r>
              <w:rPr>
                <w:sz w:val="19"/>
              </w:rPr>
              <w:noBreakHyphen/>
              <w:t>54, 55(1), (2), (3)(a) and (4), 56, 57(c)</w:t>
            </w:r>
            <w:r>
              <w:rPr>
                <w:sz w:val="19"/>
              </w:rPr>
              <w:noBreakHyphen/>
              <w:t>(e), 58</w:t>
            </w:r>
            <w:r>
              <w:rPr>
                <w:sz w:val="19"/>
              </w:rPr>
              <w:noBreakHyphen/>
              <w:t>63, 65(2), 66</w:t>
            </w:r>
            <w:r>
              <w:rPr>
                <w:sz w:val="19"/>
              </w:rPr>
              <w:noBreakHyphen/>
              <w:t>79, 87(1)</w:t>
            </w:r>
            <w:r>
              <w:rPr>
                <w:sz w:val="19"/>
              </w:rPr>
              <w:noBreakHyphen/>
              <w:t>(7), 88(5), 92, 93(b), 96, 98(3)(b) and (c), 101(2), (3) and (4)(b), 103</w:t>
            </w:r>
            <w:r>
              <w:rPr>
                <w:sz w:val="19"/>
              </w:rPr>
              <w:noBreakHyphen/>
              <w:t>110, 114, 118, 119, 120(2) and (3), 121, 123(6), 125(2), 126(4), 128</w:t>
            </w:r>
            <w:r>
              <w:rPr>
                <w:sz w:val="19"/>
              </w:rPr>
              <w:noBreakHyphen/>
              <w:t>130, 132, 134, 136, 139, 141(1)</w:t>
            </w:r>
            <w:r>
              <w:rPr>
                <w:sz w:val="19"/>
              </w:rPr>
              <w:noBreakHyphen/>
              <w:t>(3), (4)(b), (5)(b), (6), (7), (15)(b) and (e), (16)</w:t>
            </w:r>
            <w:r>
              <w:rPr>
                <w:sz w:val="19"/>
              </w:rPr>
              <w:noBreakHyphen/>
              <w:t>(20), (22)</w:t>
            </w:r>
            <w:r>
              <w:rPr>
                <w:sz w:val="19"/>
              </w:rPr>
              <w:noBreakHyphen/>
              <w:t>(25), 142, 143(1), 144</w:t>
            </w:r>
            <w:r>
              <w:rPr>
                <w:sz w:val="19"/>
              </w:rPr>
              <w:noBreakHyphen/>
              <w:t>149, 154 and 182</w:t>
            </w:r>
            <w:r>
              <w:rPr>
                <w:sz w:val="19"/>
              </w:rPr>
              <w:noBreakHyphen/>
              <w:t xml:space="preserve">188: 14 Nov 2005 (see s. 2 and </w:t>
            </w:r>
            <w:r>
              <w:rPr>
                <w:i/>
                <w:sz w:val="19"/>
              </w:rPr>
              <w:t>Gazette</w:t>
            </w:r>
            <w:r>
              <w:rPr>
                <w:sz w:val="19"/>
              </w:rPr>
              <w:t xml:space="preserve"> 31 Dec 2004 p. 7131 and 17 Jun 2005 p. 2657);</w:t>
            </w:r>
            <w:r>
              <w:rPr>
                <w:sz w:val="19"/>
              </w:rPr>
              <w:br/>
              <w:t xml:space="preserve">Para (b) of proclamation published 31 Dec 2004 p. 7131 revoked (see </w:t>
            </w:r>
            <w:r>
              <w:rPr>
                <w:i/>
                <w:sz w:val="19"/>
              </w:rPr>
              <w:t xml:space="preserve">Gazette </w:t>
            </w:r>
            <w:r>
              <w:rPr>
                <w:sz w:val="19"/>
              </w:rPr>
              <w:t>17 Jun 2005 p. 2657);</w:t>
            </w:r>
            <w:r>
              <w:rPr>
                <w:sz w:val="19"/>
              </w:rPr>
              <w:br/>
              <w:t>s. 10 repealed by No. 16 of 2005 s. 4;</w:t>
            </w:r>
            <w:r>
              <w:rPr>
                <w:sz w:val="19"/>
              </w:rPr>
              <w:br/>
              <w:t>s. 101(4)(a) deleted by No. 16 of 2005 s. 5;</w:t>
            </w:r>
            <w:r>
              <w:rPr>
                <w:sz w:val="19"/>
              </w:rPr>
              <w:br/>
              <w:t>s. 120(1) repealed by No. 16 of 2005 s. 6</w:t>
            </w:r>
          </w:p>
        </w:tc>
      </w:tr>
      <w:tr>
        <w:trPr>
          <w:gridAfter w:val="1"/>
          <w:wAfter w:w="19" w:type="dxa"/>
          <w:cantSplit/>
        </w:trPr>
        <w:tc>
          <w:tcPr>
            <w:tcW w:w="2268" w:type="dxa"/>
          </w:tcPr>
          <w:p>
            <w:pPr>
              <w:pStyle w:val="nTable"/>
              <w:spacing w:after="60"/>
              <w:rPr>
                <w:i/>
                <w:snapToGrid w:val="0"/>
                <w:sz w:val="19"/>
              </w:rPr>
            </w:pPr>
            <w:r>
              <w:rPr>
                <w:i/>
                <w:snapToGrid w:val="0"/>
                <w:sz w:val="19"/>
                <w:lang w:val="en-US"/>
              </w:rPr>
              <w:t>Acts Amendment (Court of Appeal) Act 2004</w:t>
            </w:r>
            <w:r>
              <w:rPr>
                <w:snapToGrid w:val="0"/>
                <w:sz w:val="19"/>
                <w:lang w:val="en-US"/>
              </w:rPr>
              <w:t xml:space="preserve"> s. 37 (Sch. 1 cl. 28) </w:t>
            </w:r>
            <w:r>
              <w:rPr>
                <w:snapToGrid w:val="0"/>
                <w:sz w:val="19"/>
                <w:vertAlign w:val="superscript"/>
                <w:lang w:val="en-US"/>
              </w:rPr>
              <w:t>44</w:t>
            </w:r>
          </w:p>
        </w:tc>
        <w:tc>
          <w:tcPr>
            <w:tcW w:w="1134" w:type="dxa"/>
          </w:tcPr>
          <w:p>
            <w:pPr>
              <w:pStyle w:val="nTable"/>
              <w:spacing w:after="60"/>
              <w:rPr>
                <w:sz w:val="19"/>
              </w:rPr>
            </w:pPr>
            <w:r>
              <w:rPr>
                <w:snapToGrid w:val="0"/>
                <w:sz w:val="19"/>
                <w:lang w:val="en-US"/>
              </w:rPr>
              <w:t>45 of 2004</w:t>
            </w:r>
            <w:r>
              <w:rPr>
                <w:snapToGrid w:val="0"/>
                <w:sz w:val="19"/>
                <w:lang w:val="en-US"/>
              </w:rPr>
              <w:br/>
              <w:t>(as amended by No. 16 of 2005 s. 31)</w:t>
            </w:r>
          </w:p>
        </w:tc>
        <w:tc>
          <w:tcPr>
            <w:tcW w:w="1134" w:type="dxa"/>
          </w:tcPr>
          <w:p>
            <w:pPr>
              <w:pStyle w:val="nTable"/>
              <w:spacing w:after="60"/>
              <w:rPr>
                <w:sz w:val="19"/>
              </w:rPr>
            </w:pPr>
            <w:r>
              <w:rPr>
                <w:sz w:val="19"/>
              </w:rPr>
              <w:t>9 Nov 2004</w:t>
            </w:r>
          </w:p>
        </w:tc>
        <w:tc>
          <w:tcPr>
            <w:tcW w:w="2552" w:type="dxa"/>
          </w:tcPr>
          <w:p>
            <w:pPr>
              <w:pStyle w:val="nTable"/>
              <w:spacing w:after="6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gridAfter w:val="1"/>
          <w:wAfter w:w="19" w:type="dxa"/>
          <w:cantSplit/>
        </w:trPr>
        <w:tc>
          <w:tcPr>
            <w:tcW w:w="2268" w:type="dxa"/>
          </w:tcPr>
          <w:p>
            <w:pPr>
              <w:pStyle w:val="nTable"/>
              <w:spacing w:after="60"/>
              <w:rPr>
                <w:i/>
                <w:snapToGrid w:val="0"/>
                <w:sz w:val="19"/>
                <w:lang w:val="en-US"/>
              </w:rPr>
            </w:pPr>
            <w:r>
              <w:rPr>
                <w:i/>
                <w:sz w:val="19"/>
              </w:rPr>
              <w:t xml:space="preserve">Courts Legislation Amendment and Repeal Act 2004 </w:t>
            </w:r>
            <w:r>
              <w:rPr>
                <w:sz w:val="19"/>
              </w:rPr>
              <w:t>Pt. 19</w:t>
            </w:r>
          </w:p>
        </w:tc>
        <w:tc>
          <w:tcPr>
            <w:tcW w:w="1134" w:type="dxa"/>
          </w:tcPr>
          <w:p>
            <w:pPr>
              <w:pStyle w:val="nTable"/>
              <w:spacing w:after="60"/>
              <w:rPr>
                <w:snapToGrid w:val="0"/>
                <w:sz w:val="19"/>
                <w:lang w:val="en-US"/>
              </w:rPr>
            </w:pPr>
            <w:r>
              <w:rPr>
                <w:sz w:val="19"/>
              </w:rPr>
              <w:t>59 of 2004</w:t>
            </w:r>
          </w:p>
        </w:tc>
        <w:tc>
          <w:tcPr>
            <w:tcW w:w="1134" w:type="dxa"/>
          </w:tcPr>
          <w:p>
            <w:pPr>
              <w:pStyle w:val="nTable"/>
              <w:spacing w:after="60"/>
              <w:rPr>
                <w:sz w:val="19"/>
              </w:rPr>
            </w:pPr>
            <w:r>
              <w:rPr>
                <w:sz w:val="19"/>
              </w:rPr>
              <w:t>23 Nov 2004</w:t>
            </w:r>
          </w:p>
        </w:tc>
        <w:tc>
          <w:tcPr>
            <w:tcW w:w="2552" w:type="dxa"/>
          </w:tcPr>
          <w:p>
            <w:pPr>
              <w:pStyle w:val="nTable"/>
              <w:spacing w:after="60"/>
              <w:rPr>
                <w:snapToGrid w:val="0"/>
                <w:sz w:val="19"/>
                <w:lang w:val="en-US"/>
              </w:rPr>
            </w:pPr>
            <w:r>
              <w:rPr>
                <w:sz w:val="19"/>
              </w:rPr>
              <w:t xml:space="preserve">1 May 2005 (see s. 2 and </w:t>
            </w:r>
            <w:r>
              <w:rPr>
                <w:i/>
                <w:sz w:val="19"/>
              </w:rPr>
              <w:t>Gazette</w:t>
            </w:r>
            <w:r>
              <w:rPr>
                <w:sz w:val="19"/>
              </w:rPr>
              <w:t xml:space="preserve"> 31 Dec 2004 p. 7128)</w:t>
            </w:r>
          </w:p>
        </w:tc>
      </w:tr>
      <w:tr>
        <w:trPr>
          <w:gridAfter w:val="1"/>
          <w:wAfter w:w="19" w:type="dxa"/>
          <w:cantSplit/>
        </w:trPr>
        <w:tc>
          <w:tcPr>
            <w:tcW w:w="2268" w:type="dxa"/>
          </w:tcPr>
          <w:p>
            <w:pPr>
              <w:pStyle w:val="nTable"/>
              <w:spacing w:after="60"/>
              <w:rPr>
                <w:i/>
                <w:sz w:val="19"/>
                <w:vertAlign w:val="superscript"/>
              </w:rPr>
            </w:pPr>
            <w:r>
              <w:rPr>
                <w:i/>
                <w:snapToGrid w:val="0"/>
                <w:sz w:val="19"/>
                <w:lang w:val="en-US"/>
              </w:rPr>
              <w:t>Criminal Procedure and Appeals (Consequential and Other Provisions) Act 2004</w:t>
            </w:r>
            <w:r>
              <w:rPr>
                <w:snapToGrid w:val="0"/>
                <w:sz w:val="19"/>
                <w:lang w:val="en-US"/>
              </w:rPr>
              <w:t xml:space="preserve"> s. 78 and 80 (Sch. 2 cl. 156 and 157) </w:t>
            </w:r>
            <w:r>
              <w:rPr>
                <w:snapToGrid w:val="0"/>
                <w:sz w:val="19"/>
                <w:vertAlign w:val="superscript"/>
                <w:lang w:val="en-US"/>
              </w:rPr>
              <w:t>45</w:t>
            </w:r>
          </w:p>
        </w:tc>
        <w:tc>
          <w:tcPr>
            <w:tcW w:w="1134" w:type="dxa"/>
          </w:tcPr>
          <w:p>
            <w:pPr>
              <w:pStyle w:val="nTable"/>
              <w:spacing w:after="60"/>
              <w:rPr>
                <w:sz w:val="19"/>
              </w:rPr>
            </w:pPr>
            <w:r>
              <w:rPr>
                <w:sz w:val="19"/>
              </w:rPr>
              <w:t>84 of 2004</w:t>
            </w:r>
          </w:p>
        </w:tc>
        <w:tc>
          <w:tcPr>
            <w:tcW w:w="1134" w:type="dxa"/>
          </w:tcPr>
          <w:p>
            <w:pPr>
              <w:pStyle w:val="nTable"/>
              <w:spacing w:after="60"/>
              <w:rPr>
                <w:sz w:val="19"/>
              </w:rPr>
            </w:pPr>
            <w:r>
              <w:rPr>
                <w:sz w:val="19"/>
              </w:rPr>
              <w:t>16 Dec 2004</w:t>
            </w:r>
          </w:p>
        </w:tc>
        <w:tc>
          <w:tcPr>
            <w:tcW w:w="2552" w:type="dxa"/>
          </w:tcPr>
          <w:p>
            <w:pPr>
              <w:pStyle w:val="nTable"/>
              <w:spacing w:after="60"/>
              <w:rPr>
                <w:sz w:val="19"/>
              </w:rPr>
            </w:pPr>
            <w:r>
              <w:rPr>
                <w:sz w:val="19"/>
              </w:rPr>
              <w:t xml:space="preserve">s. 78 and 80 (Sch. 2 cl. 156 and 157 — the amendment to s. 188B(3)): </w:t>
            </w: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19" w:type="dxa"/>
          <w:cantSplit/>
        </w:trPr>
        <w:tc>
          <w:tcPr>
            <w:tcW w:w="7088" w:type="dxa"/>
            <w:gridSpan w:val="4"/>
          </w:tcPr>
          <w:p>
            <w:pPr>
              <w:pStyle w:val="nTable"/>
              <w:spacing w:after="60"/>
              <w:rPr>
                <w:sz w:val="19"/>
              </w:rPr>
            </w:pPr>
            <w:r>
              <w:rPr>
                <w:b/>
                <w:sz w:val="19"/>
              </w:rPr>
              <w:t xml:space="preserve">Reprint 6: The </w:t>
            </w:r>
            <w:r>
              <w:rPr>
                <w:b/>
                <w:i/>
                <w:sz w:val="19"/>
              </w:rPr>
              <w:t>Workers’ Compensation and Injury Management Act 1981</w:t>
            </w:r>
            <w:r>
              <w:rPr>
                <w:b/>
                <w:sz w:val="19"/>
              </w:rPr>
              <w:t xml:space="preserve"> as at 5 Aug 2005</w:t>
            </w:r>
            <w:r>
              <w:rPr>
                <w:sz w:val="19"/>
              </w:rPr>
              <w:t xml:space="preserve"> (includes amendments listed above except those in the </w:t>
            </w:r>
            <w:r>
              <w:rPr>
                <w:i/>
                <w:sz w:val="19"/>
              </w:rPr>
              <w:t xml:space="preserve">Workers’ Compensation and Rehabilitation Amendment (Cross Border) Act 2004 </w:t>
            </w:r>
            <w:r>
              <w:rPr>
                <w:sz w:val="19"/>
              </w:rPr>
              <w:t xml:space="preserve">Pt. 3 and certain provisions of the </w:t>
            </w:r>
            <w:r>
              <w:rPr>
                <w:i/>
                <w:snapToGrid w:val="0"/>
                <w:sz w:val="19"/>
              </w:rPr>
              <w:t>Workers’ Compensation Reform Act 2004</w:t>
            </w:r>
            <w:r>
              <w:rPr>
                <w:sz w:val="19"/>
              </w:rPr>
              <w:t>)</w:t>
            </w:r>
          </w:p>
        </w:tc>
      </w:tr>
      <w:tr>
        <w:trPr>
          <w:gridAfter w:val="1"/>
          <w:wAfter w:w="19" w:type="dxa"/>
          <w:cantSplit/>
        </w:trPr>
        <w:tc>
          <w:tcPr>
            <w:tcW w:w="2268" w:type="dxa"/>
          </w:tcPr>
          <w:p>
            <w:pPr>
              <w:pStyle w:val="nTable"/>
              <w:spacing w:after="60"/>
              <w:rPr>
                <w:snapToGrid w:val="0"/>
                <w:sz w:val="19"/>
                <w:vertAlign w:val="superscript"/>
                <w:lang w:val="en-US"/>
              </w:rPr>
            </w:pPr>
            <w:r>
              <w:rPr>
                <w:i/>
                <w:snapToGrid w:val="0"/>
                <w:sz w:val="19"/>
                <w:lang w:val="en-US"/>
              </w:rPr>
              <w:t xml:space="preserve">Workers’ Compensation Legislation Amendment Act 2005 </w:t>
            </w:r>
            <w:r>
              <w:rPr>
                <w:snapToGrid w:val="0"/>
                <w:sz w:val="19"/>
                <w:lang w:val="en-US"/>
              </w:rPr>
              <w:t>Pt.3-5 </w:t>
            </w:r>
            <w:r>
              <w:rPr>
                <w:snapToGrid w:val="0"/>
                <w:sz w:val="19"/>
                <w:vertAlign w:val="superscript"/>
                <w:lang w:val="en-US"/>
              </w:rPr>
              <w:t>47, 49</w:t>
            </w:r>
          </w:p>
        </w:tc>
        <w:tc>
          <w:tcPr>
            <w:tcW w:w="1134" w:type="dxa"/>
          </w:tcPr>
          <w:p>
            <w:pPr>
              <w:pStyle w:val="nTable"/>
              <w:spacing w:after="60"/>
              <w:rPr>
                <w:snapToGrid w:val="0"/>
                <w:sz w:val="19"/>
                <w:lang w:val="en-US"/>
              </w:rPr>
            </w:pPr>
            <w:r>
              <w:rPr>
                <w:snapToGrid w:val="0"/>
                <w:sz w:val="19"/>
                <w:lang w:val="en-US"/>
              </w:rPr>
              <w:t>16 of 2005</w:t>
            </w:r>
          </w:p>
        </w:tc>
        <w:tc>
          <w:tcPr>
            <w:tcW w:w="1134" w:type="dxa"/>
          </w:tcPr>
          <w:p>
            <w:pPr>
              <w:pStyle w:val="nTable"/>
              <w:spacing w:after="60"/>
              <w:rPr>
                <w:sz w:val="19"/>
              </w:rPr>
            </w:pPr>
            <w:r>
              <w:rPr>
                <w:sz w:val="19"/>
              </w:rPr>
              <w:t>27 Sep 2005</w:t>
            </w:r>
          </w:p>
        </w:tc>
        <w:tc>
          <w:tcPr>
            <w:tcW w:w="2552" w:type="dxa"/>
          </w:tcPr>
          <w:p>
            <w:pPr>
              <w:rPr>
                <w:sz w:val="20"/>
              </w:rPr>
            </w:pPr>
            <w:r>
              <w:rPr>
                <w:sz w:val="20"/>
              </w:rPr>
              <w:t>s. 30(1) and (2): 1 Jul 2005 (see s. 2(2));</w:t>
            </w:r>
          </w:p>
          <w:p>
            <w:pPr>
              <w:rPr>
                <w:sz w:val="20"/>
              </w:rPr>
            </w:pPr>
            <w:r>
              <w:rPr>
                <w:sz w:val="20"/>
              </w:rPr>
              <w:t>Act other than s. 7, 30(1) and (2) and Pt. 3 and 5: 27 Sep 2005 (see s. 2(1));</w:t>
            </w:r>
          </w:p>
          <w:p>
            <w:pPr>
              <w:pStyle w:val="nTable"/>
              <w:spacing w:after="60"/>
              <w:rPr>
                <w:snapToGrid w:val="0"/>
                <w:sz w:val="19"/>
                <w:lang w:val="en-US"/>
              </w:rPr>
            </w:pPr>
            <w:r>
              <w:rPr>
                <w:sz w:val="20"/>
              </w:rPr>
              <w:t>s. 7 and Pt. 3 and 5: 14 Nov 2005 (see s. 2(3))</w:t>
            </w:r>
          </w:p>
        </w:tc>
      </w:tr>
      <w:tr>
        <w:tc>
          <w:tcPr>
            <w:tcW w:w="2268" w:type="dxa"/>
            <w:tcBorders>
              <w:bottom w:val="single" w:sz="4" w:space="0" w:color="auto"/>
            </w:tcBorders>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9</w:t>
            </w:r>
          </w:p>
        </w:tc>
        <w:tc>
          <w:tcPr>
            <w:tcW w:w="1134" w:type="dxa"/>
            <w:tcBorders>
              <w:bottom w:val="single" w:sz="4" w:space="0" w:color="auto"/>
            </w:tcBorders>
          </w:tcPr>
          <w:p>
            <w:pPr>
              <w:pStyle w:val="nTable"/>
              <w:spacing w:after="40"/>
              <w:rPr>
                <w:snapToGrid w:val="0"/>
                <w:sz w:val="19"/>
                <w:lang w:val="en-US"/>
              </w:rPr>
            </w:pPr>
            <w:r>
              <w:rPr>
                <w:snapToGrid w:val="0"/>
                <w:sz w:val="19"/>
                <w:lang w:val="en-US"/>
              </w:rPr>
              <w:t>20 of 2005</w:t>
            </w:r>
          </w:p>
        </w:tc>
        <w:tc>
          <w:tcPr>
            <w:tcW w:w="1134" w:type="dxa"/>
            <w:tcBorders>
              <w:bottom w:val="single" w:sz="4" w:space="0" w:color="auto"/>
            </w:tcBorders>
          </w:tcPr>
          <w:p>
            <w:pPr>
              <w:pStyle w:val="nTable"/>
              <w:spacing w:after="40"/>
              <w:rPr>
                <w:sz w:val="19"/>
              </w:rPr>
            </w:pPr>
            <w:r>
              <w:rPr>
                <w:sz w:val="19"/>
              </w:rPr>
              <w:t>15 Nov 2005</w:t>
            </w:r>
          </w:p>
        </w:tc>
        <w:tc>
          <w:tcPr>
            <w:tcW w:w="2571" w:type="dxa"/>
            <w:gridSpan w:val="2"/>
            <w:tcBorders>
              <w:bottom w:val="single" w:sz="4" w:space="0" w:color="auto"/>
            </w:tcBorders>
          </w:tcPr>
          <w:p>
            <w:pPr>
              <w:pStyle w:val="nTable"/>
              <w:spacing w:after="40"/>
              <w:rPr>
                <w:snapToGrid w:val="0"/>
                <w:sz w:val="19"/>
                <w:lang w:val="en-US"/>
              </w:rPr>
            </w:pPr>
            <w:r>
              <w:rPr>
                <w:snapToGrid w:val="0"/>
                <w:sz w:val="19"/>
                <w:lang w:val="en-US"/>
              </w:rPr>
              <w:t>15 Nov 2005 (see s. 2)</w:t>
            </w:r>
          </w:p>
        </w:tc>
      </w:tr>
    </w:tbl>
    <w:p>
      <w:pPr>
        <w:pStyle w:val="nSubsection"/>
        <w:spacing w:before="360"/>
        <w:ind w:left="482" w:hanging="482"/>
      </w:pPr>
      <w:r>
        <w:rPr>
          <w:vertAlign w:val="superscript"/>
        </w:rPr>
        <w:t>1a</w:t>
      </w:r>
      <w:r>
        <w:tab/>
        <w:t>On the date as at which thi</w:t>
      </w:r>
      <w:bookmarkStart w:id="3609" w:name="_Hlt507390729"/>
      <w:bookmarkEnd w:id="3609"/>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3610" w:name="_Toc122833673"/>
      <w:bookmarkStart w:id="3611" w:name="_Toc122834240"/>
      <w:r>
        <w:t>Provisions that have not come into operation</w:t>
      </w:r>
      <w:bookmarkEnd w:id="3610"/>
      <w:bookmarkEnd w:id="361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 xml:space="preserve">Acts Amendment (ICWA) Act 1996 </w:t>
            </w:r>
            <w:r>
              <w:rPr>
                <w:snapToGrid w:val="0"/>
                <w:sz w:val="19"/>
              </w:rPr>
              <w:t>s. 38 </w:t>
            </w:r>
            <w:r>
              <w:rPr>
                <w:snapToGrid w:val="0"/>
                <w:sz w:val="19"/>
                <w:vertAlign w:val="superscript"/>
              </w:rPr>
              <w:t>46</w:t>
            </w:r>
          </w:p>
        </w:tc>
        <w:tc>
          <w:tcPr>
            <w:tcW w:w="1134" w:type="dxa"/>
            <w:tcBorders>
              <w:top w:val="single" w:sz="8" w:space="0" w:color="auto"/>
            </w:tcBorders>
          </w:tcPr>
          <w:p>
            <w:pPr>
              <w:pStyle w:val="nTable"/>
              <w:keepNext/>
              <w:spacing w:after="40"/>
              <w:rPr>
                <w:sz w:val="19"/>
              </w:rPr>
            </w:pPr>
            <w:r>
              <w:rPr>
                <w:sz w:val="19"/>
              </w:rPr>
              <w:t>45 of 1996</w:t>
            </w:r>
            <w:r>
              <w:rPr>
                <w:sz w:val="19"/>
              </w:rPr>
              <w:br/>
              <w:t>(as amended by No. 42 of 2004 s. 155)</w:t>
            </w:r>
          </w:p>
        </w:tc>
        <w:tc>
          <w:tcPr>
            <w:tcW w:w="1134" w:type="dxa"/>
            <w:tcBorders>
              <w:top w:val="single" w:sz="8" w:space="0" w:color="auto"/>
            </w:tcBorders>
          </w:tcPr>
          <w:p>
            <w:pPr>
              <w:pStyle w:val="nTable"/>
              <w:keepNext/>
              <w:spacing w:after="40"/>
              <w:rPr>
                <w:sz w:val="19"/>
              </w:rPr>
            </w:pPr>
            <w:r>
              <w:rPr>
                <w:sz w:val="19"/>
              </w:rPr>
              <w:t>25 Oct 1996</w:t>
            </w:r>
          </w:p>
        </w:tc>
        <w:tc>
          <w:tcPr>
            <w:tcW w:w="2551" w:type="dxa"/>
            <w:tcBorders>
              <w:top w:val="single" w:sz="8" w:space="0" w:color="auto"/>
            </w:tcBorders>
          </w:tcPr>
          <w:p>
            <w:pPr>
              <w:pStyle w:val="nTable"/>
              <w:keepNext/>
              <w:spacing w:after="40"/>
              <w:rPr>
                <w:sz w:val="19"/>
              </w:rPr>
            </w:pPr>
            <w:r>
              <w:rPr>
                <w:sz w:val="19"/>
              </w:rPr>
              <w:t>To be proclaimed (see s. 2)</w:t>
            </w:r>
          </w:p>
        </w:tc>
      </w:tr>
      <w:tr>
        <w:trPr>
          <w:cantSplit/>
        </w:trPr>
        <w:tc>
          <w:tcPr>
            <w:tcW w:w="2268" w:type="dxa"/>
          </w:tcPr>
          <w:p>
            <w:pPr>
              <w:pStyle w:val="nTable"/>
              <w:spacing w:after="40"/>
              <w:ind w:right="113"/>
              <w:rPr>
                <w:snapToGrid w:val="0"/>
                <w:sz w:val="19"/>
                <w:vertAlign w:val="superscript"/>
              </w:rPr>
            </w:pPr>
            <w:r>
              <w:rPr>
                <w:i/>
                <w:snapToGrid w:val="0"/>
                <w:sz w:val="19"/>
              </w:rPr>
              <w:t xml:space="preserve">State Superannuation (Transitional and Consequential Provisions) Act 2000 </w:t>
            </w:r>
            <w:r>
              <w:rPr>
                <w:snapToGrid w:val="0"/>
                <w:sz w:val="19"/>
              </w:rPr>
              <w:t>s. 74 </w:t>
            </w:r>
            <w:r>
              <w:rPr>
                <w:snapToGrid w:val="0"/>
                <w:sz w:val="19"/>
                <w:vertAlign w:val="superscript"/>
              </w:rPr>
              <w:t>12</w:t>
            </w:r>
          </w:p>
        </w:tc>
        <w:tc>
          <w:tcPr>
            <w:tcW w:w="1134" w:type="dxa"/>
          </w:tcPr>
          <w:p>
            <w:pPr>
              <w:pStyle w:val="nTable"/>
              <w:keepNext/>
              <w:spacing w:after="40"/>
              <w:rPr>
                <w:sz w:val="19"/>
              </w:rPr>
            </w:pPr>
            <w:r>
              <w:rPr>
                <w:sz w:val="19"/>
              </w:rPr>
              <w:t>43 of 2000</w:t>
            </w:r>
            <w:r>
              <w:rPr>
                <w:sz w:val="19"/>
              </w:rPr>
              <w:br/>
              <w:t>(as amended by No. 42 of 2004 s. 174)</w:t>
            </w:r>
          </w:p>
        </w:tc>
        <w:tc>
          <w:tcPr>
            <w:tcW w:w="1134" w:type="dxa"/>
          </w:tcPr>
          <w:p>
            <w:pPr>
              <w:pStyle w:val="nTable"/>
              <w:keepNext/>
              <w:spacing w:after="40"/>
              <w:rPr>
                <w:sz w:val="19"/>
              </w:rPr>
            </w:pPr>
            <w:r>
              <w:rPr>
                <w:sz w:val="19"/>
              </w:rPr>
              <w:t>2 Nov 2000</w:t>
            </w:r>
          </w:p>
        </w:tc>
        <w:tc>
          <w:tcPr>
            <w:tcW w:w="2551" w:type="dxa"/>
          </w:tcPr>
          <w:p>
            <w:pPr>
              <w:pStyle w:val="nTable"/>
              <w:keepNext/>
              <w:spacing w:after="40"/>
              <w:rPr>
                <w:sz w:val="19"/>
              </w:rPr>
            </w:pPr>
            <w:r>
              <w:rPr>
                <w:sz w:val="19"/>
              </w:rPr>
              <w:t>To be proclaimed (see s. 2(2))</w:t>
            </w:r>
          </w:p>
        </w:tc>
      </w:tr>
      <w:tr>
        <w:trPr>
          <w:cantSplit/>
        </w:trPr>
        <w:tc>
          <w:tcPr>
            <w:tcW w:w="2268" w:type="dxa"/>
            <w:tcBorders>
              <w:bottom w:val="single" w:sz="4" w:space="0" w:color="auto"/>
            </w:tcBorders>
          </w:tcPr>
          <w:p>
            <w:pPr>
              <w:pStyle w:val="nTable"/>
              <w:spacing w:after="40"/>
              <w:ind w:right="113"/>
              <w:rPr>
                <w:snapToGrid w:val="0"/>
                <w:sz w:val="19"/>
                <w:vertAlign w:val="superscript"/>
              </w:rPr>
            </w:pPr>
            <w:r>
              <w:rPr>
                <w:i/>
                <w:snapToGrid w:val="0"/>
                <w:sz w:val="19"/>
              </w:rPr>
              <w:t xml:space="preserve">Chiropractors Act 2005 </w:t>
            </w:r>
            <w:r>
              <w:rPr>
                <w:snapToGrid w:val="0"/>
                <w:sz w:val="19"/>
              </w:rPr>
              <w:t>s. 109 </w:t>
            </w:r>
            <w:r>
              <w:rPr>
                <w:snapToGrid w:val="0"/>
                <w:sz w:val="19"/>
                <w:vertAlign w:val="superscript"/>
              </w:rPr>
              <w:t>50</w:t>
            </w:r>
          </w:p>
        </w:tc>
        <w:tc>
          <w:tcPr>
            <w:tcW w:w="1134" w:type="dxa"/>
            <w:tcBorders>
              <w:bottom w:val="single" w:sz="4" w:space="0" w:color="auto"/>
            </w:tcBorders>
          </w:tcPr>
          <w:p>
            <w:pPr>
              <w:pStyle w:val="nTable"/>
              <w:keepNext/>
              <w:spacing w:after="40"/>
              <w:rPr>
                <w:sz w:val="19"/>
              </w:rPr>
            </w:pPr>
            <w:r>
              <w:rPr>
                <w:sz w:val="19"/>
              </w:rPr>
              <w:t>31 of 2005</w:t>
            </w:r>
          </w:p>
        </w:tc>
        <w:tc>
          <w:tcPr>
            <w:tcW w:w="1134" w:type="dxa"/>
            <w:tcBorders>
              <w:bottom w:val="single" w:sz="4" w:space="0" w:color="auto"/>
            </w:tcBorders>
          </w:tcPr>
          <w:p>
            <w:pPr>
              <w:pStyle w:val="nTable"/>
              <w:keepNext/>
              <w:spacing w:after="40"/>
              <w:rPr>
                <w:sz w:val="19"/>
              </w:rPr>
            </w:pPr>
            <w:r>
              <w:rPr>
                <w:sz w:val="19"/>
              </w:rPr>
              <w:t>12 Dec 2005</w:t>
            </w:r>
          </w:p>
        </w:tc>
        <w:tc>
          <w:tcPr>
            <w:tcW w:w="2551" w:type="dxa"/>
            <w:tcBorders>
              <w:bottom w:val="single" w:sz="4" w:space="0" w:color="auto"/>
            </w:tcBorders>
          </w:tcPr>
          <w:p>
            <w:pPr>
              <w:pStyle w:val="nTable"/>
              <w:keepNext/>
              <w:spacing w:after="40"/>
              <w:rPr>
                <w:sz w:val="19"/>
              </w:rPr>
            </w:pPr>
            <w:r>
              <w:rPr>
                <w:sz w:val="19"/>
              </w:rPr>
              <w:t>To be proclaimed (see s. 2)</w:t>
            </w:r>
          </w:p>
        </w:tc>
      </w:tr>
    </w:tbl>
    <w:p>
      <w:pPr>
        <w:pStyle w:val="nSubsection"/>
        <w:rPr>
          <w:snapToGrid w:val="0"/>
        </w:rPr>
      </w:pPr>
      <w:r>
        <w:rPr>
          <w:snapToGrid w:val="0"/>
          <w:vertAlign w:val="superscript"/>
        </w:rPr>
        <w:t>2</w:t>
      </w:r>
      <w:r>
        <w:rPr>
          <w:snapToGrid w:val="0"/>
        </w:rPr>
        <w:tab/>
        <w:t xml:space="preserve">The name of the State Government Insurance Commission was changed to the Insurance Commission of Western Australia by the </w:t>
      </w:r>
      <w:r>
        <w:rPr>
          <w:i/>
          <w:snapToGrid w:val="0"/>
        </w:rPr>
        <w:t>Acts Amendment (ICWA) Act 1996</w:t>
      </w:r>
      <w:r>
        <w:rPr>
          <w:snapToGrid w:val="0"/>
        </w:rPr>
        <w:t xml:space="preserve"> s. 8.</w:t>
      </w:r>
    </w:p>
    <w:p>
      <w:pPr>
        <w:pStyle w:val="nSubsection"/>
        <w:rPr>
          <w:snapToGrid w:val="0"/>
        </w:rPr>
      </w:pPr>
      <w:r>
        <w:rPr>
          <w:snapToGrid w:val="0"/>
          <w:vertAlign w:val="superscript"/>
        </w:rPr>
        <w:t>3</w:t>
      </w:r>
      <w:r>
        <w:rPr>
          <w:snapToGrid w:val="0"/>
        </w:rPr>
        <w:tab/>
        <w:t xml:space="preserve">Under the </w:t>
      </w:r>
      <w:r>
        <w:rPr>
          <w:i/>
          <w:snapToGrid w:val="0"/>
        </w:rPr>
        <w:t>Acts Amendment (ICWA) Act 1996</w:t>
      </w:r>
      <w:r>
        <w:rPr>
          <w:snapToGrid w:val="0"/>
        </w:rPr>
        <w:t xml:space="preserve"> s. 31(2)(h), a reference to the State Government Insurance Corporation in a written law is, unless because of the context it would be inappropriate so to do, to be construed, or have effect, as if it had been amended to be a reference to the Insurance Commission of Western Australia.</w:t>
      </w:r>
    </w:p>
    <w:p>
      <w:pPr>
        <w:pStyle w:val="nSubsection"/>
        <w:rPr>
          <w:snapToGrid w:val="0"/>
        </w:rPr>
      </w:pPr>
      <w:r>
        <w:rPr>
          <w:snapToGrid w:val="0"/>
          <w:vertAlign w:val="superscript"/>
        </w:rPr>
        <w:t>4</w:t>
      </w:r>
      <w:r>
        <w:rPr>
          <w:snapToGrid w:val="0"/>
        </w:rPr>
        <w:tab/>
        <w:t xml:space="preserve">See </w:t>
      </w:r>
      <w:r>
        <w:rPr>
          <w:i/>
          <w:snapToGrid w:val="0"/>
        </w:rPr>
        <w:t>Industrial Relations Act 1988</w:t>
      </w:r>
      <w:r>
        <w:rPr>
          <w:snapToGrid w:val="0"/>
        </w:rPr>
        <w:t xml:space="preserve"> of the Commonwealth.</w:t>
      </w:r>
    </w:p>
    <w:p>
      <w:pPr>
        <w:pStyle w:val="nSubsection"/>
        <w:rPr>
          <w:snapToGrid w:val="0"/>
        </w:rPr>
      </w:pPr>
      <w:r>
        <w:rPr>
          <w:snapToGrid w:val="0"/>
          <w:vertAlign w:val="superscript"/>
        </w:rPr>
        <w:t>5</w:t>
      </w:r>
      <w:r>
        <w:rPr>
          <w:snapToGrid w:val="0"/>
        </w:rPr>
        <w:tab/>
        <w:t xml:space="preserve">The </w:t>
      </w:r>
      <w:r>
        <w:rPr>
          <w:i/>
          <w:snapToGrid w:val="0"/>
        </w:rPr>
        <w:t>Workers’ Compensation Act Amendment Act (No. 2) 1977</w:t>
      </w:r>
      <w:r>
        <w:rPr>
          <w:snapToGrid w:val="0"/>
        </w:rPr>
        <w:t xml:space="preserve"> s. 3 became operative on 28 Nov 1977.</w:t>
      </w:r>
    </w:p>
    <w:p>
      <w:pPr>
        <w:pStyle w:val="nSubsection"/>
        <w:spacing w:before="120"/>
        <w:rPr>
          <w:snapToGrid w:val="0"/>
        </w:rPr>
      </w:pPr>
      <w:r>
        <w:rPr>
          <w:snapToGrid w:val="0"/>
          <w:vertAlign w:val="superscript"/>
        </w:rPr>
        <w:t>6</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Subsection"/>
      </w:pPr>
      <w:r>
        <w:rPr>
          <w:vertAlign w:val="superscript"/>
        </w:rPr>
        <w:t>7</w:t>
      </w:r>
      <w:r>
        <w:tab/>
        <w:t xml:space="preserve">The </w:t>
      </w:r>
      <w:r>
        <w:rPr>
          <w:i/>
        </w:rPr>
        <w:t>Workers’ Compensation and Rehabilitation Amendment Act 1999</w:t>
      </w:r>
      <w:r>
        <w:t xml:space="preserve"> s. 32(20) and (21) read as follows:</w:t>
      </w:r>
    </w:p>
    <w:p>
      <w:pPr>
        <w:pStyle w:val="MiscOpen"/>
      </w:pPr>
      <w:r>
        <w:t>“</w:t>
      </w:r>
    </w:p>
    <w:p>
      <w:pPr>
        <w:pStyle w:val="nzSubsection"/>
        <w:outlineLvl w:val="0"/>
      </w:pPr>
      <w:r>
        <w:tab/>
        <w:t>(20)</w:t>
      </w:r>
      <w:r>
        <w:tab/>
        <w:t xml:space="preserve">In subsection (21) — </w:t>
      </w:r>
    </w:p>
    <w:p>
      <w:pPr>
        <w:pStyle w:val="nzDefstart"/>
      </w:pPr>
      <w:r>
        <w:rPr>
          <w:b/>
        </w:rPr>
        <w:tab/>
        <w:t>“amended provisions”</w:t>
      </w:r>
      <w:r>
        <w:t xml:space="preserve"> means Schedule 1 to the principal Act as amended by this section;</w:t>
      </w:r>
    </w:p>
    <w:p>
      <w:pPr>
        <w:pStyle w:val="nzDefstart"/>
      </w:pPr>
      <w:r>
        <w:rPr>
          <w:b/>
        </w:rPr>
        <w:tab/>
        <w:t>“former provisions”</w:t>
      </w:r>
      <w:r>
        <w:t xml:space="preserve"> means Schedule 1 to the principal Act before it was amended by this section.</w:t>
      </w:r>
    </w:p>
    <w:p>
      <w:pPr>
        <w:pStyle w:val="nzSubsection"/>
        <w:keepNext/>
        <w:outlineLvl w:val="0"/>
      </w:pPr>
      <w:r>
        <w:tab/>
        <w:t>(21)</w:t>
      </w:r>
      <w:r>
        <w:tab/>
        <w:t xml:space="preserve">If weekly payments commenced before the coming into operation of this section — </w:t>
      </w:r>
    </w:p>
    <w:p>
      <w:pPr>
        <w:pStyle w:val="nzIndenta"/>
      </w:pPr>
      <w:r>
        <w:tab/>
        <w:t>(a)</w:t>
      </w:r>
      <w:r>
        <w:tab/>
        <w:t>the amended provisions do not apply to the first 4 weekly payments after the coming into operation of this section and the former provisions continue to apply to those weekly payments; and</w:t>
      </w:r>
    </w:p>
    <w:p>
      <w:pPr>
        <w:pStyle w:val="nzIndenta"/>
      </w:pPr>
      <w:r>
        <w:tab/>
        <w:t>(b)</w:t>
      </w:r>
      <w:r>
        <w:tab/>
        <w:t>for the purposes of the amended provisions the 5th weekly payment after the coming into operation of this section is to be regarded as the 5th weekly payment and so on.</w:t>
      </w:r>
    </w:p>
    <w:p>
      <w:pPr>
        <w:pStyle w:val="MiscClose"/>
        <w:rPr>
          <w:snapToGrid w:val="0"/>
        </w:rPr>
      </w:pPr>
      <w:r>
        <w:t>”.</w:t>
      </w:r>
    </w:p>
    <w:p>
      <w:pPr>
        <w:pStyle w:val="nSubsection"/>
      </w:pPr>
      <w:r>
        <w:rPr>
          <w:snapToGrid w:val="0"/>
          <w:vertAlign w:val="superscript"/>
        </w:rPr>
        <w:t>8</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rPr>
          <w:i/>
          <w:sz w:val="22"/>
        </w:rPr>
        <w:t xml:space="preserve"> </w:t>
      </w:r>
      <w:r>
        <w:t>s. 3) read as follows:</w:t>
      </w:r>
    </w:p>
    <w:p>
      <w:pPr>
        <w:pStyle w:val="MiscOpen"/>
        <w:rPr>
          <w:highlight w:val="cyan"/>
        </w:rPr>
      </w:pPr>
      <w:r>
        <w:t>“</w:t>
      </w:r>
    </w:p>
    <w:p>
      <w:pPr>
        <w:pStyle w:val="nzSubsection"/>
        <w:spacing w:before="0"/>
      </w:pPr>
      <w:r>
        <w:tab/>
        <w:t>(6)</w:t>
      </w:r>
      <w:r>
        <w:tab/>
        <w:t xml:space="preserve">In subsections (7) and (8) — </w:t>
      </w:r>
    </w:p>
    <w:p>
      <w:pPr>
        <w:pStyle w:val="nzDefstart"/>
      </w:pPr>
      <w:r>
        <w:tab/>
      </w:r>
      <w:r>
        <w:rPr>
          <w:b/>
        </w:rPr>
        <w:t>“amended provisions”</w:t>
      </w:r>
      <w:r>
        <w:t xml:space="preserve"> means Part IV Division 2 of the principal Act as amended by this section;</w:t>
      </w:r>
    </w:p>
    <w:p>
      <w:pPr>
        <w:pStyle w:val="nzDefstart"/>
        <w:keepNext/>
      </w:pPr>
      <w:r>
        <w:tab/>
      </w:r>
      <w:r>
        <w:rPr>
          <w:b/>
        </w:rPr>
        <w:t>“assent day”</w:t>
      </w:r>
      <w:r>
        <w:t xml:space="preserve"> means the day on which this Act receives the Royal Assent;</w:t>
      </w:r>
    </w:p>
    <w:p>
      <w:pPr>
        <w:pStyle w:val="nzDefstart"/>
      </w:pPr>
      <w:r>
        <w:tab/>
      </w:r>
      <w:r>
        <w:rPr>
          <w:b/>
        </w:rPr>
        <w:t>“former provisions”</w:t>
      </w:r>
      <w:r>
        <w:t xml:space="preserve"> means Part IV Division 2 of the principal Act before it was amended by this section.</w:t>
      </w:r>
    </w:p>
    <w:p>
      <w:pPr>
        <w:pStyle w:val="nzSubsection"/>
      </w:pPr>
      <w:r>
        <w:tab/>
        <w:t>(7)</w:t>
      </w:r>
      <w:r>
        <w:tab/>
        <w:t xml:space="preserve">The amended provisions do not affect the awarding of damages in proceedings —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pPr>
      <w:r>
        <w:tab/>
        <w:t>(8)</w:t>
      </w:r>
      <w:r>
        <w:tab/>
        <w:t xml:space="preserve">If weekly payments of compensation in respect of a disability — </w:t>
      </w:r>
    </w:p>
    <w:p>
      <w:pPr>
        <w:pStyle w:val="nzIndenta"/>
      </w:pPr>
      <w:r>
        <w:tab/>
        <w:t>(a)</w:t>
      </w:r>
      <w:r>
        <w:tab/>
        <w:t>commenced before the assent day; or</w:t>
      </w:r>
    </w:p>
    <w:p>
      <w:pPr>
        <w:pStyle w:val="nzIndenta"/>
      </w:pPr>
      <w:r>
        <w:tab/>
        <w:t>(b)</w:t>
      </w:r>
      <w:r>
        <w:tab/>
        <w:t>were ordered by a dispute resolution body to commence before the assent day,</w:t>
      </w:r>
    </w:p>
    <w:p>
      <w:pPr>
        <w:pStyle w:val="nzSubsection"/>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by No. 37 of 1999 s. 3.]</w:t>
      </w:r>
    </w:p>
    <w:p>
      <w:pPr>
        <w:pStyle w:val="MiscClose"/>
      </w:pPr>
      <w:r>
        <w:t>”.</w:t>
      </w:r>
    </w:p>
    <w:p>
      <w:pPr>
        <w:pStyle w:val="nSubsection"/>
      </w:pPr>
      <w:r>
        <w:rPr>
          <w:vertAlign w:val="superscript"/>
        </w:rPr>
        <w:t>9</w:t>
      </w:r>
      <w:r>
        <w:tab/>
        <w:t xml:space="preserve">The </w:t>
      </w:r>
      <w:r>
        <w:rPr>
          <w:i/>
        </w:rPr>
        <w:t>Workers’ Compensation (Common Law Proceedings) Act 2004</w:t>
      </w:r>
      <w:r>
        <w:t xml:space="preserve"> Pt. 2 may also be relevant.</w:t>
      </w:r>
    </w:p>
    <w:p>
      <w:pPr>
        <w:pStyle w:val="nSubsection"/>
        <w:rPr>
          <w:snapToGrid w:val="0"/>
        </w:rPr>
      </w:pPr>
      <w:r>
        <w:rPr>
          <w:snapToGrid w:val="0"/>
          <w:vertAlign w:val="superscript"/>
        </w:rPr>
        <w:t>10</w:t>
      </w:r>
      <w:r>
        <w:rPr>
          <w:snapToGrid w:val="0"/>
        </w:rPr>
        <w:tab/>
        <w:t xml:space="preserve">Now see the </w:t>
      </w:r>
      <w:r>
        <w:rPr>
          <w:i/>
          <w:snapToGrid w:val="0"/>
        </w:rPr>
        <w:t>Interpretation Act 1984</w:t>
      </w:r>
      <w:r>
        <w:rPr>
          <w:snapToGrid w:val="0"/>
        </w:rPr>
        <w:t>.</w:t>
      </w:r>
    </w:p>
    <w:p>
      <w:pPr>
        <w:pStyle w:val="nSubsection"/>
        <w:rPr>
          <w:snapToGrid w:val="0"/>
        </w:rPr>
      </w:pPr>
      <w:r>
        <w:rPr>
          <w:snapToGrid w:val="0"/>
          <w:vertAlign w:val="superscript"/>
        </w:rPr>
        <w:t>11</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12</w:t>
      </w:r>
      <w:r>
        <w:rPr>
          <w:snapToGrid w:val="0"/>
        </w:rPr>
        <w:tab/>
        <w:t xml:space="preserve">On the date as at which this compilation was prepared, the </w:t>
      </w:r>
      <w:r>
        <w:rPr>
          <w:i/>
        </w:rPr>
        <w:t>State Superannuation (Transitional and Consequential Provisions) Act 2000</w:t>
      </w:r>
      <w:r>
        <w:rPr>
          <w:snapToGrid w:val="0"/>
        </w:rPr>
        <w:t xml:space="preserve"> s. 74 (as amended by the </w:t>
      </w:r>
      <w:r>
        <w:rPr>
          <w:i/>
        </w:rPr>
        <w:t xml:space="preserve">Workers’ Compensation Reform Act 2004 </w:t>
      </w:r>
      <w:r>
        <w:rPr>
          <w:snapToGrid w:val="0"/>
        </w:rPr>
        <w:t>s. 174) had not come into operation. It reads as follows:</w:t>
      </w:r>
    </w:p>
    <w:p>
      <w:pPr>
        <w:pStyle w:val="MiscOpen"/>
      </w:pPr>
      <w:r>
        <w:t>“</w:t>
      </w:r>
    </w:p>
    <w:p>
      <w:pPr>
        <w:pStyle w:val="nzHeading5"/>
        <w:spacing w:before="0"/>
      </w:pPr>
      <w:bookmarkStart w:id="3612" w:name="_Toc497533393"/>
      <w:r>
        <w:rPr>
          <w:rStyle w:val="CharSectno"/>
        </w:rPr>
        <w:t>74</w:t>
      </w:r>
      <w:r>
        <w:t>.</w:t>
      </w:r>
      <w:r>
        <w:tab/>
      </w:r>
      <w:r>
        <w:rPr>
          <w:i/>
        </w:rPr>
        <w:t>Workers’ Compensation and Injury Management Act 1981</w:t>
      </w:r>
      <w:r>
        <w:t xml:space="preserve"> amended</w:t>
      </w:r>
      <w:bookmarkEnd w:id="3612"/>
    </w:p>
    <w:p>
      <w:pPr>
        <w:pStyle w:val="nzSubsection"/>
        <w:spacing w:before="40"/>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pPr>
        <w:pStyle w:val="nzMiscellaneousBody"/>
        <w:ind w:left="1287" w:firstLine="153"/>
        <w:rPr>
          <w:i/>
        </w:rPr>
      </w:pPr>
      <w:r>
        <w:rPr>
          <w:i/>
        </w:rPr>
        <w:t>[Section 74 amended by No. 42 of 2004 s. 174.]</w:t>
      </w:r>
    </w:p>
    <w:p>
      <w:pPr>
        <w:pStyle w:val="MiscClose"/>
        <w:rPr>
          <w:snapToGrid w:val="0"/>
        </w:rPr>
      </w:pPr>
      <w:r>
        <w:t>”.</w:t>
      </w:r>
    </w:p>
    <w:p>
      <w:pPr>
        <w:pStyle w:val="nSubsection"/>
        <w:rPr>
          <w:snapToGrid w:val="0"/>
        </w:rPr>
      </w:pPr>
      <w:r>
        <w:rPr>
          <w:snapToGrid w:val="0"/>
          <w:vertAlign w:val="superscript"/>
        </w:rPr>
        <w:t>13</w:t>
      </w:r>
      <w:r>
        <w:rPr>
          <w:snapToGrid w:val="0"/>
        </w:rPr>
        <w:tab/>
        <w:t xml:space="preserve">Now known as the </w:t>
      </w:r>
      <w:r>
        <w:rPr>
          <w:i/>
          <w:snapToGrid w:val="0"/>
        </w:rPr>
        <w:t>Workers’ Compensation and Injury Management Act 1981</w:t>
      </w:r>
      <w:r>
        <w:rPr>
          <w:snapToGrid w:val="0"/>
        </w:rPr>
        <w:t>; short title changed (see note under s. 1).</w:t>
      </w:r>
    </w:p>
    <w:p>
      <w:pPr>
        <w:pStyle w:val="nSubsection"/>
        <w:rPr>
          <w:snapToGrid w:val="0"/>
        </w:rPr>
      </w:pPr>
      <w:r>
        <w:rPr>
          <w:snapToGrid w:val="0"/>
          <w:vertAlign w:val="superscript"/>
        </w:rPr>
        <w:t>14</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Subsection"/>
        <w:keepNext/>
        <w:spacing w:before="120"/>
        <w:rPr>
          <w:snapToGrid w:val="0"/>
        </w:rPr>
      </w:pPr>
      <w:r>
        <w:rPr>
          <w:snapToGrid w:val="0"/>
          <w:vertAlign w:val="superscript"/>
        </w:rPr>
        <w:t>15</w:t>
      </w:r>
      <w:r>
        <w:rPr>
          <w:snapToGrid w:val="0"/>
        </w:rPr>
        <w:tab/>
        <w:t xml:space="preserve">The </w:t>
      </w:r>
      <w:r>
        <w:rPr>
          <w:i/>
          <w:snapToGrid w:val="0"/>
        </w:rPr>
        <w:t>Workers’ Compensation and Assistance Amendment Act 1985</w:t>
      </w:r>
      <w:r>
        <w:rPr>
          <w:snapToGrid w:val="0"/>
        </w:rPr>
        <w:t xml:space="preserve"> s. 4(2) reads as follows: </w:t>
      </w:r>
    </w:p>
    <w:p>
      <w:pPr>
        <w:pStyle w:val="MiscOpen"/>
        <w:rPr>
          <w:snapToGrid w:val="0"/>
        </w:rPr>
      </w:pPr>
      <w:r>
        <w:rPr>
          <w:snapToGrid w:val="0"/>
        </w:rPr>
        <w:t>“</w:t>
      </w:r>
    </w:p>
    <w:p>
      <w:pPr>
        <w:pStyle w:val="nzSubsection"/>
        <w:keepLines/>
        <w:spacing w:before="0"/>
        <w:rPr>
          <w:snapToGrid w:val="0"/>
        </w:rPr>
      </w:pPr>
      <w:r>
        <w:rPr>
          <w:snapToGrid w:val="0"/>
        </w:rPr>
        <w:tab/>
        <w:t>(2)</w:t>
      </w:r>
      <w:r>
        <w:rPr>
          <w:snapToGrid w:val="0"/>
        </w:rPr>
        <w:tab/>
        <w:t>Nothing in this section in any way affects or limits the operation of the principal Act in relation to a disability to or the death of a person if that person, at any time before the coming into operation of this section, received compensation under the principal Act in respect of that disability or death and the principal Act shall continue to apply to the liability for and the right to compensation in respect of that disability or death as if this section had not been enacted.</w:t>
      </w:r>
    </w:p>
    <w:p>
      <w:pPr>
        <w:pStyle w:val="MiscClose"/>
        <w:rPr>
          <w:snapToGrid w:val="0"/>
        </w:rPr>
      </w:pPr>
      <w:r>
        <w:rPr>
          <w:snapToGrid w:val="0"/>
        </w:rPr>
        <w:t>”.</w:t>
      </w:r>
    </w:p>
    <w:p>
      <w:pPr>
        <w:pStyle w:val="nSubsection"/>
        <w:spacing w:before="120"/>
        <w:rPr>
          <w:snapToGrid w:val="0"/>
        </w:rPr>
      </w:pPr>
      <w:r>
        <w:rPr>
          <w:snapToGrid w:val="0"/>
          <w:vertAlign w:val="superscript"/>
        </w:rPr>
        <w:t>16</w:t>
      </w:r>
      <w:r>
        <w:rPr>
          <w:snapToGrid w:val="0"/>
        </w:rPr>
        <w:tab/>
        <w:t xml:space="preserve">The </w:t>
      </w:r>
      <w:r>
        <w:rPr>
          <w:i/>
          <w:snapToGrid w:val="0"/>
        </w:rPr>
        <w:t>Workers’ Compensation and Assistance Amendment Act 1985</w:t>
      </w:r>
      <w:r>
        <w:rPr>
          <w:snapToGrid w:val="0"/>
        </w:rPr>
        <w:t xml:space="preserve"> s. 16 reads as follows:</w:t>
      </w:r>
    </w:p>
    <w:p>
      <w:pPr>
        <w:pStyle w:val="MiscOpen"/>
        <w:rPr>
          <w:snapToGrid w:val="0"/>
        </w:rPr>
      </w:pPr>
      <w:r>
        <w:rPr>
          <w:snapToGrid w:val="0"/>
        </w:rPr>
        <w:t>“</w:t>
      </w:r>
    </w:p>
    <w:p>
      <w:pPr>
        <w:pStyle w:val="nzHeading5"/>
        <w:spacing w:before="0"/>
        <w:rPr>
          <w:snapToGrid w:val="0"/>
        </w:rPr>
      </w:pPr>
      <w:r>
        <w:rPr>
          <w:snapToGrid w:val="0"/>
        </w:rPr>
        <w:t>16.</w:t>
      </w:r>
      <w:r>
        <w:rPr>
          <w:snapToGrid w:val="0"/>
        </w:rPr>
        <w:tab/>
        <w:t>Transitional — sections 24, 28, 29 and 30 of principal Act</w:t>
      </w:r>
    </w:p>
    <w:p>
      <w:pPr>
        <w:pStyle w:val="nzSubsection"/>
      </w:pPr>
      <w:r>
        <w:tab/>
      </w:r>
      <w:r>
        <w:tab/>
        <w:t>Sections 24, 28, 29 and 30 of the principal Act, as amended by sections 9, 13, 14 and 15 respectively of this Act, apply to and in respect of any election of a worker made in accordance with section 24 of the principal Act on or after the day on which this section comes into operation and to and in respect of the compensation payable pursuant to that election; but an election made under section 24 of the principal Act before that day, and the compensation payable pursuant to that election, shall not be affected by the amendments effected by sections 9, 13, 14 and 15 of this Act.</w:t>
      </w:r>
    </w:p>
    <w:p>
      <w:pPr>
        <w:pStyle w:val="MiscClose"/>
        <w:rPr>
          <w:snapToGrid w:val="0"/>
        </w:rPr>
      </w:pPr>
      <w:r>
        <w:rPr>
          <w:snapToGrid w:val="0"/>
        </w:rPr>
        <w:t>”.</w:t>
      </w:r>
    </w:p>
    <w:p>
      <w:pPr>
        <w:pStyle w:val="nSubsection"/>
        <w:rPr>
          <w:snapToGrid w:val="0"/>
        </w:rPr>
      </w:pPr>
      <w:r>
        <w:rPr>
          <w:snapToGrid w:val="0"/>
          <w:vertAlign w:val="superscript"/>
        </w:rPr>
        <w:t>17</w:t>
      </w:r>
      <w:r>
        <w:rPr>
          <w:snapToGrid w:val="0"/>
        </w:rPr>
        <w:tab/>
        <w:t xml:space="preserve">The </w:t>
      </w:r>
      <w:r>
        <w:rPr>
          <w:i/>
          <w:snapToGrid w:val="0"/>
        </w:rPr>
        <w:t>Workers’ Compensation and Assistance Amendment Act 1985</w:t>
      </w:r>
      <w:r>
        <w:rPr>
          <w:snapToGrid w:val="0"/>
        </w:rPr>
        <w:t xml:space="preserve"> s. 20(2) reads as follows: </w:t>
      </w:r>
    </w:p>
    <w:p>
      <w:pPr>
        <w:pStyle w:val="MiscOpen"/>
        <w:spacing w:before="0"/>
        <w:rPr>
          <w:snapToGrid w:val="0"/>
        </w:rPr>
      </w:pPr>
      <w:r>
        <w:rPr>
          <w:snapToGrid w:val="0"/>
        </w:rPr>
        <w:t>“</w:t>
      </w:r>
    </w:p>
    <w:p>
      <w:pPr>
        <w:pStyle w:val="nzSubsection"/>
        <w:spacing w:before="0"/>
        <w:rPr>
          <w:snapToGrid w:val="0"/>
        </w:rPr>
      </w:pPr>
      <w:r>
        <w:rPr>
          <w:snapToGrid w:val="0"/>
        </w:rPr>
        <w:tab/>
        <w:t>(2)</w:t>
      </w:r>
      <w:r>
        <w:rPr>
          <w:snapToGrid w:val="0"/>
        </w:rPr>
        <w:tab/>
        <w:t>Nothing in this section affects or limits the operation of section 61(3) of the principal Act in relation to applications made under that provision with respect to weekly payments of compensation which were discontinued or diminished before the coming into operation of this section and section 61(3) shall continue to apply to those applications as if this section had not been enacted.</w:t>
      </w:r>
    </w:p>
    <w:p>
      <w:pPr>
        <w:pStyle w:val="MiscClose"/>
        <w:rPr>
          <w:snapToGrid w:val="0"/>
        </w:rPr>
      </w:pPr>
      <w:r>
        <w:rPr>
          <w:snapToGrid w:val="0"/>
        </w:rPr>
        <w:t>”.</w:t>
      </w:r>
    </w:p>
    <w:p>
      <w:pPr>
        <w:pStyle w:val="nSubsection"/>
        <w:keepNext/>
        <w:spacing w:before="120"/>
        <w:rPr>
          <w:snapToGrid w:val="0"/>
        </w:rPr>
      </w:pPr>
      <w:r>
        <w:rPr>
          <w:snapToGrid w:val="0"/>
          <w:vertAlign w:val="superscript"/>
        </w:rPr>
        <w:t>18</w:t>
      </w:r>
      <w:r>
        <w:rPr>
          <w:snapToGrid w:val="0"/>
        </w:rPr>
        <w:tab/>
        <w:t xml:space="preserve">The </w:t>
      </w:r>
      <w:r>
        <w:rPr>
          <w:i/>
          <w:snapToGrid w:val="0"/>
        </w:rPr>
        <w:t>Workers’ Compensation and Assistance Amendment Act 1985</w:t>
      </w:r>
      <w:r>
        <w:rPr>
          <w:snapToGrid w:val="0"/>
        </w:rPr>
        <w:t xml:space="preserve"> s. 23(2)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74 of the principal Act shall —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MiscClose"/>
        <w:rPr>
          <w:snapToGrid w:val="0"/>
        </w:rPr>
      </w:pPr>
      <w:r>
        <w:rPr>
          <w:snapToGrid w:val="0"/>
        </w:rPr>
        <w:t>”.</w:t>
      </w:r>
    </w:p>
    <w:p>
      <w:pPr>
        <w:pStyle w:val="nSubsection"/>
        <w:rPr>
          <w:snapToGrid w:val="0"/>
        </w:rPr>
      </w:pPr>
      <w:r>
        <w:rPr>
          <w:snapToGrid w:val="0"/>
          <w:vertAlign w:val="superscript"/>
        </w:rPr>
        <w:t>19</w:t>
      </w:r>
      <w:r>
        <w:rPr>
          <w:snapToGrid w:val="0"/>
        </w:rPr>
        <w:tab/>
        <w:t xml:space="preserve">The </w:t>
      </w:r>
      <w:r>
        <w:rPr>
          <w:i/>
          <w:snapToGrid w:val="0"/>
        </w:rPr>
        <w:t>Workers’ Compensation and Assistance Amendment Act 1985</w:t>
      </w:r>
      <w:r>
        <w:rPr>
          <w:snapToGrid w:val="0"/>
        </w:rPr>
        <w:t xml:space="preserve"> s. 41(2)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pStyle w:val="MiscClose"/>
        <w:rPr>
          <w:snapToGrid w:val="0"/>
        </w:rPr>
      </w:pPr>
      <w:r>
        <w:rPr>
          <w:snapToGrid w:val="0"/>
        </w:rPr>
        <w:t>”.</w:t>
      </w:r>
    </w:p>
    <w:p>
      <w:pPr>
        <w:pStyle w:val="nSubsection"/>
        <w:keepNext/>
        <w:rPr>
          <w:snapToGrid w:val="0"/>
        </w:rPr>
      </w:pPr>
      <w:r>
        <w:rPr>
          <w:snapToGrid w:val="0"/>
          <w:vertAlign w:val="superscript"/>
        </w:rPr>
        <w:t>20</w:t>
      </w:r>
      <w:r>
        <w:rPr>
          <w:snapToGrid w:val="0"/>
        </w:rPr>
        <w:tab/>
        <w:t xml:space="preserve">The </w:t>
      </w:r>
      <w:r>
        <w:rPr>
          <w:i/>
          <w:snapToGrid w:val="0"/>
        </w:rPr>
        <w:t>Workers’ Compensation and Assistance Amendment Act 1985</w:t>
      </w:r>
      <w:r>
        <w:rPr>
          <w:snapToGrid w:val="0"/>
        </w:rPr>
        <w:t xml:space="preserve"> s. 42(2)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Notwithstanding any provision of the principal Act and in particular section 117 of the principal Act, where any decision, ruling, order, award, judgment, settlement or agreement was given or made by, or registered with the Board before the coming into operation of this section, on the basis that compensation payable for an injury under item 29 of the table set out in Schedule 2 to the principal Act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MiscClose"/>
        <w:rPr>
          <w:snapToGrid w:val="0"/>
        </w:rPr>
      </w:pPr>
      <w:r>
        <w:rPr>
          <w:snapToGrid w:val="0"/>
        </w:rPr>
        <w:t>”.</w:t>
      </w:r>
    </w:p>
    <w:p>
      <w:pPr>
        <w:pStyle w:val="nSubsection"/>
        <w:spacing w:before="120"/>
        <w:rPr>
          <w:snapToGrid w:val="0"/>
        </w:rPr>
      </w:pPr>
      <w:r>
        <w:rPr>
          <w:snapToGrid w:val="0"/>
          <w:vertAlign w:val="superscript"/>
        </w:rPr>
        <w:t>21</w:t>
      </w:r>
      <w:r>
        <w:rPr>
          <w:snapToGrid w:val="0"/>
        </w:rPr>
        <w:tab/>
        <w:t xml:space="preserve">The </w:t>
      </w:r>
      <w:r>
        <w:rPr>
          <w:i/>
          <w:snapToGrid w:val="0"/>
        </w:rPr>
        <w:t>Workers’ Compensation and Assistance Amendment Act 1988</w:t>
      </w:r>
      <w:r>
        <w:rPr>
          <w:snapToGrid w:val="0"/>
        </w:rPr>
        <w:t xml:space="preserve"> repealed s. 10</w:t>
      </w:r>
      <w:r>
        <w:rPr>
          <w:snapToGrid w:val="0"/>
        </w:rPr>
        <w:noBreakHyphen/>
        <w:t xml:space="preserve">12, 19, 44 and 45 of the </w:t>
      </w:r>
      <w:r>
        <w:rPr>
          <w:i/>
          <w:snapToGrid w:val="0"/>
        </w:rPr>
        <w:t>Workers’ Compensation and Assistance Amendment Act 1985</w:t>
      </w:r>
      <w:r>
        <w:rPr>
          <w:snapToGrid w:val="0"/>
        </w:rPr>
        <w:t xml:space="preserve"> and the </w:t>
      </w:r>
      <w:r>
        <w:rPr>
          <w:i/>
          <w:snapToGrid w:val="0"/>
        </w:rPr>
        <w:t>Workers’ Compensation and Assistance Amendment Act 1990</w:t>
      </w:r>
      <w:r>
        <w:rPr>
          <w:snapToGrid w:val="0"/>
        </w:rPr>
        <w:t xml:space="preserve"> s. 30(2) repealed s. 30(2) of the 1985 Act.</w:t>
      </w:r>
    </w:p>
    <w:p>
      <w:pPr>
        <w:pStyle w:val="nSubsection"/>
        <w:rPr>
          <w:snapToGrid w:val="0"/>
        </w:rPr>
      </w:pPr>
      <w:r>
        <w:rPr>
          <w:snapToGrid w:val="0"/>
          <w:vertAlign w:val="superscript"/>
        </w:rPr>
        <w:t>22</w:t>
      </w:r>
      <w:r>
        <w:rPr>
          <w:snapToGrid w:val="0"/>
        </w:rPr>
        <w:tab/>
        <w:t xml:space="preserve">The </w:t>
      </w:r>
      <w:r>
        <w:rPr>
          <w:i/>
          <w:snapToGrid w:val="0"/>
        </w:rPr>
        <w:t>Workers’ Compensation and Assistance Amendment Act 1986</w:t>
      </w:r>
      <w:r>
        <w:rPr>
          <w:snapToGrid w:val="0"/>
        </w:rPr>
        <w:t xml:space="preserve"> s. 6(2)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Any minimum premium recommended by the Committee for the purposes of Part VIII of the principal Act before the commencement of this section is deemed to be, and always to have been, lawfully recommended by the Committee and properly chargeable by an insurer.</w:t>
      </w:r>
    </w:p>
    <w:p>
      <w:pPr>
        <w:pStyle w:val="MiscClose"/>
        <w:rPr>
          <w:snapToGrid w:val="0"/>
        </w:rPr>
      </w:pPr>
      <w:r>
        <w:rPr>
          <w:snapToGrid w:val="0"/>
        </w:rPr>
        <w:t>”.</w:t>
      </w:r>
    </w:p>
    <w:p>
      <w:pPr>
        <w:pStyle w:val="nSubsection"/>
        <w:rPr>
          <w:snapToGrid w:val="0"/>
        </w:rPr>
      </w:pPr>
      <w:r>
        <w:rPr>
          <w:snapToGrid w:val="0"/>
          <w:vertAlign w:val="superscript"/>
        </w:rPr>
        <w:t>23</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Subsection"/>
        <w:rPr>
          <w:snapToGrid w:val="0"/>
        </w:rPr>
      </w:pPr>
      <w:r>
        <w:rPr>
          <w:snapToGrid w:val="0"/>
          <w:vertAlign w:val="superscript"/>
        </w:rPr>
        <w:t>24</w:t>
      </w:r>
      <w:r>
        <w:rPr>
          <w:snapToGrid w:val="0"/>
        </w:rPr>
        <w:tab/>
        <w:t xml:space="preserve">The </w:t>
      </w:r>
      <w:r>
        <w:rPr>
          <w:i/>
          <w:snapToGrid w:val="0"/>
        </w:rPr>
        <w:t>Workers’ Compensation and Assistance Amendment Act 1990</w:t>
      </w:r>
      <w:r>
        <w:rPr>
          <w:snapToGrid w:val="0"/>
        </w:rPr>
        <w:t xml:space="preserve"> s. 30(2) reads as follows: </w:t>
      </w:r>
    </w:p>
    <w:p>
      <w:pPr>
        <w:pStyle w:val="MiscOpen"/>
        <w:rPr>
          <w:snapToGrid w:val="0"/>
        </w:rPr>
      </w:pPr>
      <w:r>
        <w:rPr>
          <w:snapToGrid w:val="0"/>
        </w:rPr>
        <w:t>“</w:t>
      </w:r>
    </w:p>
    <w:p>
      <w:pPr>
        <w:pStyle w:val="nzSubsection"/>
        <w:rPr>
          <w:snapToGrid w:val="0"/>
        </w:rPr>
      </w:pPr>
      <w:r>
        <w:rPr>
          <w:snapToGrid w:val="0"/>
        </w:rPr>
        <w:tab/>
        <w:t>(2)</w:t>
      </w:r>
      <w:r>
        <w:rPr>
          <w:snapToGrid w:val="0"/>
        </w:rPr>
        <w:tab/>
        <w:t xml:space="preserve">The specification by the Committee of a category under section 151(c) of the principal Act as in force before the commencement of this section is of no further effect, and section 30(2) of the </w:t>
      </w:r>
      <w:r>
        <w:rPr>
          <w:i/>
          <w:snapToGrid w:val="0"/>
        </w:rPr>
        <w:t>Workers’ Compensation and Assistance Amendment Act 1985</w:t>
      </w:r>
      <w:r>
        <w:rPr>
          <w:snapToGrid w:val="0"/>
        </w:rPr>
        <w:t xml:space="preserve"> is repealed.</w:t>
      </w:r>
    </w:p>
    <w:p>
      <w:pPr>
        <w:pStyle w:val="MiscClose"/>
        <w:rPr>
          <w:snapToGrid w:val="0"/>
        </w:rPr>
      </w:pPr>
      <w:r>
        <w:rPr>
          <w:snapToGrid w:val="0"/>
        </w:rPr>
        <w:t>”.</w:t>
      </w:r>
    </w:p>
    <w:p>
      <w:pPr>
        <w:pStyle w:val="nSubsection"/>
        <w:keepNext/>
        <w:rPr>
          <w:snapToGrid w:val="0"/>
        </w:rPr>
      </w:pPr>
      <w:r>
        <w:rPr>
          <w:snapToGrid w:val="0"/>
          <w:vertAlign w:val="superscript"/>
        </w:rPr>
        <w:t>25</w:t>
      </w:r>
      <w:r>
        <w:rPr>
          <w:snapToGrid w:val="0"/>
        </w:rPr>
        <w:tab/>
        <w:t xml:space="preserve">The </w:t>
      </w:r>
      <w:r>
        <w:rPr>
          <w:i/>
          <w:snapToGrid w:val="0"/>
        </w:rPr>
        <w:t>Workers’ Compensation and Assistance Amendment Act 1990</w:t>
      </w:r>
      <w:r>
        <w:rPr>
          <w:snapToGrid w:val="0"/>
        </w:rPr>
        <w:t xml:space="preserve"> s. 48(2) reads as follows: </w:t>
      </w:r>
    </w:p>
    <w:p>
      <w:pPr>
        <w:pStyle w:val="MiscOpen"/>
        <w:rPr>
          <w:snapToGrid w:val="0"/>
        </w:rPr>
      </w:pPr>
      <w:r>
        <w:rPr>
          <w:snapToGrid w:val="0"/>
        </w:rPr>
        <w:t>“</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MiscClose"/>
        <w:rPr>
          <w:snapToGrid w:val="0"/>
        </w:rPr>
      </w:pPr>
      <w:r>
        <w:rPr>
          <w:snapToGrid w:val="0"/>
        </w:rPr>
        <w:t>”.</w:t>
      </w:r>
    </w:p>
    <w:p>
      <w:pPr>
        <w:pStyle w:val="nSubsection"/>
        <w:rPr>
          <w:snapToGrid w:val="0"/>
        </w:rPr>
      </w:pPr>
      <w:r>
        <w:rPr>
          <w:snapToGrid w:val="0"/>
          <w:vertAlign w:val="superscript"/>
        </w:rPr>
        <w:t>26</w:t>
      </w:r>
      <w:r>
        <w:rPr>
          <w:snapToGrid w:val="0"/>
        </w:rPr>
        <w:tab/>
        <w:t xml:space="preserve">The </w:t>
      </w:r>
      <w:r>
        <w:rPr>
          <w:i/>
          <w:snapToGrid w:val="0"/>
        </w:rPr>
        <w:t>Workers’ Compensation and Assistance Amendment Act 1990</w:t>
      </w:r>
      <w:r>
        <w:rPr>
          <w:snapToGrid w:val="0"/>
        </w:rPr>
        <w:t xml:space="preserve"> s. 50 reads as follows: </w:t>
      </w:r>
    </w:p>
    <w:p>
      <w:pPr>
        <w:pStyle w:val="MiscOpen"/>
        <w:rPr>
          <w:snapToGrid w:val="0"/>
        </w:rPr>
      </w:pPr>
      <w:r>
        <w:rPr>
          <w:snapToGrid w:val="0"/>
        </w:rPr>
        <w:t>“</w:t>
      </w:r>
    </w:p>
    <w:p>
      <w:pPr>
        <w:pStyle w:val="nzHeading5"/>
        <w:outlineLvl w:val="0"/>
        <w:rPr>
          <w:snapToGrid w:val="0"/>
        </w:rPr>
      </w:pPr>
      <w:r>
        <w:rPr>
          <w:snapToGrid w:val="0"/>
        </w:rPr>
        <w:t>50.</w:t>
      </w:r>
      <w:r>
        <w:rPr>
          <w:snapToGrid w:val="0"/>
        </w:rPr>
        <w:tab/>
        <w:t>Transitional</w:t>
      </w:r>
    </w:p>
    <w:p>
      <w:pPr>
        <w:pStyle w:val="nzSubsection"/>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MiscClose"/>
        <w:rPr>
          <w:snapToGrid w:val="0"/>
        </w:rPr>
      </w:pPr>
      <w:r>
        <w:rPr>
          <w:snapToGrid w:val="0"/>
        </w:rPr>
        <w:t>”.</w:t>
      </w:r>
    </w:p>
    <w:p>
      <w:pPr>
        <w:pStyle w:val="nSubsection"/>
        <w:keepNext/>
        <w:rPr>
          <w:snapToGrid w:val="0"/>
        </w:rPr>
      </w:pPr>
      <w:r>
        <w:rPr>
          <w:snapToGrid w:val="0"/>
          <w:vertAlign w:val="superscript"/>
        </w:rPr>
        <w:t>27</w:t>
      </w:r>
      <w:r>
        <w:rPr>
          <w:snapToGrid w:val="0"/>
        </w:rPr>
        <w:tab/>
        <w:t xml:space="preserve">The </w:t>
      </w:r>
      <w:r>
        <w:rPr>
          <w:i/>
          <w:snapToGrid w:val="0"/>
        </w:rPr>
        <w:t>Workers’ Compensation and Assistance Amendment Act 1990</w:t>
      </w:r>
      <w:r>
        <w:rPr>
          <w:snapToGrid w:val="0"/>
        </w:rPr>
        <w:t xml:space="preserve"> s. 51 reads as follows: </w:t>
      </w:r>
    </w:p>
    <w:p>
      <w:pPr>
        <w:pStyle w:val="MiscOpen"/>
        <w:rPr>
          <w:snapToGrid w:val="0"/>
          <w:highlight w:val="cyan"/>
        </w:rPr>
      </w:pPr>
      <w:r>
        <w:rPr>
          <w:snapToGrid w:val="0"/>
        </w:rPr>
        <w:t>“</w:t>
      </w:r>
    </w:p>
    <w:p>
      <w:pPr>
        <w:pStyle w:val="nzHeading5"/>
        <w:outlineLvl w:val="0"/>
        <w:rPr>
          <w:snapToGrid w:val="0"/>
        </w:rPr>
      </w:pPr>
      <w:r>
        <w:rPr>
          <w:snapToGrid w:val="0"/>
        </w:rPr>
        <w:t>51.</w:t>
      </w:r>
      <w:r>
        <w:rPr>
          <w:snapToGrid w:val="0"/>
        </w:rPr>
        <w:tab/>
        <w:t>Transitional and Schedule 5</w:t>
      </w:r>
    </w:p>
    <w:p>
      <w:pPr>
        <w:pStyle w:val="nzSubsection"/>
        <w:rPr>
          <w:snapToGrid w:val="0"/>
        </w:rPr>
      </w:pPr>
      <w:r>
        <w:rPr>
          <w:snapToGrid w:val="0"/>
        </w:rPr>
        <w:tab/>
        <w:t>(1)</w:t>
      </w:r>
      <w:r>
        <w:rPr>
          <w:snapToGrid w:val="0"/>
        </w:rPr>
        <w:tab/>
        <w:t xml:space="preserve">In this section </w:t>
      </w:r>
      <w:r>
        <w:rPr>
          <w:b/>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pStyle w:val="MiscClose"/>
        <w:rPr>
          <w:snapToGrid w:val="0"/>
        </w:rPr>
      </w:pPr>
      <w:r>
        <w:rPr>
          <w:snapToGrid w:val="0"/>
        </w:rPr>
        <w:t>”.</w:t>
      </w:r>
    </w:p>
    <w:p>
      <w:pPr>
        <w:pStyle w:val="nSubsection"/>
        <w:rPr>
          <w:snapToGrid w:val="0"/>
        </w:rPr>
      </w:pPr>
      <w:r>
        <w:rPr>
          <w:snapToGrid w:val="0"/>
          <w:vertAlign w:val="superscript"/>
        </w:rPr>
        <w:t>28</w:t>
      </w:r>
      <w:r>
        <w:rPr>
          <w:snapToGrid w:val="0"/>
        </w:rPr>
        <w:tab/>
        <w:t xml:space="preserve">The </w:t>
      </w:r>
      <w:r>
        <w:rPr>
          <w:i/>
          <w:snapToGrid w:val="0"/>
        </w:rPr>
        <w:t>Workers’ Compensation and Rehabilitation Amendment Act 1993</w:t>
      </w:r>
      <w:r>
        <w:rPr>
          <w:snapToGrid w:val="0"/>
        </w:rPr>
        <w:t xml:space="preserve"> s. 4(4) reads as follows: </w:t>
      </w:r>
    </w:p>
    <w:p>
      <w:pPr>
        <w:pStyle w:val="MiscOpen"/>
        <w:rPr>
          <w:snapToGrid w:val="0"/>
        </w:rPr>
      </w:pPr>
      <w:r>
        <w:rPr>
          <w:snapToGrid w:val="0"/>
        </w:rPr>
        <w:t>“</w:t>
      </w:r>
    </w:p>
    <w:p>
      <w:pPr>
        <w:pStyle w:val="nzSubsection"/>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pStyle w:val="MiscClose"/>
        <w:rPr>
          <w:snapToGrid w:val="0"/>
        </w:rPr>
      </w:pPr>
      <w:r>
        <w:rPr>
          <w:snapToGrid w:val="0"/>
        </w:rPr>
        <w:t>”.</w:t>
      </w:r>
    </w:p>
    <w:p>
      <w:pPr>
        <w:pStyle w:val="nSubsection"/>
        <w:rPr>
          <w:snapToGrid w:val="0"/>
        </w:rPr>
      </w:pPr>
      <w:r>
        <w:rPr>
          <w:snapToGrid w:val="0"/>
          <w:vertAlign w:val="superscript"/>
        </w:rPr>
        <w:t>29</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rPr>
          <w:sz w:val="19"/>
          <w:vertAlign w:val="superscript"/>
        </w:rPr>
        <w:t> </w:t>
      </w:r>
      <w:r>
        <w:rPr>
          <w:snapToGrid w:val="0"/>
        </w:rPr>
        <w:t xml:space="preserve">Pt. 3 and the </w:t>
      </w:r>
      <w:r>
        <w:rPr>
          <w:i/>
          <w:snapToGrid w:val="0"/>
        </w:rPr>
        <w:t>Workers’ Compensation Reform Act 2004</w:t>
      </w:r>
      <w:r>
        <w:rPr>
          <w:snapToGrid w:val="0"/>
        </w:rPr>
        <w:t xml:space="preserve"> s. 172(2)) reads as follows: </w:t>
      </w:r>
    </w:p>
    <w:p>
      <w:pPr>
        <w:pStyle w:val="MiscOpen"/>
        <w:rPr>
          <w:snapToGrid w:val="0"/>
        </w:rPr>
      </w:pPr>
      <w:r>
        <w:rPr>
          <w:snapToGrid w:val="0"/>
        </w:rPr>
        <w:t>“</w:t>
      </w:r>
    </w:p>
    <w:p>
      <w:pPr>
        <w:pStyle w:val="nzHeading3"/>
        <w:outlineLvl w:val="0"/>
        <w:rPr>
          <w:snapToGrid w:val="0"/>
        </w:rPr>
      </w:pPr>
      <w:r>
        <w:rPr>
          <w:snapToGrid w:val="0"/>
        </w:rPr>
        <w:t xml:space="preserve">Division 2 — Further transitional provisions </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 </w:t>
      </w:r>
    </w:p>
    <w:p>
      <w:pPr>
        <w:pStyle w:val="nzDefstart"/>
      </w:pPr>
      <w:r>
        <w:rPr>
          <w:b/>
        </w:rPr>
        <w:tab/>
        <w:t xml:space="preserve">“affected person” </w:t>
      </w:r>
      <w:r>
        <w:t>means a person having a notifiable cause;</w:t>
      </w:r>
    </w:p>
    <w:p>
      <w:pPr>
        <w:pStyle w:val="nzDefstart"/>
      </w:pPr>
      <w:r>
        <w:rPr>
          <w:b/>
        </w:rPr>
        <w:tab/>
        <w:t xml:space="preserve">“improved statutory benefits”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pPr>
      <w:r>
        <w:rPr>
          <w:b/>
        </w:rPr>
        <w:tab/>
        <w:t xml:space="preserve">“notifiable cause”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pPr>
      <w:r>
        <w:rPr>
          <w:b/>
        </w:rPr>
        <w:tab/>
        <w:t>“preliminary questions”</w:t>
      </w:r>
      <w:r>
        <w:t>, in relation to a notifiable cause, means — </w:t>
      </w:r>
    </w:p>
    <w:p>
      <w:pPr>
        <w:pStyle w:val="nzDefpara"/>
      </w:pPr>
      <w:r>
        <w:tab/>
        <w:t>(a)</w:t>
      </w:r>
      <w:r>
        <w:tab/>
        <w:t>whether or not a court would be likely to find the relevant employer or insurer to be liable for damages in an action founded on that cause; and</w:t>
      </w:r>
    </w:p>
    <w:p>
      <w:pPr>
        <w:pStyle w:val="nzDefpara"/>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pPr>
      <w:r>
        <w:rPr>
          <w:b/>
        </w:rPr>
        <w:tab/>
        <w:t>“relevant employer or insurer”</w:t>
      </w:r>
      <w:r>
        <w:t>, in relation to a notifiable cause, means the employer against whom the affected person has the cause of action or the person insuring the employer against liability arising out of that cause;</w:t>
      </w:r>
    </w:p>
    <w:p>
      <w:pPr>
        <w:pStyle w:val="nzDefstart"/>
      </w:pPr>
      <w:r>
        <w:rPr>
          <w:b/>
        </w:rPr>
        <w:tab/>
        <w:t xml:space="preserve">“significant damages” </w:t>
      </w:r>
      <w:r>
        <w:t>means damages of which — </w:t>
      </w:r>
    </w:p>
    <w:p>
      <w:pPr>
        <w:pStyle w:val="nzDefpara"/>
      </w:pPr>
      <w:r>
        <w:tab/>
        <w:t>(a)</w:t>
      </w:r>
      <w:r>
        <w:tab/>
        <w:t>the amount attributable to non</w:t>
      </w:r>
      <w:r>
        <w:noBreakHyphen/>
        <w:t>pecuniary loss; or</w:t>
      </w:r>
    </w:p>
    <w:p>
      <w:pPr>
        <w:pStyle w:val="nzDefpara"/>
      </w:pPr>
      <w:r>
        <w:tab/>
        <w:t>(b)</w:t>
      </w:r>
      <w:r>
        <w:tab/>
        <w:t>the amount attributable to future pecuniary loss,</w:t>
      </w:r>
    </w:p>
    <w:p>
      <w:pPr>
        <w:pStyle w:val="nzDefstart"/>
      </w:pPr>
      <w:r>
        <w:tab/>
      </w: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Next w:val="0"/>
        <w:keepLines w:val="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rPr>
          <w:snapToGrid w:val="0"/>
        </w:rPr>
      </w:pPr>
      <w:r>
        <w:rPr>
          <w:snapToGrid w:val="0"/>
        </w:rPr>
        <w:tab/>
        <w:t>(4)</w:t>
      </w:r>
      <w:r>
        <w:rPr>
          <w:snapToGrid w:val="0"/>
        </w:rPr>
        <w:tab/>
        <w:t xml:space="preserve">The functions of </w:t>
      </w:r>
      <w:r>
        <w:t>WorkCover WA</w:t>
      </w:r>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by No. 34 of 1999 s. 59; No. 42 of 2004 s. 172(2).]</w:t>
      </w:r>
    </w:p>
    <w:p>
      <w:pPr>
        <w:pStyle w:val="nzHeading5"/>
        <w:keepLines w:val="0"/>
        <w:spacing w:before="160"/>
        <w:rPr>
          <w:snapToGrid w:val="0"/>
        </w:rPr>
      </w:pPr>
      <w:r>
        <w:rPr>
          <w:snapToGrid w:val="0"/>
        </w:rPr>
        <w:t>7.</w:t>
      </w:r>
      <w:r>
        <w:rPr>
          <w:snapToGrid w:val="0"/>
        </w:rPr>
        <w:tab/>
        <w:t xml:space="preserve">Appeals for registration </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r>
        <w:t>WorkCover WA</w:t>
      </w:r>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r>
        <w:t>WorkCover WA</w:t>
      </w:r>
      <w:r>
        <w:rPr>
          <w:snapToGrid w:val="0"/>
        </w:rPr>
        <w:t xml:space="preserve"> is to register the cause.</w:t>
      </w:r>
    </w:p>
    <w:p>
      <w:pPr>
        <w:pStyle w:val="nzMiscellaneousBody"/>
        <w:tabs>
          <w:tab w:val="left" w:pos="1446"/>
        </w:tabs>
        <w:ind w:left="1446" w:hanging="879"/>
        <w:rPr>
          <w:i/>
          <w:snapToGrid w:val="0"/>
        </w:rPr>
      </w:pPr>
      <w:r>
        <w:rPr>
          <w:i/>
        </w:rPr>
        <w:tab/>
        <w:t>[Section 7 amended by No. 42 of 2004 s. 172(2).]</w:t>
      </w:r>
    </w:p>
    <w:p>
      <w:pPr>
        <w:pStyle w:val="nzHeading5"/>
        <w:keepLines w:val="0"/>
        <w:spacing w:before="160"/>
        <w:rPr>
          <w:snapToGrid w:val="0"/>
        </w:rPr>
      </w:pPr>
      <w:r>
        <w:rPr>
          <w:snapToGrid w:val="0"/>
        </w:rPr>
        <w:t>8.</w:t>
      </w:r>
      <w:r>
        <w:rPr>
          <w:snapToGrid w:val="0"/>
        </w:rPr>
        <w:tab/>
        <w:t xml:space="preserve">Certificate of registration </w:t>
      </w:r>
    </w:p>
    <w:p>
      <w:pPr>
        <w:pStyle w:val="nzSubsection"/>
        <w:rPr>
          <w:snapToGrid w:val="0"/>
        </w:rPr>
      </w:pPr>
      <w:r>
        <w:rPr>
          <w:snapToGrid w:val="0"/>
        </w:rPr>
        <w:tab/>
      </w:r>
      <w:r>
        <w:rPr>
          <w:snapToGrid w:val="0"/>
        </w:rPr>
        <w:tab/>
      </w:r>
      <w:r>
        <w:t>WorkCover WA</w:t>
      </w:r>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by No. 42 of 2004 s. 172(2).]</w:t>
      </w:r>
    </w:p>
    <w:p>
      <w:pPr>
        <w:pStyle w:val="nzHeading5"/>
        <w:keepNext w:val="0"/>
        <w:keepLines w:val="0"/>
        <w:spacing w:before="160"/>
        <w:rPr>
          <w:snapToGrid w:val="0"/>
        </w:rPr>
      </w:pPr>
      <w:r>
        <w:rPr>
          <w:snapToGrid w:val="0"/>
        </w:rPr>
        <w:t>9.</w:t>
      </w:r>
      <w:r>
        <w:rPr>
          <w:snapToGrid w:val="0"/>
        </w:rPr>
        <w:tab/>
        <w:t xml:space="preserve">Negotiations with employer or insurer </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rPr>
          <w:snapToGrid w:val="0"/>
        </w:rPr>
      </w:pPr>
      <w:r>
        <w:rPr>
          <w:snapToGrid w:val="0"/>
        </w:rPr>
        <w:tab/>
        <w:t>(2)</w:t>
      </w:r>
      <w:r>
        <w:rPr>
          <w:snapToGrid w:val="0"/>
        </w:rPr>
        <w:tab/>
        <w:t>The employer or insurer may, within 60 days after the day on which details of the claim are submitted in accordance with subsection (1) — </w:t>
      </w:r>
    </w:p>
    <w:p>
      <w:pPr>
        <w:pStyle w:val="nzIndenta"/>
        <w:rPr>
          <w:snapToGrid w:val="0"/>
        </w:rPr>
      </w:pPr>
      <w:r>
        <w:rPr>
          <w:snapToGrid w:val="0"/>
        </w:rPr>
        <w:tab/>
        <w:t>(a)</w:t>
      </w:r>
      <w:r>
        <w:rPr>
          <w:snapToGrid w:val="0"/>
        </w:rPr>
        <w:tab/>
        <w:t>notify the affected person in writing that the employer’s liability is accepted and either —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 xml:space="preserve">Improved statutory benefits available if liability accepted </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 xml:space="preserve">Consequences of filing certificate in court proceedings </w:t>
      </w:r>
    </w:p>
    <w:p>
      <w:pPr>
        <w:pStyle w:val="nzSubsection"/>
        <w:rPr>
          <w:snapToGrid w:val="0"/>
        </w:rPr>
      </w:pPr>
      <w:r>
        <w:rPr>
          <w:snapToGrid w:val="0"/>
        </w:rPr>
        <w:tab/>
        <w:t>(1)</w:t>
      </w:r>
      <w:r>
        <w:rPr>
          <w:snapToGrid w:val="0"/>
        </w:rPr>
        <w:tab/>
        <w:t>If an affected person —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rPr>
          <w:snapToGrid w:val="0"/>
        </w:rPr>
      </w:pPr>
      <w:r>
        <w:rPr>
          <w:snapToGrid w:val="0"/>
        </w:rPr>
        <w:tab/>
        <w:t>(4)</w:t>
      </w:r>
      <w:r>
        <w:rPr>
          <w:snapToGrid w:val="0"/>
        </w:rPr>
        <w:tab/>
        <w:t>If, on an application under subsection (1), the District Court Judge declares that —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keepNext/>
        <w:rPr>
          <w:snapToGrid w:val="0"/>
        </w:rPr>
      </w:pPr>
      <w:r>
        <w:rPr>
          <w:snapToGrid w:val="0"/>
        </w:rPr>
        <w:tab/>
        <w:t>(5)</w:t>
      </w:r>
      <w:r>
        <w:rPr>
          <w:snapToGrid w:val="0"/>
        </w:rPr>
        <w:tab/>
        <w:t>If, on an application under subsection (1), the District Court Judge declares that —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by No. 34 of 1999 s. 60.]</w:t>
      </w:r>
    </w:p>
    <w:p>
      <w:pPr>
        <w:pStyle w:val="nzHeading5"/>
        <w:keepLines w:val="0"/>
        <w:rPr>
          <w:snapToGrid w:val="0"/>
        </w:rPr>
      </w:pPr>
      <w:r>
        <w:rPr>
          <w:snapToGrid w:val="0"/>
        </w:rPr>
        <w:t>12.</w:t>
      </w:r>
      <w:r>
        <w:rPr>
          <w:snapToGrid w:val="0"/>
        </w:rPr>
        <w:tab/>
        <w:t xml:space="preserve">Offer to settle </w:t>
      </w:r>
    </w:p>
    <w:p>
      <w:pPr>
        <w:pStyle w:val="nzSubsection"/>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r>
        <w:t>WorkCover WA</w:t>
      </w:r>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by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pStyle w:val="MiscClose"/>
        <w:rPr>
          <w:snapToGrid w:val="0"/>
        </w:rPr>
      </w:pPr>
      <w:r>
        <w:rPr>
          <w:snapToGrid w:val="0"/>
        </w:rPr>
        <w:t>”.</w:t>
      </w:r>
    </w:p>
    <w:p>
      <w:pPr>
        <w:pStyle w:val="nSubsection"/>
        <w:rPr>
          <w:snapToGrid w:val="0"/>
        </w:rPr>
      </w:pPr>
      <w:r>
        <w:rPr>
          <w:snapToGrid w:val="0"/>
          <w:vertAlign w:val="superscript"/>
        </w:rPr>
        <w:t>30</w:t>
      </w:r>
      <w:r>
        <w:rPr>
          <w:snapToGrid w:val="0"/>
        </w:rPr>
        <w:tab/>
        <w:t xml:space="preserve">The </w:t>
      </w:r>
      <w:r>
        <w:rPr>
          <w:i/>
          <w:snapToGrid w:val="0"/>
        </w:rPr>
        <w:t>Workers’ Compensation and Rehabilitation Amendment Act 1993</w:t>
      </w:r>
      <w:r>
        <w:rPr>
          <w:snapToGrid w:val="0"/>
        </w:rPr>
        <w:t xml:space="preserve"> s. 18(3) reads as follows: </w:t>
      </w:r>
    </w:p>
    <w:p>
      <w:pPr>
        <w:pStyle w:val="MiscOpen"/>
        <w:rPr>
          <w:snapToGrid w:val="0"/>
        </w:rPr>
      </w:pPr>
      <w:r>
        <w:rPr>
          <w:snapToGrid w:val="0"/>
        </w:rPr>
        <w:t>“</w:t>
      </w:r>
    </w:p>
    <w:p>
      <w:pPr>
        <w:pStyle w:val="nzSubsection"/>
        <w:rPr>
          <w:snapToGrid w:val="0"/>
        </w:rPr>
      </w:pPr>
      <w:r>
        <w:rPr>
          <w:snapToGrid w:val="0"/>
        </w:rPr>
        <w:tab/>
        <w:t>(3)</w:t>
      </w:r>
      <w:r>
        <w:rPr>
          <w:snapToGrid w:val="0"/>
        </w:rPr>
        <w:tab/>
        <w:t>The increase in the prescribed amount effected by subsection (1) has effect on and from 1 July 1993.</w:t>
      </w:r>
    </w:p>
    <w:p>
      <w:pPr>
        <w:pStyle w:val="MiscClose"/>
        <w:rPr>
          <w:snapToGrid w:val="0"/>
        </w:rPr>
      </w:pPr>
      <w:r>
        <w:rPr>
          <w:snapToGrid w:val="0"/>
        </w:rPr>
        <w:t>”.</w:t>
      </w:r>
    </w:p>
    <w:p>
      <w:pPr>
        <w:pStyle w:val="nSubsection"/>
        <w:rPr>
          <w:snapToGrid w:val="0"/>
        </w:rPr>
      </w:pPr>
      <w:r>
        <w:rPr>
          <w:snapToGrid w:val="0"/>
          <w:vertAlign w:val="superscript"/>
        </w:rPr>
        <w:t>31</w:t>
      </w:r>
      <w:r>
        <w:rPr>
          <w:snapToGrid w:val="0"/>
        </w:rPr>
        <w:tab/>
        <w:t xml:space="preserve">The </w:t>
      </w:r>
      <w:r>
        <w:rPr>
          <w:i/>
          <w:snapToGrid w:val="0"/>
        </w:rPr>
        <w:t>Workers’ Compensation and Rehabilitation Amendment Act 1993</w:t>
      </w:r>
      <w:r>
        <w:rPr>
          <w:snapToGrid w:val="0"/>
        </w:rPr>
        <w:t xml:space="preserve"> s. 19(2) reads as follows: </w:t>
      </w:r>
    </w:p>
    <w:p>
      <w:pPr>
        <w:pStyle w:val="MiscOpen"/>
        <w:rPr>
          <w:snapToGrid w:val="0"/>
          <w:highlight w:val="cyan"/>
        </w:rPr>
      </w:pPr>
      <w:r>
        <w:rPr>
          <w:snapToGrid w:val="0"/>
        </w:rPr>
        <w:t>“</w:t>
      </w:r>
    </w:p>
    <w:p>
      <w:pPr>
        <w:pStyle w:val="nzSubsection"/>
        <w:rPr>
          <w:snapToGrid w:val="0"/>
        </w:rPr>
      </w:pPr>
      <w:r>
        <w:rPr>
          <w:snapToGrid w:val="0"/>
        </w:rPr>
        <w:tab/>
        <w:t>(2)</w:t>
      </w:r>
      <w:r>
        <w:rPr>
          <w:snapToGrid w:val="0"/>
        </w:rPr>
        <w:tab/>
        <w:t>The amendments made by subsection (1) have effect on and from 1 July 1993.</w:t>
      </w:r>
    </w:p>
    <w:p>
      <w:pPr>
        <w:pStyle w:val="MiscClose"/>
        <w:rPr>
          <w:snapToGrid w:val="0"/>
        </w:rPr>
      </w:pPr>
      <w:r>
        <w:rPr>
          <w:snapToGrid w:val="0"/>
        </w:rPr>
        <w:t>”.</w:t>
      </w:r>
    </w:p>
    <w:p>
      <w:pPr>
        <w:pStyle w:val="nSubsection"/>
        <w:rPr>
          <w:snapToGrid w:val="0"/>
        </w:rPr>
      </w:pPr>
      <w:r>
        <w:rPr>
          <w:snapToGrid w:val="0"/>
          <w:vertAlign w:val="superscript"/>
        </w:rPr>
        <w:t>32</w:t>
      </w:r>
      <w:r>
        <w:rPr>
          <w:snapToGrid w:val="0"/>
        </w:rPr>
        <w:tab/>
        <w:t xml:space="preserve">The </w:t>
      </w:r>
      <w:r>
        <w:rPr>
          <w:i/>
          <w:snapToGrid w:val="0"/>
        </w:rPr>
        <w:t>Workers’ Compensation and Rehabilitation Amendment Act 1993</w:t>
      </w:r>
      <w:r>
        <w:rPr>
          <w:snapToGrid w:val="0"/>
        </w:rPr>
        <w:t xml:space="preserve"> s. 20(2) reads as follows: </w:t>
      </w:r>
    </w:p>
    <w:p>
      <w:pPr>
        <w:pStyle w:val="MiscOpen"/>
        <w:keepNext w:val="0"/>
        <w:keepLines w:val="0"/>
        <w:rPr>
          <w:snapToGrid w:val="0"/>
        </w:rPr>
      </w:pPr>
      <w:r>
        <w:rPr>
          <w:snapToGrid w:val="0"/>
        </w:rPr>
        <w:t>“</w:t>
      </w:r>
    </w:p>
    <w:p>
      <w:pPr>
        <w:pStyle w:val="nzSubsection"/>
        <w:rPr>
          <w:snapToGrid w:val="0"/>
        </w:rPr>
      </w:pPr>
      <w:r>
        <w:rPr>
          <w:snapToGrid w:val="0"/>
        </w:rPr>
        <w:tab/>
        <w:t>(2)</w:t>
      </w:r>
      <w:r>
        <w:rPr>
          <w:snapToGrid w:val="0"/>
        </w:rPr>
        <w:tab/>
        <w:t>The amendments made by subsection (1) have effect on and from 1 July 1993.</w:t>
      </w:r>
    </w:p>
    <w:p>
      <w:pPr>
        <w:pStyle w:val="MiscClose"/>
        <w:keepLines w:val="0"/>
        <w:rPr>
          <w:snapToGrid w:val="0"/>
        </w:rPr>
      </w:pPr>
      <w:r>
        <w:rPr>
          <w:snapToGrid w:val="0"/>
        </w:rPr>
        <w:t>”.</w:t>
      </w:r>
    </w:p>
    <w:p>
      <w:pPr>
        <w:pStyle w:val="nSubsection"/>
        <w:keepNext/>
        <w:keepLines/>
        <w:rPr>
          <w:snapToGrid w:val="0"/>
        </w:rPr>
      </w:pPr>
      <w:r>
        <w:rPr>
          <w:snapToGrid w:val="0"/>
          <w:vertAlign w:val="superscript"/>
        </w:rPr>
        <w:t>33</w:t>
      </w:r>
      <w:r>
        <w:rPr>
          <w:snapToGrid w:val="0"/>
        </w:rPr>
        <w:tab/>
        <w:t xml:space="preserve">The </w:t>
      </w:r>
      <w:r>
        <w:rPr>
          <w:i/>
          <w:snapToGrid w:val="0"/>
        </w:rPr>
        <w:t>Workers’ Compensation and Rehabilitation Amendment Act 1993</w:t>
      </w:r>
      <w:r>
        <w:rPr>
          <w:snapToGrid w:val="0"/>
        </w:rPr>
        <w:t xml:space="preserve"> s. 27 reads as follows: </w:t>
      </w:r>
    </w:p>
    <w:p>
      <w:pPr>
        <w:pStyle w:val="MiscOpen"/>
        <w:spacing w:before="80"/>
        <w:rPr>
          <w:snapToGrid w:val="0"/>
        </w:rPr>
      </w:pPr>
      <w:r>
        <w:rPr>
          <w:snapToGrid w:val="0"/>
        </w:rPr>
        <w:t>“</w:t>
      </w:r>
    </w:p>
    <w:p>
      <w:pPr>
        <w:pStyle w:val="nzHeading5"/>
        <w:spacing w:before="0"/>
        <w:rPr>
          <w:snapToGrid w:val="0"/>
        </w:rPr>
      </w:pPr>
      <w:r>
        <w:rPr>
          <w:snapToGrid w:val="0"/>
        </w:rPr>
        <w:t>27.</w:t>
      </w:r>
      <w:r>
        <w:rPr>
          <w:snapToGrid w:val="0"/>
        </w:rPr>
        <w:tab/>
        <w:t>Transitional provision as to proceedings</w:t>
      </w:r>
    </w:p>
    <w:p>
      <w:pPr>
        <w:pStyle w:val="nzSubsection"/>
        <w:rPr>
          <w:snapToGrid w:val="0"/>
        </w:rPr>
      </w:pPr>
      <w:r>
        <w:rPr>
          <w:snapToGrid w:val="0"/>
        </w:rPr>
        <w:tab/>
        <w:t>(1)</w:t>
      </w:r>
      <w:r>
        <w:rPr>
          <w:snapToGrid w:val="0"/>
        </w:rPr>
        <w:tab/>
        <w:t>On the commencement of section 24, all proceedings pending before the Board are to be transferred to the Director and dealt with as if they had been referred for conciliation.</w:t>
      </w:r>
    </w:p>
    <w:p>
      <w:pPr>
        <w:pStyle w:val="nzSubsection"/>
        <w:keepNext/>
        <w:rPr>
          <w:snapToGrid w:val="0"/>
        </w:rPr>
      </w:pPr>
      <w:r>
        <w:rPr>
          <w:snapToGrid w:val="0"/>
        </w:rPr>
        <w:tab/>
        <w:t>(2)</w:t>
      </w:r>
      <w:r>
        <w:rPr>
          <w:snapToGrid w:val="0"/>
        </w:rPr>
        <w:tab/>
        <w:t>In this section — </w:t>
      </w:r>
    </w:p>
    <w:p>
      <w:pPr>
        <w:pStyle w:val="nzDefstart"/>
      </w:pPr>
      <w:r>
        <w:rPr>
          <w:b/>
        </w:rPr>
        <w:tab/>
        <w:t xml:space="preserve">“Board” </w:t>
      </w:r>
      <w:r>
        <w:t>has the meaning given to that expression by the principal Act as in force immediately before the commencement of section 24;</w:t>
      </w:r>
    </w:p>
    <w:p>
      <w:pPr>
        <w:pStyle w:val="nzDefstart"/>
      </w:pPr>
      <w:r>
        <w:rPr>
          <w:b/>
        </w:rPr>
        <w:tab/>
        <w:t xml:space="preserve">“Director” </w:t>
      </w:r>
      <w:r>
        <w:t>has the meaning given to that expression by the principal Act as amended by section 21.</w:t>
      </w:r>
    </w:p>
    <w:p>
      <w:pPr>
        <w:pStyle w:val="MiscClose"/>
        <w:rPr>
          <w:snapToGrid w:val="0"/>
        </w:rPr>
      </w:pPr>
      <w:r>
        <w:rPr>
          <w:snapToGrid w:val="0"/>
        </w:rPr>
        <w:t>”.</w:t>
      </w:r>
    </w:p>
    <w:p>
      <w:pPr>
        <w:pStyle w:val="nSubsection"/>
        <w:keepNext/>
        <w:spacing w:before="120"/>
        <w:rPr>
          <w:snapToGrid w:val="0"/>
        </w:rPr>
      </w:pPr>
      <w:r>
        <w:rPr>
          <w:snapToGrid w:val="0"/>
          <w:vertAlign w:val="superscript"/>
        </w:rPr>
        <w:t>34</w:t>
      </w:r>
      <w:r>
        <w:rPr>
          <w:snapToGrid w:val="0"/>
        </w:rPr>
        <w:tab/>
        <w:t xml:space="preserve">The </w:t>
      </w:r>
      <w:r>
        <w:rPr>
          <w:i/>
          <w:snapToGrid w:val="0"/>
        </w:rPr>
        <w:t xml:space="preserve">Workers’ Compensation and Rehabilitation Amendment Act 1993 </w:t>
      </w:r>
      <w:r>
        <w:rPr>
          <w:snapToGrid w:val="0"/>
        </w:rPr>
        <w:t>s. 28(2)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Regulations may be made amending the principal Act (including any provision amended by Schedule 1) to deal with any matter of a transitional nature that arises from the amendments made by this Part or to deal with any matter that is consequential on or incidental to those amendments.</w:t>
      </w:r>
    </w:p>
    <w:p>
      <w:pPr>
        <w:pStyle w:val="MiscClose"/>
        <w:rPr>
          <w:snapToGrid w:val="0"/>
        </w:rPr>
      </w:pPr>
      <w:r>
        <w:rPr>
          <w:snapToGrid w:val="0"/>
        </w:rPr>
        <w:t>”.</w:t>
      </w:r>
    </w:p>
    <w:p>
      <w:pPr>
        <w:pStyle w:val="nSubsection"/>
        <w:spacing w:before="120"/>
        <w:rPr>
          <w:snapToGrid w:val="0"/>
        </w:rPr>
      </w:pPr>
      <w:r>
        <w:rPr>
          <w:snapToGrid w:val="0"/>
          <w:vertAlign w:val="superscript"/>
        </w:rPr>
        <w:t>35</w:t>
      </w:r>
      <w:r>
        <w:rPr>
          <w:snapToGrid w:val="0"/>
        </w:rPr>
        <w:tab/>
        <w:t xml:space="preserve">The </w:t>
      </w:r>
      <w:r>
        <w:rPr>
          <w:i/>
          <w:snapToGrid w:val="0"/>
        </w:rPr>
        <w:t>Workers’ Compensation and Rehabilitation Amendment Act 1993</w:t>
      </w:r>
      <w:r>
        <w:rPr>
          <w:snapToGrid w:val="0"/>
        </w:rPr>
        <w:t xml:space="preserve"> Sch. 1 cl. 30 amended section 73(1), (4) and (6), however those amendments were made redundant by the amendments effected by clause 16 of that Schedule.</w:t>
      </w:r>
    </w:p>
    <w:p>
      <w:pPr>
        <w:pStyle w:val="nSubsection"/>
        <w:spacing w:before="120"/>
        <w:rPr>
          <w:snapToGrid w:val="0"/>
        </w:rPr>
      </w:pPr>
      <w:r>
        <w:rPr>
          <w:snapToGrid w:val="0"/>
          <w:vertAlign w:val="superscript"/>
        </w:rPr>
        <w:t>36</w:t>
      </w:r>
      <w:r>
        <w:rPr>
          <w:snapToGrid w:val="0"/>
        </w:rPr>
        <w:tab/>
        <w:t xml:space="preserve">The </w:t>
      </w:r>
      <w:r>
        <w:rPr>
          <w:i/>
          <w:snapToGrid w:val="0"/>
        </w:rPr>
        <w:t>Workers’ Compensation and Rehabilitation Amendment Act 1993</w:t>
      </w:r>
      <w:r>
        <w:rPr>
          <w:snapToGrid w:val="0"/>
        </w:rPr>
        <w:t xml:space="preserve"> Sch. 1 cl. 30 amended Schedule 7 clauses 6(1)(a), 6(2)(a) and 8(3), however those amendments were made redundant by the amendments effected by clause 27 of the first-mentioned Schedule.</w:t>
      </w:r>
    </w:p>
    <w:p>
      <w:pPr>
        <w:pStyle w:val="nSubsection"/>
      </w:pPr>
      <w:r>
        <w:rPr>
          <w:snapToGrid w:val="0"/>
          <w:vertAlign w:val="superscript"/>
        </w:rPr>
        <w:t>37</w:t>
      </w:r>
      <w:r>
        <w:rPr>
          <w:snapToGrid w:val="0"/>
        </w:rPr>
        <w:tab/>
      </w:r>
      <w:r>
        <w:t xml:space="preserve">The </w:t>
      </w:r>
      <w:r>
        <w:rPr>
          <w:i/>
        </w:rPr>
        <w:t>Workers’ Compensation and Rehabilitation Amendment Act (No. 2) 1999</w:t>
      </w:r>
      <w:r>
        <w:t xml:space="preserve"> s. 7(3) reads as follows:</w:t>
      </w:r>
    </w:p>
    <w:p>
      <w:pPr>
        <w:pStyle w:val="MiscOpen"/>
      </w:pPr>
      <w:r>
        <w:t>“</w:t>
      </w:r>
    </w:p>
    <w:p>
      <w:pPr>
        <w:pStyle w:val="nzSubsection"/>
        <w:spacing w:before="0"/>
      </w:pPr>
      <w:r>
        <w:tab/>
        <w:t>(3)</w:t>
      </w:r>
      <w:r>
        <w:tab/>
        <w:t xml:space="preserve">For the purposes of section 84E(1)(aa) of the </w:t>
      </w:r>
      <w:r>
        <w:rPr>
          <w:i/>
        </w:rPr>
        <w:t>Workers’ Compensation and Rehabilitation Act 1981</w:t>
      </w:r>
      <w:r>
        <w:t xml:space="preserve"> as inserted by subsection (2), the making of an order under section 67(2) or (3) of that Act as in force before the commencement of this Act is to be regarded as constituting the recording of a memorandum of agreement under section 76 of that Act.</w:t>
      </w:r>
    </w:p>
    <w:p>
      <w:pPr>
        <w:pStyle w:val="MiscClose"/>
        <w:rPr>
          <w:snapToGrid w:val="0"/>
        </w:rPr>
      </w:pPr>
      <w:r>
        <w:t>”.</w:t>
      </w:r>
    </w:p>
    <w:p>
      <w:pPr>
        <w:pStyle w:val="nSubsection"/>
        <w:keepNext/>
      </w:pPr>
      <w:r>
        <w:rPr>
          <w:snapToGrid w:val="0"/>
          <w:vertAlign w:val="superscript"/>
        </w:rPr>
        <w:t>38</w:t>
      </w:r>
      <w:r>
        <w:rPr>
          <w:snapToGrid w:val="0"/>
        </w:rPr>
        <w:tab/>
      </w:r>
      <w:r>
        <w:t xml:space="preserve">The </w:t>
      </w:r>
      <w:r>
        <w:rPr>
          <w:i/>
        </w:rPr>
        <w:t>Workers’ Compensation and Rehabilitation Amendment Act 1999</w:t>
      </w:r>
      <w:r>
        <w:t xml:space="preserve"> s. 46(2), (3) and (4) read as follows:</w:t>
      </w:r>
    </w:p>
    <w:p>
      <w:pPr>
        <w:pStyle w:val="MiscOpen"/>
      </w:pPr>
      <w:r>
        <w:t>“</w:t>
      </w:r>
    </w:p>
    <w:p>
      <w:pPr>
        <w:pStyle w:val="nzSubsection"/>
        <w:keepNext/>
        <w:spacing w:before="0"/>
      </w:pPr>
      <w:r>
        <w:tab/>
        <w:t>(2)</w:t>
      </w:r>
      <w:r>
        <w:tab/>
        <w:t>A person who —</w:t>
      </w:r>
    </w:p>
    <w:p>
      <w:pPr>
        <w:pStyle w:val="nzIndenta"/>
      </w:pPr>
      <w:r>
        <w:tab/>
        <w:t>(a)</w:t>
      </w:r>
      <w:r>
        <w:tab/>
        <w:t>before the commencement of section 35, was authorized by the Commission under the former section 103 as an inspector; or</w:t>
      </w:r>
    </w:p>
    <w:p>
      <w:pPr>
        <w:pStyle w:val="nzIndenta"/>
      </w:pPr>
      <w:r>
        <w:tab/>
        <w:t>(b)</w:t>
      </w:r>
      <w:r>
        <w:tab/>
        <w:t>before the commencement of section 44, was authorized by the Minister under the former section 172,</w:t>
      </w:r>
    </w:p>
    <w:p>
      <w:pPr>
        <w:pStyle w:val="nzSubsection"/>
      </w:pPr>
      <w:r>
        <w:tab/>
      </w:r>
      <w:r>
        <w:tab/>
        <w:t>is to be regarded as having been authorized by the Commission as an inspector under section 175A(1) of the principal Act and as having taken the oath required by section 175A(2).</w:t>
      </w:r>
    </w:p>
    <w:p>
      <w:pPr>
        <w:pStyle w:val="nzSubsection"/>
      </w:pPr>
      <w:r>
        <w:tab/>
        <w:t>(3)</w:t>
      </w:r>
      <w:r>
        <w:tab/>
        <w:t>If —</w:t>
      </w:r>
    </w:p>
    <w:p>
      <w:pPr>
        <w:pStyle w:val="nzIndenta"/>
      </w:pPr>
      <w:r>
        <w:tab/>
        <w:t>(a)</w:t>
      </w:r>
      <w:r>
        <w:tab/>
        <w:t>a requirement made under the former section 103 by a person referred to in subsection (2)(a); or</w:t>
      </w:r>
    </w:p>
    <w:p>
      <w:pPr>
        <w:pStyle w:val="nzIndenta"/>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t>“former section”</w:t>
      </w:r>
      <w:r>
        <w:t xml:space="preserve"> means a section of the principal Act as in force before its repeal by this Act.</w:t>
      </w:r>
    </w:p>
    <w:p>
      <w:pPr>
        <w:pStyle w:val="MiscClose"/>
        <w:rPr>
          <w:snapToGrid w:val="0"/>
        </w:rPr>
      </w:pPr>
      <w:r>
        <w:t>”.</w:t>
      </w:r>
    </w:p>
    <w:p>
      <w:pPr>
        <w:pStyle w:val="nSubsection"/>
        <w:keepNext/>
      </w:pPr>
      <w:r>
        <w:rPr>
          <w:vertAlign w:val="superscript"/>
        </w:rPr>
        <w:t>39</w:t>
      </w:r>
      <w:r>
        <w:tab/>
        <w:t xml:space="preserve">The </w:t>
      </w:r>
      <w:r>
        <w:rPr>
          <w:i/>
        </w:rPr>
        <w:t>Workers’ Compensation and Rehabilitation Amendment Act 1999</w:t>
      </w:r>
      <w:r>
        <w:t xml:space="preserve"> s. 56(2) reads as follows:</w:t>
      </w:r>
    </w:p>
    <w:p>
      <w:pPr>
        <w:pStyle w:val="MiscOpen"/>
      </w:pPr>
      <w:r>
        <w:t>“</w:t>
      </w:r>
    </w:p>
    <w:p>
      <w:pPr>
        <w:pStyle w:val="nzSubsection"/>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pStyle w:val="MiscClose"/>
        <w:rPr>
          <w:snapToGrid w:val="0"/>
          <w:vertAlign w:val="superscript"/>
        </w:rPr>
      </w:pPr>
      <w:r>
        <w:t>”.</w:t>
      </w:r>
    </w:p>
    <w:p>
      <w:pPr>
        <w:pStyle w:val="nSubsection"/>
        <w:keepNext/>
      </w:pPr>
      <w:r>
        <w:rPr>
          <w:vertAlign w:val="superscript"/>
        </w:rPr>
        <w:t>40</w:t>
      </w:r>
      <w:r>
        <w:tab/>
        <w:t xml:space="preserve">The </w:t>
      </w:r>
      <w:r>
        <w:rPr>
          <w:i/>
        </w:rPr>
        <w:t>Racing and Gambling Legislation Amendment and Repeal Act 2003</w:t>
      </w:r>
      <w:r>
        <w:t xml:space="preserve"> s. 19 reads as follows:</w:t>
      </w:r>
    </w:p>
    <w:p>
      <w:pPr>
        <w:pStyle w:val="MiscOpen"/>
      </w:pPr>
      <w:r>
        <w:t>“</w:t>
      </w:r>
    </w:p>
    <w:p>
      <w:pPr>
        <w:pStyle w:val="nzHeading5"/>
      </w:pPr>
      <w:bookmarkStart w:id="3613" w:name="_Toc20219085"/>
      <w:bookmarkStart w:id="3614" w:name="_Toc20710666"/>
      <w:bookmarkStart w:id="3615" w:name="_Toc22632825"/>
      <w:bookmarkStart w:id="3616" w:name="_Toc44146574"/>
      <w:r>
        <w:rPr>
          <w:rStyle w:val="CharSectno"/>
        </w:rPr>
        <w:t>19</w:t>
      </w:r>
      <w:r>
        <w:t>.</w:t>
      </w:r>
      <w:r>
        <w:tab/>
        <w:t>Power to amend regulations</w:t>
      </w:r>
      <w:bookmarkEnd w:id="3613"/>
      <w:bookmarkEnd w:id="3614"/>
      <w:bookmarkEnd w:id="3615"/>
      <w:bookmarkEnd w:id="3616"/>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pPr>
      <w:r>
        <w:tab/>
        <w:t>(3)</w:t>
      </w:r>
      <w:r>
        <w:tab/>
        <w:t>Nothing in this section prevents subsidiary legislation from being amended in accordance with the Act under which it was made.</w:t>
      </w:r>
    </w:p>
    <w:p>
      <w:pPr>
        <w:pStyle w:val="MiscClose"/>
      </w:pPr>
      <w:r>
        <w:t>”.</w:t>
      </w:r>
    </w:p>
    <w:p>
      <w:pPr>
        <w:pStyle w:val="nSubsection"/>
      </w:pPr>
      <w:r>
        <w:rPr>
          <w:vertAlign w:val="superscript"/>
        </w:rPr>
        <w:t>41</w:t>
      </w:r>
      <w:r>
        <w:tab/>
        <w:t xml:space="preserve">The </w:t>
      </w:r>
      <w:r>
        <w:rPr>
          <w:i/>
        </w:rPr>
        <w:t xml:space="preserve">Acts Amendment and Repeal (Courts and Legal Practice) Act 2003 </w:t>
      </w:r>
      <w:r>
        <w:t>s. 97 reads as follows:</w:t>
      </w:r>
    </w:p>
    <w:p>
      <w:pPr>
        <w:pStyle w:val="MiscOpen"/>
      </w:pPr>
      <w:r>
        <w:t>“</w:t>
      </w:r>
    </w:p>
    <w:p>
      <w:pPr>
        <w:pStyle w:val="nzHeading5"/>
      </w:pPr>
      <w:bookmarkStart w:id="3617" w:name="_Toc58037621"/>
      <w:r>
        <w:rPr>
          <w:rStyle w:val="CharSectno"/>
        </w:rPr>
        <w:t>97</w:t>
      </w:r>
      <w:r>
        <w:t>.</w:t>
      </w:r>
      <w:r>
        <w:tab/>
        <w:t>References to Crown Solicitor</w:t>
      </w:r>
      <w:bookmarkEnd w:id="3617"/>
    </w:p>
    <w:p>
      <w:pPr>
        <w:pStyle w:val="nzSubsection"/>
      </w:pPr>
      <w:r>
        <w:tab/>
      </w:r>
      <w:r>
        <w:tab/>
        <w:t>If in a written law or other document or instrument there is a reference to the Crown Solicitor that reference may, where the context so requires, be read as if it had been amended to be a reference to the State Solicitor.</w:t>
      </w:r>
    </w:p>
    <w:p>
      <w:pPr>
        <w:pStyle w:val="MiscClose"/>
      </w:pPr>
      <w:r>
        <w:t>”.</w:t>
      </w:r>
    </w:p>
    <w:p>
      <w:pPr>
        <w:pStyle w:val="nSubsection"/>
      </w:pPr>
      <w:r>
        <w:rPr>
          <w:vertAlign w:val="superscript"/>
        </w:rPr>
        <w:t>42</w:t>
      </w:r>
      <w:r>
        <w:tab/>
        <w:t xml:space="preserve">The </w:t>
      </w:r>
      <w:r>
        <w:rPr>
          <w:i/>
        </w:rPr>
        <w:t>Workers’ Compensation and Rehabilitation Amendment (Cross Border) Act 2004</w:t>
      </w:r>
      <w:r>
        <w:t xml:space="preserve"> Pt. 2 Div. 2 (as amended by this Act s. 16, 17(5) and 19) reads as follows:</w:t>
      </w:r>
    </w:p>
    <w:p>
      <w:pPr>
        <w:pStyle w:val="MiscOpen"/>
      </w:pPr>
      <w:r>
        <w:t>“</w:t>
      </w:r>
    </w:p>
    <w:p>
      <w:pPr>
        <w:pStyle w:val="nzHeading3"/>
        <w:outlineLvl w:val="0"/>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pPr>
      <w:r>
        <w:tab/>
        <w:t>(1)</w:t>
      </w:r>
      <w:r>
        <w:tab/>
        <w:t>In this section —</w:t>
      </w:r>
    </w:p>
    <w:p>
      <w:pPr>
        <w:pStyle w:val="nzDefstart"/>
      </w:pPr>
      <w:r>
        <w:rPr>
          <w:b/>
        </w:rPr>
        <w:tab/>
        <w:t>“</w:t>
      </w:r>
      <w:r>
        <w:rPr>
          <w:rStyle w:val="CharDefText"/>
        </w:rPr>
        <w:t>amendments</w:t>
      </w:r>
      <w:r>
        <w:rPr>
          <w:b/>
        </w:rPr>
        <w:t>”</w:t>
      </w:r>
      <w:r>
        <w:t xml:space="preserve"> means amendments made to the principal Act by this Act;</w:t>
      </w:r>
    </w:p>
    <w:p>
      <w:pPr>
        <w:pStyle w:val="nzDefstart"/>
      </w:pPr>
      <w:r>
        <w:tab/>
      </w:r>
      <w:r>
        <w:rPr>
          <w:b/>
        </w:rPr>
        <w:t>“</w:t>
      </w:r>
      <w:r>
        <w:rPr>
          <w:rStyle w:val="CharDefText"/>
        </w:rPr>
        <w:t>commencement day</w:t>
      </w:r>
      <w:r>
        <w:rPr>
          <w:b/>
        </w:rPr>
        <w:t>”</w:t>
      </w:r>
      <w:r>
        <w:t xml:space="preserve"> means the day on which this Part comes into operation;</w:t>
      </w:r>
    </w:p>
    <w:p>
      <w:pPr>
        <w:pStyle w:val="nzDefstart"/>
      </w:pPr>
      <w:r>
        <w:tab/>
      </w:r>
      <w:r>
        <w:rPr>
          <w:b/>
        </w:rPr>
        <w:t>“</w:t>
      </w:r>
      <w:r>
        <w:rPr>
          <w:rStyle w:val="CharDefText"/>
        </w:rPr>
        <w:t>principal Act</w:t>
      </w:r>
      <w:r>
        <w:rPr>
          <w:b/>
        </w:rPr>
        <w: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pPr>
      <w:r>
        <w:tab/>
        <w:t>(2)</w:t>
      </w:r>
      <w:r>
        <w:tab/>
        <w:t>The amendments do not apply in respect of an injury that occurred before the commencement day, and the principal Act applies in respect of such an injury as if the amendments had not been made.</w:t>
      </w:r>
    </w:p>
    <w:p>
      <w:pPr>
        <w:pStyle w:val="nzSubsection"/>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by No. 36 of 2004 s. 16, 17(5) and 19.]</w:t>
      </w:r>
    </w:p>
    <w:p>
      <w:pPr>
        <w:pStyle w:val="MiscClose"/>
      </w:pPr>
      <w:r>
        <w:t>”.</w:t>
      </w:r>
    </w:p>
    <w:p>
      <w:pPr>
        <w:pStyle w:val="nSubsection"/>
        <w:rPr>
          <w:i/>
        </w:rPr>
      </w:pPr>
      <w:r>
        <w:rPr>
          <w:vertAlign w:val="superscript"/>
        </w:rPr>
        <w:t>43</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pStyle w:val="MiscOpen"/>
      </w:pPr>
      <w:r>
        <w:t>“</w:t>
      </w:r>
    </w:p>
    <w:p>
      <w:pPr>
        <w:pStyle w:val="nzHeading5"/>
      </w:pPr>
      <w:r>
        <w:rPr>
          <w:rStyle w:val="CharSectno"/>
        </w:rPr>
        <w:t>114</w:t>
      </w:r>
      <w:r>
        <w:t>.</w:t>
      </w:r>
      <w:r>
        <w:tab/>
        <w:t>Section 152 amended and transitional provision</w:t>
      </w:r>
    </w:p>
    <w:p>
      <w:pPr>
        <w:pStyle w:val="nzSubsection"/>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outlineLvl w:val="0"/>
      </w:pPr>
      <w:r>
        <w:rPr>
          <w:rStyle w:val="CharPartNo"/>
        </w:rPr>
        <w:t>Part 4</w:t>
      </w:r>
      <w:r>
        <w:t> — </w:t>
      </w:r>
      <w:r>
        <w:rPr>
          <w:rStyle w:val="CharPartText"/>
        </w:rPr>
        <w:t>Transitional provisions</w:t>
      </w:r>
    </w:p>
    <w:p>
      <w:pPr>
        <w:pStyle w:val="nzHeading3"/>
      </w:pPr>
      <w:r>
        <w:rPr>
          <w:rStyle w:val="CharDivNo"/>
        </w:rPr>
        <w:t>Division 1</w:t>
      </w:r>
      <w:r>
        <w:t> — </w:t>
      </w:r>
      <w:r>
        <w:rPr>
          <w:rStyle w:val="CharDivText"/>
        </w:rPr>
        <w:t>General</w:t>
      </w:r>
    </w:p>
    <w:p>
      <w:pPr>
        <w:pStyle w:val="nzHeading5"/>
        <w:outlineLvl w:val="0"/>
      </w:pPr>
      <w:r>
        <w:rPr>
          <w:rStyle w:val="CharSectno"/>
        </w:rPr>
        <w:t>176</w:t>
      </w:r>
      <w:r>
        <w:t>.</w:t>
      </w:r>
      <w:r>
        <w:tab/>
        <w:t>Interpretation</w:t>
      </w:r>
    </w:p>
    <w:p>
      <w:pPr>
        <w:pStyle w:val="nzSubsection"/>
      </w:pPr>
      <w:r>
        <w:tab/>
      </w:r>
      <w:r>
        <w:tab/>
        <w:t xml:space="preserve">In this Division unless the contrary intention appears — </w:t>
      </w:r>
    </w:p>
    <w:p>
      <w:pPr>
        <w:pStyle w:val="nzDefstart"/>
      </w:pPr>
      <w:r>
        <w:rPr>
          <w:b/>
        </w:rPr>
        <w:tab/>
        <w:t>“</w:t>
      </w:r>
      <w:r>
        <w:rPr>
          <w:rStyle w:val="CharDefText"/>
        </w:rPr>
        <w:t>principal Act</w:t>
      </w:r>
      <w:r>
        <w:rPr>
          <w:b/>
        </w:rPr>
        <w: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t>“</w:t>
      </w:r>
      <w:r>
        <w:rPr>
          <w:rStyle w:val="CharDefText"/>
        </w:rPr>
        <w:t>amended Act</w:t>
      </w:r>
      <w:r>
        <w:rPr>
          <w:b/>
        </w:rPr>
        <w: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outlineLvl w:val="0"/>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outlineLvl w:val="0"/>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pPr>
      <w:r>
        <w:tab/>
        <w:t>(2)</w:t>
      </w:r>
      <w:r>
        <w:tab/>
        <w:t xml:space="preserve">If in the opinion of the Minister an anomaly arises in the carrying out of any provision —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 xml:space="preserve">the Governor may by regulations —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 xml:space="preserve">If regulations contain a provision referred to in subsection (3), the provision does not operate so as —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outlineLvl w:val="0"/>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outlineLvl w:val="0"/>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outlineLvl w:val="0"/>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 xml:space="preserve">Schedule 1 clause 18A of the amended Act as amended by section 141 of this Act does not apply to compensation payable to a worker if, before the coming into operation of section 141(16) of this Act —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outlineLvl w:val="0"/>
      </w:pPr>
      <w:r>
        <w:rPr>
          <w:rStyle w:val="CharDivNo"/>
        </w:rPr>
        <w:t>Division 3</w:t>
      </w:r>
      <w:r>
        <w:t> — </w:t>
      </w:r>
      <w:r>
        <w:rPr>
          <w:rStyle w:val="CharDivText"/>
        </w:rPr>
        <w:t>Transitional provisions relating to dispute resolution</w:t>
      </w:r>
    </w:p>
    <w:p>
      <w:pPr>
        <w:pStyle w:val="nzHeading5"/>
        <w:spacing w:before="180"/>
        <w:outlineLvl w:val="0"/>
      </w:pPr>
      <w:r>
        <w:rPr>
          <w:rStyle w:val="CharSectno"/>
        </w:rPr>
        <w:t>182</w:t>
      </w:r>
      <w:r>
        <w:t>.</w:t>
      </w:r>
      <w:r>
        <w:tab/>
        <w:t>Interpretation</w:t>
      </w:r>
    </w:p>
    <w:p>
      <w:pPr>
        <w:pStyle w:val="nzSubsection"/>
        <w:spacing w:before="120"/>
      </w:pPr>
      <w:r>
        <w:tab/>
        <w:t>(1)</w:t>
      </w:r>
      <w:r>
        <w:tab/>
        <w:t xml:space="preserve">In this Division — </w:t>
      </w:r>
    </w:p>
    <w:p>
      <w:pPr>
        <w:pStyle w:val="nzDefstart"/>
        <w:spacing w:before="100"/>
      </w:pPr>
      <w:r>
        <w:rPr>
          <w:b/>
        </w:rPr>
        <w:tab/>
        <w:t>“</w:t>
      </w:r>
      <w:r>
        <w:rPr>
          <w:rStyle w:val="CharDefText"/>
        </w:rPr>
        <w:t>commencement day</w:t>
      </w:r>
      <w:r>
        <w:rPr>
          <w:b/>
        </w:rPr>
        <w:t>”</w:t>
      </w:r>
      <w:r>
        <w:t xml:space="preserve"> means the day on which section 130 of this Act comes into operation;</w:t>
      </w:r>
    </w:p>
    <w:p>
      <w:pPr>
        <w:pStyle w:val="nzDefstart"/>
        <w:spacing w:before="100"/>
      </w:pPr>
      <w:r>
        <w:rPr>
          <w:b/>
        </w:rPr>
        <w:tab/>
        <w:t>“</w:t>
      </w:r>
      <w:r>
        <w:rPr>
          <w:rStyle w:val="CharDefText"/>
        </w:rPr>
        <w:t>Director Dispute Resolution</w:t>
      </w:r>
      <w:r>
        <w:rPr>
          <w:b/>
        </w:rPr>
        <w:t>”</w:t>
      </w:r>
      <w:r>
        <w:t xml:space="preserve"> has the meaning given to “Director” in the amended Act;</w:t>
      </w:r>
    </w:p>
    <w:p>
      <w:pPr>
        <w:pStyle w:val="nzDefstart"/>
        <w:spacing w:before="100"/>
      </w:pPr>
      <w:r>
        <w:tab/>
        <w:t>“</w:t>
      </w:r>
      <w:r>
        <w:rPr>
          <w:rStyle w:val="CharDefText"/>
        </w:rPr>
        <w:t>Director of Conciliation and Review</w:t>
      </w:r>
      <w:r>
        <w:t>” has the meaning given to “Director” in the principal Act;</w:t>
      </w:r>
    </w:p>
    <w:p>
      <w:pPr>
        <w:pStyle w:val="nzDefstart"/>
        <w:spacing w:before="100"/>
      </w:pPr>
      <w:r>
        <w:rPr>
          <w:b/>
        </w:rPr>
        <w:tab/>
        <w:t>“</w:t>
      </w:r>
      <w:r>
        <w:rPr>
          <w:rStyle w:val="CharDefText"/>
        </w:rPr>
        <w:t>pending proceeding</w:t>
      </w:r>
      <w:r>
        <w:rPr>
          <w:b/>
        </w:rPr>
        <w:t>”</w:t>
      </w:r>
      <w:r>
        <w:t xml:space="preserve"> means —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 xml:space="preserve">The following expressions have the same meaning in this Division as they had in the principal Act before it was amended by this Act —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outlineLvl w:val="0"/>
      </w:pPr>
      <w:r>
        <w:rPr>
          <w:rStyle w:val="CharSectno"/>
        </w:rPr>
        <w:t>183</w:t>
      </w:r>
      <w:r>
        <w:t>.</w:t>
      </w:r>
      <w:r>
        <w:tab/>
        <w:t>Conciliation and review</w:t>
      </w:r>
    </w:p>
    <w:p>
      <w:pPr>
        <w:pStyle w:val="nzSubsection"/>
      </w:pPr>
      <w:r>
        <w:tab/>
        <w:t>(1)</w:t>
      </w:r>
      <w:r>
        <w:tab/>
        <w:t xml:space="preserve">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 xml:space="preserve">A dispute resolution authority to whom a pending proceeding is transferred under this section may —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outlineLvl w:val="0"/>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 xml:space="preserve">On and from the commencement day — </w:t>
      </w:r>
    </w:p>
    <w:p>
      <w:pPr>
        <w:pStyle w:val="nzIndenta"/>
      </w:pPr>
      <w:r>
        <w:tab/>
        <w:t>(a)</w:t>
      </w:r>
      <w:r>
        <w:tab/>
        <w:t>any pending proceeding before a compensation magistrate’s court; and</w:t>
      </w:r>
    </w:p>
    <w:p>
      <w:pPr>
        <w:pStyle w:val="nzIndenta"/>
      </w:pPr>
      <w:r>
        <w:tab/>
        <w:t>(b)</w:t>
      </w:r>
      <w:r>
        <w:tab/>
        <w:t xml:space="preserve">any matter that has been determined by a review officer and —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by No. 16 of 2005 s. 7.]</w:t>
      </w:r>
    </w:p>
    <w:p>
      <w:pPr>
        <w:pStyle w:val="nzHeading5"/>
        <w:outlineLvl w:val="0"/>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outlineLvl w:val="0"/>
      </w:pPr>
      <w:r>
        <w:rPr>
          <w:rStyle w:val="CharSectno"/>
        </w:rPr>
        <w:t>186</w:t>
      </w:r>
      <w:r>
        <w:t>.</w:t>
      </w:r>
      <w:r>
        <w:tab/>
        <w:t>Director of Conciliation and Review</w:t>
      </w:r>
    </w:p>
    <w:p>
      <w:pPr>
        <w:pStyle w:val="nzSubsection"/>
      </w:pPr>
      <w:r>
        <w:tab/>
        <w:t>(1)</w:t>
      </w:r>
      <w:r>
        <w:tab/>
        <w:t xml:space="preserve">In this section — </w:t>
      </w:r>
    </w:p>
    <w:p>
      <w:pPr>
        <w:pStyle w:val="nzDefstart"/>
      </w:pPr>
      <w:r>
        <w:rPr>
          <w:b/>
        </w:rPr>
        <w:tab/>
        <w:t xml:space="preserve">“former </w:t>
      </w:r>
      <w:r>
        <w:rPr>
          <w:rStyle w:val="CharDefText"/>
        </w:rPr>
        <w:t>function</w:t>
      </w:r>
      <w:r>
        <w:rPr>
          <w:b/>
        </w:rPr>
        <w:t>”</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 xml:space="preserve">On the commencement day —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outlineLvl w:val="0"/>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 xml:space="preserve">A compensation magistrate’s court is to cause the Director Dispute Resolution to be given —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outlineLvl w:val="0"/>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WorkCover WA who, immediately before the coming into operation of section 130 of the </w:t>
      </w:r>
      <w:r>
        <w:rPr>
          <w:i/>
        </w:rPr>
        <w:t>Workers’ Compensation Reform Act 2004</w:t>
      </w:r>
      <w:r>
        <w:t>, was</w:t>
      </w:r>
      <w:r>
        <w:rPr>
          <w:i/>
        </w:rPr>
        <w:t xml:space="preserve"> </w:t>
      </w:r>
      <w:r>
        <w:t>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outlineLvl w:val="0"/>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rPr>
        <w:t>“</w:t>
      </w:r>
      <w:r>
        <w:rPr>
          <w:rStyle w:val="CharDefText"/>
        </w:rPr>
        <w:t>commencement time</w:t>
      </w:r>
      <w:r>
        <w:rPr>
          <w:b/>
        </w:rPr>
        <w:t>”</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 xml:space="preserve">In subsection (1) — </w:t>
      </w:r>
    </w:p>
    <w:p>
      <w:pPr>
        <w:pStyle w:val="nzDefstart"/>
      </w:pPr>
      <w:r>
        <w:rPr>
          <w:b/>
        </w:rPr>
        <w:tab/>
        <w:t>“</w:t>
      </w:r>
      <w:r>
        <w:rPr>
          <w:rStyle w:val="CharDefText"/>
        </w:rPr>
        <w:t>WorkCover WA</w:t>
      </w:r>
      <w:r>
        <w:rPr>
          <w:b/>
        </w:rPr>
        <w:t>”</w:t>
      </w:r>
      <w:r>
        <w:t xml:space="preserve"> has the meaning given to that term by the </w:t>
      </w:r>
      <w:r>
        <w:rPr>
          <w:i/>
        </w:rPr>
        <w:t>Workers’ Compensation and Injury Management Act 1981</w:t>
      </w:r>
      <w:r>
        <w:t>;</w:t>
      </w:r>
    </w:p>
    <w:p>
      <w:pPr>
        <w:pStyle w:val="nzDefstart"/>
      </w:pPr>
      <w:r>
        <w:rPr>
          <w:b/>
        </w:rPr>
        <w:tab/>
        <w:t>“</w:t>
      </w:r>
      <w:r>
        <w:rPr>
          <w:rStyle w:val="CharDefText"/>
        </w:rPr>
        <w:t>corresponding thing</w:t>
      </w:r>
      <w:r>
        <w:rPr>
          <w:b/>
        </w:rPr>
        <w:t>”</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t>“</w:t>
      </w:r>
      <w:r>
        <w:rPr>
          <w:rStyle w:val="CharDefText"/>
        </w:rPr>
        <w:t>former Committee</w:t>
      </w:r>
      <w:r>
        <w:rPr>
          <w:b/>
        </w:rPr>
        <w:t>”</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t>“</w:t>
      </w:r>
      <w:r>
        <w:rPr>
          <w:rStyle w:val="CharDefText"/>
        </w:rPr>
        <w:t>Part VIII amendments</w:t>
      </w:r>
      <w:r>
        <w:rPr>
          <w:b/>
        </w:rPr>
        <w:t>”</w:t>
      </w:r>
      <w:r>
        <w:t xml:space="preserve"> means the amendments that sections 104 to 117 and 150 to 153 make to Part VIII of the </w:t>
      </w:r>
      <w:r>
        <w:rPr>
          <w:i/>
        </w:rPr>
        <w:t>Workers’ Compensation and Rehabilitation Act 1981</w:t>
      </w:r>
      <w:r>
        <w:t>.</w:t>
      </w:r>
    </w:p>
    <w:p>
      <w:pPr>
        <w:pStyle w:val="MiscClose"/>
      </w:pPr>
      <w:r>
        <w:t>”.</w:t>
      </w:r>
    </w:p>
    <w:p>
      <w:pPr>
        <w:pStyle w:val="nSubsection"/>
        <w:rPr>
          <w:snapToGrid w:val="0"/>
        </w:rPr>
      </w:pPr>
      <w:r>
        <w:rPr>
          <w:vertAlign w:val="superscript"/>
        </w:rPr>
        <w:t>44</w:t>
      </w:r>
      <w:r>
        <w:rPr>
          <w:vertAlign w:val="superscript"/>
        </w:rPr>
        <w:tab/>
      </w:r>
      <w:r>
        <w:rPr>
          <w:snapToGrid w:val="0"/>
        </w:rPr>
        <w:t xml:space="preserve">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is of no effect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repealed by the </w:t>
      </w:r>
      <w:r>
        <w:rPr>
          <w:i/>
        </w:rPr>
        <w:t>Workers' Compensation Legislation Amendment Act 2005</w:t>
      </w:r>
      <w:r>
        <w:t xml:space="preserve"> s. 31.</w:t>
      </w:r>
    </w:p>
    <w:p>
      <w:pPr>
        <w:pStyle w:val="nSubsection"/>
      </w:pPr>
      <w:r>
        <w:rPr>
          <w:vertAlign w:val="superscript"/>
        </w:rPr>
        <w:t>45</w:t>
      </w:r>
      <w:r>
        <w:tab/>
        <w:t xml:space="preserve">The </w:t>
      </w:r>
      <w:r>
        <w:rPr>
          <w:i/>
          <w:snapToGrid w:val="0"/>
          <w:lang w:val="en-US"/>
        </w:rPr>
        <w:t xml:space="preserve">Criminal Procedure and Appeals (Consequential and Other Provisions) Act 2004 </w:t>
      </w:r>
      <w:r>
        <w:rPr>
          <w:snapToGrid w:val="0"/>
          <w:lang w:val="en-US"/>
        </w:rPr>
        <w:t xml:space="preserve">Sch. 2 cl. 157 </w:t>
      </w:r>
      <w:r>
        <w:t xml:space="preserve">(the amendment to s. 175H(2)(c)), which was proclaimed to commence on 1 July 2005 (see </w:t>
      </w:r>
      <w:r>
        <w:rPr>
          <w:i/>
        </w:rPr>
        <w:t>Gazette</w:t>
      </w:r>
      <w:r>
        <w:t xml:space="preserve"> 31 Dec 2004 p. 7129), is of no effect because the section in the </w:t>
      </w:r>
      <w:r>
        <w:rPr>
          <w:i/>
        </w:rPr>
        <w:t>Workers’ Compensation and Injury Management Act 1981</w:t>
      </w:r>
      <w:r>
        <w:t xml:space="preserve"> that it purports to amend was not in operation on 1 July 2005.</w:t>
      </w:r>
    </w:p>
    <w:p>
      <w:pPr>
        <w:pStyle w:val="nSubsection"/>
        <w:keepNext/>
        <w:spacing w:before="120"/>
        <w:rPr>
          <w:snapToGrid w:val="0"/>
        </w:rPr>
      </w:pPr>
      <w:r>
        <w:rPr>
          <w:snapToGrid w:val="0"/>
          <w:vertAlign w:val="superscript"/>
        </w:rPr>
        <w:t>46</w:t>
      </w:r>
      <w:r>
        <w:rPr>
          <w:snapToGrid w:val="0"/>
        </w:rPr>
        <w:tab/>
        <w:t xml:space="preserve">On the date as at which this compilation was prepared, the </w:t>
      </w:r>
      <w:r>
        <w:rPr>
          <w:i/>
        </w:rPr>
        <w:t>Acts Amendment (ICWA) Act 1996</w:t>
      </w:r>
      <w:r>
        <w:t xml:space="preserve"> </w:t>
      </w:r>
      <w:r>
        <w:rPr>
          <w:snapToGrid w:val="0"/>
        </w:rPr>
        <w:t xml:space="preserve">Sch. 1 it. 16 (as amended by the </w:t>
      </w:r>
      <w:r>
        <w:rPr>
          <w:i/>
        </w:rPr>
        <w:t xml:space="preserve">Workers' Compensation Reform Act 2004 </w:t>
      </w:r>
      <w:r>
        <w:t>s. 155(2)(a))</w:t>
      </w:r>
      <w:r>
        <w:rPr>
          <w:snapToGrid w:val="0"/>
        </w:rPr>
        <w:t xml:space="preserve"> had not come into operation. It reads as follows:</w:t>
      </w:r>
    </w:p>
    <w:p>
      <w:pPr>
        <w:pStyle w:val="MiscOpen"/>
      </w:pPr>
      <w:r>
        <w:t>“</w:t>
      </w:r>
    </w:p>
    <w:p>
      <w:pPr>
        <w:pStyle w:val="nzHeading2"/>
        <w:spacing w:before="0"/>
        <w:outlineLvl w:val="0"/>
      </w:pPr>
      <w:r>
        <w:t>Schedule 1 — Consequential amendments to other Acts</w:t>
      </w:r>
    </w:p>
    <w:p>
      <w:pPr>
        <w:pStyle w:val="nzTable"/>
        <w:keepNext/>
        <w:spacing w:before="60" w:after="60"/>
        <w:ind w:left="1418"/>
      </w:pPr>
      <w:r>
        <w:rPr>
          <w:snapToGrid w:val="0"/>
        </w:rPr>
        <w:t>16.</w:t>
      </w:r>
      <w:r>
        <w:rPr>
          <w:snapToGrid w:val="0"/>
        </w:rPr>
        <w:tab/>
      </w:r>
      <w:r>
        <w:rPr>
          <w:i/>
          <w:snapToGrid w:val="0"/>
        </w:rPr>
        <w:t>Workers’ Compensation and Rehabilitation Act 1981</w:t>
      </w:r>
    </w:p>
    <w:tbl>
      <w:tblPr>
        <w:tblW w:w="0" w:type="auto"/>
        <w:tblInd w:w="1142" w:type="dxa"/>
        <w:tblLayout w:type="fixed"/>
        <w:tblCellMar>
          <w:left w:w="0" w:type="dxa"/>
          <w:right w:w="0" w:type="dxa"/>
        </w:tblCellMar>
        <w:tblLook w:val="0000" w:firstRow="0" w:lastRow="0" w:firstColumn="0" w:lastColumn="0" w:noHBand="0" w:noVBand="0"/>
      </w:tblPr>
      <w:tblGrid>
        <w:gridCol w:w="1560"/>
        <w:gridCol w:w="4110"/>
      </w:tblGrid>
      <w:tr>
        <w:tc>
          <w:tcPr>
            <w:tcW w:w="1560" w:type="dxa"/>
          </w:tcPr>
          <w:p>
            <w:pPr>
              <w:pStyle w:val="nzTable"/>
              <w:ind w:left="283" w:hanging="10"/>
              <w:jc w:val="both"/>
            </w:pPr>
            <w:r>
              <w:t>Section 5(1)</w:t>
            </w:r>
          </w:p>
        </w:tc>
        <w:tc>
          <w:tcPr>
            <w:tcW w:w="4110" w:type="dxa"/>
          </w:tcPr>
          <w:p>
            <w:pPr>
              <w:pStyle w:val="nzTable"/>
              <w:tabs>
                <w:tab w:val="left" w:pos="709"/>
              </w:tabs>
              <w:ind w:left="709" w:hanging="567"/>
            </w:pPr>
            <w:r>
              <w:t>(a)</w:t>
            </w:r>
            <w:r>
              <w:tab/>
              <w:t>After the definition of “industrial disease premium”, insert the following definition — </w:t>
            </w:r>
          </w:p>
          <w:p>
            <w:pPr>
              <w:pStyle w:val="nzTable"/>
              <w:tabs>
                <w:tab w:val="left" w:pos="709"/>
                <w:tab w:val="left" w:pos="1135"/>
                <w:tab w:val="left" w:pos="1560"/>
                <w:tab w:val="left" w:pos="2835"/>
              </w:tabs>
              <w:ind w:left="1549" w:right="709" w:hanging="1407"/>
            </w:pPr>
            <w:r>
              <w:tab/>
              <w:t>“</w:t>
            </w:r>
          </w:p>
          <w:p>
            <w:pPr>
              <w:pStyle w:val="nzTable"/>
              <w:tabs>
                <w:tab w:val="left" w:pos="993"/>
                <w:tab w:val="left" w:pos="1418"/>
              </w:tabs>
              <w:ind w:left="1418" w:right="567" w:hanging="1134"/>
            </w:pPr>
            <w:r>
              <w:tab/>
            </w:r>
            <w:r>
              <w:rPr>
                <w:b/>
              </w:rPr>
              <w:t>“Insurance Commission of Western Australia”</w:t>
            </w:r>
            <w:r>
              <w:t xml:space="preserve"> means the body continued under that name under the </w:t>
            </w:r>
            <w:r>
              <w:rPr>
                <w:i/>
              </w:rPr>
              <w:t>Insurance Commission of Western Australia Act 1986</w:t>
            </w:r>
            <w:r>
              <w:t>;</w:t>
            </w:r>
          </w:p>
          <w:p>
            <w:pPr>
              <w:pStyle w:val="nzTable"/>
              <w:tabs>
                <w:tab w:val="left" w:pos="142"/>
              </w:tabs>
              <w:ind w:left="142" w:right="142"/>
              <w:jc w:val="right"/>
            </w:pPr>
            <w:r>
              <w:t>”.</w:t>
            </w:r>
          </w:p>
        </w:tc>
      </w:tr>
      <w:tr>
        <w:tc>
          <w:tcPr>
            <w:tcW w:w="1560" w:type="dxa"/>
          </w:tcPr>
          <w:p>
            <w:pPr>
              <w:pStyle w:val="nzTable"/>
              <w:ind w:left="283" w:hanging="10"/>
            </w:pPr>
          </w:p>
        </w:tc>
        <w:tc>
          <w:tcPr>
            <w:tcW w:w="4110" w:type="dxa"/>
          </w:tcPr>
          <w:p>
            <w:pPr>
              <w:pStyle w:val="nzTable"/>
              <w:tabs>
                <w:tab w:val="left" w:pos="709"/>
              </w:tabs>
              <w:ind w:left="709" w:hanging="567"/>
            </w:pPr>
            <w:r>
              <w:t>(b)</w:t>
            </w:r>
            <w:r>
              <w:tab/>
              <w:t>Delete the definitions of “State Government Insurance Commission” and “State Government Insurance Corporation”.</w:t>
            </w:r>
          </w:p>
        </w:tc>
      </w:tr>
      <w:tr>
        <w:tc>
          <w:tcPr>
            <w:tcW w:w="1560" w:type="dxa"/>
          </w:tcPr>
          <w:p>
            <w:pPr>
              <w:pStyle w:val="nzTable"/>
              <w:ind w:left="283" w:hanging="10"/>
            </w:pPr>
            <w:r>
              <w:t>Section 162(1)</w:t>
            </w:r>
          </w:p>
        </w:tc>
        <w:tc>
          <w:tcPr>
            <w:tcW w:w="4110" w:type="dxa"/>
          </w:tcPr>
          <w:p>
            <w:pPr>
              <w:pStyle w:val="nzTable"/>
              <w:ind w:left="142"/>
            </w:pPr>
            <w:r>
              <w:t>Delete “State Government Insurance Commission”, substitute “Insurance Commission of Western Australia”.</w:t>
            </w:r>
          </w:p>
        </w:tc>
      </w:tr>
      <w:tr>
        <w:tc>
          <w:tcPr>
            <w:tcW w:w="1560" w:type="dxa"/>
          </w:tcPr>
          <w:p>
            <w:pPr>
              <w:pStyle w:val="nzTable"/>
              <w:keepNext/>
              <w:ind w:left="283" w:hanging="10"/>
            </w:pPr>
            <w:r>
              <w:t>Section 163</w:t>
            </w:r>
          </w:p>
        </w:tc>
        <w:tc>
          <w:tcPr>
            <w:tcW w:w="4110" w:type="dxa"/>
          </w:tcPr>
          <w:p>
            <w:pPr>
              <w:pStyle w:val="nzTable"/>
              <w:keepNext/>
              <w:ind w:left="142"/>
            </w:pPr>
            <w:r>
              <w:t>Delete “State Government Insurance Commission”, substitute “Insurance Commission of Western Australia”.</w:t>
            </w:r>
          </w:p>
        </w:tc>
      </w:tr>
    </w:tbl>
    <w:p>
      <w:pPr>
        <w:pStyle w:val="nzMiscellaneousBody"/>
        <w:ind w:left="1287" w:firstLine="153"/>
        <w:rPr>
          <w:i/>
        </w:rPr>
      </w:pPr>
      <w:r>
        <w:rPr>
          <w:i/>
        </w:rPr>
        <w:t>[Item 16 amended by No. 42 of 2004 s. 155(2)(a).]</w:t>
      </w:r>
    </w:p>
    <w:p>
      <w:pPr>
        <w:pStyle w:val="MiscClose"/>
      </w:pPr>
      <w:r>
        <w:t>”.</w:t>
      </w:r>
    </w:p>
    <w:p>
      <w:pPr>
        <w:pStyle w:val="nSubsection"/>
        <w:rPr>
          <w:snapToGrid w:val="0"/>
        </w:rPr>
      </w:pPr>
      <w:r>
        <w:rPr>
          <w:vertAlign w:val="superscript"/>
        </w:rPr>
        <w:t>47</w:t>
      </w:r>
      <w:r>
        <w:tab/>
      </w:r>
      <w:r>
        <w:rPr>
          <w:snapToGrid w:val="0"/>
        </w:rPr>
        <w:t xml:space="preserve">The </w:t>
      </w:r>
      <w:r>
        <w:rPr>
          <w:i/>
          <w:snapToGrid w:val="0"/>
        </w:rPr>
        <w:t>Workers’ Compensation Legislation Amendment Act 2005</w:t>
      </w:r>
      <w:r>
        <w:rPr>
          <w:snapToGrid w:val="0"/>
        </w:rPr>
        <w:t xml:space="preserve"> s. 9(2) reads as follows:</w:t>
      </w:r>
    </w:p>
    <w:p>
      <w:pPr>
        <w:pStyle w:val="MiscOpen"/>
        <w:rPr>
          <w:snapToGrid w:val="0"/>
        </w:rPr>
      </w:pPr>
      <w:r>
        <w:rPr>
          <w:snapToGrid w:val="0"/>
        </w:rPr>
        <w:t>“</w:t>
      </w:r>
    </w:p>
    <w:p>
      <w:pPr>
        <w:pStyle w:val="nzSubsection"/>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pStyle w:val="MiscClose"/>
        <w:rPr>
          <w:snapToGrid w:val="0"/>
        </w:rPr>
      </w:pPr>
      <w:r>
        <w:rPr>
          <w:snapToGrid w:val="0"/>
        </w:rPr>
        <w:t>”.</w:t>
      </w:r>
    </w:p>
    <w:p>
      <w:pPr>
        <w:pStyle w:val="nSubsection"/>
      </w:pPr>
      <w:r>
        <w:rPr>
          <w:vertAlign w:val="superscript"/>
        </w:rPr>
        <w:t>48</w:t>
      </w:r>
      <w:r>
        <w:tab/>
        <w:t xml:space="preserve">The amendments in the </w:t>
      </w:r>
      <w:r>
        <w:rPr>
          <w:i/>
        </w:rPr>
        <w:t>Workers’ Compensation Reform Act 2004</w:t>
      </w:r>
      <w:r>
        <w:t xml:space="preserve"> s. 146, 147 and 148(2) which sought to amend s. 15 will not be included because s. 15 has been repealed by the </w:t>
      </w:r>
      <w:r>
        <w:rPr>
          <w:i/>
        </w:rPr>
        <w:t>Workers’ Compensation and Rehabilitation Amendment (Cross Border) Act 2004</w:t>
      </w:r>
      <w:r>
        <w:t xml:space="preserve"> s. 5</w:t>
      </w:r>
      <w:r>
        <w:rPr>
          <w:i/>
        </w:rPr>
        <w:t>.</w:t>
      </w:r>
    </w:p>
    <w:p>
      <w:pPr>
        <w:pStyle w:val="nSubsection"/>
      </w:pPr>
      <w:r>
        <w:tab/>
        <w:t xml:space="preserve">The amendments in the </w:t>
      </w:r>
      <w:r>
        <w:rPr>
          <w:i/>
        </w:rPr>
        <w:t>Workers’ Compensation Reform Act 2004</w:t>
      </w:r>
      <w:r>
        <w:t xml:space="preserve"> s. 146 and 147 which sought to amend s. 16(1a) will not be included because s. 16(1a) has been repealed by the </w:t>
      </w:r>
      <w:r>
        <w:rPr>
          <w:i/>
        </w:rPr>
        <w:t>Workers’ Compensation and Rehabilitation Amendment (Cross Border) Act 2004</w:t>
      </w:r>
      <w:r>
        <w:t xml:space="preserve"> s. 6(1)</w:t>
      </w:r>
      <w:r>
        <w:rPr>
          <w:i/>
        </w:rPr>
        <w:t>.</w:t>
      </w:r>
    </w:p>
    <w:p>
      <w:pPr>
        <w:pStyle w:val="nSubsection"/>
      </w:pPr>
      <w:r>
        <w:tab/>
        <w:t xml:space="preserve">The amendments in the </w:t>
      </w:r>
      <w:r>
        <w:rPr>
          <w:i/>
        </w:rPr>
        <w:t>Workers’ Compensation Reform Act 2004</w:t>
      </w:r>
      <w:r>
        <w:t xml:space="preserve"> s. 148(1) which sought to amend s. 16(2) will not be included because of amendments to s. 16(2) made by the </w:t>
      </w:r>
      <w:r>
        <w:rPr>
          <w:i/>
        </w:rPr>
        <w:t>Workers’ Compensation and Rehabilitation Amendment (Cross Border) Act 2004</w:t>
      </w:r>
      <w:r>
        <w:t xml:space="preserve"> s. 6(2)</w:t>
      </w:r>
      <w:r>
        <w:rPr>
          <w:i/>
        </w:rPr>
        <w:t>.</w:t>
      </w:r>
    </w:p>
    <w:p>
      <w:pPr>
        <w:pStyle w:val="nSubsection"/>
      </w:pPr>
      <w:r>
        <w:tab/>
        <w:t xml:space="preserve">The amendments in the </w:t>
      </w:r>
      <w:r>
        <w:rPr>
          <w:i/>
        </w:rPr>
        <w:t>Workers’ Compensation Reform Act 2004</w:t>
      </w:r>
      <w:r>
        <w:t xml:space="preserve"> s. 147 which sought to amend s. 23 will not be included because s. 23 has been replaced by the </w:t>
      </w:r>
      <w:r>
        <w:rPr>
          <w:i/>
        </w:rPr>
        <w:t>Workers’ Compensation and Rehabilitation Amendment (Cross Border) Act 2004</w:t>
      </w:r>
      <w:r>
        <w:t xml:space="preserve"> s. 8</w:t>
      </w:r>
      <w:r>
        <w:rPr>
          <w:i/>
        </w:rPr>
        <w:t>.</w:t>
      </w:r>
    </w:p>
    <w:p>
      <w:pPr>
        <w:pStyle w:val="nSubsection"/>
      </w:pPr>
      <w:r>
        <w:rPr>
          <w:vertAlign w:val="superscript"/>
        </w:rPr>
        <w:t>49</w:t>
      </w:r>
      <w:r>
        <w:tab/>
        <w:t xml:space="preserve">The </w:t>
      </w:r>
      <w:r>
        <w:rPr>
          <w:i/>
        </w:rPr>
        <w:t xml:space="preserve">Workers’ Compensation Legislation Amendment Act 2005 </w:t>
      </w:r>
      <w:r>
        <w:t>s. 30(3) reads as follows:</w:t>
      </w:r>
    </w:p>
    <w:p>
      <w:pPr>
        <w:pStyle w:val="MiscOpen"/>
      </w:pPr>
      <w:r>
        <w:t>“</w:t>
      </w:r>
    </w:p>
    <w:p>
      <w:pPr>
        <w:pStyle w:val="nzSubsection"/>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pStyle w:val="MiscClose"/>
      </w:pPr>
      <w:r>
        <w:t>”.</w:t>
      </w:r>
    </w:p>
    <w:p>
      <w:pPr>
        <w:pStyle w:val="nSubsection"/>
        <w:rPr>
          <w:snapToGrid w:val="0"/>
        </w:rPr>
      </w:pPr>
      <w:r>
        <w:rPr>
          <w:snapToGrid w:val="0"/>
          <w:vertAlign w:val="superscript"/>
        </w:rPr>
        <w:t>50</w:t>
      </w:r>
      <w:r>
        <w:rPr>
          <w:snapToGrid w:val="0"/>
        </w:rPr>
        <w:tab/>
        <w:t xml:space="preserve">On the date as at which this compilation was prepared, the </w:t>
      </w:r>
      <w:r>
        <w:rPr>
          <w:i/>
          <w:noProof/>
          <w:snapToGrid w:val="0"/>
        </w:rPr>
        <w:t xml:space="preserve">Chiropractors Act 2005 </w:t>
      </w:r>
      <w:r>
        <w:rPr>
          <w:noProof/>
          <w:snapToGrid w:val="0"/>
        </w:rPr>
        <w:t>s. 109,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bookmarkStart w:id="3618" w:name="_Toc520089319"/>
      <w:bookmarkStart w:id="3619" w:name="_Toc40079665"/>
      <w:bookmarkStart w:id="3620" w:name="_Toc76798033"/>
      <w:bookmarkStart w:id="3621" w:name="_Toc101250727"/>
      <w:bookmarkStart w:id="3622" w:name="_Toc112553649"/>
      <w:bookmarkStart w:id="3623" w:name="_Toc122237752"/>
      <w:bookmarkStart w:id="3624" w:name="_Toc112553685"/>
      <w:bookmarkStart w:id="3625" w:name="_Toc112553866"/>
      <w:bookmarkStart w:id="3626" w:name="_Toc112554047"/>
      <w:bookmarkStart w:id="3627" w:name="_Toc121285788"/>
      <w:bookmarkStart w:id="3628" w:name="_Toc122237788"/>
      <w:r>
        <w:rPr>
          <w:rStyle w:val="CharSectno"/>
        </w:rPr>
        <w:t>109</w:t>
      </w:r>
      <w:r>
        <w:t>.</w:t>
      </w:r>
      <w:r>
        <w:tab/>
      </w:r>
      <w:r>
        <w:rPr>
          <w:snapToGrid w:val="0"/>
        </w:rPr>
        <w:t>Consequential amendments</w:t>
      </w:r>
      <w:bookmarkEnd w:id="3618"/>
      <w:bookmarkEnd w:id="3619"/>
      <w:bookmarkEnd w:id="3620"/>
      <w:bookmarkEnd w:id="3621"/>
      <w:bookmarkEnd w:id="3622"/>
      <w:bookmarkEnd w:id="3623"/>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8 reads as follows:</w:t>
      </w:r>
    </w:p>
    <w:p>
      <w:pPr>
        <w:pStyle w:val="MiscOpen"/>
        <w:rPr>
          <w:snapToGrid w:val="0"/>
        </w:rPr>
      </w:pPr>
      <w:r>
        <w:rPr>
          <w:snapToGrid w:val="0"/>
        </w:rPr>
        <w:t>“</w:t>
      </w:r>
    </w:p>
    <w:p>
      <w:pPr>
        <w:pStyle w:val="nzHeading2"/>
        <w:outlineLvl w:val="0"/>
      </w:pPr>
      <w:r>
        <w:rPr>
          <w:rStyle w:val="CharSchNo"/>
        </w:rPr>
        <w:t>Schedule 3</w:t>
      </w:r>
      <w:r>
        <w:rPr>
          <w:rStyle w:val="CharSDivNo"/>
        </w:rPr>
        <w:t> </w:t>
      </w:r>
      <w:r>
        <w:t>—</w:t>
      </w:r>
      <w:r>
        <w:rPr>
          <w:rStyle w:val="CharSDivText"/>
        </w:rPr>
        <w:t> </w:t>
      </w:r>
      <w:r>
        <w:rPr>
          <w:rStyle w:val="CharSchText"/>
        </w:rPr>
        <w:t>Consequential amendments</w:t>
      </w:r>
      <w:bookmarkEnd w:id="3624"/>
      <w:bookmarkEnd w:id="3625"/>
      <w:bookmarkEnd w:id="3626"/>
      <w:bookmarkEnd w:id="3627"/>
      <w:bookmarkEnd w:id="3628"/>
    </w:p>
    <w:p>
      <w:pPr>
        <w:pStyle w:val="nzMiscellaneousBody"/>
        <w:jc w:val="right"/>
      </w:pPr>
      <w:r>
        <w:t>[s. 109]</w:t>
      </w:r>
    </w:p>
    <w:p>
      <w:pPr>
        <w:pStyle w:val="nzHeading5"/>
      </w:pPr>
      <w:bookmarkStart w:id="3629" w:name="_Toc13017503"/>
      <w:bookmarkStart w:id="3630" w:name="_Toc67187258"/>
      <w:bookmarkStart w:id="3631" w:name="_Toc73753767"/>
      <w:bookmarkStart w:id="3632" w:name="_Toc121556351"/>
      <w:r>
        <w:t>8.</w:t>
      </w:r>
      <w:r>
        <w:tab/>
      </w:r>
      <w:bookmarkEnd w:id="3629"/>
      <w:bookmarkEnd w:id="3630"/>
      <w:bookmarkEnd w:id="3631"/>
      <w:r>
        <w:rPr>
          <w:i/>
        </w:rPr>
        <w:t>Workers’ Compensation and Injury Management Act 1981</w:t>
      </w:r>
      <w:r>
        <w:t xml:space="preserve"> amended</w:t>
      </w:r>
      <w:bookmarkEnd w:id="3632"/>
    </w:p>
    <w:p>
      <w:pPr>
        <w:pStyle w:val="nzSubsection"/>
      </w:pPr>
      <w:r>
        <w:tab/>
        <w:t>(1)</w:t>
      </w:r>
      <w:r>
        <w:tab/>
        <w:t xml:space="preserve">The amendments in this clause are to the </w:t>
      </w:r>
      <w:r>
        <w:rPr>
          <w:i/>
        </w:rPr>
        <w:t>Workers’ Compensation and Injury Management Act 1981</w:t>
      </w:r>
      <w:r>
        <w:t>.</w:t>
      </w:r>
    </w:p>
    <w:p>
      <w:pPr>
        <w:pStyle w:val="nzSubsection"/>
      </w:pPr>
      <w:r>
        <w:tab/>
        <w:t>(2)</w:t>
      </w:r>
      <w:r>
        <w:tab/>
        <w:t>Section 5(1) is amended in the definition of “chiropractor” by deleting “</w:t>
      </w:r>
      <w:r>
        <w:rPr>
          <w:i/>
        </w:rPr>
        <w:t>Chiropractors Act 1964</w:t>
      </w:r>
      <w:r>
        <w:t xml:space="preserve"> and holds a licence to practise chiropractic issued by the Chiropractors Registration Board constituted under that Act;” and inserting instead — </w:t>
      </w:r>
    </w:p>
    <w:p>
      <w:pPr>
        <w:pStyle w:val="nzSubsection"/>
      </w:pPr>
      <w:r>
        <w:tab/>
      </w:r>
      <w:r>
        <w:tab/>
        <w:t xml:space="preserve">“    </w:t>
      </w:r>
      <w:r>
        <w:rPr>
          <w:i/>
        </w:rPr>
        <w:t>Chiropractors Act 2005</w:t>
      </w:r>
      <w:r>
        <w:t>;    ”.</w:t>
      </w:r>
    </w:p>
    <w:p>
      <w:pPr>
        <w:pStyle w:val="nzSubsection"/>
      </w:pPr>
      <w:r>
        <w:tab/>
        <w:t>(3)</w:t>
      </w:r>
      <w:r>
        <w:tab/>
        <w:t xml:space="preserve">Section 176(1b)(d) is amended by deleting “Chiropractors Registration Board;” and inserting instead — </w:t>
      </w:r>
    </w:p>
    <w:p>
      <w:pPr>
        <w:pStyle w:val="nzSubsection"/>
      </w:pPr>
      <w:r>
        <w:tab/>
      </w:r>
      <w:r>
        <w:tab/>
        <w:t>“    Chiropractors Registration Board of Western Australia;    ”.</w:t>
      </w:r>
    </w:p>
    <w:p>
      <w:pPr>
        <w:pStyle w:val="MiscClose"/>
      </w:pPr>
      <w:r>
        <w:t>”.</w:t>
      </w:r>
    </w:p>
    <w:p/>
    <w:p>
      <w:pPr>
        <w:sectPr>
          <w:headerReference w:type="even" r:id="rId42"/>
          <w:headerReference w:type="default" r:id="rId43"/>
          <w:headerReference w:type="first" r:id="rId44"/>
          <w:pgSz w:w="11906" w:h="16838" w:code="9"/>
          <w:pgMar w:top="2376" w:right="2405" w:bottom="3542" w:left="2405" w:header="706" w:footer="3380" w:gutter="0"/>
          <w:cols w:space="720"/>
          <w:noEndnote/>
          <w:docGrid w:linePitch="326"/>
        </w:sectPr>
      </w:pPr>
    </w:p>
    <w:p/>
    <w:sectPr>
      <w:headerReference w:type="even" r:id="rId45"/>
      <w:headerReference w:type="default" r:id="rId46"/>
      <w:headerReference w:type="first" r:id="rId4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Compensation entitlements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vAlign w:val="bottom"/>
        </w:tcPr>
        <w:p>
          <w:pPr>
            <w:pStyle w:val="HeaderTextRight"/>
          </w:pPr>
          <w:fldSimple w:instr=" styleref CharSchText ">
            <w:r>
              <w:rPr>
                <w:noProof/>
              </w:rPr>
              <w:t>Compensation entitlements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Compensation entitlements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vAlign w:val="bottom"/>
        </w:tcPr>
        <w:p>
          <w:pPr>
            <w:pStyle w:val="HeaderTextRight"/>
          </w:pPr>
          <w:fldSimple w:instr=" styleref CharSchText ">
            <w:r>
              <w:rPr>
                <w:noProof/>
              </w:rPr>
              <w:t>Compensation entitlements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Specified losses of functions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vAlign w:val="bottom"/>
        </w:tcPr>
        <w:p>
          <w:pPr>
            <w:pStyle w:val="HeaderTextRight"/>
          </w:pPr>
          <w:fldSimple w:instr=" styleref CharSchText ">
            <w:r>
              <w:rPr>
                <w:noProof/>
              </w:rPr>
              <w:t>Specified losses of functions</w:t>
            </w:r>
          </w:fldSimple>
        </w:p>
      </w:tc>
      <w:tc>
        <w:tcPr>
          <w:tcW w:w="1548" w:type="dxa"/>
        </w:tcPr>
        <w:p>
          <w:pPr>
            <w:pStyle w:val="HeaderNumberRight"/>
            <w:ind w:right="17"/>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71AC6C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7DAD1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E8C8FBA"/>
    <w:lvl w:ilvl="0">
      <w:start w:val="1"/>
      <w:numFmt w:val="decimal"/>
      <w:pStyle w:val="ListNumber3"/>
      <w:lvlText w:val="%1."/>
      <w:lvlJc w:val="left"/>
      <w:pPr>
        <w:tabs>
          <w:tab w:val="num" w:pos="926"/>
        </w:tabs>
        <w:ind w:left="926" w:hanging="360"/>
      </w:pPr>
    </w:lvl>
  </w:abstractNum>
  <w:abstractNum w:abstractNumId="3">
    <w:nsid w:val="FFFFFF7F"/>
    <w:multiLevelType w:val="singleLevel"/>
    <w:tmpl w:val="6850528C"/>
    <w:lvl w:ilvl="0">
      <w:start w:val="1"/>
      <w:numFmt w:val="decimal"/>
      <w:pStyle w:val="ListNumber2"/>
      <w:lvlText w:val="%1."/>
      <w:lvlJc w:val="left"/>
      <w:pPr>
        <w:tabs>
          <w:tab w:val="num" w:pos="643"/>
        </w:tabs>
        <w:ind w:left="643" w:hanging="360"/>
      </w:pPr>
    </w:lvl>
  </w:abstractNum>
  <w:abstractNum w:abstractNumId="4">
    <w:nsid w:val="FFFFFF80"/>
    <w:multiLevelType w:val="singleLevel"/>
    <w:tmpl w:val="C9AA1F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4B46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80C741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BE2DB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DAA8302"/>
    <w:lvl w:ilvl="0">
      <w:start w:val="1"/>
      <w:numFmt w:val="decimal"/>
      <w:pStyle w:val="ListNumber"/>
      <w:lvlText w:val="%1."/>
      <w:lvlJc w:val="left"/>
      <w:pPr>
        <w:tabs>
          <w:tab w:val="num" w:pos="360"/>
        </w:tabs>
        <w:ind w:left="360" w:hanging="360"/>
      </w:pPr>
    </w:lvl>
  </w:abstractNum>
  <w:abstractNum w:abstractNumId="9">
    <w:nsid w:val="FFFFFF89"/>
    <w:multiLevelType w:val="singleLevel"/>
    <w:tmpl w:val="1170643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8E7EF6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4DB226E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4.wmf"/><Relationship Id="rId39" Type="http://schemas.openxmlformats.org/officeDocument/2006/relationships/header" Target="header15.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0.xml"/><Relationship Id="rId42" Type="http://schemas.openxmlformats.org/officeDocument/2006/relationships/header" Target="header18.xml"/><Relationship Id="rId47" Type="http://schemas.openxmlformats.org/officeDocument/2006/relationships/header" Target="header2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oleObject" Target="embeddings/oleObject3.bin"/><Relationship Id="rId33" Type="http://schemas.openxmlformats.org/officeDocument/2006/relationships/footer" Target="footer9.xml"/><Relationship Id="rId38" Type="http://schemas.openxmlformats.org/officeDocument/2006/relationships/header" Target="header14.xml"/><Relationship Id="rId46"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wmf"/><Relationship Id="rId29" Type="http://schemas.openxmlformats.org/officeDocument/2006/relationships/header" Target="header8.xml"/><Relationship Id="rId41"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3.wmf"/><Relationship Id="rId32" Type="http://schemas.openxmlformats.org/officeDocument/2006/relationships/header" Target="header9.xml"/><Relationship Id="rId37" Type="http://schemas.openxmlformats.org/officeDocument/2006/relationships/header" Target="header13.xml"/><Relationship Id="rId40" Type="http://schemas.openxmlformats.org/officeDocument/2006/relationships/header" Target="header16.xml"/><Relationship Id="rId45"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oleObject" Target="embeddings/oleObject2.bin"/><Relationship Id="rId28" Type="http://schemas.openxmlformats.org/officeDocument/2006/relationships/header" Target="header7.xml"/><Relationship Id="rId36" Type="http://schemas.openxmlformats.org/officeDocument/2006/relationships/header" Target="header12.xml"/><Relationship Id="rId49"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4" Type="http://schemas.openxmlformats.org/officeDocument/2006/relationships/header" Target="header2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wmf"/><Relationship Id="rId27" Type="http://schemas.openxmlformats.org/officeDocument/2006/relationships/oleObject" Target="embeddings/oleObject4.bin"/><Relationship Id="rId30" Type="http://schemas.openxmlformats.org/officeDocument/2006/relationships/footer" Target="footer7.xml"/><Relationship Id="rId35" Type="http://schemas.openxmlformats.org/officeDocument/2006/relationships/header" Target="header11.xml"/><Relationship Id="rId43" Type="http://schemas.openxmlformats.org/officeDocument/2006/relationships/header" Target="header19.xml"/><Relationship Id="rId48" Type="http://schemas.openxmlformats.org/officeDocument/2006/relationships/fontTable" Target="fontTab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446</Pages>
  <Words>120211</Words>
  <Characters>575814</Characters>
  <Application>Microsoft Office Word</Application>
  <DocSecurity>0</DocSecurity>
  <Lines>15153</Lines>
  <Paragraphs>7326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688699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1981 - 06-c0-03</dc:title>
  <dc:subject/>
  <dc:creator/>
  <cp:keywords/>
  <dc:description/>
  <cp:lastModifiedBy>svcMRProcess</cp:lastModifiedBy>
  <cp:revision>4</cp:revision>
  <cp:lastPrinted>2005-11-09T02:06:00Z</cp:lastPrinted>
  <dcterms:created xsi:type="dcterms:W3CDTF">2020-02-21T13:32:00Z</dcterms:created>
  <dcterms:modified xsi:type="dcterms:W3CDTF">2020-02-21T13:32:00Z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CommencementDate">
    <vt:lpwstr>20051212</vt:lpwstr>
  </property>
  <property fmtid="{D5CDD505-2E9C-101B-9397-08002B2CF9AE}" pid="4" name="DocumentType">
    <vt:lpwstr>Act</vt:lpwstr>
  </property>
  <property fmtid="{D5CDD505-2E9C-101B-9397-08002B2CF9AE}" pid="5" name="OwlsUID">
    <vt:i4>915</vt:i4>
  </property>
  <property fmtid="{D5CDD505-2E9C-101B-9397-08002B2CF9AE}" pid="6" name="AsAtDate">
    <vt:lpwstr>12 Dec 2005</vt:lpwstr>
  </property>
  <property fmtid="{D5CDD505-2E9C-101B-9397-08002B2CF9AE}" pid="7" name="Suffix">
    <vt:lpwstr>06-c0-03</vt:lpwstr>
  </property>
</Properties>
</file>