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_Toc418676444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_Toc418676445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_Toc418676446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_Toc418676447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_Toc418676448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_Toc418676449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_Toc418676450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_Toc418676451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_Toc418676452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_Toc418676453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_Toc418676454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_Toc418676458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3" w:name="_Toc377549664"/>
      <w:bookmarkStart w:id="4" w:name="_Toc41867644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5" w:name="_Toc377549665"/>
      <w:bookmarkStart w:id="6" w:name="_Toc41867644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7" w:name="_Toc377549666"/>
      <w:bookmarkStart w:id="8" w:name="_Toc418676446"/>
      <w:r>
        <w:rPr>
          <w:rStyle w:val="CharSectno"/>
        </w:rPr>
        <w:t>2A</w:t>
      </w:r>
      <w:r>
        <w:rPr>
          <w:snapToGrid w:val="0"/>
        </w:rPr>
        <w:t>.</w:t>
      </w:r>
      <w:r>
        <w:rPr>
          <w:snapToGrid w:val="0"/>
        </w:rPr>
        <w:tab/>
        <w:t>Term used: non-personal information</w:t>
      </w:r>
      <w:bookmarkEnd w:id="7"/>
      <w:bookmarkEnd w:id="8"/>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9" w:name="_Toc377549667"/>
      <w:bookmarkStart w:id="10" w:name="_Toc418676447"/>
      <w:r>
        <w:rPr>
          <w:rStyle w:val="CharSectno"/>
        </w:rPr>
        <w:t>3</w:t>
      </w:r>
      <w:r>
        <w:rPr>
          <w:snapToGrid w:val="0"/>
        </w:rPr>
        <w:t>.</w:t>
      </w:r>
      <w:r>
        <w:rPr>
          <w:snapToGrid w:val="0"/>
        </w:rPr>
        <w:tab/>
        <w:t>General provisions relating to charges</w:t>
      </w:r>
      <w:bookmarkEnd w:id="9"/>
      <w:bookmarkEnd w:id="10"/>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1" w:name="_Toc377549668"/>
      <w:bookmarkStart w:id="12" w:name="_Toc418676448"/>
      <w:r>
        <w:rPr>
          <w:rStyle w:val="CharSectno"/>
        </w:rPr>
        <w:t>4</w:t>
      </w:r>
      <w:r>
        <w:rPr>
          <w:snapToGrid w:val="0"/>
        </w:rPr>
        <w:t>.</w:t>
      </w:r>
      <w:r>
        <w:rPr>
          <w:snapToGrid w:val="0"/>
        </w:rPr>
        <w:tab/>
        <w:t>Application fee (section 12(1)(e))</w:t>
      </w:r>
      <w:bookmarkEnd w:id="11"/>
      <w:bookmarkEnd w:id="12"/>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3" w:name="_Toc377549669"/>
      <w:bookmarkStart w:id="14" w:name="_Toc418676449"/>
      <w:r>
        <w:rPr>
          <w:rStyle w:val="CharSectno"/>
        </w:rPr>
        <w:t>5</w:t>
      </w:r>
      <w:r>
        <w:rPr>
          <w:snapToGrid w:val="0"/>
        </w:rPr>
        <w:t>.</w:t>
      </w:r>
      <w:r>
        <w:rPr>
          <w:snapToGrid w:val="0"/>
        </w:rPr>
        <w:tab/>
        <w:t>Charges (section 16(1))</w:t>
      </w:r>
      <w:bookmarkEnd w:id="13"/>
      <w:bookmarkEnd w:id="14"/>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5" w:name="_Toc377549670"/>
      <w:bookmarkStart w:id="16" w:name="_Toc418676450"/>
      <w:r>
        <w:rPr>
          <w:rStyle w:val="CharSectno"/>
        </w:rPr>
        <w:t>6</w:t>
      </w:r>
      <w:r>
        <w:rPr>
          <w:snapToGrid w:val="0"/>
        </w:rPr>
        <w:t>.</w:t>
      </w:r>
      <w:r>
        <w:rPr>
          <w:snapToGrid w:val="0"/>
        </w:rPr>
        <w:tab/>
        <w:t>Advance deposits (section 18(1) and (4))</w:t>
      </w:r>
      <w:bookmarkEnd w:id="15"/>
      <w:bookmarkEnd w:id="16"/>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7" w:name="_Toc377549671"/>
      <w:bookmarkStart w:id="18" w:name="_Toc418676451"/>
      <w:r>
        <w:rPr>
          <w:rStyle w:val="CharSectno"/>
        </w:rPr>
        <w:t>7</w:t>
      </w:r>
      <w:r>
        <w:rPr>
          <w:snapToGrid w:val="0"/>
        </w:rPr>
        <w:t>.</w:t>
      </w:r>
      <w:r>
        <w:rPr>
          <w:snapToGrid w:val="0"/>
        </w:rPr>
        <w:tab/>
        <w:t>Term used: suitably qualified person (section 28)</w:t>
      </w:r>
      <w:bookmarkEnd w:id="17"/>
      <w:bookmarkEnd w:id="18"/>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9" w:name="_Toc377549672"/>
      <w:bookmarkStart w:id="20" w:name="_Toc418676452"/>
      <w:r>
        <w:rPr>
          <w:rStyle w:val="CharSectno"/>
        </w:rPr>
        <w:t>8</w:t>
      </w:r>
      <w:r>
        <w:rPr>
          <w:snapToGrid w:val="0"/>
        </w:rPr>
        <w:t>.</w:t>
      </w:r>
      <w:r>
        <w:rPr>
          <w:snapToGrid w:val="0"/>
        </w:rPr>
        <w:tab/>
        <w:t>Information or details to be included in complaint (section 66(1)(d))</w:t>
      </w:r>
      <w:bookmarkEnd w:id="19"/>
      <w:bookmarkEnd w:id="20"/>
    </w:p>
    <w:p>
      <w:pPr>
        <w:pStyle w:val="Subsection"/>
        <w:rPr>
          <w:snapToGrid w:val="0"/>
        </w:rPr>
      </w:pPr>
      <w:r>
        <w:rPr>
          <w:snapToGrid w:val="0"/>
        </w:rPr>
        <w:tab/>
      </w:r>
      <w:r>
        <w:rPr>
          <w:snapToGrid w:val="0"/>
        </w:rPr>
        <w:tab/>
        <w:t>For the purposes of section 66(1)(d) of the Act, a complaint made against an agency’s decision under section 65(1) of the Act is to be accompanied by a copy of the agency’s notice of it’s decision, unless the decision complained of is the result of the non</w:t>
      </w:r>
      <w:r>
        <w:rPr>
          <w:snapToGrid w:val="0"/>
        </w:rPr>
        <w:noBreakHyphen/>
        <w:t>receipt of a decision under section 13(2) of the Act.</w:t>
      </w:r>
    </w:p>
    <w:p>
      <w:pPr>
        <w:pStyle w:val="Heading5"/>
        <w:rPr>
          <w:snapToGrid w:val="0"/>
        </w:rPr>
      </w:pPr>
      <w:bookmarkStart w:id="21" w:name="_Toc377549673"/>
      <w:bookmarkStart w:id="22" w:name="_Toc418676453"/>
      <w:r>
        <w:rPr>
          <w:rStyle w:val="CharSectno"/>
        </w:rPr>
        <w:t>9</w:t>
      </w:r>
      <w:r>
        <w:rPr>
          <w:snapToGrid w:val="0"/>
        </w:rPr>
        <w:t>.</w:t>
      </w:r>
      <w:r>
        <w:rPr>
          <w:snapToGrid w:val="0"/>
        </w:rPr>
        <w:tab/>
        <w:t>Prescribed personal details (Act Schedule 1 clause 3)</w:t>
      </w:r>
      <w:bookmarkEnd w:id="21"/>
      <w:bookmarkEnd w:id="22"/>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rPr>
          <w:snapToGrid w:val="0"/>
        </w:rPr>
      </w:pPr>
      <w:bookmarkStart w:id="23" w:name="_Toc377549674"/>
      <w:bookmarkStart w:id="24" w:name="_Toc418676454"/>
      <w:r>
        <w:rPr>
          <w:rStyle w:val="CharSectno"/>
        </w:rPr>
        <w:t>10</w:t>
      </w:r>
      <w:r>
        <w:rPr>
          <w:snapToGrid w:val="0"/>
        </w:rPr>
        <w:t>.</w:t>
      </w:r>
      <w:r>
        <w:rPr>
          <w:snapToGrid w:val="0"/>
        </w:rPr>
        <w:tab/>
        <w:t>Specified bodies etc. to be regarded as part of other agencies</w:t>
      </w:r>
      <w:bookmarkEnd w:id="23"/>
      <w:bookmarkEnd w:id="24"/>
    </w:p>
    <w:p>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377549675"/>
      <w:bookmarkStart w:id="26" w:name="_Toc418676390"/>
      <w:bookmarkStart w:id="27" w:name="_Toc418676406"/>
      <w:bookmarkStart w:id="28" w:name="_Toc418676455"/>
      <w:r>
        <w:rPr>
          <w:rStyle w:val="CharSchNo"/>
        </w:rPr>
        <w:t>Schedule 1</w:t>
      </w:r>
      <w:bookmarkEnd w:id="25"/>
      <w:bookmarkEnd w:id="26"/>
      <w:bookmarkEnd w:id="27"/>
      <w:bookmarkEnd w:id="28"/>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29" w:name="_Toc377549676"/>
      <w:bookmarkStart w:id="30" w:name="_Toc418676391"/>
      <w:bookmarkStart w:id="31" w:name="_Toc418676407"/>
      <w:bookmarkStart w:id="32" w:name="_Toc418676456"/>
      <w:r>
        <w:rPr>
          <w:rStyle w:val="CharSchNo"/>
        </w:rPr>
        <w:t>Schedule 2</w:t>
      </w:r>
      <w:r>
        <w:t> — </w:t>
      </w:r>
      <w:r>
        <w:rPr>
          <w:rStyle w:val="CharSchText"/>
        </w:rPr>
        <w:t>Offices and bodies to be regarded as part of other agencies</w:t>
      </w:r>
      <w:bookmarkEnd w:id="29"/>
      <w:bookmarkEnd w:id="30"/>
      <w:bookmarkEnd w:id="31"/>
      <w:bookmarkEnd w:id="32"/>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r>
              <w:rPr>
                <w:sz w:val="20"/>
              </w:rPr>
              <w:t xml:space="preserve"> </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pPr>
          </w:p>
        </w:tc>
        <w:tc>
          <w:tcPr>
            <w:tcW w:w="5194" w:type="dxa"/>
          </w:tcPr>
          <w:p>
            <w:pPr>
              <w:pStyle w:val="yTable"/>
              <w:ind w:left="209" w:hanging="209"/>
            </w:pPr>
            <w:r>
              <w:rPr>
                <w:sz w:val="20"/>
              </w:rPr>
              <w:t>Board of Examiners (Mine Managers and Underground Supervisors)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Conservation Commission of Western Australia</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 xml:space="preserve">Advisory Council for Disability Services </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 xml:space="preserve">Railway Appeal Board </w:t>
            </w:r>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4" w:name="_Toc377549677"/>
      <w:bookmarkStart w:id="35" w:name="_Toc418676392"/>
      <w:bookmarkStart w:id="36" w:name="_Toc418676408"/>
      <w:bookmarkStart w:id="37" w:name="_Toc418676457"/>
      <w:r>
        <w:t>Notes</w:t>
      </w:r>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377549678"/>
      <w:bookmarkStart w:id="39" w:name="_Toc418676458"/>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c>
          <w:tcPr>
            <w:tcW w:w="3118" w:type="dxa"/>
          </w:tcPr>
          <w:p>
            <w:pPr>
              <w:pStyle w:val="nTable"/>
              <w:spacing w:after="40"/>
              <w:rPr>
                <w:rFonts w:ascii="Times" w:hAnsi="Times"/>
                <w:i/>
              </w:rPr>
            </w:pPr>
            <w:r>
              <w:rPr>
                <w:rFonts w:ascii="Times" w:hAnsi="Times"/>
                <w:i/>
              </w:rPr>
              <w:t>Freedom of Information Amendment Regulations (No. 2) 2012</w:t>
            </w:r>
          </w:p>
        </w:tc>
        <w:tc>
          <w:tcPr>
            <w:tcW w:w="1276" w:type="dxa"/>
          </w:tcPr>
          <w:p>
            <w:pPr>
              <w:pStyle w:val="nTable"/>
              <w:spacing w:after="40"/>
              <w:rPr>
                <w:rFonts w:ascii="Times" w:hAnsi="Times"/>
              </w:rPr>
            </w:pPr>
            <w:r>
              <w:rPr>
                <w:rFonts w:ascii="Times" w:hAnsi="Times"/>
              </w:rPr>
              <w:t>6 Mar 2012 p. 892-3</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c>
          <w:tcPr>
            <w:tcW w:w="3118" w:type="dxa"/>
          </w:tcPr>
          <w:p>
            <w:pPr>
              <w:pStyle w:val="nTable"/>
              <w:spacing w:after="40"/>
              <w:rPr>
                <w:rFonts w:ascii="Times" w:hAnsi="Times"/>
                <w:i/>
              </w:rPr>
            </w:pPr>
            <w:r>
              <w:rPr>
                <w:rFonts w:ascii="Times" w:hAnsi="Times"/>
                <w:i/>
              </w:rPr>
              <w:t>Freedom of Information Amendment Regulations 2012</w:t>
            </w:r>
          </w:p>
        </w:tc>
        <w:tc>
          <w:tcPr>
            <w:tcW w:w="1276" w:type="dxa"/>
          </w:tcPr>
          <w:p>
            <w:pPr>
              <w:pStyle w:val="nTable"/>
              <w:spacing w:after="40"/>
              <w:rPr>
                <w:rFonts w:ascii="Times" w:hAnsi="Times"/>
              </w:rPr>
            </w:pPr>
            <w:r>
              <w:rPr>
                <w:rFonts w:ascii="Times" w:hAnsi="Times"/>
              </w:rPr>
              <w:t>6 Mar 2012 p. 896</w:t>
            </w:r>
          </w:p>
        </w:tc>
        <w:tc>
          <w:tcPr>
            <w:tcW w:w="2693" w:type="dxa"/>
          </w:tcPr>
          <w:p>
            <w:pPr>
              <w:pStyle w:val="nTable"/>
              <w:spacing w:after="40"/>
              <w:rPr>
                <w:rFonts w:ascii="Times" w:hAnsi="Times"/>
                <w:snapToGrid w:val="0"/>
              </w:rPr>
            </w:pPr>
            <w:r>
              <w:rPr>
                <w:rFonts w:ascii="Times" w:hAnsi="Times"/>
                <w:snapToGrid w:val="0"/>
              </w:rPr>
              <w:t>r. 1 and 2: 6 Mar 2012</w:t>
            </w:r>
            <w:r>
              <w:rPr>
                <w:rFonts w:ascii="Times" w:hAnsi="Times"/>
                <w:snapToGrid w:val="0"/>
              </w:rPr>
              <w:br/>
              <w:t>(see r. 2(a));</w:t>
            </w:r>
            <w:r>
              <w:rPr>
                <w:rFonts w:ascii="Times" w:hAnsi="Times"/>
                <w:snapToGrid w:val="0"/>
              </w:rPr>
              <w:br/>
              <w:t>Regulations other than r. 1 and 2: 7 Mar 2012 (see r. 2(b))</w:t>
            </w:r>
          </w:p>
        </w:tc>
      </w:tr>
      <w:tr>
        <w:tc>
          <w:tcPr>
            <w:tcW w:w="3118" w:type="dxa"/>
          </w:tcPr>
          <w:p>
            <w:pPr>
              <w:pStyle w:val="nTable"/>
              <w:spacing w:after="40"/>
              <w:rPr>
                <w:rFonts w:ascii="Times" w:hAnsi="Times"/>
                <w:i/>
              </w:rPr>
            </w:pPr>
            <w:r>
              <w:rPr>
                <w:rFonts w:ascii="Times" w:hAnsi="Times"/>
                <w:i/>
              </w:rPr>
              <w:t>Freedom of Information Amendment Regulations (No. 3) 2012</w:t>
            </w:r>
          </w:p>
        </w:tc>
        <w:tc>
          <w:tcPr>
            <w:tcW w:w="1276" w:type="dxa"/>
          </w:tcPr>
          <w:p>
            <w:pPr>
              <w:pStyle w:val="nTable"/>
              <w:spacing w:after="40"/>
              <w:rPr>
                <w:rFonts w:ascii="Times" w:hAnsi="Times"/>
              </w:rPr>
            </w:pPr>
            <w:r>
              <w:rPr>
                <w:rFonts w:ascii="Times" w:hAnsi="Times"/>
              </w:rPr>
              <w:t>7 Dec 2012 p. 5993</w:t>
            </w:r>
          </w:p>
        </w:tc>
        <w:tc>
          <w:tcPr>
            <w:tcW w:w="2693" w:type="dxa"/>
          </w:tcPr>
          <w:p>
            <w:pPr>
              <w:pStyle w:val="nTable"/>
              <w:spacing w:after="40"/>
              <w:rPr>
                <w:rFonts w:ascii="Times" w:hAnsi="Times"/>
              </w:rPr>
            </w:pPr>
            <w:r>
              <w:rPr>
                <w:rFonts w:ascii="Times" w:hAnsi="Times"/>
                <w:snapToGrid w:val="0"/>
              </w:rPr>
              <w:t>r. 1 and 2: 7 Dec 2012 (see r. 2(a));</w:t>
            </w:r>
            <w:r>
              <w:rPr>
                <w:rFonts w:ascii="Times" w:hAnsi="Times"/>
                <w:snapToGrid w:val="0"/>
              </w:rPr>
              <w:br/>
              <w:t xml:space="preserve">Regulations other than r. 1 and 2: 7 Dec 2012 (see r. 2(b) and </w:t>
            </w:r>
            <w:r>
              <w:rPr>
                <w:rFonts w:ascii="Times" w:hAnsi="Times"/>
                <w:i/>
                <w:snapToGrid w:val="0"/>
              </w:rPr>
              <w:t>Gazette</w:t>
            </w:r>
            <w:r>
              <w:rPr>
                <w:rFonts w:ascii="Times" w:hAnsi="Times"/>
                <w:snapToGrid w:val="0"/>
              </w:rPr>
              <w:t xml:space="preserve"> 16 Nov 2012 p. 5637)</w:t>
            </w:r>
          </w:p>
        </w:tc>
      </w:tr>
      <w:tr>
        <w:trPr>
          <w:cantSplit/>
        </w:trPr>
        <w:tc>
          <w:tcPr>
            <w:tcW w:w="3118" w:type="dxa"/>
          </w:tcPr>
          <w:p>
            <w:pPr>
              <w:pStyle w:val="nTable"/>
              <w:spacing w:after="40"/>
              <w:rPr>
                <w:rFonts w:ascii="Times" w:hAnsi="Times"/>
                <w:i/>
                <w:highlight w:val="green"/>
              </w:rPr>
            </w:pPr>
            <w:bookmarkStart w:id="40" w:name="RuleErr_8"/>
            <w:r>
              <w:rPr>
                <w:rFonts w:ascii="Times" w:hAnsi="Times"/>
                <w:i/>
              </w:rPr>
              <w:t>Freedom of Information Amendment Regulations 2013</w:t>
            </w:r>
            <w:bookmarkEnd w:id="40"/>
          </w:p>
        </w:tc>
        <w:tc>
          <w:tcPr>
            <w:tcW w:w="1276" w:type="dxa"/>
          </w:tcPr>
          <w:p>
            <w:pPr>
              <w:pStyle w:val="nTable"/>
              <w:keepNext/>
              <w:spacing w:after="40"/>
              <w:rPr>
                <w:rFonts w:ascii="Times" w:hAnsi="Times"/>
              </w:rPr>
            </w:pPr>
            <w:r>
              <w:t>5 Feb 2013 p. 836</w:t>
            </w:r>
            <w:r>
              <w:noBreakHyphen/>
              <w:t>7</w:t>
            </w:r>
          </w:p>
        </w:tc>
        <w:tc>
          <w:tcPr>
            <w:tcW w:w="2693" w:type="dxa"/>
          </w:tcPr>
          <w:p>
            <w:pPr>
              <w:pStyle w:val="nTable"/>
              <w:keepNext/>
              <w:spacing w:after="40"/>
              <w:rPr>
                <w:rFonts w:ascii="Times" w:hAnsi="Times"/>
                <w:i/>
                <w:snapToGrid w:val="0"/>
              </w:rPr>
            </w:pPr>
            <w:r>
              <w:rPr>
                <w:rFonts w:ascii="Times" w:hAnsi="Times"/>
                <w:snapToGrid w:val="0"/>
              </w:rPr>
              <w:t>r. 1 and 2: 5 Feb 2013 (see r. 2(a));</w:t>
            </w:r>
            <w:r>
              <w:rPr>
                <w:rFonts w:ascii="Times" w:hAnsi="Times"/>
                <w:snapToGrid w:val="0"/>
              </w:rPr>
              <w:br/>
              <w:t xml:space="preserve">Regulations other than r. 1 and 2: </w:t>
            </w:r>
            <w:r>
              <w:t xml:space="preserve">1 May 2013 (see r. 2(b)(i) and </w:t>
            </w:r>
            <w:r>
              <w:rPr>
                <w:i/>
              </w:rPr>
              <w:t>Gazette</w:t>
            </w:r>
            <w:r>
              <w:t xml:space="preserve"> 5 Feb 2013 p. 823)</w:t>
            </w:r>
          </w:p>
        </w:tc>
      </w:tr>
      <w:tr>
        <w:tc>
          <w:tcPr>
            <w:tcW w:w="7087" w:type="dxa"/>
            <w:gridSpan w:val="3"/>
            <w:shd w:val="clear" w:color="auto" w:fill="auto"/>
          </w:tcPr>
          <w:p>
            <w:pPr>
              <w:pStyle w:val="nTable"/>
              <w:keepNext/>
              <w:spacing w:after="40"/>
              <w:rPr>
                <w:rFonts w:ascii="Times" w:hAnsi="Times"/>
                <w:snapToGrid w:val="0"/>
              </w:rPr>
            </w:pPr>
            <w:r>
              <w:rPr>
                <w:rFonts w:ascii="Times" w:hAnsi="Times"/>
                <w:b/>
                <w:snapToGrid w:val="0"/>
              </w:rPr>
              <w:t xml:space="preserve">Reprint 2:  The </w:t>
            </w:r>
            <w:r>
              <w:rPr>
                <w:rFonts w:ascii="Times" w:hAnsi="Times"/>
                <w:b/>
                <w:i/>
                <w:snapToGrid w:val="0"/>
              </w:rPr>
              <w:t>Freedom of Information Regulations 1993</w:t>
            </w:r>
            <w:r>
              <w:rPr>
                <w:rFonts w:ascii="Times" w:hAnsi="Times"/>
                <w:b/>
                <w:snapToGrid w:val="0"/>
              </w:rPr>
              <w:t xml:space="preserve"> as at 12 Jul 2013</w:t>
            </w:r>
            <w:r>
              <w:rPr>
                <w:rFonts w:ascii="Times" w:hAnsi="Times"/>
                <w:snapToGrid w:val="0"/>
              </w:rPr>
              <w:t xml:space="preserve"> </w:t>
            </w:r>
            <w:r>
              <w:rPr>
                <w:rFonts w:ascii="Times" w:hAnsi="Times"/>
                <w:snapToGrid w:val="0"/>
              </w:rPr>
              <w:br/>
              <w:t>(includes amendments listed above)</w:t>
            </w:r>
          </w:p>
        </w:tc>
      </w:tr>
      <w:tr>
        <w:trPr>
          <w:cantSplit/>
        </w:trPr>
        <w:tc>
          <w:tcPr>
            <w:tcW w:w="3118" w:type="dxa"/>
            <w:tcBorders>
              <w:bottom w:val="single" w:sz="4" w:space="0" w:color="auto"/>
            </w:tcBorders>
          </w:tcPr>
          <w:p>
            <w:pPr>
              <w:pStyle w:val="nTable"/>
              <w:spacing w:after="40"/>
              <w:rPr>
                <w:rFonts w:ascii="Times" w:hAnsi="Times"/>
                <w:i/>
                <w:highlight w:val="green"/>
              </w:rPr>
            </w:pPr>
            <w:r>
              <w:rPr>
                <w:rFonts w:ascii="Times" w:hAnsi="Times"/>
                <w:i/>
              </w:rPr>
              <w:t>Freedom of Information Amendment Regulations (No. 2) 2013</w:t>
            </w:r>
          </w:p>
        </w:tc>
        <w:tc>
          <w:tcPr>
            <w:tcW w:w="1276" w:type="dxa"/>
            <w:tcBorders>
              <w:bottom w:val="single" w:sz="4" w:space="0" w:color="auto"/>
            </w:tcBorders>
          </w:tcPr>
          <w:p>
            <w:pPr>
              <w:pStyle w:val="nTable"/>
              <w:keepNext/>
              <w:spacing w:after="40"/>
              <w:rPr>
                <w:rFonts w:ascii="Times" w:hAnsi="Times"/>
                <w:i/>
              </w:rPr>
            </w:pPr>
            <w:r>
              <w:t>24 Sep 2013 p. 4388-9</w:t>
            </w:r>
          </w:p>
        </w:tc>
        <w:tc>
          <w:tcPr>
            <w:tcW w:w="2693" w:type="dxa"/>
            <w:tcBorders>
              <w:bottom w:val="single" w:sz="4" w:space="0" w:color="auto"/>
            </w:tcBorders>
          </w:tcPr>
          <w:p>
            <w:pPr>
              <w:pStyle w:val="nTable"/>
              <w:keepNext/>
              <w:spacing w:after="40"/>
              <w:rPr>
                <w:rFonts w:ascii="Times" w:hAnsi="Times"/>
                <w:i/>
                <w:snapToGrid w:val="0"/>
              </w:rPr>
            </w:pPr>
            <w:r>
              <w:rPr>
                <w:rFonts w:ascii="Times" w:hAnsi="Times"/>
                <w:snapToGrid w:val="0"/>
              </w:rPr>
              <w:t>r. 1 and 2: 24 Sep 2013 (see r. 2(a));</w:t>
            </w:r>
            <w:r>
              <w:rPr>
                <w:rFonts w:ascii="Times" w:hAnsi="Times"/>
                <w:snapToGrid w:val="0"/>
              </w:rPr>
              <w:br/>
              <w:t>Regulations other than r. 1 and 2: 25 Sep </w:t>
            </w:r>
            <w:r>
              <w:t>2013 (see r. 2(b))</w:t>
            </w:r>
          </w:p>
        </w:tc>
      </w:tr>
    </w:tbl>
    <w:p>
      <w:pPr>
        <w:pStyle w:val="nSubsection"/>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pPr>
        <w:pStyle w:val="nSubsection"/>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Subsection"/>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Subsection"/>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rPr>
          <w:snapToGrid w:val="0"/>
        </w:rPr>
      </w:pPr>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Subsection"/>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Subsection"/>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Subsection"/>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Subsection"/>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2" w:name="_Toc418676410"/>
      <w:bookmarkStart w:id="43" w:name="_Toc418676459"/>
      <w:r>
        <w:rPr>
          <w:sz w:val="28"/>
        </w:rPr>
        <w:t>Defined terms</w:t>
      </w:r>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lvlText w:val="%1."/>
      <w:lvlJc w:val="left"/>
      <w:pPr>
        <w:tabs>
          <w:tab w:val="num" w:pos="1800"/>
        </w:tabs>
        <w:ind w:left="1800" w:hanging="360"/>
      </w:pPr>
    </w:lvl>
  </w:abstractNum>
  <w:abstractNum w:abstractNumId="1">
    <w:nsid w:val="FFFFFF7D"/>
    <w:multiLevelType w:val="singleLevel"/>
    <w:tmpl w:val="2312C4BA"/>
    <w:lvl w:ilvl="0">
      <w:start w:val="1"/>
      <w:numFmt w:val="decimal"/>
      <w:lvlText w:val="%1."/>
      <w:lvlJc w:val="left"/>
      <w:pPr>
        <w:tabs>
          <w:tab w:val="num" w:pos="1440"/>
        </w:tabs>
        <w:ind w:left="1440" w:hanging="360"/>
      </w:pPr>
    </w:lvl>
  </w:abstractNum>
  <w:abstractNum w:abstractNumId="2">
    <w:nsid w:val="FFFFFF7E"/>
    <w:multiLevelType w:val="singleLevel"/>
    <w:tmpl w:val="0B225876"/>
    <w:lvl w:ilvl="0">
      <w:start w:val="1"/>
      <w:numFmt w:val="decimal"/>
      <w:lvlText w:val="%1."/>
      <w:lvlJc w:val="left"/>
      <w:pPr>
        <w:tabs>
          <w:tab w:val="num" w:pos="1080"/>
        </w:tabs>
        <w:ind w:left="1080" w:hanging="360"/>
      </w:pPr>
    </w:lvl>
  </w:abstractNum>
  <w:abstractNum w:abstractNumId="3">
    <w:nsid w:val="FFFFFF7F"/>
    <w:multiLevelType w:val="singleLevel"/>
    <w:tmpl w:val="9E362B64"/>
    <w:lvl w:ilvl="0">
      <w:start w:val="1"/>
      <w:numFmt w:val="decimal"/>
      <w:lvlText w:val="%1."/>
      <w:lvlJc w:val="left"/>
      <w:pPr>
        <w:tabs>
          <w:tab w:val="num" w:pos="720"/>
        </w:tabs>
        <w:ind w:left="720" w:hanging="360"/>
      </w:pPr>
    </w:lvl>
  </w:abstractNum>
  <w:abstractNum w:abstractNumId="4">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lvlText w:val="%1."/>
      <w:lvlJc w:val="left"/>
      <w:pPr>
        <w:tabs>
          <w:tab w:val="num" w:pos="360"/>
        </w:tabs>
        <w:ind w:left="360" w:hanging="360"/>
      </w:pPr>
    </w:lvl>
  </w:abstractNum>
  <w:abstractNum w:abstractNumId="9">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039"/>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35F70-DD61-451D-A728-D2CAB8B64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4344</Words>
  <Characters>26067</Characters>
  <Application>Microsoft Office Word</Application>
  <DocSecurity>0</DocSecurity>
  <Lines>1184</Lines>
  <Paragraphs>661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1993 - 02-b0-04</dc:title>
  <dc:subject/>
  <dc:creator/>
  <cp:keywords/>
  <dc:description/>
  <cp:lastModifiedBy>svcMRProcess</cp:lastModifiedBy>
  <cp:revision>4</cp:revision>
  <cp:lastPrinted>2013-07-17T03:17:00Z</cp:lastPrinted>
  <dcterms:created xsi:type="dcterms:W3CDTF">2019-01-16T04:28:00Z</dcterms:created>
  <dcterms:modified xsi:type="dcterms:W3CDTF">2019-01-16T04:28:00Z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20130925</vt:lpwstr>
  </property>
  <property fmtid="{D5CDD505-2E9C-101B-9397-08002B2CF9AE}" pid="4" name="DocumentType">
    <vt:lpwstr>Reg</vt:lpwstr>
  </property>
  <property fmtid="{D5CDD505-2E9C-101B-9397-08002B2CF9AE}" pid="5" name="OwlsUID">
    <vt:i4>4455</vt:i4>
  </property>
  <property fmtid="{D5CDD505-2E9C-101B-9397-08002B2CF9AE}" pid="6" name="ReprintNo">
    <vt:lpwstr>2</vt:lpwstr>
  </property>
  <property fmtid="{D5CDD505-2E9C-101B-9397-08002B2CF9AE}" pid="7" name="ReprintedAsAt">
    <vt:filetime>2013-07-11T16:00:00Z</vt:filetime>
  </property>
  <property fmtid="{D5CDD505-2E9C-101B-9397-08002B2CF9AE}" pid="8" name="AsAtDate">
    <vt:lpwstr>25 Sep 2013</vt:lpwstr>
  </property>
  <property fmtid="{D5CDD505-2E9C-101B-9397-08002B2CF9AE}" pid="9" name="Suffix">
    <vt:lpwstr>02-b0-04</vt:lpwstr>
  </property>
</Properties>
</file>