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Duties Act 2008</w:t>
      </w:r>
      <w:r>
        <w:rPr>
          <w:sz w:val="48"/>
        </w:rPr>
        <w:fldChar w:fldCharType="end"/>
      </w:r>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_Toc375130538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_Toc375130539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_Toc375130540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_Toc375130541 \h </w:instrText>
      </w:r>
      <w:r>
        <w:fldChar w:fldCharType="separate"/>
      </w:r>
      <w:r>
        <w:t>7</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_Toc375130542 \h </w:instrText>
      </w:r>
      <w:r>
        <w:fldChar w:fldCharType="separate"/>
      </w:r>
      <w:r>
        <w:t>8</w:t>
      </w:r>
      <w:r>
        <w:fldChar w:fldCharType="end"/>
      </w:r>
    </w:p>
    <w:p>
      <w:pPr>
        <w:pStyle w:val="TOC8"/>
        <w:rPr>
          <w:rFonts w:asciiTheme="minorHAnsi" w:eastAsiaTheme="minorEastAsia" w:hAnsiTheme="minorHAnsi" w:cstheme="minorBidi"/>
          <w:szCs w:val="22"/>
        </w:rPr>
      </w:pPr>
      <w:r>
        <w:t>6.</w:t>
      </w:r>
      <w:r>
        <w:tab/>
        <w:t>Family relationships, determining</w:t>
      </w:r>
      <w:r>
        <w:tab/>
      </w:r>
      <w:r>
        <w:fldChar w:fldCharType="begin"/>
      </w:r>
      <w:r>
        <w:instrText xml:space="preserve"> PAGEREF _Toc375130543 \h </w:instrText>
      </w:r>
      <w:r>
        <w:fldChar w:fldCharType="separate"/>
      </w:r>
      <w:r>
        <w:t>8</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_Toc375130544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_Toc375130545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Chapter 2 — Transfer duty</w:t>
      </w:r>
    </w:p>
    <w:p>
      <w:pPr>
        <w:pStyle w:val="TOC4"/>
        <w:tabs>
          <w:tab w:val="right" w:leader="dot" w:pos="7086"/>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_Toc375130548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_Toc375130550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Part 3 — Dutiable transactions and dutiable property</w:t>
      </w:r>
    </w:p>
    <w:p>
      <w:pPr>
        <w:pStyle w:val="TOC6"/>
        <w:tabs>
          <w:tab w:val="right" w:leader="dot" w:pos="7086"/>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Term used: dutiable transaction</w:t>
      </w:r>
      <w:r>
        <w:tab/>
      </w:r>
      <w:r>
        <w:fldChar w:fldCharType="begin"/>
      </w:r>
      <w:r>
        <w:instrText xml:space="preserve"> PAGEREF _Toc375130553 \h </w:instrText>
      </w:r>
      <w:r>
        <w:fldChar w:fldCharType="separate"/>
      </w:r>
      <w:r>
        <w:t>13</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_Toc375130554 \h </w:instrText>
      </w:r>
      <w:r>
        <w:fldChar w:fldCharType="separate"/>
      </w:r>
      <w:r>
        <w:t>14</w:t>
      </w:r>
      <w:r>
        <w:fldChar w:fldCharType="end"/>
      </w:r>
    </w:p>
    <w:p>
      <w:pPr>
        <w:pStyle w:val="TOC8"/>
        <w:rPr>
          <w:rFonts w:asciiTheme="minorHAnsi" w:eastAsiaTheme="minorEastAsia" w:hAnsiTheme="minorHAnsi" w:cstheme="minorBidi"/>
          <w:szCs w:val="22"/>
        </w:rPr>
      </w:pPr>
      <w:r>
        <w:t>13.</w:t>
      </w:r>
      <w:r>
        <w:tab/>
        <w:t>References to farm</w:t>
      </w:r>
      <w:r>
        <w:noBreakHyphen/>
        <w:t>in agreement</w:t>
      </w:r>
      <w:r>
        <w:tab/>
      </w:r>
      <w:r>
        <w:fldChar w:fldCharType="begin"/>
      </w:r>
      <w:r>
        <w:instrText xml:space="preserve"> PAGEREF _Toc375130555 \h </w:instrText>
      </w:r>
      <w:r>
        <w:fldChar w:fldCharType="separate"/>
      </w:r>
      <w:r>
        <w:t>15</w:t>
      </w:r>
      <w:r>
        <w:fldChar w:fldCharType="end"/>
      </w:r>
    </w:p>
    <w:p>
      <w:pPr>
        <w:pStyle w:val="TOC8"/>
        <w:rPr>
          <w:rFonts w:asciiTheme="minorHAnsi" w:eastAsiaTheme="minorEastAsia" w:hAnsiTheme="minorHAnsi" w:cstheme="minorBidi"/>
          <w:szCs w:val="22"/>
        </w:rPr>
      </w:pPr>
      <w:r>
        <w:t>14.</w:t>
      </w:r>
      <w:r>
        <w:tab/>
        <w:t>Transactions as to chattels, which are dutiable</w:t>
      </w:r>
      <w:r>
        <w:tab/>
      </w:r>
      <w:r>
        <w:fldChar w:fldCharType="begin"/>
      </w:r>
      <w:r>
        <w:instrText xml:space="preserve"> PAGEREF _Toc375130556 \h </w:instrText>
      </w:r>
      <w:r>
        <w:fldChar w:fldCharType="separate"/>
      </w:r>
      <w:r>
        <w:t>15</w:t>
      </w:r>
      <w:r>
        <w:fldChar w:fldCharType="end"/>
      </w:r>
    </w:p>
    <w:p>
      <w:pPr>
        <w:pStyle w:val="TOC6"/>
        <w:tabs>
          <w:tab w:val="right" w:leader="dot" w:pos="7086"/>
        </w:tabs>
        <w:rPr>
          <w:rFonts w:asciiTheme="minorHAnsi" w:eastAsiaTheme="minorEastAsia" w:hAnsiTheme="minorHAnsi" w:cstheme="minorBidi"/>
          <w:b w:val="0"/>
          <w:sz w:val="22"/>
          <w:szCs w:val="22"/>
        </w:rPr>
      </w:pPr>
      <w:r>
        <w:t>Division 2 — Dutiable property</w:t>
      </w:r>
    </w:p>
    <w:p>
      <w:pPr>
        <w:pStyle w:val="TOC8"/>
        <w:rPr>
          <w:rFonts w:asciiTheme="minorHAnsi" w:eastAsiaTheme="minorEastAsia" w:hAnsiTheme="minorHAnsi" w:cstheme="minorBidi"/>
          <w:szCs w:val="22"/>
        </w:rPr>
      </w:pPr>
      <w:r>
        <w:t>15.</w:t>
      </w:r>
      <w:r>
        <w:tab/>
        <w:t>Term used: dutiable property</w:t>
      </w:r>
      <w:r>
        <w:tab/>
      </w:r>
      <w:r>
        <w:fldChar w:fldCharType="begin"/>
      </w:r>
      <w:r>
        <w:instrText xml:space="preserve"> PAGEREF _Toc375130558 \h </w:instrText>
      </w:r>
      <w:r>
        <w:fldChar w:fldCharType="separate"/>
      </w:r>
      <w:r>
        <w:t>16</w:t>
      </w:r>
      <w:r>
        <w:fldChar w:fldCharType="end"/>
      </w:r>
    </w:p>
    <w:p>
      <w:pPr>
        <w:pStyle w:val="TOC8"/>
        <w:rPr>
          <w:rFonts w:asciiTheme="minorHAnsi" w:eastAsiaTheme="minorEastAsia" w:hAnsiTheme="minorHAnsi" w:cstheme="minorBidi"/>
          <w:szCs w:val="22"/>
        </w:rPr>
      </w:pPr>
      <w:r>
        <w:t>16.</w:t>
      </w:r>
      <w:r>
        <w:tab/>
        <w:t>References to right</w:t>
      </w:r>
      <w:r>
        <w:tab/>
      </w:r>
      <w:r>
        <w:fldChar w:fldCharType="begin"/>
      </w:r>
      <w:r>
        <w:instrText xml:space="preserve"> PAGEREF _Toc375130559 \h </w:instrText>
      </w:r>
      <w:r>
        <w:fldChar w:fldCharType="separate"/>
      </w:r>
      <w:r>
        <w:t>16</w:t>
      </w:r>
      <w:r>
        <w:fldChar w:fldCharType="end"/>
      </w:r>
    </w:p>
    <w:p>
      <w:pPr>
        <w:pStyle w:val="TOC8"/>
        <w:rPr>
          <w:rFonts w:asciiTheme="minorHAnsi" w:eastAsiaTheme="minorEastAsia" w:hAnsiTheme="minorHAnsi" w:cstheme="minorBidi"/>
          <w:szCs w:val="22"/>
        </w:rPr>
      </w:pPr>
      <w:r>
        <w:t>17.</w:t>
      </w:r>
      <w:r>
        <w:tab/>
        <w:t>Term used: new dutiable property</w:t>
      </w:r>
      <w:r>
        <w:tab/>
      </w:r>
      <w:r>
        <w:fldChar w:fldCharType="begin"/>
      </w:r>
      <w:r>
        <w:instrText xml:space="preserve"> PAGEREF _Toc375130560 \h </w:instrText>
      </w:r>
      <w:r>
        <w:fldChar w:fldCharType="separate"/>
      </w:r>
      <w:r>
        <w:t>17</w:t>
      </w:r>
      <w:r>
        <w:fldChar w:fldCharType="end"/>
      </w:r>
    </w:p>
    <w:p>
      <w:pPr>
        <w:pStyle w:val="TOC8"/>
        <w:rPr>
          <w:rFonts w:asciiTheme="minorHAnsi" w:eastAsiaTheme="minorEastAsia" w:hAnsiTheme="minorHAnsi" w:cstheme="minorBidi"/>
          <w:szCs w:val="22"/>
        </w:rPr>
      </w:pPr>
      <w:r>
        <w:t>18.</w:t>
      </w:r>
      <w:r>
        <w:tab/>
        <w:t>Term used: special dutiable property</w:t>
      </w:r>
      <w:r>
        <w:tab/>
      </w:r>
      <w:r>
        <w:fldChar w:fldCharType="begin"/>
      </w:r>
      <w:r>
        <w:instrText xml:space="preserve"> PAGEREF _Toc375130561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Part 4 — Collection of transfer duty</w:t>
      </w:r>
    </w:p>
    <w:p>
      <w:pPr>
        <w:pStyle w:val="TOC6"/>
        <w:tabs>
          <w:tab w:val="right" w:leader="dot" w:pos="7086"/>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_Toc375130564 \h </w:instrText>
      </w:r>
      <w:r>
        <w:fldChar w:fldCharType="separate"/>
      </w:r>
      <w:r>
        <w:t>18</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_Toc375130565 \h </w:instrText>
      </w:r>
      <w:r>
        <w:fldChar w:fldCharType="separate"/>
      </w:r>
      <w:r>
        <w:t>19</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_Toc375130566 \h </w:instrText>
      </w:r>
      <w:r>
        <w:fldChar w:fldCharType="separate"/>
      </w:r>
      <w:r>
        <w:t>19</w:t>
      </w:r>
      <w:r>
        <w:fldChar w:fldCharType="end"/>
      </w:r>
    </w:p>
    <w:p>
      <w:pPr>
        <w:pStyle w:val="TOC6"/>
        <w:tabs>
          <w:tab w:val="right" w:leader="dot" w:pos="7086"/>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_Toc375130568 \h </w:instrText>
      </w:r>
      <w:r>
        <w:fldChar w:fldCharType="separate"/>
      </w:r>
      <w:r>
        <w:t>19</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_Toc375130569 \h </w:instrText>
      </w:r>
      <w:r>
        <w:fldChar w:fldCharType="separate"/>
      </w:r>
      <w:r>
        <w:t>20</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_Toc375130570 \h </w:instrText>
      </w:r>
      <w:r>
        <w:fldChar w:fldCharType="separate"/>
      </w:r>
      <w:r>
        <w:t>20</w:t>
      </w:r>
      <w:r>
        <w:fldChar w:fldCharType="end"/>
      </w:r>
    </w:p>
    <w:p>
      <w:pPr>
        <w:pStyle w:val="TOC6"/>
        <w:tabs>
          <w:tab w:val="right" w:leader="dot" w:pos="7086"/>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_Toc375130572 \h </w:instrText>
      </w:r>
      <w:r>
        <w:fldChar w:fldCharType="separate"/>
      </w:r>
      <w:r>
        <w:t>20</w:t>
      </w:r>
      <w:r>
        <w:fldChar w:fldCharType="end"/>
      </w:r>
    </w:p>
    <w:p>
      <w:pPr>
        <w:pStyle w:val="TOC6"/>
        <w:tabs>
          <w:tab w:val="right" w:leader="dot" w:pos="7086"/>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_Toc375130574 \h </w:instrText>
      </w:r>
      <w:r>
        <w:fldChar w:fldCharType="separate"/>
      </w:r>
      <w:r>
        <w:t>21</w:t>
      </w:r>
      <w:r>
        <w:fldChar w:fldCharType="end"/>
      </w:r>
    </w:p>
    <w:p>
      <w:pPr>
        <w:pStyle w:val="TOC6"/>
        <w:tabs>
          <w:tab w:val="right" w:leader="dot" w:pos="7086"/>
        </w:tabs>
        <w:rPr>
          <w:rFonts w:asciiTheme="minorHAnsi" w:eastAsiaTheme="minorEastAsia" w:hAnsiTheme="minorHAnsi" w:cstheme="minorBidi"/>
          <w:b w:val="0"/>
          <w:sz w:val="22"/>
          <w:szCs w:val="22"/>
        </w:rPr>
      </w:pPr>
      <w:r>
        <w:t>Division 5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_Toc375130576 \h </w:instrText>
      </w:r>
      <w:r>
        <w:fldChar w:fldCharType="separate"/>
      </w:r>
      <w:r>
        <w:t>22</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_Toc375130577 \h </w:instrText>
      </w:r>
      <w:r>
        <w:fldChar w:fldCharType="separate"/>
      </w:r>
      <w:r>
        <w:t>22</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_Toc375130578 \h </w:instrText>
      </w:r>
      <w:r>
        <w:fldChar w:fldCharType="separate"/>
      </w:r>
      <w:r>
        <w:t>23</w:t>
      </w:r>
      <w:r>
        <w:fldChar w:fldCharType="end"/>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_Toc375130579 \h </w:instrText>
      </w:r>
      <w:r>
        <w:fldChar w:fldCharType="separate"/>
      </w:r>
      <w:r>
        <w:t>29</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_Toc375130580 \h </w:instrText>
      </w:r>
      <w:r>
        <w:fldChar w:fldCharType="separate"/>
      </w:r>
      <w:r>
        <w:t>30</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_Toc375130581 \h </w:instrText>
      </w:r>
      <w:r>
        <w:fldChar w:fldCharType="separate"/>
      </w:r>
      <w:r>
        <w:t>31</w:t>
      </w:r>
      <w:r>
        <w:fldChar w:fldCharType="end"/>
      </w:r>
    </w:p>
    <w:p>
      <w:pPr>
        <w:pStyle w:val="TOC8"/>
        <w:rPr>
          <w:rFonts w:asciiTheme="minorHAnsi" w:eastAsiaTheme="minorEastAsia" w:hAnsiTheme="minorHAnsi" w:cstheme="minorBidi"/>
          <w:szCs w:val="22"/>
        </w:rPr>
      </w:pPr>
      <w:r>
        <w:t>33.</w:t>
      </w:r>
      <w:r>
        <w:tab/>
        <w:t>Agreement by instalments determined before final payment, consequences of</w:t>
      </w:r>
      <w:r>
        <w:tab/>
      </w:r>
      <w:r>
        <w:fldChar w:fldCharType="begin"/>
      </w:r>
      <w:r>
        <w:instrText xml:space="preserve"> PAGEREF _Toc375130582 \h </w:instrText>
      </w:r>
      <w:r>
        <w:fldChar w:fldCharType="separate"/>
      </w:r>
      <w:r>
        <w:t>32</w:t>
      </w:r>
      <w:r>
        <w:fldChar w:fldCharType="end"/>
      </w:r>
    </w:p>
    <w:p>
      <w:pPr>
        <w:pStyle w:val="TOC8"/>
        <w:rPr>
          <w:rFonts w:asciiTheme="minorHAnsi" w:eastAsiaTheme="minorEastAsia" w:hAnsiTheme="minorHAnsi" w:cstheme="minorBidi"/>
          <w:szCs w:val="22"/>
        </w:rPr>
      </w:pPr>
      <w:r>
        <w:t>34.</w:t>
      </w:r>
      <w:r>
        <w:tab/>
        <w:t>Options conferred by dutiable transactions that are exercised or not renewed, consequences of</w:t>
      </w:r>
      <w:r>
        <w:tab/>
      </w:r>
      <w:r>
        <w:fldChar w:fldCharType="begin"/>
      </w:r>
      <w:r>
        <w:instrText xml:space="preserve"> PAGEREF _Toc375130583 \h </w:instrText>
      </w:r>
      <w:r>
        <w:fldChar w:fldCharType="separate"/>
      </w:r>
      <w:r>
        <w:t>33</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_Toc375130584 \h </w:instrText>
      </w:r>
      <w:r>
        <w:fldChar w:fldCharType="separate"/>
      </w:r>
      <w:r>
        <w:t>34</w:t>
      </w:r>
      <w:r>
        <w:fldChar w:fldCharType="end"/>
      </w:r>
    </w:p>
    <w:p>
      <w:pPr>
        <w:pStyle w:val="TOC8"/>
        <w:rPr>
          <w:rFonts w:asciiTheme="minorHAnsi" w:eastAsiaTheme="minorEastAsia" w:hAnsiTheme="minorHAnsi" w:cstheme="minorBidi"/>
          <w:szCs w:val="22"/>
        </w:rPr>
      </w:pPr>
      <w:r>
        <w:t>36.</w:t>
      </w:r>
      <w:r>
        <w:tab/>
        <w:t>Unencumbered value of property, determining</w:t>
      </w:r>
      <w:r>
        <w:tab/>
      </w:r>
      <w:r>
        <w:fldChar w:fldCharType="begin"/>
      </w:r>
      <w:r>
        <w:instrText xml:space="preserve"> PAGEREF _Toc375130585 \h </w:instrText>
      </w:r>
      <w:r>
        <w:fldChar w:fldCharType="separate"/>
      </w:r>
      <w:r>
        <w:t>35</w:t>
      </w:r>
      <w:r>
        <w:fldChar w:fldCharType="end"/>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_Toc375130586 \h </w:instrText>
      </w:r>
      <w:r>
        <w:fldChar w:fldCharType="separate"/>
      </w:r>
      <w:r>
        <w:t>37</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_Toc375130587 \h </w:instrText>
      </w:r>
      <w:r>
        <w:fldChar w:fldCharType="separate"/>
      </w:r>
      <w:r>
        <w:t>39</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_Toc375130588 \h </w:instrText>
      </w:r>
      <w:r>
        <w:fldChar w:fldCharType="separate"/>
      </w:r>
      <w:r>
        <w:t>39</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_Toc375130589 \h </w:instrText>
      </w:r>
      <w:r>
        <w:fldChar w:fldCharType="separate"/>
      </w:r>
      <w:r>
        <w:t>40</w:t>
      </w:r>
      <w:r>
        <w:fldChar w:fldCharType="end"/>
      </w:r>
    </w:p>
    <w:p>
      <w:pPr>
        <w:pStyle w:val="TOC6"/>
        <w:tabs>
          <w:tab w:val="right" w:leader="dot" w:pos="7086"/>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_Toc375130591 \h </w:instrText>
      </w:r>
      <w:r>
        <w:fldChar w:fldCharType="separate"/>
      </w:r>
      <w:r>
        <w:t>40</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_Toc375130592 \h </w:instrText>
      </w:r>
      <w:r>
        <w:fldChar w:fldCharType="separate"/>
      </w:r>
      <w:r>
        <w:t>41</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_Toc375130593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7 — Interim assessment of transfer duty</w:t>
      </w:r>
    </w:p>
    <w:p>
      <w:pPr>
        <w:pStyle w:val="TOC8"/>
        <w:rPr>
          <w:rFonts w:asciiTheme="minorHAnsi" w:eastAsiaTheme="minorEastAsia" w:hAnsiTheme="minorHAnsi" w:cstheme="minorBidi"/>
          <w:szCs w:val="22"/>
        </w:rPr>
      </w:pPr>
      <w:r>
        <w:t>44A.</w:t>
      </w:r>
      <w:r>
        <w:tab/>
        <w:t>Interim assessment of transfer duty</w:t>
      </w:r>
      <w:r>
        <w:tab/>
      </w:r>
      <w:r>
        <w:fldChar w:fldCharType="begin"/>
      </w:r>
      <w:r>
        <w:instrText xml:space="preserve"> PAGEREF _Toc375130595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Part 5 — Application of this Chapter to certain transactions</w:t>
      </w:r>
    </w:p>
    <w:p>
      <w:pPr>
        <w:pStyle w:val="TOC6"/>
        <w:tabs>
          <w:tab w:val="right" w:leader="dot" w:pos="7086"/>
        </w:tabs>
        <w:rPr>
          <w:rFonts w:asciiTheme="minorHAnsi" w:eastAsiaTheme="minorEastAsia" w:hAnsiTheme="minorHAnsi" w:cstheme="minorBidi"/>
          <w:b w:val="0"/>
          <w:sz w:val="22"/>
          <w:szCs w:val="22"/>
        </w:rPr>
      </w:pPr>
      <w:r>
        <w:t>Division 1 — Simultaneous put and call options</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_Toc375130598 \h </w:instrText>
      </w:r>
      <w:r>
        <w:fldChar w:fldCharType="separate"/>
      </w:r>
      <w:r>
        <w:t>51</w:t>
      </w:r>
      <w:r>
        <w:fldChar w:fldCharType="end"/>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_Toc375130599 \h </w:instrText>
      </w:r>
      <w:r>
        <w:fldChar w:fldCharType="separate"/>
      </w:r>
      <w:r>
        <w:t>52</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_Toc375130600 \h </w:instrText>
      </w:r>
      <w:r>
        <w:fldChar w:fldCharType="separate"/>
      </w:r>
      <w:r>
        <w:t>53</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_Toc375130601 \h </w:instrText>
      </w:r>
      <w:r>
        <w:fldChar w:fldCharType="separate"/>
      </w:r>
      <w:r>
        <w:t>53</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_Toc375130602 \h </w:instrText>
      </w:r>
      <w:r>
        <w:fldChar w:fldCharType="separate"/>
      </w:r>
      <w:r>
        <w:t>54</w:t>
      </w:r>
      <w:r>
        <w:fldChar w:fldCharType="end"/>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_Toc375130603 \h </w:instrText>
      </w:r>
      <w:r>
        <w:fldChar w:fldCharType="separate"/>
      </w:r>
      <w:r>
        <w:t>54</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_Toc375130604 \h </w:instrText>
      </w:r>
      <w:r>
        <w:fldChar w:fldCharType="separate"/>
      </w:r>
      <w:r>
        <w:t>55</w:t>
      </w:r>
      <w:r>
        <w:fldChar w:fldCharType="end"/>
      </w:r>
    </w:p>
    <w:p>
      <w:pPr>
        <w:pStyle w:val="TOC8"/>
        <w:rPr>
          <w:rFonts w:asciiTheme="minorHAnsi" w:eastAsiaTheme="minorEastAsia" w:hAnsiTheme="minorHAnsi" w:cstheme="minorBidi"/>
          <w:szCs w:val="22"/>
        </w:rPr>
      </w:pPr>
      <w:r>
        <w:t>51.</w:t>
      </w:r>
      <w:r>
        <w:tab/>
        <w:t>Dutiable transaction referred to in s. 49, duty paid on to be credited</w:t>
      </w:r>
      <w:r>
        <w:tab/>
      </w:r>
      <w:r>
        <w:fldChar w:fldCharType="begin"/>
      </w:r>
      <w:r>
        <w:instrText xml:space="preserve"> PAGEREF _Toc375130605 \h </w:instrText>
      </w:r>
      <w:r>
        <w:fldChar w:fldCharType="separate"/>
      </w:r>
      <w:r>
        <w:t>56</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_Toc375130606 \h </w:instrText>
      </w:r>
      <w:r>
        <w:fldChar w:fldCharType="separate"/>
      </w:r>
      <w:r>
        <w:t>56</w:t>
      </w:r>
      <w:r>
        <w:fldChar w:fldCharType="end"/>
      </w:r>
    </w:p>
    <w:p>
      <w:pPr>
        <w:pStyle w:val="TOC6"/>
        <w:tabs>
          <w:tab w:val="right" w:leader="dot" w:pos="7086"/>
        </w:tabs>
        <w:rPr>
          <w:rFonts w:asciiTheme="minorHAnsi" w:eastAsiaTheme="minorEastAsia" w:hAnsiTheme="minorHAnsi" w:cstheme="minorBidi"/>
          <w:b w:val="0"/>
          <w:sz w:val="22"/>
          <w:szCs w:val="22"/>
        </w:rPr>
      </w:pPr>
      <w:r>
        <w:t>Division 2 — Discretionary trust acquisitions and surrenders</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_Toc375130608 \h </w:instrText>
      </w:r>
      <w:r>
        <w:fldChar w:fldCharType="separate"/>
      </w:r>
      <w:r>
        <w:t>57</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_Toc375130609 \h </w:instrText>
      </w:r>
      <w:r>
        <w:fldChar w:fldCharType="separate"/>
      </w:r>
      <w:r>
        <w:t>57</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_Toc375130610 \h </w:instrText>
      </w:r>
      <w:r>
        <w:fldChar w:fldCharType="separate"/>
      </w:r>
      <w:r>
        <w:t>57</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_Toc375130611 \h </w:instrText>
      </w:r>
      <w:r>
        <w:fldChar w:fldCharType="separate"/>
      </w:r>
      <w:r>
        <w:t>57</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_Toc375130612 \h </w:instrText>
      </w:r>
      <w:r>
        <w:fldChar w:fldCharType="separate"/>
      </w:r>
      <w:r>
        <w:t>58</w:t>
      </w:r>
      <w:r>
        <w:fldChar w:fldCharType="end"/>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_Toc375130613 \h </w:instrText>
      </w:r>
      <w:r>
        <w:fldChar w:fldCharType="separate"/>
      </w:r>
      <w:r>
        <w:t>58</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_Toc375130614 \h </w:instrText>
      </w:r>
      <w:r>
        <w:fldChar w:fldCharType="separate"/>
      </w:r>
      <w:r>
        <w:t>58</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_Toc375130615 \h </w:instrText>
      </w:r>
      <w:r>
        <w:fldChar w:fldCharType="separate"/>
      </w:r>
      <w:r>
        <w:t>59</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_Toc375130616 \h </w:instrText>
      </w:r>
      <w:r>
        <w:fldChar w:fldCharType="separate"/>
      </w:r>
      <w:r>
        <w:t>60</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_Toc375130617 \h </w:instrText>
      </w:r>
      <w:r>
        <w:fldChar w:fldCharType="separate"/>
      </w:r>
      <w:r>
        <w:t>60</w:t>
      </w:r>
      <w:r>
        <w:fldChar w:fldCharType="end"/>
      </w:r>
    </w:p>
    <w:p>
      <w:pPr>
        <w:pStyle w:val="TOC6"/>
        <w:tabs>
          <w:tab w:val="right" w:leader="dot" w:pos="7086"/>
        </w:tabs>
        <w:rPr>
          <w:rFonts w:asciiTheme="minorHAnsi" w:eastAsiaTheme="minorEastAsia" w:hAnsiTheme="minorHAnsi" w:cstheme="minorBidi"/>
          <w:b w:val="0"/>
          <w:sz w:val="22"/>
          <w:szCs w:val="22"/>
        </w:rPr>
      </w:pPr>
      <w:r>
        <w:t>Division 3 — Corporate trustees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_Toc375130619 \h </w:instrText>
      </w:r>
      <w:r>
        <w:fldChar w:fldCharType="separate"/>
      </w:r>
      <w:r>
        <w:t>61</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_Toc375130620 \h </w:instrText>
      </w:r>
      <w:r>
        <w:fldChar w:fldCharType="separate"/>
      </w:r>
      <w:r>
        <w:t>61</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_Toc375130621 \h </w:instrText>
      </w:r>
      <w:r>
        <w:fldChar w:fldCharType="separate"/>
      </w:r>
      <w:r>
        <w:t>62</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_Toc375130622 \h </w:instrText>
      </w:r>
      <w:r>
        <w:fldChar w:fldCharType="separate"/>
      </w:r>
      <w:r>
        <w:t>62</w:t>
      </w:r>
      <w:r>
        <w:fldChar w:fldCharType="end"/>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_Toc375130623 \h </w:instrText>
      </w:r>
      <w:r>
        <w:fldChar w:fldCharType="separate"/>
      </w:r>
      <w:r>
        <w:t>62</w:t>
      </w:r>
      <w:r>
        <w:fldChar w:fldCharType="end"/>
      </w:r>
    </w:p>
    <w:p>
      <w:pPr>
        <w:pStyle w:val="TOC8"/>
        <w:rPr>
          <w:rFonts w:asciiTheme="minorHAnsi" w:eastAsiaTheme="minorEastAsia" w:hAnsiTheme="minorHAnsi" w:cstheme="minorBidi"/>
          <w:szCs w:val="22"/>
        </w:rPr>
      </w:pPr>
      <w:r>
        <w:t>68.</w:t>
      </w:r>
      <w:r>
        <w:tab/>
        <w:t>Transaction referred to in s. 67, dutiable value of</w:t>
      </w:r>
      <w:r>
        <w:tab/>
      </w:r>
      <w:r>
        <w:fldChar w:fldCharType="begin"/>
      </w:r>
      <w:r>
        <w:instrText xml:space="preserve"> PAGEREF _Toc375130624 \h </w:instrText>
      </w:r>
      <w:r>
        <w:fldChar w:fldCharType="separate"/>
      </w:r>
      <w:r>
        <w:t>63</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_Toc375130625 \h </w:instrText>
      </w:r>
      <w:r>
        <w:fldChar w:fldCharType="separate"/>
      </w:r>
      <w:r>
        <w:t>63</w:t>
      </w:r>
      <w:r>
        <w:fldChar w:fldCharType="end"/>
      </w:r>
    </w:p>
    <w:p>
      <w:pPr>
        <w:pStyle w:val="TOC6"/>
        <w:tabs>
          <w:tab w:val="right" w:leader="dot" w:pos="7086"/>
        </w:tabs>
        <w:rPr>
          <w:rFonts w:asciiTheme="minorHAnsi" w:eastAsiaTheme="minorEastAsia" w:hAnsiTheme="minorHAnsi" w:cstheme="minorBidi"/>
          <w:b w:val="0"/>
          <w:sz w:val="22"/>
          <w:szCs w:val="22"/>
        </w:rPr>
      </w:pPr>
      <w:r>
        <w:t>Division 4 — Partnerships</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_Toc375130627 \h </w:instrText>
      </w:r>
      <w:r>
        <w:fldChar w:fldCharType="separate"/>
      </w:r>
      <w:r>
        <w:t>64</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_Toc375130628 \h </w:instrText>
      </w:r>
      <w:r>
        <w:fldChar w:fldCharType="separate"/>
      </w:r>
      <w:r>
        <w:t>64</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_Toc375130629 \h </w:instrText>
      </w:r>
      <w:r>
        <w:fldChar w:fldCharType="separate"/>
      </w:r>
      <w:r>
        <w:t>64</w:t>
      </w:r>
      <w:r>
        <w:fldChar w:fldCharType="end"/>
      </w:r>
    </w:p>
    <w:p>
      <w:pPr>
        <w:pStyle w:val="TOC8"/>
        <w:rPr>
          <w:rFonts w:asciiTheme="minorHAnsi" w:eastAsiaTheme="minorEastAsia" w:hAnsiTheme="minorHAnsi" w:cstheme="minorBidi"/>
          <w:szCs w:val="22"/>
        </w:rPr>
      </w:pPr>
      <w:r>
        <w:t>73.</w:t>
      </w:r>
      <w:r>
        <w:tab/>
        <w:t>When partnership holds indirect interest in WA land</w:t>
      </w:r>
      <w:r>
        <w:tab/>
      </w:r>
      <w:r>
        <w:fldChar w:fldCharType="begin"/>
      </w:r>
      <w:r>
        <w:instrText xml:space="preserve"> PAGEREF _Toc375130630 \h </w:instrText>
      </w:r>
      <w:r>
        <w:fldChar w:fldCharType="separate"/>
      </w:r>
      <w:r>
        <w:t>64</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_Toc375130631 \h </w:instrText>
      </w:r>
      <w:r>
        <w:fldChar w:fldCharType="separate"/>
      </w:r>
      <w:r>
        <w:t>65</w:t>
      </w:r>
      <w:r>
        <w:fldChar w:fldCharType="end"/>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_Toc375130632 \h </w:instrText>
      </w:r>
      <w:r>
        <w:fldChar w:fldCharType="separate"/>
      </w:r>
      <w:r>
        <w:t>65</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_Toc375130633 \h </w:instrText>
      </w:r>
      <w:r>
        <w:fldChar w:fldCharType="separate"/>
      </w:r>
      <w:r>
        <w:t>65</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_Toc375130634 \h </w:instrText>
      </w:r>
      <w:r>
        <w:fldChar w:fldCharType="separate"/>
      </w:r>
      <w:r>
        <w:t>66</w:t>
      </w:r>
      <w:r>
        <w:fldChar w:fldCharType="end"/>
      </w:r>
    </w:p>
    <w:p>
      <w:pPr>
        <w:pStyle w:val="TOC8"/>
        <w:rPr>
          <w:rFonts w:asciiTheme="minorHAnsi" w:eastAsiaTheme="minorEastAsia" w:hAnsiTheme="minorHAnsi" w:cstheme="minorBidi"/>
          <w:szCs w:val="22"/>
        </w:rPr>
      </w:pPr>
      <w:r>
        <w:t>78.</w:t>
      </w:r>
      <w:r>
        <w:tab/>
        <w:t>Transfer of dutiable property of partnership to retiring partner, dutiable value of</w:t>
      </w:r>
      <w:r>
        <w:tab/>
      </w:r>
      <w:r>
        <w:fldChar w:fldCharType="begin"/>
      </w:r>
      <w:r>
        <w:instrText xml:space="preserve"> PAGEREF _Toc375130635 \h </w:instrText>
      </w:r>
      <w:r>
        <w:fldChar w:fldCharType="separate"/>
      </w:r>
      <w:r>
        <w:t>67</w:t>
      </w:r>
      <w:r>
        <w:fldChar w:fldCharType="end"/>
      </w:r>
    </w:p>
    <w:p>
      <w:pPr>
        <w:pStyle w:val="TOC6"/>
        <w:tabs>
          <w:tab w:val="right" w:leader="dot" w:pos="7086"/>
        </w:tabs>
        <w:rPr>
          <w:rFonts w:asciiTheme="minorHAnsi" w:eastAsiaTheme="minorEastAsia" w:hAnsiTheme="minorHAnsi" w:cstheme="minorBidi"/>
          <w:b w:val="0"/>
          <w:sz w:val="22"/>
          <w:szCs w:val="22"/>
        </w:rPr>
      </w:pPr>
      <w:r>
        <w:t>Division 5 — Western Australian business assets</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_Toc375130637 \h </w:instrText>
      </w:r>
      <w:r>
        <w:fldChar w:fldCharType="separate"/>
      </w:r>
      <w:r>
        <w:t>68</w:t>
      </w:r>
      <w:r>
        <w:fldChar w:fldCharType="end"/>
      </w:r>
    </w:p>
    <w:p>
      <w:pPr>
        <w:pStyle w:val="TOC8"/>
        <w:rPr>
          <w:rFonts w:asciiTheme="minorHAnsi" w:eastAsiaTheme="minorEastAsia" w:hAnsiTheme="minorHAnsi" w:cstheme="minorBidi"/>
          <w:szCs w:val="22"/>
        </w:rPr>
      </w:pPr>
      <w:r>
        <w:t>80.</w:t>
      </w:r>
      <w:r>
        <w:tab/>
        <w:t>Some transactions involving business licences to be taken to be agreements to transfer WA business assets</w:t>
      </w:r>
      <w:r>
        <w:tab/>
      </w:r>
      <w:r>
        <w:fldChar w:fldCharType="begin"/>
      </w:r>
      <w:r>
        <w:instrText xml:space="preserve"> PAGEREF _Toc375130638 \h </w:instrText>
      </w:r>
      <w:r>
        <w:fldChar w:fldCharType="separate"/>
      </w:r>
      <w:r>
        <w:t>71</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_Toc375130639 \h </w:instrText>
      </w:r>
      <w:r>
        <w:fldChar w:fldCharType="separate"/>
      </w:r>
      <w:r>
        <w:t>71</w:t>
      </w:r>
      <w:r>
        <w:fldChar w:fldCharType="end"/>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_Toc375130640 \h </w:instrText>
      </w:r>
      <w:r>
        <w:fldChar w:fldCharType="separate"/>
      </w:r>
      <w:r>
        <w:t>72</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_Toc375130641 \h </w:instrText>
      </w:r>
      <w:r>
        <w:fldChar w:fldCharType="separate"/>
      </w:r>
      <w:r>
        <w:t>73</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_Toc375130642 \h </w:instrText>
      </w:r>
      <w:r>
        <w:fldChar w:fldCharType="separate"/>
      </w:r>
      <w:r>
        <w:t>73</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_Toc375130643 \h </w:instrText>
      </w:r>
      <w:r>
        <w:fldChar w:fldCharType="separate"/>
      </w:r>
      <w:r>
        <w:t>74</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_Toc375130644 \h </w:instrText>
      </w:r>
      <w:r>
        <w:fldChar w:fldCharType="separate"/>
      </w:r>
      <w:r>
        <w:t>74</w:t>
      </w:r>
      <w:r>
        <w:fldChar w:fldCharType="end"/>
      </w:r>
    </w:p>
    <w:p>
      <w:pPr>
        <w:pStyle w:val="TOC6"/>
        <w:tabs>
          <w:tab w:val="right" w:leader="dot" w:pos="7086"/>
        </w:tabs>
        <w:rPr>
          <w:rFonts w:asciiTheme="minorHAnsi" w:eastAsiaTheme="minorEastAsia" w:hAnsiTheme="minorHAnsi" w:cstheme="minorBidi"/>
          <w:b w:val="0"/>
          <w:sz w:val="22"/>
          <w:szCs w:val="22"/>
        </w:rPr>
      </w:pPr>
      <w:r>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_Toc375130646 \h </w:instrText>
      </w:r>
      <w:r>
        <w:fldChar w:fldCharType="separate"/>
      </w:r>
      <w:r>
        <w:t>75</w:t>
      </w:r>
      <w:r>
        <w:fldChar w:fldCharType="end"/>
      </w:r>
    </w:p>
    <w:p>
      <w:pPr>
        <w:pStyle w:val="TOC8"/>
        <w:rPr>
          <w:rFonts w:asciiTheme="minorHAnsi" w:eastAsiaTheme="minorEastAsia" w:hAnsiTheme="minorHAnsi" w:cstheme="minorBidi"/>
          <w:szCs w:val="22"/>
        </w:rPr>
      </w:pPr>
      <w:r>
        <w:t>88A.</w:t>
      </w:r>
      <w:r>
        <w:tab/>
        <w:t>General conditional agreements, no duty on if terminated on relevant grounds</w:t>
      </w:r>
      <w:r>
        <w:tab/>
      </w:r>
      <w:r>
        <w:fldChar w:fldCharType="begin"/>
      </w:r>
      <w:r>
        <w:instrText xml:space="preserve"> PAGEREF _Toc375130647 \h </w:instrText>
      </w:r>
      <w:r>
        <w:fldChar w:fldCharType="separate"/>
      </w:r>
      <w:r>
        <w:t>79</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_Toc375130648 \h </w:instrText>
      </w:r>
      <w:r>
        <w:fldChar w:fldCharType="separate"/>
      </w:r>
      <w:r>
        <w:t>80</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_Toc375130649 \h </w:instrText>
      </w:r>
      <w:r>
        <w:fldChar w:fldCharType="separate"/>
      </w:r>
      <w:r>
        <w:t>80</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_Toc375130650 \h </w:instrText>
      </w:r>
      <w:r>
        <w:fldChar w:fldCharType="separate"/>
      </w:r>
      <w:r>
        <w:t>80</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_Toc375130651 \h </w:instrText>
      </w:r>
      <w:r>
        <w:fldChar w:fldCharType="separate"/>
      </w:r>
      <w:r>
        <w:t>80</w:t>
      </w:r>
      <w:r>
        <w:fldChar w:fldCharType="end"/>
      </w:r>
    </w:p>
    <w:p>
      <w:pPr>
        <w:pStyle w:val="TOC4"/>
        <w:tabs>
          <w:tab w:val="right" w:leader="dot" w:pos="7086"/>
        </w:tabs>
        <w:rPr>
          <w:rFonts w:asciiTheme="minorHAnsi" w:eastAsiaTheme="minorEastAsia" w:hAnsiTheme="minorHAnsi" w:cstheme="minorBidi"/>
          <w:b w:val="0"/>
          <w:szCs w:val="22"/>
        </w:rPr>
      </w:pPr>
      <w:r>
        <w:t>Part 6 — Exemptions, nominal duty and concessions</w:t>
      </w:r>
    </w:p>
    <w:p>
      <w:pPr>
        <w:pStyle w:val="TOC6"/>
        <w:tabs>
          <w:tab w:val="right" w:leader="dot" w:pos="7086"/>
        </w:tabs>
        <w:rPr>
          <w:rFonts w:asciiTheme="minorHAnsi" w:eastAsiaTheme="minorEastAsia" w:hAnsiTheme="minorHAnsi" w:cstheme="minorBidi"/>
          <w:b w:val="0"/>
          <w:sz w:val="22"/>
          <w:szCs w:val="22"/>
        </w:rPr>
      </w:pPr>
      <w:r>
        <w:t>Division 1 — Exemptions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_Toc375130654 \h </w:instrText>
      </w:r>
      <w:r>
        <w:fldChar w:fldCharType="separate"/>
      </w:r>
      <w:r>
        <w:t>81</w:t>
      </w:r>
      <w:r>
        <w:fldChar w:fldCharType="end"/>
      </w:r>
    </w:p>
    <w:p>
      <w:pPr>
        <w:pStyle w:val="TOC8"/>
        <w:rPr>
          <w:rFonts w:asciiTheme="minorHAnsi" w:eastAsiaTheme="minorEastAsia" w:hAnsiTheme="minorHAnsi" w:cstheme="minorBidi"/>
          <w:szCs w:val="22"/>
        </w:rPr>
      </w:pPr>
      <w:r>
        <w:t>93.</w:t>
      </w:r>
      <w:r>
        <w:tab/>
        <w:t>Transactions for which exempt body would be solely liable</w:t>
      </w:r>
      <w:r>
        <w:tab/>
      </w:r>
      <w:r>
        <w:fldChar w:fldCharType="begin"/>
      </w:r>
      <w:r>
        <w:instrText xml:space="preserve"> PAGEREF _Toc375130655 \h </w:instrText>
      </w:r>
      <w:r>
        <w:fldChar w:fldCharType="separate"/>
      </w:r>
      <w:r>
        <w:t>81</w:t>
      </w:r>
      <w:r>
        <w:fldChar w:fldCharType="end"/>
      </w:r>
    </w:p>
    <w:p>
      <w:pPr>
        <w:pStyle w:val="TOC8"/>
        <w:rPr>
          <w:rFonts w:asciiTheme="minorHAnsi" w:eastAsiaTheme="minorEastAsia" w:hAnsiTheme="minorHAnsi" w:cstheme="minorBidi"/>
          <w:szCs w:val="22"/>
        </w:rPr>
      </w:pPr>
      <w:r>
        <w:t>94.</w:t>
      </w:r>
      <w:r>
        <w:tab/>
        <w:t>Transactions for which exempt body and another party would be liable, duty reduction for etc.</w:t>
      </w:r>
      <w:r>
        <w:tab/>
      </w:r>
      <w:r>
        <w:fldChar w:fldCharType="begin"/>
      </w:r>
      <w:r>
        <w:instrText xml:space="preserve"> PAGEREF _Toc375130656 \h </w:instrText>
      </w:r>
      <w:r>
        <w:fldChar w:fldCharType="separate"/>
      </w:r>
      <w:r>
        <w:t>81</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_Toc375130657 \h </w:instrText>
      </w:r>
      <w:r>
        <w:fldChar w:fldCharType="separate"/>
      </w:r>
      <w:r>
        <w:t>82</w:t>
      </w:r>
      <w:r>
        <w:fldChar w:fldCharType="end"/>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_Toc375130658 \h </w:instrText>
      </w:r>
      <w:r>
        <w:fldChar w:fldCharType="separate"/>
      </w:r>
      <w:r>
        <w:t>83</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_Toc375130659 \h </w:instrText>
      </w:r>
      <w:r>
        <w:fldChar w:fldCharType="separate"/>
      </w:r>
      <w:r>
        <w:t>83</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_Toc375130660 \h </w:instrText>
      </w:r>
      <w:r>
        <w:fldChar w:fldCharType="separate"/>
      </w:r>
      <w:r>
        <w:t>84</w:t>
      </w:r>
      <w:r>
        <w:fldChar w:fldCharType="end"/>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_Toc375130661 \h </w:instrText>
      </w:r>
      <w:r>
        <w:fldChar w:fldCharType="separate"/>
      </w:r>
      <w:r>
        <w:t>84</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_Toc375130662 \h </w:instrText>
      </w:r>
      <w:r>
        <w:fldChar w:fldCharType="separate"/>
      </w:r>
      <w:r>
        <w:t>85</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_Toc375130663 \h </w:instrText>
      </w:r>
      <w:r>
        <w:fldChar w:fldCharType="separate"/>
      </w:r>
      <w:r>
        <w:t>86</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_Toc375130664 \h </w:instrText>
      </w:r>
      <w:r>
        <w:fldChar w:fldCharType="separate"/>
      </w:r>
      <w:r>
        <w:t>86</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_Toc375130665 \h </w:instrText>
      </w:r>
      <w:r>
        <w:fldChar w:fldCharType="separate"/>
      </w:r>
      <w:r>
        <w:t>89</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_Toc375130666 \h </w:instrText>
      </w:r>
      <w:r>
        <w:fldChar w:fldCharType="separate"/>
      </w:r>
      <w:r>
        <w:t>89</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_Toc375130667 \h </w:instrText>
      </w:r>
      <w:r>
        <w:fldChar w:fldCharType="separate"/>
      </w:r>
      <w:r>
        <w:t>89</w:t>
      </w:r>
      <w:r>
        <w:fldChar w:fldCharType="end"/>
      </w:r>
    </w:p>
    <w:p>
      <w:pPr>
        <w:pStyle w:val="TOC8"/>
        <w:rPr>
          <w:rFonts w:asciiTheme="minorHAnsi" w:eastAsiaTheme="minorEastAsia" w:hAnsiTheme="minorHAnsi" w:cstheme="minorBidi"/>
          <w:szCs w:val="22"/>
        </w:rPr>
      </w:pPr>
      <w:r>
        <w:t>106.</w:t>
      </w:r>
      <w:r>
        <w:tab/>
        <w:t>Application for an exemption under this Subdivision</w:t>
      </w:r>
      <w:r>
        <w:tab/>
      </w:r>
      <w:r>
        <w:fldChar w:fldCharType="begin"/>
      </w:r>
      <w:r>
        <w:instrText xml:space="preserve"> PAGEREF _Toc375130668 \h </w:instrText>
      </w:r>
      <w:r>
        <w:fldChar w:fldCharType="separate"/>
      </w:r>
      <w:r>
        <w:t>90</w:t>
      </w:r>
      <w:r>
        <w:fldChar w:fldCharType="end"/>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_Toc375130669 \h </w:instrText>
      </w:r>
      <w:r>
        <w:fldChar w:fldCharType="separate"/>
      </w:r>
      <w:r>
        <w:t>91</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_Toc375130670 \h </w:instrText>
      </w:r>
      <w:r>
        <w:fldChar w:fldCharType="separate"/>
      </w:r>
      <w:r>
        <w:t>93</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_Toc375130671 \h </w:instrText>
      </w:r>
      <w:r>
        <w:fldChar w:fldCharType="separate"/>
      </w:r>
      <w:r>
        <w:t>93</w:t>
      </w:r>
      <w:r>
        <w:fldChar w:fldCharType="end"/>
      </w:r>
    </w:p>
    <w:p>
      <w:pPr>
        <w:pStyle w:val="TOC8"/>
        <w:rPr>
          <w:rFonts w:asciiTheme="minorHAnsi" w:eastAsiaTheme="minorEastAsia" w:hAnsiTheme="minorHAnsi" w:cstheme="minorBidi"/>
          <w:szCs w:val="22"/>
        </w:rPr>
      </w:pPr>
      <w:r>
        <w:t>110.</w:t>
      </w:r>
      <w:r>
        <w:tab/>
      </w:r>
      <w:r>
        <w:rPr>
          <w:i/>
          <w:iCs/>
        </w:rPr>
        <w:t xml:space="preserve">Financial Sector (Business Transfer and Group Restructure) Act 1999 </w:t>
      </w:r>
      <w:r>
        <w:rPr>
          <w:iCs/>
        </w:rPr>
        <w:t>(Cwlth)</w:t>
      </w:r>
      <w:r>
        <w:rPr>
          <w:i/>
          <w:iCs/>
        </w:rPr>
        <w:t xml:space="preserve"> </w:t>
      </w:r>
      <w:r>
        <w:t>Part 4 transactions</w:t>
      </w:r>
      <w:r>
        <w:tab/>
      </w:r>
      <w:r>
        <w:fldChar w:fldCharType="begin"/>
      </w:r>
      <w:r>
        <w:instrText xml:space="preserve"> PAGEREF _Toc375130672 \h </w:instrText>
      </w:r>
      <w:r>
        <w:fldChar w:fldCharType="separate"/>
      </w:r>
      <w:r>
        <w:t>94</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_Toc375130673 \h </w:instrText>
      </w:r>
      <w:r>
        <w:fldChar w:fldCharType="separate"/>
      </w:r>
      <w:r>
        <w:t>94</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_Toc375130674 \h </w:instrText>
      </w:r>
      <w:r>
        <w:fldChar w:fldCharType="separate"/>
      </w:r>
      <w:r>
        <w:t>94</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_Toc375130675 \h </w:instrText>
      </w:r>
      <w:r>
        <w:fldChar w:fldCharType="separate"/>
      </w:r>
      <w:r>
        <w:t>96</w:t>
      </w:r>
      <w:r>
        <w:fldChar w:fldCharType="end"/>
      </w:r>
    </w:p>
    <w:p>
      <w:pPr>
        <w:pStyle w:val="TOC6"/>
        <w:tabs>
          <w:tab w:val="right" w:leader="dot" w:pos="7086"/>
        </w:tabs>
        <w:rPr>
          <w:rFonts w:asciiTheme="minorHAnsi" w:eastAsiaTheme="minorEastAsia" w:hAnsiTheme="minorHAnsi" w:cstheme="minorBidi"/>
          <w:b w:val="0"/>
          <w:sz w:val="22"/>
          <w:szCs w:val="22"/>
        </w:rPr>
      </w:pPr>
      <w:r>
        <w:t>Division 2 — Nominal duty</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_Toc375130677 \h </w:instrText>
      </w:r>
      <w:r>
        <w:fldChar w:fldCharType="separate"/>
      </w:r>
      <w:r>
        <w:t>96</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_Toc375130678 \h </w:instrText>
      </w:r>
      <w:r>
        <w:fldChar w:fldCharType="separate"/>
      </w:r>
      <w:r>
        <w:t>97</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_Toc375130679 \h </w:instrText>
      </w:r>
      <w:r>
        <w:fldChar w:fldCharType="separate"/>
      </w:r>
      <w:r>
        <w:t>97</w:t>
      </w:r>
      <w:r>
        <w:fldChar w:fldCharType="end"/>
      </w:r>
    </w:p>
    <w:p>
      <w:pPr>
        <w:pStyle w:val="TOC8"/>
        <w:rPr>
          <w:rFonts w:asciiTheme="minorHAnsi" w:eastAsiaTheme="minorEastAsia" w:hAnsiTheme="minorHAnsi" w:cstheme="minorBidi"/>
          <w:szCs w:val="22"/>
        </w:rPr>
      </w:pPr>
      <w:r>
        <w:t>117.</w:t>
      </w:r>
      <w:r>
        <w:tab/>
        <w:t>Transactions involving apparent purchaser</w:t>
      </w:r>
      <w:r>
        <w:tab/>
      </w:r>
      <w:r>
        <w:fldChar w:fldCharType="begin"/>
      </w:r>
      <w:r>
        <w:instrText xml:space="preserve"> PAGEREF _Toc375130680 \h </w:instrText>
      </w:r>
      <w:r>
        <w:fldChar w:fldCharType="separate"/>
      </w:r>
      <w:r>
        <w:t>98</w:t>
      </w:r>
      <w:r>
        <w:fldChar w:fldCharType="end"/>
      </w:r>
    </w:p>
    <w:p>
      <w:pPr>
        <w:pStyle w:val="TOC8"/>
        <w:rPr>
          <w:rFonts w:asciiTheme="minorHAnsi" w:eastAsiaTheme="minorEastAsia" w:hAnsiTheme="minorHAnsi" w:cstheme="minorBidi"/>
          <w:szCs w:val="22"/>
        </w:rPr>
      </w:pPr>
      <w:r>
        <w:t>118.</w:t>
      </w:r>
      <w:r>
        <w:tab/>
        <w:t>Transfer to and from trustee</w:t>
      </w:r>
      <w:r>
        <w:tab/>
      </w:r>
      <w:r>
        <w:fldChar w:fldCharType="begin"/>
      </w:r>
      <w:r>
        <w:instrText xml:space="preserve"> PAGEREF _Toc375130681 \h </w:instrText>
      </w:r>
      <w:r>
        <w:fldChar w:fldCharType="separate"/>
      </w:r>
      <w:r>
        <w:t>99</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_Toc375130682 \h </w:instrText>
      </w:r>
      <w:r>
        <w:fldChar w:fldCharType="separate"/>
      </w:r>
      <w:r>
        <w:t>100</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_Toc375130683 \h </w:instrText>
      </w:r>
      <w:r>
        <w:fldChar w:fldCharType="separate"/>
      </w:r>
      <w:r>
        <w:t>102</w:t>
      </w:r>
      <w:r>
        <w:fldChar w:fldCharType="end"/>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_Toc375130684 \h </w:instrText>
      </w:r>
      <w:r>
        <w:fldChar w:fldCharType="separate"/>
      </w:r>
      <w:r>
        <w:t>103</w:t>
      </w:r>
      <w:r>
        <w:fldChar w:fldCharType="end"/>
      </w:r>
    </w:p>
    <w:p>
      <w:pPr>
        <w:pStyle w:val="TOC8"/>
        <w:rPr>
          <w:rFonts w:asciiTheme="minorHAnsi" w:eastAsiaTheme="minorEastAsia" w:hAnsiTheme="minorHAnsi" w:cstheme="minorBidi"/>
          <w:szCs w:val="22"/>
        </w:rPr>
      </w:pPr>
      <w:r>
        <w:t>122.</w:t>
      </w:r>
      <w:r>
        <w:tab/>
        <w:t>Some transfers etc. of dutiable property to superannuation fund for consideration</w:t>
      </w:r>
      <w:r>
        <w:tab/>
      </w:r>
      <w:r>
        <w:fldChar w:fldCharType="begin"/>
      </w:r>
      <w:r>
        <w:instrText xml:space="preserve"> PAGEREF _Toc375130685 \h </w:instrText>
      </w:r>
      <w:r>
        <w:fldChar w:fldCharType="separate"/>
      </w:r>
      <w:r>
        <w:t>103</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_Toc375130686 \h </w:instrText>
      </w:r>
      <w:r>
        <w:fldChar w:fldCharType="separate"/>
      </w:r>
      <w:r>
        <w:t>104</w:t>
      </w:r>
      <w:r>
        <w:fldChar w:fldCharType="end"/>
      </w:r>
    </w:p>
    <w:p>
      <w:pPr>
        <w:pStyle w:val="TOC8"/>
        <w:rPr>
          <w:rFonts w:asciiTheme="minorHAnsi" w:eastAsiaTheme="minorEastAsia" w:hAnsiTheme="minorHAnsi" w:cstheme="minorBidi"/>
          <w:szCs w:val="22"/>
        </w:rPr>
      </w:pPr>
      <w:r>
        <w:t>124.</w:t>
      </w:r>
      <w:r>
        <w:tab/>
        <w:t>Some transfers etc. of dutiable property to superannuation fund without consideration</w:t>
      </w:r>
      <w:r>
        <w:tab/>
      </w:r>
      <w:r>
        <w:fldChar w:fldCharType="begin"/>
      </w:r>
      <w:r>
        <w:instrText xml:space="preserve"> PAGEREF _Toc375130687 \h </w:instrText>
      </w:r>
      <w:r>
        <w:fldChar w:fldCharType="separate"/>
      </w:r>
      <w:r>
        <w:t>105</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_Toc375130688 \h </w:instrText>
      </w:r>
      <w:r>
        <w:fldChar w:fldCharType="separate"/>
      </w:r>
      <w:r>
        <w:t>105</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_Toc375130689 \h </w:instrText>
      </w:r>
      <w:r>
        <w:fldChar w:fldCharType="separate"/>
      </w:r>
      <w:r>
        <w:t>106</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_Toc375130690 \h </w:instrText>
      </w:r>
      <w:r>
        <w:fldChar w:fldCharType="separate"/>
      </w:r>
      <w:r>
        <w:t>107</w:t>
      </w:r>
      <w:r>
        <w:fldChar w:fldCharType="end"/>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_Toc375130691 \h </w:instrText>
      </w:r>
      <w:r>
        <w:fldChar w:fldCharType="separate"/>
      </w:r>
      <w:r>
        <w:t>108</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_Toc375130692 \h </w:instrText>
      </w:r>
      <w:r>
        <w:fldChar w:fldCharType="separate"/>
      </w:r>
      <w:r>
        <w:t>109</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_Toc375130693 \h </w:instrText>
      </w:r>
      <w:r>
        <w:fldChar w:fldCharType="separate"/>
      </w:r>
      <w:r>
        <w:t>110</w:t>
      </w:r>
      <w:r>
        <w:fldChar w:fldCharType="end"/>
      </w:r>
    </w:p>
    <w:p>
      <w:pPr>
        <w:pStyle w:val="TOC8"/>
        <w:rPr>
          <w:rFonts w:asciiTheme="minorHAnsi" w:eastAsiaTheme="minorEastAsia" w:hAnsiTheme="minorHAnsi" w:cstheme="minorBidi"/>
          <w:szCs w:val="22"/>
        </w:rPr>
      </w:pPr>
      <w:r>
        <w:t>131.</w:t>
      </w:r>
      <w:r>
        <w:tab/>
        <w:t>Transactions effected by or in accordance with matrimonial instrument or de facto relationship instrument</w:t>
      </w:r>
      <w:r>
        <w:tab/>
      </w:r>
      <w:r>
        <w:fldChar w:fldCharType="begin"/>
      </w:r>
      <w:r>
        <w:instrText xml:space="preserve"> PAGEREF _Toc375130694 \h </w:instrText>
      </w:r>
      <w:r>
        <w:fldChar w:fldCharType="separate"/>
      </w:r>
      <w:r>
        <w:t>110</w:t>
      </w:r>
      <w:r>
        <w:fldChar w:fldCharType="end"/>
      </w:r>
    </w:p>
    <w:p>
      <w:pPr>
        <w:pStyle w:val="TOC8"/>
        <w:rPr>
          <w:rFonts w:asciiTheme="minorHAnsi" w:eastAsiaTheme="minorEastAsia" w:hAnsiTheme="minorHAnsi" w:cstheme="minorBidi"/>
          <w:szCs w:val="22"/>
        </w:rPr>
      </w:pPr>
      <w:r>
        <w:t>132.</w:t>
      </w:r>
      <w:r>
        <w:tab/>
        <w:t>Transactions becoming ones to which s. 131 applies, reassessment of</w:t>
      </w:r>
      <w:r>
        <w:tab/>
      </w:r>
      <w:r>
        <w:fldChar w:fldCharType="begin"/>
      </w:r>
      <w:r>
        <w:instrText xml:space="preserve"> PAGEREF _Toc375130695 \h </w:instrText>
      </w:r>
      <w:r>
        <w:fldChar w:fldCharType="separate"/>
      </w:r>
      <w:r>
        <w:t>111</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_Toc375130696 \h </w:instrText>
      </w:r>
      <w:r>
        <w:fldChar w:fldCharType="separate"/>
      </w:r>
      <w:r>
        <w:t>112</w:t>
      </w:r>
      <w:r>
        <w:fldChar w:fldCharType="end"/>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_Toc375130697 \h </w:instrText>
      </w:r>
      <w:r>
        <w:fldChar w:fldCharType="separate"/>
      </w:r>
      <w:r>
        <w:t>112</w:t>
      </w:r>
      <w:r>
        <w:fldChar w:fldCharType="end"/>
      </w:r>
    </w:p>
    <w:p>
      <w:pPr>
        <w:pStyle w:val="TOC8"/>
        <w:rPr>
          <w:rFonts w:asciiTheme="minorHAnsi" w:eastAsiaTheme="minorEastAsia" w:hAnsiTheme="minorHAnsi" w:cstheme="minorBidi"/>
          <w:szCs w:val="22"/>
        </w:rPr>
      </w:pPr>
      <w:r>
        <w:t>135.</w:t>
      </w:r>
      <w:r>
        <w:tab/>
        <w:t>Farm</w:t>
      </w:r>
      <w:r>
        <w:noBreakHyphen/>
        <w:t>in agreements</w:t>
      </w:r>
      <w:r>
        <w:tab/>
      </w:r>
      <w:r>
        <w:fldChar w:fldCharType="begin"/>
      </w:r>
      <w:r>
        <w:instrText xml:space="preserve"> PAGEREF _Toc375130698 \h </w:instrText>
      </w:r>
      <w:r>
        <w:fldChar w:fldCharType="separate"/>
      </w:r>
      <w:r>
        <w:t>113</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_Toc375130699 \h </w:instrText>
      </w:r>
      <w:r>
        <w:fldChar w:fldCharType="separate"/>
      </w:r>
      <w:r>
        <w:t>113</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_Toc375130700 \h </w:instrText>
      </w:r>
      <w:r>
        <w:fldChar w:fldCharType="separate"/>
      </w:r>
      <w:r>
        <w:t>113</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_Toc375130701 \h </w:instrText>
      </w:r>
      <w:r>
        <w:fldChar w:fldCharType="separate"/>
      </w:r>
      <w:r>
        <w:t>114</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_Toc375130702 \h </w:instrText>
      </w:r>
      <w:r>
        <w:fldChar w:fldCharType="separate"/>
      </w:r>
      <w:r>
        <w:t>114</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_Toc375130703 \h </w:instrText>
      </w:r>
      <w:r>
        <w:fldChar w:fldCharType="separate"/>
      </w:r>
      <w:r>
        <w:t>115</w:t>
      </w:r>
      <w:r>
        <w:fldChar w:fldCharType="end"/>
      </w:r>
    </w:p>
    <w:p>
      <w:pPr>
        <w:pStyle w:val="TOC6"/>
        <w:tabs>
          <w:tab w:val="right" w:leader="dot" w:pos="7086"/>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_Toc375130705 \h </w:instrText>
      </w:r>
      <w:r>
        <w:fldChar w:fldCharType="separate"/>
      </w:r>
      <w:r>
        <w:t>115</w:t>
      </w:r>
      <w:r>
        <w:fldChar w:fldCharType="end"/>
      </w:r>
    </w:p>
    <w:p>
      <w:pPr>
        <w:pStyle w:val="TOC8"/>
        <w:rPr>
          <w:rFonts w:asciiTheme="minorHAnsi" w:eastAsiaTheme="minorEastAsia" w:hAnsiTheme="minorHAnsi" w:cstheme="minorBidi"/>
          <w:szCs w:val="22"/>
        </w:rPr>
      </w:pPr>
      <w:r>
        <w:t>142.</w:t>
      </w:r>
      <w:r>
        <w:tab/>
        <w:t>References to FHOG concessional transaction and further FHOG concessional transaction</w:t>
      </w:r>
      <w:r>
        <w:tab/>
      </w:r>
      <w:r>
        <w:fldChar w:fldCharType="begin"/>
      </w:r>
      <w:r>
        <w:instrText xml:space="preserve"> PAGEREF _Toc375130706 \h </w:instrText>
      </w:r>
      <w:r>
        <w:fldChar w:fldCharType="separate"/>
      </w:r>
      <w:r>
        <w:t>116</w:t>
      </w:r>
      <w:r>
        <w:fldChar w:fldCharType="end"/>
      </w:r>
    </w:p>
    <w:p>
      <w:pPr>
        <w:pStyle w:val="TOC8"/>
        <w:rPr>
          <w:rFonts w:asciiTheme="minorHAnsi" w:eastAsiaTheme="minorEastAsia" w:hAnsiTheme="minorHAnsi" w:cstheme="minorBidi"/>
          <w:szCs w:val="22"/>
        </w:rPr>
      </w:pPr>
      <w:r>
        <w:t>143.</w:t>
      </w:r>
      <w:r>
        <w:tab/>
        <w:t>Concessions for first home owners</w:t>
      </w:r>
      <w:r>
        <w:tab/>
      </w:r>
      <w:r>
        <w:fldChar w:fldCharType="begin"/>
      </w:r>
      <w:r>
        <w:instrText xml:space="preserve"> PAGEREF _Toc375130707 \h </w:instrText>
      </w:r>
      <w:r>
        <w:fldChar w:fldCharType="separate"/>
      </w:r>
      <w:r>
        <w:t>117</w:t>
      </w:r>
      <w:r>
        <w:fldChar w:fldCharType="end"/>
      </w:r>
    </w:p>
    <w:p>
      <w:pPr>
        <w:pStyle w:val="TOC8"/>
        <w:rPr>
          <w:rFonts w:asciiTheme="minorHAnsi" w:eastAsiaTheme="minorEastAsia" w:hAnsiTheme="minorHAnsi" w:cstheme="minorBidi"/>
          <w:szCs w:val="22"/>
        </w:rPr>
      </w:pPr>
      <w:r>
        <w:t>144.</w:t>
      </w:r>
      <w:r>
        <w:tab/>
        <w:t>Application for concession under this Division</w:t>
      </w:r>
      <w:r>
        <w:tab/>
      </w:r>
      <w:r>
        <w:fldChar w:fldCharType="begin"/>
      </w:r>
      <w:r>
        <w:instrText xml:space="preserve"> PAGEREF _Toc375130708 \h </w:instrText>
      </w:r>
      <w:r>
        <w:fldChar w:fldCharType="separate"/>
      </w:r>
      <w:r>
        <w:t>118</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_Toc375130709 \h </w:instrText>
      </w:r>
      <w:r>
        <w:fldChar w:fldCharType="separate"/>
      </w:r>
      <w:r>
        <w:t>119</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_Toc375130710 \h </w:instrText>
      </w:r>
      <w:r>
        <w:fldChar w:fldCharType="separate"/>
      </w:r>
      <w:r>
        <w:t>120</w:t>
      </w:r>
      <w:r>
        <w:fldChar w:fldCharType="end"/>
      </w:r>
    </w:p>
    <w:p>
      <w:pPr>
        <w:pStyle w:val="TOC6"/>
        <w:tabs>
          <w:tab w:val="right" w:leader="dot" w:pos="7086"/>
        </w:tabs>
        <w:rPr>
          <w:rFonts w:asciiTheme="minorHAnsi" w:eastAsiaTheme="minorEastAsia" w:hAnsiTheme="minorHAnsi" w:cstheme="minorBidi"/>
          <w:b w:val="0"/>
          <w:sz w:val="22"/>
          <w:szCs w:val="22"/>
        </w:rPr>
      </w:pPr>
      <w:r>
        <w:t>Division 4A</w:t>
      </w:r>
      <w:r>
        <w:rPr>
          <w:bCs/>
        </w:rPr>
        <w:t xml:space="preserve"> — </w:t>
      </w:r>
      <w:r>
        <w:t>Residential concession</w:t>
      </w:r>
    </w:p>
    <w:p>
      <w:pPr>
        <w:pStyle w:val="TOC8"/>
        <w:rPr>
          <w:rFonts w:asciiTheme="minorHAnsi" w:eastAsiaTheme="minorEastAsia" w:hAnsiTheme="minorHAnsi" w:cstheme="minorBidi"/>
          <w:szCs w:val="22"/>
        </w:rPr>
      </w:pPr>
      <w:r>
        <w:t>147A.</w:t>
      </w:r>
      <w:r>
        <w:tab/>
        <w:t>Terms used</w:t>
      </w:r>
      <w:r>
        <w:tab/>
      </w:r>
      <w:r>
        <w:fldChar w:fldCharType="begin"/>
      </w:r>
      <w:r>
        <w:instrText xml:space="preserve"> PAGEREF _Toc375130712 \h </w:instrText>
      </w:r>
      <w:r>
        <w:fldChar w:fldCharType="separate"/>
      </w:r>
      <w:r>
        <w:t>120</w:t>
      </w:r>
      <w:r>
        <w:fldChar w:fldCharType="end"/>
      </w:r>
    </w:p>
    <w:p>
      <w:pPr>
        <w:pStyle w:val="TOC8"/>
        <w:rPr>
          <w:rFonts w:asciiTheme="minorHAnsi" w:eastAsiaTheme="minorEastAsia" w:hAnsiTheme="minorHAnsi" w:cstheme="minorBidi"/>
          <w:szCs w:val="22"/>
        </w:rPr>
      </w:pPr>
      <w:r>
        <w:t>147B.</w:t>
      </w:r>
      <w:r>
        <w:tab/>
        <w:t>Term used: eligible transaction</w:t>
      </w:r>
      <w:r>
        <w:tab/>
      </w:r>
      <w:r>
        <w:fldChar w:fldCharType="begin"/>
      </w:r>
      <w:r>
        <w:instrText xml:space="preserve"> PAGEREF _Toc375130713 \h </w:instrText>
      </w:r>
      <w:r>
        <w:fldChar w:fldCharType="separate"/>
      </w:r>
      <w:r>
        <w:t>121</w:t>
      </w:r>
      <w:r>
        <w:fldChar w:fldCharType="end"/>
      </w:r>
    </w:p>
    <w:p>
      <w:pPr>
        <w:pStyle w:val="TOC8"/>
        <w:rPr>
          <w:rFonts w:asciiTheme="minorHAnsi" w:eastAsiaTheme="minorEastAsia" w:hAnsiTheme="minorHAnsi" w:cstheme="minorBidi"/>
          <w:szCs w:val="22"/>
        </w:rPr>
      </w:pPr>
      <w:r>
        <w:t>147C.</w:t>
      </w:r>
      <w:r>
        <w:tab/>
        <w:t>Term used: concessional transaction</w:t>
      </w:r>
      <w:r>
        <w:tab/>
      </w:r>
      <w:r>
        <w:fldChar w:fldCharType="begin"/>
      </w:r>
      <w:r>
        <w:instrText xml:space="preserve"> PAGEREF _Toc375130714 \h </w:instrText>
      </w:r>
      <w:r>
        <w:fldChar w:fldCharType="separate"/>
      </w:r>
      <w:r>
        <w:t>121</w:t>
      </w:r>
      <w:r>
        <w:fldChar w:fldCharType="end"/>
      </w:r>
    </w:p>
    <w:p>
      <w:pPr>
        <w:pStyle w:val="TOC8"/>
        <w:rPr>
          <w:rFonts w:asciiTheme="minorHAnsi" w:eastAsiaTheme="minorEastAsia" w:hAnsiTheme="minorHAnsi" w:cstheme="minorBidi"/>
          <w:szCs w:val="22"/>
        </w:rPr>
      </w:pPr>
      <w:r>
        <w:t>147D.</w:t>
      </w:r>
      <w:r>
        <w:tab/>
        <w:t>Term used: residential property</w:t>
      </w:r>
      <w:r>
        <w:tab/>
      </w:r>
      <w:r>
        <w:fldChar w:fldCharType="begin"/>
      </w:r>
      <w:r>
        <w:instrText xml:space="preserve"> PAGEREF _Toc375130715 \h </w:instrText>
      </w:r>
      <w:r>
        <w:fldChar w:fldCharType="separate"/>
      </w:r>
      <w:r>
        <w:t>122</w:t>
      </w:r>
      <w:r>
        <w:fldChar w:fldCharType="end"/>
      </w:r>
    </w:p>
    <w:p>
      <w:pPr>
        <w:pStyle w:val="TOC8"/>
        <w:rPr>
          <w:rFonts w:asciiTheme="minorHAnsi" w:eastAsiaTheme="minorEastAsia" w:hAnsiTheme="minorHAnsi" w:cstheme="minorBidi"/>
          <w:szCs w:val="22"/>
        </w:rPr>
      </w:pPr>
      <w:r>
        <w:t>147E.</w:t>
      </w:r>
      <w:r>
        <w:tab/>
        <w:t>Concessional rate of duty chargeable on concessional transactions</w:t>
      </w:r>
      <w:r>
        <w:tab/>
      </w:r>
      <w:r>
        <w:fldChar w:fldCharType="begin"/>
      </w:r>
      <w:r>
        <w:instrText xml:space="preserve"> PAGEREF _Toc375130716 \h </w:instrText>
      </w:r>
      <w:r>
        <w:fldChar w:fldCharType="separate"/>
      </w:r>
      <w:r>
        <w:t>122</w:t>
      </w:r>
      <w:r>
        <w:fldChar w:fldCharType="end"/>
      </w:r>
    </w:p>
    <w:p>
      <w:pPr>
        <w:pStyle w:val="TOC8"/>
        <w:rPr>
          <w:rFonts w:asciiTheme="minorHAnsi" w:eastAsiaTheme="minorEastAsia" w:hAnsiTheme="minorHAnsi" w:cstheme="minorBidi"/>
          <w:szCs w:val="22"/>
        </w:rPr>
      </w:pPr>
      <w:r>
        <w:t>147F.</w:t>
      </w:r>
      <w:r>
        <w:tab/>
        <w:t>Eligible transactions to be reassessed if construction of residence begins etc. in certain time</w:t>
      </w:r>
      <w:r>
        <w:tab/>
      </w:r>
      <w:r>
        <w:fldChar w:fldCharType="begin"/>
      </w:r>
      <w:r>
        <w:instrText xml:space="preserve"> PAGEREF _Toc375130717 \h </w:instrText>
      </w:r>
      <w:r>
        <w:fldChar w:fldCharType="separate"/>
      </w:r>
      <w:r>
        <w:t>122</w:t>
      </w:r>
      <w:r>
        <w:fldChar w:fldCharType="end"/>
      </w:r>
    </w:p>
    <w:p>
      <w:pPr>
        <w:pStyle w:val="TOC8"/>
        <w:rPr>
          <w:rFonts w:asciiTheme="minorHAnsi" w:eastAsiaTheme="minorEastAsia" w:hAnsiTheme="minorHAnsi" w:cstheme="minorBidi"/>
          <w:szCs w:val="22"/>
        </w:rPr>
      </w:pPr>
      <w:r>
        <w:t>147G.</w:t>
      </w:r>
      <w:r>
        <w:tab/>
        <w:t>Application for assessment or reassessment at concessional rate</w:t>
      </w:r>
      <w:r>
        <w:tab/>
      </w:r>
      <w:r>
        <w:fldChar w:fldCharType="begin"/>
      </w:r>
      <w:r>
        <w:instrText xml:space="preserve"> PAGEREF _Toc375130718 \h </w:instrText>
      </w:r>
      <w:r>
        <w:fldChar w:fldCharType="separate"/>
      </w:r>
      <w:r>
        <w:t>124</w:t>
      </w:r>
      <w:r>
        <w:fldChar w:fldCharType="end"/>
      </w:r>
    </w:p>
    <w:p>
      <w:pPr>
        <w:pStyle w:val="TOC6"/>
        <w:tabs>
          <w:tab w:val="right" w:leader="dot" w:pos="7086"/>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_Toc375130720 \h </w:instrText>
      </w:r>
      <w:r>
        <w:fldChar w:fldCharType="separate"/>
      </w:r>
      <w:r>
        <w:t>124</w:t>
      </w:r>
      <w:r>
        <w:fldChar w:fldCharType="end"/>
      </w:r>
    </w:p>
    <w:p>
      <w:pPr>
        <w:pStyle w:val="TOC2"/>
        <w:tabs>
          <w:tab w:val="right" w:leader="dot" w:pos="7086"/>
        </w:tabs>
        <w:rPr>
          <w:rFonts w:asciiTheme="minorHAnsi" w:eastAsiaTheme="minorEastAsia" w:hAnsiTheme="minorHAnsi" w:cstheme="minorBidi"/>
          <w:b w:val="0"/>
          <w:sz w:val="22"/>
          <w:szCs w:val="22"/>
        </w:rPr>
      </w:pPr>
      <w:r>
        <w:t>Chapter 3 — Landholder duty</w:t>
      </w:r>
    </w:p>
    <w:p>
      <w:pPr>
        <w:pStyle w:val="TOC4"/>
        <w:tabs>
          <w:tab w:val="right" w:leader="dot" w:pos="7086"/>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_Toc375130723 \h </w:instrText>
      </w:r>
      <w:r>
        <w:fldChar w:fldCharType="separate"/>
      </w:r>
      <w:r>
        <w:t>126</w:t>
      </w:r>
      <w:r>
        <w:fldChar w:fldCharType="end"/>
      </w:r>
    </w:p>
    <w:p>
      <w:pPr>
        <w:pStyle w:val="TOC8"/>
        <w:rPr>
          <w:rFonts w:asciiTheme="minorHAnsi" w:eastAsiaTheme="minorEastAsia" w:hAnsiTheme="minorHAnsi" w:cstheme="minorBidi"/>
          <w:szCs w:val="22"/>
        </w:rPr>
      </w:pPr>
      <w:r>
        <w:t>149.</w:t>
      </w:r>
      <w:r>
        <w:tab/>
        <w:t>Entitlement to land, determining</w:t>
      </w:r>
      <w:r>
        <w:tab/>
      </w:r>
      <w:r>
        <w:fldChar w:fldCharType="begin"/>
      </w:r>
      <w:r>
        <w:instrText xml:space="preserve"> PAGEREF _Toc375130724 \h </w:instrText>
      </w:r>
      <w:r>
        <w:fldChar w:fldCharType="separate"/>
      </w:r>
      <w:r>
        <w:t>127</w:t>
      </w:r>
      <w:r>
        <w:fldChar w:fldCharType="end"/>
      </w:r>
    </w:p>
    <w:p>
      <w:pPr>
        <w:pStyle w:val="TOC8"/>
        <w:rPr>
          <w:rFonts w:asciiTheme="minorHAnsi" w:eastAsiaTheme="minorEastAsia" w:hAnsiTheme="minorHAnsi" w:cstheme="minorBidi"/>
          <w:szCs w:val="22"/>
        </w:rPr>
      </w:pPr>
      <w:r>
        <w:t>150.</w:t>
      </w:r>
      <w:r>
        <w:tab/>
        <w:t>Unencumbered value of land or chattels</w:t>
      </w:r>
      <w:r>
        <w:tab/>
      </w:r>
      <w:r>
        <w:fldChar w:fldCharType="begin"/>
      </w:r>
      <w:r>
        <w:instrText xml:space="preserve"> PAGEREF _Toc375130725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_Toc375130727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rPr>
      </w:pPr>
      <w:r>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_Toc375130729 \h </w:instrText>
      </w:r>
      <w:r>
        <w:fldChar w:fldCharType="separate"/>
      </w:r>
      <w:r>
        <w:t>129</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_Toc375130730 \h </w:instrText>
      </w:r>
      <w:r>
        <w:fldChar w:fldCharType="separate"/>
      </w:r>
      <w:r>
        <w:t>129</w:t>
      </w:r>
      <w:r>
        <w:fldChar w:fldCharType="end"/>
      </w:r>
    </w:p>
    <w:p>
      <w:pPr>
        <w:pStyle w:val="TOC8"/>
        <w:rPr>
          <w:rFonts w:asciiTheme="minorHAnsi" w:eastAsiaTheme="minorEastAsia" w:hAnsiTheme="minorHAnsi" w:cstheme="minorBidi"/>
          <w:szCs w:val="22"/>
        </w:rPr>
      </w:pPr>
      <w:r>
        <w:t>154.</w:t>
      </w:r>
      <w:r>
        <w:tab/>
        <w:t>Interest of person in landholder etc., calculating</w:t>
      </w:r>
      <w:r>
        <w:tab/>
      </w:r>
      <w:r>
        <w:fldChar w:fldCharType="begin"/>
      </w:r>
      <w:r>
        <w:instrText xml:space="preserve"> PAGEREF _Toc375130731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_Toc375130733 \h </w:instrText>
      </w:r>
      <w:r>
        <w:fldChar w:fldCharType="separate"/>
      </w:r>
      <w:r>
        <w:t>131</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_Toc375130734 \h </w:instrText>
      </w:r>
      <w:r>
        <w:fldChar w:fldCharType="separate"/>
      </w:r>
      <w:r>
        <w:t>132</w:t>
      </w:r>
      <w:r>
        <w:fldChar w:fldCharType="end"/>
      </w:r>
    </w:p>
    <w:p>
      <w:pPr>
        <w:pStyle w:val="TOC8"/>
        <w:rPr>
          <w:rFonts w:asciiTheme="minorHAnsi" w:eastAsiaTheme="minorEastAsia" w:hAnsiTheme="minorHAnsi" w:cstheme="minorBidi"/>
          <w:szCs w:val="22"/>
        </w:rPr>
      </w:pPr>
      <w:r>
        <w:t>157.</w:t>
      </w:r>
      <w:r>
        <w:tab/>
        <w:t>Land of linked entity, value of for s. 155</w:t>
      </w:r>
      <w:r>
        <w:tab/>
      </w:r>
      <w:r>
        <w:fldChar w:fldCharType="begin"/>
      </w:r>
      <w:r>
        <w:instrText xml:space="preserve"> PAGEREF _Toc375130735 \h </w:instrText>
      </w:r>
      <w:r>
        <w:fldChar w:fldCharType="separate"/>
      </w:r>
      <w:r>
        <w:t>133</w:t>
      </w:r>
      <w:r>
        <w:fldChar w:fldCharType="end"/>
      </w:r>
    </w:p>
    <w:p>
      <w:pPr>
        <w:pStyle w:val="TOC8"/>
        <w:rPr>
          <w:rFonts w:asciiTheme="minorHAnsi" w:eastAsiaTheme="minorEastAsia" w:hAnsiTheme="minorHAnsi" w:cstheme="minorBidi"/>
          <w:szCs w:val="22"/>
        </w:rPr>
      </w:pPr>
      <w:r>
        <w:t>158.</w:t>
      </w:r>
      <w:r>
        <w:tab/>
        <w:t>Extent of interest in discretionary trust</w:t>
      </w:r>
      <w:r>
        <w:tab/>
      </w:r>
      <w:r>
        <w:fldChar w:fldCharType="begin"/>
      </w:r>
      <w:r>
        <w:instrText xml:space="preserve"> PAGEREF _Toc375130736 \h </w:instrText>
      </w:r>
      <w:r>
        <w:fldChar w:fldCharType="separate"/>
      </w:r>
      <w:r>
        <w:t>134</w:t>
      </w:r>
      <w:r>
        <w:fldChar w:fldCharType="end"/>
      </w:r>
    </w:p>
    <w:p>
      <w:pPr>
        <w:pStyle w:val="TOC8"/>
        <w:rPr>
          <w:rFonts w:asciiTheme="minorHAnsi" w:eastAsiaTheme="minorEastAsia" w:hAnsiTheme="minorHAnsi" w:cstheme="minorBidi"/>
          <w:szCs w:val="22"/>
        </w:rPr>
      </w:pPr>
      <w:r>
        <w:t>159.</w:t>
      </w:r>
      <w:r>
        <w:tab/>
        <w:t>Extent of interest in partnership</w:t>
      </w:r>
      <w:r>
        <w:tab/>
      </w:r>
      <w:r>
        <w:fldChar w:fldCharType="begin"/>
      </w:r>
      <w:r>
        <w:instrText xml:space="preserve"> PAGEREF _Toc375130737 \h </w:instrText>
      </w:r>
      <w:r>
        <w:fldChar w:fldCharType="separate"/>
      </w:r>
      <w:r>
        <w:t>134</w:t>
      </w:r>
      <w:r>
        <w:fldChar w:fldCharType="end"/>
      </w:r>
    </w:p>
    <w:p>
      <w:pPr>
        <w:pStyle w:val="TOC4"/>
        <w:tabs>
          <w:tab w:val="right" w:leader="dot" w:pos="7086"/>
        </w:tabs>
        <w:rPr>
          <w:rFonts w:asciiTheme="minorHAnsi" w:eastAsiaTheme="minorEastAsia" w:hAnsiTheme="minorHAnsi" w:cstheme="minorBidi"/>
          <w:b w:val="0"/>
          <w:szCs w:val="22"/>
        </w:rPr>
      </w:pPr>
      <w:r>
        <w:t>Part 5 — Acquisitions to which this Chapter applies</w:t>
      </w:r>
    </w:p>
    <w:p>
      <w:pPr>
        <w:pStyle w:val="TOC6"/>
        <w:tabs>
          <w:tab w:val="right" w:leader="dot" w:pos="7086"/>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When a person acquires an interest in an entity</w:t>
      </w:r>
      <w:r>
        <w:tab/>
      </w:r>
      <w:r>
        <w:fldChar w:fldCharType="begin"/>
      </w:r>
      <w:r>
        <w:instrText xml:space="preserve"> PAGEREF _Toc375130740 \h </w:instrText>
      </w:r>
      <w:r>
        <w:fldChar w:fldCharType="separate"/>
      </w:r>
      <w:r>
        <w:t>134</w:t>
      </w:r>
      <w:r>
        <w:fldChar w:fldCharType="end"/>
      </w:r>
    </w:p>
    <w:p>
      <w:pPr>
        <w:pStyle w:val="TOC6"/>
        <w:tabs>
          <w:tab w:val="right" w:leader="dot" w:pos="7086"/>
        </w:tabs>
        <w:rPr>
          <w:rFonts w:asciiTheme="minorHAnsi" w:eastAsiaTheme="minorEastAsia" w:hAnsiTheme="minorHAnsi" w:cstheme="minorBidi"/>
          <w:b w:val="0"/>
          <w:sz w:val="22"/>
          <w:szCs w:val="22"/>
        </w:rPr>
      </w:pPr>
      <w:r>
        <w:t>Division 2 — Relevant acquisitions of interests in landholders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_Toc375130742 \h </w:instrText>
      </w:r>
      <w:r>
        <w:fldChar w:fldCharType="separate"/>
      </w:r>
      <w:r>
        <w:t>135</w:t>
      </w:r>
      <w:r>
        <w:fldChar w:fldCharType="end"/>
      </w:r>
    </w:p>
    <w:p>
      <w:pPr>
        <w:pStyle w:val="TOC8"/>
        <w:rPr>
          <w:rFonts w:asciiTheme="minorHAnsi" w:eastAsiaTheme="minorEastAsia" w:hAnsiTheme="minorHAnsi" w:cstheme="minorBidi"/>
          <w:szCs w:val="22"/>
        </w:rPr>
      </w:pPr>
      <w:r>
        <w:t>162.</w:t>
      </w:r>
      <w:r>
        <w:tab/>
        <w:t>Related persons: s. 163 and 164</w:t>
      </w:r>
      <w:r>
        <w:tab/>
      </w:r>
      <w:r>
        <w:fldChar w:fldCharType="begin"/>
      </w:r>
      <w:r>
        <w:instrText xml:space="preserve"> PAGEREF _Toc375130743 \h </w:instrText>
      </w:r>
      <w:r>
        <w:fldChar w:fldCharType="separate"/>
      </w:r>
      <w:r>
        <w:t>136</w:t>
      </w:r>
      <w:r>
        <w:fldChar w:fldCharType="end"/>
      </w:r>
    </w:p>
    <w:p>
      <w:pPr>
        <w:pStyle w:val="TOC8"/>
        <w:rPr>
          <w:rFonts w:asciiTheme="minorHAnsi" w:eastAsiaTheme="minorEastAsia" w:hAnsiTheme="minorHAnsi" w:cstheme="minorBidi"/>
          <w:szCs w:val="22"/>
        </w:rPr>
      </w:pPr>
      <w:r>
        <w:t>163.</w:t>
      </w:r>
      <w:r>
        <w:tab/>
        <w:t>Term used: relevant acquisition</w:t>
      </w:r>
      <w:r>
        <w:tab/>
      </w:r>
      <w:r>
        <w:fldChar w:fldCharType="begin"/>
      </w:r>
      <w:r>
        <w:instrText xml:space="preserve"> PAGEREF _Toc375130744 \h </w:instrText>
      </w:r>
      <w:r>
        <w:fldChar w:fldCharType="separate"/>
      </w:r>
      <w:r>
        <w:t>137</w:t>
      </w:r>
      <w:r>
        <w:fldChar w:fldCharType="end"/>
      </w:r>
    </w:p>
    <w:p>
      <w:pPr>
        <w:pStyle w:val="TOC8"/>
        <w:rPr>
          <w:rFonts w:asciiTheme="minorHAnsi" w:eastAsiaTheme="minorEastAsia" w:hAnsiTheme="minorHAnsi" w:cstheme="minorBidi"/>
          <w:szCs w:val="22"/>
        </w:rPr>
      </w:pPr>
      <w:r>
        <w:t>164.</w:t>
      </w:r>
      <w:r>
        <w:tab/>
        <w:t>Term used: relevant acquisition</w:t>
      </w:r>
      <w:r>
        <w:tab/>
      </w:r>
      <w:r>
        <w:fldChar w:fldCharType="begin"/>
      </w:r>
      <w:r>
        <w:instrText xml:space="preserve"> PAGEREF _Toc375130745 \h </w:instrText>
      </w:r>
      <w:r>
        <w:fldChar w:fldCharType="separate"/>
      </w:r>
      <w:r>
        <w:t>138</w:t>
      </w:r>
      <w:r>
        <w:fldChar w:fldCharType="end"/>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_Toc375130746 \h </w:instrText>
      </w:r>
      <w:r>
        <w:fldChar w:fldCharType="separate"/>
      </w:r>
      <w:r>
        <w:t>138</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_Toc375130747 \h </w:instrText>
      </w:r>
      <w:r>
        <w:fldChar w:fldCharType="separate"/>
      </w:r>
      <w:r>
        <w:t>138</w:t>
      </w:r>
      <w:r>
        <w:fldChar w:fldCharType="end"/>
      </w:r>
    </w:p>
    <w:p>
      <w:pPr>
        <w:pStyle w:val="TOC8"/>
        <w:rPr>
          <w:rFonts w:asciiTheme="minorHAnsi" w:eastAsiaTheme="minorEastAsia" w:hAnsiTheme="minorHAnsi" w:cstheme="minorBidi"/>
          <w:szCs w:val="22"/>
        </w:rPr>
      </w:pPr>
      <w:r>
        <w:t>167.</w:t>
      </w:r>
      <w:r>
        <w:tab/>
        <w:t>Exemption if nominal duty would be chargeable on transfer</w:t>
      </w:r>
      <w:r>
        <w:tab/>
      </w:r>
      <w:r>
        <w:fldChar w:fldCharType="begin"/>
      </w:r>
      <w:r>
        <w:instrText xml:space="preserve"> PAGEREF _Toc375130748 \h </w:instrText>
      </w:r>
      <w:r>
        <w:fldChar w:fldCharType="separate"/>
      </w:r>
      <w:r>
        <w:t>139</w:t>
      </w:r>
      <w:r>
        <w:fldChar w:fldCharType="end"/>
      </w:r>
    </w:p>
    <w:p>
      <w:pPr>
        <w:pStyle w:val="TOC8"/>
        <w:rPr>
          <w:rFonts w:asciiTheme="minorHAnsi" w:eastAsiaTheme="minorEastAsia" w:hAnsiTheme="minorHAnsi" w:cstheme="minorBidi"/>
          <w:szCs w:val="22"/>
        </w:rPr>
      </w:pPr>
      <w:r>
        <w:t>168.</w:t>
      </w:r>
      <w:r>
        <w:tab/>
        <w:t>Exemption if transfer duty would not be chargeable</w:t>
      </w:r>
      <w:r>
        <w:tab/>
      </w:r>
      <w:r>
        <w:fldChar w:fldCharType="begin"/>
      </w:r>
      <w:r>
        <w:instrText xml:space="preserve"> PAGEREF _Toc375130749 \h </w:instrText>
      </w:r>
      <w:r>
        <w:fldChar w:fldCharType="separate"/>
      </w:r>
      <w:r>
        <w:t>139</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_Toc375130750 \h </w:instrText>
      </w:r>
      <w:r>
        <w:fldChar w:fldCharType="separate"/>
      </w:r>
      <w:r>
        <w:t>140</w:t>
      </w:r>
      <w:r>
        <w:fldChar w:fldCharType="end"/>
      </w:r>
    </w:p>
    <w:p>
      <w:pPr>
        <w:pStyle w:val="TOC8"/>
        <w:rPr>
          <w:rFonts w:asciiTheme="minorHAnsi" w:eastAsiaTheme="minorEastAsia" w:hAnsiTheme="minorHAnsi" w:cstheme="minorBidi"/>
          <w:szCs w:val="22"/>
        </w:rPr>
      </w:pPr>
      <w:r>
        <w:t>170.</w:t>
      </w:r>
      <w:r>
        <w:tab/>
        <w:t xml:space="preserve">Exemption relating to approved arrangements with creditors under </w:t>
      </w:r>
      <w:r>
        <w:rPr>
          <w:iCs/>
          <w:spacing w:val="-4"/>
          <w:kern w:val="2"/>
        </w:rPr>
        <w:t>Corporations Act</w:t>
      </w:r>
      <w:r>
        <w:tab/>
      </w:r>
      <w:r>
        <w:fldChar w:fldCharType="begin"/>
      </w:r>
      <w:r>
        <w:instrText xml:space="preserve"> PAGEREF _Toc375130751 \h </w:instrText>
      </w:r>
      <w:r>
        <w:fldChar w:fldCharType="separate"/>
      </w:r>
      <w:r>
        <w:t>140</w:t>
      </w:r>
      <w:r>
        <w:fldChar w:fldCharType="end"/>
      </w:r>
    </w:p>
    <w:p>
      <w:pPr>
        <w:pStyle w:val="TOC8"/>
        <w:rPr>
          <w:rFonts w:asciiTheme="minorHAnsi" w:eastAsiaTheme="minorEastAsia" w:hAnsiTheme="minorHAnsi" w:cstheme="minorBidi"/>
          <w:szCs w:val="22"/>
        </w:rPr>
      </w:pPr>
      <w:r>
        <w:t>171.</w:t>
      </w:r>
      <w:r>
        <w:tab/>
        <w:t>Exemption of acquisition by family member of interest in corporation engaged in primary production</w:t>
      </w:r>
      <w:r>
        <w:tab/>
      </w:r>
      <w:r>
        <w:fldChar w:fldCharType="begin"/>
      </w:r>
      <w:r>
        <w:instrText xml:space="preserve"> PAGEREF _Toc375130752 \h </w:instrText>
      </w:r>
      <w:r>
        <w:fldChar w:fldCharType="separate"/>
      </w:r>
      <w:r>
        <w:t>141</w:t>
      </w:r>
      <w:r>
        <w:fldChar w:fldCharType="end"/>
      </w:r>
    </w:p>
    <w:p>
      <w:pPr>
        <w:pStyle w:val="TOC8"/>
        <w:rPr>
          <w:rFonts w:asciiTheme="minorHAnsi" w:eastAsiaTheme="minorEastAsia" w:hAnsiTheme="minorHAnsi" w:cstheme="minorBidi"/>
          <w:szCs w:val="22"/>
        </w:rPr>
      </w:pPr>
      <w:r>
        <w:t>172.</w:t>
      </w:r>
      <w:r>
        <w:tab/>
        <w:t>Calculation of duty where some land of corporation not used for primary production</w:t>
      </w:r>
      <w:r>
        <w:tab/>
      </w:r>
      <w:r>
        <w:fldChar w:fldCharType="begin"/>
      </w:r>
      <w:r>
        <w:instrText xml:space="preserve"> PAGEREF _Toc375130753 \h </w:instrText>
      </w:r>
      <w:r>
        <w:fldChar w:fldCharType="separate"/>
      </w:r>
      <w:r>
        <w:t>142</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_Toc375130754 \h </w:instrText>
      </w:r>
      <w:r>
        <w:fldChar w:fldCharType="separate"/>
      </w:r>
      <w:r>
        <w:t>142</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_Toc375130755 \h </w:instrText>
      </w:r>
      <w:r>
        <w:fldChar w:fldCharType="separate"/>
      </w:r>
      <w:r>
        <w:t>144</w:t>
      </w:r>
      <w:r>
        <w:fldChar w:fldCharType="end"/>
      </w:r>
    </w:p>
    <w:p>
      <w:pPr>
        <w:pStyle w:val="TOC4"/>
        <w:tabs>
          <w:tab w:val="right" w:leader="dot" w:pos="7086"/>
        </w:tabs>
        <w:rPr>
          <w:rFonts w:asciiTheme="minorHAnsi" w:eastAsiaTheme="minorEastAsia" w:hAnsiTheme="minorHAnsi" w:cstheme="minorBidi"/>
          <w:b w:val="0"/>
          <w:szCs w:val="22"/>
        </w:rPr>
      </w:pPr>
      <w:r>
        <w:t>Part 6 — Collection of landholder duty</w:t>
      </w:r>
    </w:p>
    <w:p>
      <w:pPr>
        <w:pStyle w:val="TOC6"/>
        <w:tabs>
          <w:tab w:val="right" w:leader="dot" w:pos="7086"/>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_Toc375130758 \h </w:instrText>
      </w:r>
      <w:r>
        <w:fldChar w:fldCharType="separate"/>
      </w:r>
      <w:r>
        <w:t>144</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_Toc375130759 \h </w:instrText>
      </w:r>
      <w:r>
        <w:fldChar w:fldCharType="separate"/>
      </w:r>
      <w:r>
        <w:t>145</w:t>
      </w:r>
      <w:r>
        <w:fldChar w:fldCharType="end"/>
      </w:r>
    </w:p>
    <w:p>
      <w:pPr>
        <w:pStyle w:val="TOC8"/>
        <w:rPr>
          <w:rFonts w:asciiTheme="minorHAnsi" w:eastAsiaTheme="minorEastAsia" w:hAnsiTheme="minorHAnsi" w:cstheme="minorBidi"/>
          <w:szCs w:val="22"/>
        </w:rPr>
      </w:pPr>
      <w:r>
        <w:t>177.</w:t>
      </w:r>
      <w:r>
        <w:tab/>
        <w:t>Certain transactions to be treated as agreements</w:t>
      </w:r>
      <w:r>
        <w:tab/>
      </w:r>
      <w:r>
        <w:fldChar w:fldCharType="begin"/>
      </w:r>
      <w:r>
        <w:instrText xml:space="preserve"> PAGEREF _Toc375130760 \h </w:instrText>
      </w:r>
      <w:r>
        <w:fldChar w:fldCharType="separate"/>
      </w:r>
      <w:r>
        <w:t>145</w:t>
      </w:r>
      <w:r>
        <w:fldChar w:fldCharType="end"/>
      </w:r>
    </w:p>
    <w:p>
      <w:pPr>
        <w:pStyle w:val="TOC8"/>
        <w:rPr>
          <w:rFonts w:asciiTheme="minorHAnsi" w:eastAsiaTheme="minorEastAsia" w:hAnsiTheme="minorHAnsi" w:cstheme="minorBidi"/>
          <w:szCs w:val="22"/>
        </w:rPr>
      </w:pPr>
      <w:r>
        <w:t>178.</w:t>
      </w:r>
      <w:r>
        <w:tab/>
        <w:t>Exceptions to s. 177</w:t>
      </w:r>
      <w:r>
        <w:tab/>
      </w:r>
      <w:r>
        <w:fldChar w:fldCharType="begin"/>
      </w:r>
      <w:r>
        <w:instrText xml:space="preserve"> PAGEREF _Toc375130761 \h </w:instrText>
      </w:r>
      <w:r>
        <w:fldChar w:fldCharType="separate"/>
      </w:r>
      <w:r>
        <w:t>146</w:t>
      </w:r>
      <w:r>
        <w:fldChar w:fldCharType="end"/>
      </w:r>
    </w:p>
    <w:p>
      <w:pPr>
        <w:pStyle w:val="TOC6"/>
        <w:tabs>
          <w:tab w:val="right" w:leader="dot" w:pos="7086"/>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_Toc375130763 \h </w:instrText>
      </w:r>
      <w:r>
        <w:fldChar w:fldCharType="separate"/>
      </w:r>
      <w:r>
        <w:t>147</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_Toc375130764 \h </w:instrText>
      </w:r>
      <w:r>
        <w:fldChar w:fldCharType="separate"/>
      </w:r>
      <w:r>
        <w:t>148</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_Toc375130765 \h </w:instrText>
      </w:r>
      <w:r>
        <w:fldChar w:fldCharType="separate"/>
      </w:r>
      <w:r>
        <w:t>149</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_Toc375130766 \h </w:instrText>
      </w:r>
      <w:r>
        <w:fldChar w:fldCharType="separate"/>
      </w:r>
      <w:r>
        <w:t>149</w:t>
      </w:r>
      <w:r>
        <w:fldChar w:fldCharType="end"/>
      </w:r>
    </w:p>
    <w:p>
      <w:pPr>
        <w:pStyle w:val="TOC6"/>
        <w:tabs>
          <w:tab w:val="right" w:leader="dot" w:pos="7086"/>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_Toc375130768 \h </w:instrText>
      </w:r>
      <w:r>
        <w:fldChar w:fldCharType="separate"/>
      </w:r>
      <w:r>
        <w:t>150</w:t>
      </w:r>
      <w:r>
        <w:fldChar w:fldCharType="end"/>
      </w:r>
    </w:p>
    <w:p>
      <w:pPr>
        <w:pStyle w:val="TOC6"/>
        <w:tabs>
          <w:tab w:val="right" w:leader="dot" w:pos="7086"/>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_Toc375130770 \h </w:instrText>
      </w:r>
      <w:r>
        <w:fldChar w:fldCharType="separate"/>
      </w:r>
      <w:r>
        <w:t>150</w:t>
      </w:r>
      <w:r>
        <w:fldChar w:fldCharType="end"/>
      </w:r>
    </w:p>
    <w:p>
      <w:pPr>
        <w:pStyle w:val="TOC6"/>
        <w:tabs>
          <w:tab w:val="right" w:leader="dot" w:pos="7086"/>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_Toc375130772 \h </w:instrText>
      </w:r>
      <w:r>
        <w:fldChar w:fldCharType="separate"/>
      </w:r>
      <w:r>
        <w:t>151</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_Toc375130773 \h </w:instrText>
      </w:r>
      <w:r>
        <w:fldChar w:fldCharType="separate"/>
      </w:r>
      <w:r>
        <w:t>151</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_Toc375130774 \h </w:instrText>
      </w:r>
      <w:r>
        <w:fldChar w:fldCharType="separate"/>
      </w:r>
      <w:r>
        <w:t>152</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_Toc375130775 \h </w:instrText>
      </w:r>
      <w:r>
        <w:fldChar w:fldCharType="separate"/>
      </w:r>
      <w:r>
        <w:t>152</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_Toc375130776 \h </w:instrText>
      </w:r>
      <w:r>
        <w:fldChar w:fldCharType="separate"/>
      </w:r>
      <w:r>
        <w:t>153</w:t>
      </w:r>
      <w:r>
        <w:fldChar w:fldCharType="end"/>
      </w:r>
    </w:p>
    <w:p>
      <w:pPr>
        <w:pStyle w:val="TOC8"/>
        <w:rPr>
          <w:rFonts w:asciiTheme="minorHAnsi" w:eastAsiaTheme="minorEastAsia" w:hAnsiTheme="minorHAnsi" w:cstheme="minorBidi"/>
          <w:szCs w:val="22"/>
        </w:rPr>
      </w:pPr>
      <w:r>
        <w:t>193.</w:t>
      </w:r>
      <w:r>
        <w:tab/>
        <w:t>Calculation of duty where statement lodged under s. 201</w:t>
      </w:r>
      <w:r>
        <w:tab/>
      </w:r>
      <w:r>
        <w:fldChar w:fldCharType="begin"/>
      </w:r>
      <w:r>
        <w:instrText xml:space="preserve"> PAGEREF _Toc375130777 \h </w:instrText>
      </w:r>
      <w:r>
        <w:fldChar w:fldCharType="separate"/>
      </w:r>
      <w:r>
        <w:t>154</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_Toc375130778 \h </w:instrText>
      </w:r>
      <w:r>
        <w:fldChar w:fldCharType="separate"/>
      </w:r>
      <w:r>
        <w:t>155</w:t>
      </w:r>
      <w:r>
        <w:fldChar w:fldCharType="end"/>
      </w:r>
    </w:p>
    <w:p>
      <w:pPr>
        <w:pStyle w:val="TOC4"/>
        <w:tabs>
          <w:tab w:val="right" w:leader="dot" w:pos="7086"/>
        </w:tabs>
        <w:rPr>
          <w:rFonts w:asciiTheme="minorHAnsi" w:eastAsiaTheme="minorEastAsia" w:hAnsiTheme="minorHAnsi" w:cstheme="minorBidi"/>
          <w:b w:val="0"/>
          <w:szCs w:val="22"/>
        </w:rPr>
      </w:pPr>
      <w:r>
        <w:t>Division 6A — Interim assessment of landholder duty</w:t>
      </w:r>
    </w:p>
    <w:p>
      <w:pPr>
        <w:pStyle w:val="TOC8"/>
        <w:rPr>
          <w:rFonts w:asciiTheme="minorHAnsi" w:eastAsiaTheme="minorEastAsia" w:hAnsiTheme="minorHAnsi" w:cstheme="minorBidi"/>
          <w:szCs w:val="22"/>
        </w:rPr>
      </w:pPr>
      <w:r>
        <w:t>195A.</w:t>
      </w:r>
      <w:r>
        <w:tab/>
        <w:t>Interim assessment of landholder duty</w:t>
      </w:r>
      <w:r>
        <w:tab/>
      </w:r>
      <w:r>
        <w:fldChar w:fldCharType="begin"/>
      </w:r>
      <w:r>
        <w:instrText xml:space="preserve"> PAGEREF _Toc375130780 \h </w:instrText>
      </w:r>
      <w:r>
        <w:fldChar w:fldCharType="separate"/>
      </w:r>
      <w:r>
        <w:t>158</w:t>
      </w:r>
      <w:r>
        <w:fldChar w:fldCharType="end"/>
      </w:r>
    </w:p>
    <w:p>
      <w:pPr>
        <w:pStyle w:val="TOC6"/>
        <w:tabs>
          <w:tab w:val="right" w:leader="dot" w:pos="7086"/>
        </w:tabs>
        <w:rPr>
          <w:rFonts w:asciiTheme="minorHAnsi" w:eastAsiaTheme="minorEastAsia" w:hAnsiTheme="minorHAnsi" w:cstheme="minorBidi"/>
          <w:b w:val="0"/>
          <w:sz w:val="22"/>
          <w:szCs w:val="22"/>
        </w:rPr>
      </w:pPr>
      <w:r>
        <w:t>Division 6 — Reassessment of liability for landholder duty</w:t>
      </w:r>
    </w:p>
    <w:p>
      <w:pPr>
        <w:pStyle w:val="TOC8"/>
        <w:rPr>
          <w:rFonts w:asciiTheme="minorHAnsi" w:eastAsiaTheme="minorEastAsia" w:hAnsiTheme="minorHAnsi" w:cstheme="minorBidi"/>
          <w:szCs w:val="22"/>
        </w:rPr>
      </w:pPr>
      <w:r>
        <w:t>195.</w:t>
      </w:r>
      <w:r>
        <w:tab/>
        <w:t>Reassessment of duty where s. 149 applied</w:t>
      </w:r>
      <w:r>
        <w:tab/>
      </w:r>
      <w:r>
        <w:fldChar w:fldCharType="begin"/>
      </w:r>
      <w:r>
        <w:instrText xml:space="preserve"> PAGEREF _Toc375130782 \h </w:instrText>
      </w:r>
      <w:r>
        <w:fldChar w:fldCharType="separate"/>
      </w:r>
      <w:r>
        <w:t>159</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_Toc375130783 \h </w:instrText>
      </w:r>
      <w:r>
        <w:fldChar w:fldCharType="separate"/>
      </w:r>
      <w:r>
        <w:t>160</w:t>
      </w:r>
      <w:r>
        <w:fldChar w:fldCharType="end"/>
      </w:r>
    </w:p>
    <w:p>
      <w:pPr>
        <w:pStyle w:val="TOC8"/>
        <w:rPr>
          <w:rFonts w:asciiTheme="minorHAnsi" w:eastAsiaTheme="minorEastAsia" w:hAnsiTheme="minorHAnsi" w:cstheme="minorBidi"/>
          <w:szCs w:val="22"/>
        </w:rPr>
      </w:pPr>
      <w:r>
        <w:t>197.</w:t>
      </w:r>
      <w:r>
        <w:tab/>
        <w:t>Condition precedent to reassessment under s. 195 or 196</w:t>
      </w:r>
      <w:r>
        <w:tab/>
      </w:r>
      <w:r>
        <w:fldChar w:fldCharType="begin"/>
      </w:r>
      <w:r>
        <w:instrText xml:space="preserve"> PAGEREF _Toc375130784 \h </w:instrText>
      </w:r>
      <w:r>
        <w:fldChar w:fldCharType="separate"/>
      </w:r>
      <w:r>
        <w:t>162</w:t>
      </w:r>
      <w:r>
        <w:fldChar w:fldCharType="end"/>
      </w:r>
    </w:p>
    <w:p>
      <w:pPr>
        <w:pStyle w:val="TOC8"/>
        <w:rPr>
          <w:rFonts w:asciiTheme="minorHAnsi" w:eastAsiaTheme="minorEastAsia" w:hAnsiTheme="minorHAnsi" w:cstheme="minorBidi"/>
          <w:szCs w:val="22"/>
        </w:rPr>
      </w:pPr>
      <w:r>
        <w:t>198.</w:t>
      </w:r>
      <w:r>
        <w:tab/>
      </w:r>
      <w:r>
        <w:rPr>
          <w:iCs/>
        </w:rPr>
        <w:t>Taxation Administration Act</w:t>
      </w:r>
      <w:r>
        <w:rPr>
          <w:i/>
        </w:rPr>
        <w:t xml:space="preserve"> </w:t>
      </w:r>
      <w:r>
        <w:t>not affected</w:t>
      </w:r>
      <w:r>
        <w:tab/>
      </w:r>
      <w:r>
        <w:fldChar w:fldCharType="begin"/>
      </w:r>
      <w:r>
        <w:instrText xml:space="preserve"> PAGEREF _Toc375130785 \h </w:instrText>
      </w:r>
      <w:r>
        <w:fldChar w:fldCharType="separate"/>
      </w:r>
      <w:r>
        <w:t>162</w:t>
      </w:r>
      <w:r>
        <w:fldChar w:fldCharType="end"/>
      </w:r>
    </w:p>
    <w:p>
      <w:pPr>
        <w:pStyle w:val="TOC6"/>
        <w:tabs>
          <w:tab w:val="right" w:leader="dot" w:pos="7086"/>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_Toc375130787 \h </w:instrText>
      </w:r>
      <w:r>
        <w:fldChar w:fldCharType="separate"/>
      </w:r>
      <w:r>
        <w:t>162</w:t>
      </w:r>
      <w:r>
        <w:fldChar w:fldCharType="end"/>
      </w:r>
    </w:p>
    <w:p>
      <w:pPr>
        <w:pStyle w:val="TOC8"/>
        <w:rPr>
          <w:rFonts w:asciiTheme="minorHAnsi" w:eastAsiaTheme="minorEastAsia" w:hAnsiTheme="minorHAnsi" w:cstheme="minorBidi"/>
          <w:szCs w:val="22"/>
        </w:rPr>
      </w:pPr>
      <w:r>
        <w:t>200.</w:t>
      </w:r>
      <w:r>
        <w:tab/>
        <w:t>Acquisition statement to be lodged</w:t>
      </w:r>
      <w:r>
        <w:tab/>
      </w:r>
      <w:r>
        <w:fldChar w:fldCharType="begin"/>
      </w:r>
      <w:r>
        <w:instrText xml:space="preserve"> PAGEREF _Toc375130788 \h </w:instrText>
      </w:r>
      <w:r>
        <w:fldChar w:fldCharType="separate"/>
      </w:r>
      <w:r>
        <w:t>162</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_Toc375130789 \h </w:instrText>
      </w:r>
      <w:r>
        <w:fldChar w:fldCharType="separate"/>
      </w:r>
      <w:r>
        <w:t>163</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_Toc375130790 \h </w:instrText>
      </w:r>
      <w:r>
        <w:fldChar w:fldCharType="separate"/>
      </w:r>
      <w:r>
        <w:t>164</w:t>
      </w:r>
      <w:r>
        <w:fldChar w:fldCharType="end"/>
      </w:r>
    </w:p>
    <w:p>
      <w:pPr>
        <w:pStyle w:val="TOC8"/>
        <w:rPr>
          <w:rFonts w:asciiTheme="minorHAnsi" w:eastAsiaTheme="minorEastAsia" w:hAnsiTheme="minorHAnsi" w:cstheme="minorBidi"/>
          <w:szCs w:val="22"/>
        </w:rPr>
      </w:pPr>
      <w:r>
        <w:t>203.</w:t>
      </w:r>
      <w:r>
        <w:tab/>
        <w:t>Form and content of acquisition statements</w:t>
      </w:r>
      <w:r>
        <w:tab/>
      </w:r>
      <w:r>
        <w:fldChar w:fldCharType="begin"/>
      </w:r>
      <w:r>
        <w:instrText xml:space="preserve"> PAGEREF _Toc375130791 \h </w:instrText>
      </w:r>
      <w:r>
        <w:fldChar w:fldCharType="separate"/>
      </w:r>
      <w:r>
        <w:t>165</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_Toc375130792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rPr>
      </w:pPr>
      <w:r>
        <w:t>Chapter 4 — Insurance duty</w:t>
      </w:r>
    </w:p>
    <w:p>
      <w:pPr>
        <w:pStyle w:val="TOC4"/>
        <w:tabs>
          <w:tab w:val="right" w:leader="dot" w:pos="7086"/>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_Toc375130795 \h </w:instrText>
      </w:r>
      <w:r>
        <w:fldChar w:fldCharType="separate"/>
      </w:r>
      <w:r>
        <w:t>167</w:t>
      </w:r>
      <w:r>
        <w:fldChar w:fldCharType="end"/>
      </w:r>
    </w:p>
    <w:p>
      <w:pPr>
        <w:pStyle w:val="TOC4"/>
        <w:tabs>
          <w:tab w:val="right" w:leader="dot" w:pos="7086"/>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_Toc375130797 \h </w:instrText>
      </w:r>
      <w:r>
        <w:fldChar w:fldCharType="separate"/>
      </w:r>
      <w:r>
        <w:t>168</w:t>
      </w:r>
      <w:r>
        <w:fldChar w:fldCharType="end"/>
      </w:r>
    </w:p>
    <w:p>
      <w:pPr>
        <w:pStyle w:val="TOC8"/>
        <w:rPr>
          <w:rFonts w:asciiTheme="minorHAnsi" w:eastAsiaTheme="minorEastAsia" w:hAnsiTheme="minorHAnsi" w:cstheme="minorBidi"/>
          <w:szCs w:val="22"/>
        </w:rPr>
      </w:pPr>
      <w:r>
        <w:t>208.</w:t>
      </w:r>
      <w:r>
        <w:tab/>
        <w:t>Term used: contract of insurance</w:t>
      </w:r>
      <w:r>
        <w:tab/>
      </w:r>
      <w:r>
        <w:fldChar w:fldCharType="begin"/>
      </w:r>
      <w:r>
        <w:instrText xml:space="preserve"> PAGEREF _Toc375130798 \h </w:instrText>
      </w:r>
      <w:r>
        <w:fldChar w:fldCharType="separate"/>
      </w:r>
      <w:r>
        <w:t>168</w:t>
      </w:r>
      <w:r>
        <w:fldChar w:fldCharType="end"/>
      </w:r>
    </w:p>
    <w:p>
      <w:pPr>
        <w:pStyle w:val="TOC8"/>
        <w:rPr>
          <w:rFonts w:asciiTheme="minorHAnsi" w:eastAsiaTheme="minorEastAsia" w:hAnsiTheme="minorHAnsi" w:cstheme="minorBidi"/>
          <w:szCs w:val="22"/>
        </w:rPr>
      </w:pPr>
      <w:r>
        <w:t>209.</w:t>
      </w:r>
      <w:r>
        <w:tab/>
        <w:t>Term used: general insurance</w:t>
      </w:r>
      <w:r>
        <w:tab/>
      </w:r>
      <w:r>
        <w:fldChar w:fldCharType="begin"/>
      </w:r>
      <w:r>
        <w:instrText xml:space="preserve"> PAGEREF _Toc375130799 \h </w:instrText>
      </w:r>
      <w:r>
        <w:fldChar w:fldCharType="separate"/>
      </w:r>
      <w:r>
        <w:t>168</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_Toc375130800 \h </w:instrText>
      </w:r>
      <w:r>
        <w:fldChar w:fldCharType="separate"/>
      </w:r>
      <w:r>
        <w:t>169</w:t>
      </w:r>
      <w:r>
        <w:fldChar w:fldCharType="end"/>
      </w:r>
    </w:p>
    <w:p>
      <w:pPr>
        <w:pStyle w:val="TOC8"/>
        <w:rPr>
          <w:rFonts w:asciiTheme="minorHAnsi" w:eastAsiaTheme="minorEastAsia" w:hAnsiTheme="minorHAnsi" w:cstheme="minorBidi"/>
          <w:szCs w:val="22"/>
        </w:rPr>
      </w:pPr>
      <w:r>
        <w:t>211.</w:t>
      </w:r>
      <w:r>
        <w:tab/>
        <w:t>Term used: premium</w:t>
      </w:r>
      <w:r>
        <w:tab/>
      </w:r>
      <w:r>
        <w:fldChar w:fldCharType="begin"/>
      </w:r>
      <w:r>
        <w:instrText xml:space="preserve"> PAGEREF _Toc375130801 \h </w:instrText>
      </w:r>
      <w:r>
        <w:fldChar w:fldCharType="separate"/>
      </w:r>
      <w:r>
        <w:t>170</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_Toc375130802 \h </w:instrText>
      </w:r>
      <w:r>
        <w:fldChar w:fldCharType="separate"/>
      </w:r>
      <w:r>
        <w:t>170</w:t>
      </w:r>
      <w:r>
        <w:fldChar w:fldCharType="end"/>
      </w:r>
    </w:p>
    <w:p>
      <w:pPr>
        <w:pStyle w:val="TOC4"/>
        <w:tabs>
          <w:tab w:val="right" w:leader="dot" w:pos="7086"/>
        </w:tabs>
        <w:rPr>
          <w:rFonts w:asciiTheme="minorHAnsi" w:eastAsiaTheme="minorEastAsia" w:hAnsiTheme="minorHAnsi" w:cstheme="minorBidi"/>
          <w:b w:val="0"/>
          <w:szCs w:val="22"/>
        </w:rPr>
      </w:pPr>
      <w:r>
        <w:t>Part 3 — Collection of insurance duty</w:t>
      </w:r>
    </w:p>
    <w:p>
      <w:pPr>
        <w:pStyle w:val="TOC6"/>
        <w:tabs>
          <w:tab w:val="right" w:leader="dot" w:pos="7086"/>
        </w:tabs>
        <w:rPr>
          <w:rFonts w:asciiTheme="minorHAnsi" w:eastAsiaTheme="minorEastAsia" w:hAnsiTheme="minorHAnsi" w:cstheme="minorBidi"/>
          <w:b w:val="0"/>
          <w:sz w:val="22"/>
          <w:szCs w:val="22"/>
        </w:rPr>
      </w:pPr>
      <w:r>
        <w:t>Division 1 — Liability</w:t>
      </w:r>
    </w:p>
    <w:p>
      <w:pPr>
        <w:pStyle w:val="TOC8"/>
        <w:rPr>
          <w:rFonts w:asciiTheme="minorHAnsi" w:eastAsiaTheme="minorEastAsia" w:hAnsiTheme="minorHAnsi" w:cstheme="minorBidi"/>
          <w:szCs w:val="22"/>
        </w:rPr>
      </w:pPr>
      <w:r>
        <w:t>213.</w:t>
      </w:r>
      <w:r>
        <w:tab/>
        <w:t>Who is liable to pay duty</w:t>
      </w:r>
      <w:r>
        <w:tab/>
      </w:r>
      <w:r>
        <w:fldChar w:fldCharType="begin"/>
      </w:r>
      <w:r>
        <w:instrText xml:space="preserve"> PAGEREF _Toc375130805 \h </w:instrText>
      </w:r>
      <w:r>
        <w:fldChar w:fldCharType="separate"/>
      </w:r>
      <w:r>
        <w:t>171</w:t>
      </w:r>
      <w:r>
        <w:fldChar w:fldCharType="end"/>
      </w:r>
    </w:p>
    <w:p>
      <w:pPr>
        <w:pStyle w:val="TOC8"/>
        <w:rPr>
          <w:rFonts w:asciiTheme="minorHAnsi" w:eastAsiaTheme="minorEastAsia" w:hAnsiTheme="minorHAnsi" w:cstheme="minorBidi"/>
          <w:szCs w:val="22"/>
        </w:rPr>
      </w:pPr>
      <w:r>
        <w:t>214.</w:t>
      </w:r>
      <w:r>
        <w:tab/>
        <w:t>Term used: general insurer</w:t>
      </w:r>
      <w:r>
        <w:tab/>
      </w:r>
      <w:r>
        <w:fldChar w:fldCharType="begin"/>
      </w:r>
      <w:r>
        <w:instrText xml:space="preserve"> PAGEREF _Toc375130806 \h </w:instrText>
      </w:r>
      <w:r>
        <w:fldChar w:fldCharType="separate"/>
      </w:r>
      <w:r>
        <w:t>171</w:t>
      </w:r>
      <w:r>
        <w:fldChar w:fldCharType="end"/>
      </w:r>
    </w:p>
    <w:p>
      <w:pPr>
        <w:pStyle w:val="TOC6"/>
        <w:tabs>
          <w:tab w:val="right" w:leader="dot" w:pos="7086"/>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_Toc375130808 \h </w:instrText>
      </w:r>
      <w:r>
        <w:fldChar w:fldCharType="separate"/>
      </w:r>
      <w:r>
        <w:t>171</w:t>
      </w:r>
      <w:r>
        <w:fldChar w:fldCharType="end"/>
      </w:r>
    </w:p>
    <w:p>
      <w:pPr>
        <w:pStyle w:val="TOC8"/>
        <w:rPr>
          <w:rFonts w:asciiTheme="minorHAnsi" w:eastAsiaTheme="minorEastAsia" w:hAnsiTheme="minorHAnsi" w:cstheme="minorBidi"/>
          <w:szCs w:val="22"/>
        </w:rPr>
      </w:pPr>
      <w:r>
        <w:t>216.</w:t>
      </w:r>
      <w:r>
        <w:tab/>
        <w:t>Policies effecting general insurance and other insurance, duty on</w:t>
      </w:r>
      <w:r>
        <w:tab/>
      </w:r>
      <w:r>
        <w:fldChar w:fldCharType="begin"/>
      </w:r>
      <w:r>
        <w:instrText xml:space="preserve"> PAGEREF _Toc375130809 \h </w:instrText>
      </w:r>
      <w:r>
        <w:fldChar w:fldCharType="separate"/>
      </w:r>
      <w:r>
        <w:t>172</w:t>
      </w:r>
      <w:r>
        <w:fldChar w:fldCharType="end"/>
      </w:r>
    </w:p>
    <w:p>
      <w:pPr>
        <w:pStyle w:val="TOC6"/>
        <w:tabs>
          <w:tab w:val="right" w:leader="dot" w:pos="7086"/>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_Toc375130811 \h </w:instrText>
      </w:r>
      <w:r>
        <w:fldChar w:fldCharType="separate"/>
      </w:r>
      <w:r>
        <w:t>173</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_Toc375130812 \h </w:instrText>
      </w:r>
      <w:r>
        <w:fldChar w:fldCharType="separate"/>
      </w:r>
      <w:r>
        <w:t>173</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_Toc375130813 \h </w:instrText>
      </w:r>
      <w:r>
        <w:fldChar w:fldCharType="separate"/>
      </w:r>
      <w:r>
        <w:t>173</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_Toc375130814 \h </w:instrText>
      </w:r>
      <w:r>
        <w:fldChar w:fldCharType="separate"/>
      </w:r>
      <w:r>
        <w:t>174</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_Toc375130815 \h </w:instrText>
      </w:r>
      <w:r>
        <w:fldChar w:fldCharType="separate"/>
      </w:r>
      <w:r>
        <w:t>174</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_Toc375130816 \h </w:instrText>
      </w:r>
      <w:r>
        <w:fldChar w:fldCharType="separate"/>
      </w:r>
      <w:r>
        <w:t>175</w:t>
      </w:r>
      <w:r>
        <w:fldChar w:fldCharType="end"/>
      </w:r>
    </w:p>
    <w:p>
      <w:pPr>
        <w:pStyle w:val="TOC6"/>
        <w:tabs>
          <w:tab w:val="right" w:leader="dot" w:pos="7086"/>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_Toc375130818 \h </w:instrText>
      </w:r>
      <w:r>
        <w:fldChar w:fldCharType="separate"/>
      </w:r>
      <w:r>
        <w:t>175</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_Toc375130819 \h </w:instrText>
      </w:r>
      <w:r>
        <w:fldChar w:fldCharType="separate"/>
      </w:r>
      <w:r>
        <w:t>175</w:t>
      </w:r>
      <w:r>
        <w:fldChar w:fldCharType="end"/>
      </w:r>
    </w:p>
    <w:p>
      <w:pPr>
        <w:pStyle w:val="TOC4"/>
        <w:tabs>
          <w:tab w:val="right" w:leader="dot" w:pos="7086"/>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_Toc375130821 \h </w:instrText>
      </w:r>
      <w:r>
        <w:fldChar w:fldCharType="separate"/>
      </w:r>
      <w:r>
        <w:t>176</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_Toc375130822 \h </w:instrText>
      </w:r>
      <w:r>
        <w:fldChar w:fldCharType="separate"/>
      </w:r>
      <w:r>
        <w:t>177</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_Toc375130823 \h </w:instrText>
      </w:r>
      <w:r>
        <w:fldChar w:fldCharType="separate"/>
      </w:r>
      <w:r>
        <w:t>177</w:t>
      </w:r>
      <w:r>
        <w:fldChar w:fldCharType="end"/>
      </w:r>
    </w:p>
    <w:p>
      <w:pPr>
        <w:pStyle w:val="TOC2"/>
        <w:tabs>
          <w:tab w:val="right" w:leader="dot" w:pos="7086"/>
        </w:tabs>
        <w:rPr>
          <w:rFonts w:asciiTheme="minorHAnsi" w:eastAsiaTheme="minorEastAsia" w:hAnsiTheme="minorHAnsi" w:cstheme="minorBidi"/>
          <w:b w:val="0"/>
          <w:sz w:val="22"/>
          <w:szCs w:val="22"/>
        </w:rPr>
      </w:pPr>
      <w:r>
        <w:t>Chapter 5 — Vehicle licence duty</w:t>
      </w:r>
    </w:p>
    <w:p>
      <w:pPr>
        <w:pStyle w:val="TOC4"/>
        <w:tabs>
          <w:tab w:val="right" w:leader="dot" w:pos="7086"/>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_Toc375130826 \h </w:instrText>
      </w:r>
      <w:r>
        <w:fldChar w:fldCharType="separate"/>
      </w:r>
      <w:r>
        <w:t>179</w:t>
      </w:r>
      <w:r>
        <w:fldChar w:fldCharType="end"/>
      </w:r>
    </w:p>
    <w:p>
      <w:pPr>
        <w:pStyle w:val="TOC4"/>
        <w:tabs>
          <w:tab w:val="right" w:leader="dot" w:pos="7086"/>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_Toc375130828 \h </w:instrText>
      </w:r>
      <w:r>
        <w:fldChar w:fldCharType="separate"/>
      </w:r>
      <w:r>
        <w:t>180</w:t>
      </w:r>
      <w:r>
        <w:fldChar w:fldCharType="end"/>
      </w:r>
    </w:p>
    <w:p>
      <w:pPr>
        <w:pStyle w:val="TOC8"/>
        <w:rPr>
          <w:rFonts w:asciiTheme="minorHAnsi" w:eastAsiaTheme="minorEastAsia" w:hAnsiTheme="minorHAnsi" w:cstheme="minorBidi"/>
          <w:szCs w:val="22"/>
        </w:rPr>
      </w:pPr>
      <w:r>
        <w:t>230.</w:t>
      </w:r>
      <w:r>
        <w:tab/>
        <w:t>Terms used</w:t>
      </w:r>
      <w:r>
        <w:tab/>
      </w:r>
      <w:r>
        <w:fldChar w:fldCharType="begin"/>
      </w:r>
      <w:r>
        <w:instrText xml:space="preserve"> PAGEREF _Toc375130829 \h </w:instrText>
      </w:r>
      <w:r>
        <w:fldChar w:fldCharType="separate"/>
      </w:r>
      <w:r>
        <w:t>180</w:t>
      </w:r>
      <w:r>
        <w:fldChar w:fldCharType="end"/>
      </w:r>
    </w:p>
    <w:p>
      <w:pPr>
        <w:pStyle w:val="TOC4"/>
        <w:tabs>
          <w:tab w:val="right" w:leader="dot" w:pos="7086"/>
        </w:tabs>
        <w:rPr>
          <w:rFonts w:asciiTheme="minorHAnsi" w:eastAsiaTheme="minorEastAsia" w:hAnsiTheme="minorHAnsi" w:cstheme="minorBidi"/>
          <w:b w:val="0"/>
          <w:szCs w:val="22"/>
        </w:rPr>
      </w:pPr>
      <w:r>
        <w:t>Part 3 — Collection of vehicle licence duty</w:t>
      </w:r>
    </w:p>
    <w:p>
      <w:pPr>
        <w:pStyle w:val="TOC6"/>
        <w:tabs>
          <w:tab w:val="right" w:leader="dot" w:pos="7086"/>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_Toc375130832 \h </w:instrText>
      </w:r>
      <w:r>
        <w:fldChar w:fldCharType="separate"/>
      </w:r>
      <w:r>
        <w:t>181</w:t>
      </w:r>
      <w:r>
        <w:fldChar w:fldCharType="end"/>
      </w:r>
    </w:p>
    <w:p>
      <w:pPr>
        <w:pStyle w:val="TOC6"/>
        <w:tabs>
          <w:tab w:val="right" w:leader="dot" w:pos="7086"/>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_Toc375130834 \h </w:instrText>
      </w:r>
      <w:r>
        <w:fldChar w:fldCharType="separate"/>
      </w:r>
      <w:r>
        <w:t>182</w:t>
      </w:r>
      <w:r>
        <w:fldChar w:fldCharType="end"/>
      </w:r>
    </w:p>
    <w:p>
      <w:pPr>
        <w:pStyle w:val="TOC6"/>
        <w:tabs>
          <w:tab w:val="right" w:leader="dot" w:pos="7086"/>
        </w:tabs>
        <w:rPr>
          <w:rFonts w:asciiTheme="minorHAnsi" w:eastAsiaTheme="minorEastAsia" w:hAnsiTheme="minorHAnsi" w:cstheme="minorBidi"/>
          <w:b w:val="0"/>
          <w:sz w:val="22"/>
          <w:szCs w:val="22"/>
        </w:rPr>
      </w:pPr>
      <w:r>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_Toc375130836 \h </w:instrText>
      </w:r>
      <w:r>
        <w:fldChar w:fldCharType="separate"/>
      </w:r>
      <w:r>
        <w:t>182</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_Toc375130837 \h </w:instrText>
      </w:r>
      <w:r>
        <w:fldChar w:fldCharType="separate"/>
      </w:r>
      <w:r>
        <w:t>183</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_Toc375130838 \h </w:instrText>
      </w:r>
      <w:r>
        <w:fldChar w:fldCharType="separate"/>
      </w:r>
      <w:r>
        <w:t>183</w:t>
      </w:r>
      <w:r>
        <w:fldChar w:fldCharType="end"/>
      </w:r>
    </w:p>
    <w:p>
      <w:pPr>
        <w:pStyle w:val="TOC6"/>
        <w:tabs>
          <w:tab w:val="right" w:leader="dot" w:pos="7086"/>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_Toc375130840 \h </w:instrText>
      </w:r>
      <w:r>
        <w:fldChar w:fldCharType="separate"/>
      </w:r>
      <w:r>
        <w:t>184</w:t>
      </w:r>
      <w:r>
        <w:fldChar w:fldCharType="end"/>
      </w:r>
    </w:p>
    <w:p>
      <w:pPr>
        <w:pStyle w:val="TOC6"/>
        <w:tabs>
          <w:tab w:val="right" w:leader="dot" w:pos="7086"/>
        </w:tabs>
        <w:rPr>
          <w:rFonts w:asciiTheme="minorHAnsi" w:eastAsiaTheme="minorEastAsia" w:hAnsiTheme="minorHAnsi" w:cstheme="minorBidi"/>
          <w:b w:val="0"/>
          <w:sz w:val="22"/>
          <w:szCs w:val="22"/>
        </w:rPr>
      </w:pPr>
      <w:r>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_Toc375130842 \h </w:instrText>
      </w:r>
      <w:r>
        <w:fldChar w:fldCharType="separate"/>
      </w:r>
      <w:r>
        <w:t>185</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_Toc375130843 \h </w:instrText>
      </w:r>
      <w:r>
        <w:fldChar w:fldCharType="separate"/>
      </w:r>
      <w:r>
        <w:t>185</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_Toc375130844 \h </w:instrText>
      </w:r>
      <w:r>
        <w:fldChar w:fldCharType="separate"/>
      </w:r>
      <w:r>
        <w:t>185</w:t>
      </w:r>
      <w:r>
        <w:fldChar w:fldCharType="end"/>
      </w:r>
    </w:p>
    <w:p>
      <w:pPr>
        <w:pStyle w:val="TOC4"/>
        <w:tabs>
          <w:tab w:val="right" w:leader="dot" w:pos="7086"/>
        </w:tabs>
        <w:rPr>
          <w:rFonts w:asciiTheme="minorHAnsi" w:eastAsiaTheme="minorEastAsia" w:hAnsiTheme="minorHAnsi" w:cstheme="minorBidi"/>
          <w:b w:val="0"/>
          <w:szCs w:val="22"/>
        </w:rPr>
      </w:pPr>
      <w:r>
        <w:t>Part 4 — Exemptions and nominal duty</w:t>
      </w:r>
    </w:p>
    <w:p>
      <w:pPr>
        <w:pStyle w:val="TOC6"/>
        <w:tabs>
          <w:tab w:val="right" w:leader="dot" w:pos="7086"/>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Road Traffic Act</w:t>
      </w:r>
      <w:r>
        <w:tab/>
      </w:r>
      <w:r>
        <w:fldChar w:fldCharType="begin"/>
      </w:r>
      <w:r>
        <w:instrText xml:space="preserve"> PAGEREF _Toc375130847 \h </w:instrText>
      </w:r>
      <w:r>
        <w:fldChar w:fldCharType="separate"/>
      </w:r>
      <w:r>
        <w:t>187</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_Toc375130848 \h </w:instrText>
      </w:r>
      <w:r>
        <w:fldChar w:fldCharType="separate"/>
      </w:r>
      <w:r>
        <w:t>187</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_Toc375130849 \h </w:instrText>
      </w:r>
      <w:r>
        <w:fldChar w:fldCharType="separate"/>
      </w:r>
      <w:r>
        <w:t>187</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_Toc375130850 \h </w:instrText>
      </w:r>
      <w:r>
        <w:fldChar w:fldCharType="separate"/>
      </w:r>
      <w:r>
        <w:t>188</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_Toc375130851 \h </w:instrText>
      </w:r>
      <w:r>
        <w:fldChar w:fldCharType="separate"/>
      </w:r>
      <w:r>
        <w:t>189</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_Toc375130852 \h </w:instrText>
      </w:r>
      <w:r>
        <w:fldChar w:fldCharType="separate"/>
      </w:r>
      <w:r>
        <w:t>190</w:t>
      </w:r>
      <w:r>
        <w:fldChar w:fldCharType="end"/>
      </w:r>
    </w:p>
    <w:p>
      <w:pPr>
        <w:pStyle w:val="TOC6"/>
        <w:tabs>
          <w:tab w:val="right" w:leader="dot" w:pos="7086"/>
        </w:tabs>
        <w:rPr>
          <w:rFonts w:asciiTheme="minorHAnsi" w:eastAsiaTheme="minorEastAsia" w:hAnsiTheme="minorHAnsi" w:cstheme="minorBidi"/>
          <w:b w:val="0"/>
          <w:sz w:val="22"/>
          <w:szCs w:val="22"/>
        </w:rPr>
      </w:pPr>
      <w:r>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_Toc375130854 \h </w:instrText>
      </w:r>
      <w:r>
        <w:fldChar w:fldCharType="separate"/>
      </w:r>
      <w:r>
        <w:t>190</w:t>
      </w:r>
      <w:r>
        <w:fldChar w:fldCharType="end"/>
      </w:r>
    </w:p>
    <w:p>
      <w:pPr>
        <w:pStyle w:val="TOC8"/>
        <w:rPr>
          <w:rFonts w:asciiTheme="minorHAnsi" w:eastAsiaTheme="minorEastAsia" w:hAnsiTheme="minorHAnsi" w:cstheme="minorBidi"/>
          <w:szCs w:val="22"/>
        </w:rPr>
      </w:pPr>
      <w:r>
        <w:t>246.</w:t>
      </w:r>
      <w:r>
        <w:tab/>
        <w:t>If licence is for vehicle in dealer’s trading stock</w:t>
      </w:r>
      <w:r>
        <w:tab/>
      </w:r>
      <w:r>
        <w:fldChar w:fldCharType="begin"/>
      </w:r>
      <w:r>
        <w:instrText xml:space="preserve"> PAGEREF _Toc375130855 \h </w:instrText>
      </w:r>
      <w:r>
        <w:fldChar w:fldCharType="separate"/>
      </w:r>
      <w:r>
        <w:t>190</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_Toc375130856 \h </w:instrText>
      </w:r>
      <w:r>
        <w:fldChar w:fldCharType="separate"/>
      </w:r>
      <w:r>
        <w:t>191</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_Toc375130857 \h </w:instrText>
      </w:r>
      <w:r>
        <w:fldChar w:fldCharType="separate"/>
      </w:r>
      <w:r>
        <w:t>192</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_Toc375130858 \h </w:instrText>
      </w:r>
      <w:r>
        <w:fldChar w:fldCharType="separate"/>
      </w:r>
      <w:r>
        <w:t>192</w:t>
      </w:r>
      <w:r>
        <w:fldChar w:fldCharType="end"/>
      </w:r>
    </w:p>
    <w:p>
      <w:pPr>
        <w:pStyle w:val="TOC6"/>
        <w:tabs>
          <w:tab w:val="right" w:leader="dot" w:pos="7086"/>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_Toc375130860 \h </w:instrText>
      </w:r>
      <w:r>
        <w:fldChar w:fldCharType="separate"/>
      </w:r>
      <w:r>
        <w:t>194</w:t>
      </w:r>
      <w:r>
        <w:fldChar w:fldCharType="end"/>
      </w:r>
    </w:p>
    <w:p>
      <w:pPr>
        <w:pStyle w:val="TOC4"/>
        <w:tabs>
          <w:tab w:val="right" w:leader="dot" w:pos="7086"/>
        </w:tabs>
        <w:rPr>
          <w:rFonts w:asciiTheme="minorHAnsi" w:eastAsiaTheme="minorEastAsia" w:hAnsiTheme="minorHAnsi" w:cstheme="minorBidi"/>
          <w:b w:val="0"/>
          <w:szCs w:val="22"/>
        </w:rPr>
      </w:pPr>
      <w:r>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_Toc375130862 \h </w:instrText>
      </w:r>
      <w:r>
        <w:fldChar w:fldCharType="separate"/>
      </w:r>
      <w:r>
        <w:t>196</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_Toc375130863 \h </w:instrText>
      </w:r>
      <w:r>
        <w:fldChar w:fldCharType="separate"/>
      </w:r>
      <w:r>
        <w:t>196</w:t>
      </w:r>
      <w:r>
        <w:fldChar w:fldCharType="end"/>
      </w:r>
    </w:p>
    <w:p>
      <w:pPr>
        <w:pStyle w:val="TOC8"/>
        <w:rPr>
          <w:rFonts w:asciiTheme="minorHAnsi" w:eastAsiaTheme="minorEastAsia" w:hAnsiTheme="minorHAnsi" w:cstheme="minorBidi"/>
          <w:szCs w:val="22"/>
        </w:rPr>
      </w:pPr>
      <w:r>
        <w:t>253.</w:t>
      </w:r>
      <w:r>
        <w:tab/>
        <w:t>Functions of Director General and Commissioner</w:t>
      </w:r>
      <w:r>
        <w:tab/>
      </w:r>
      <w:r>
        <w:fldChar w:fldCharType="begin"/>
      </w:r>
      <w:r>
        <w:instrText xml:space="preserve"> PAGEREF _Toc375130864 \h </w:instrText>
      </w:r>
      <w:r>
        <w:fldChar w:fldCharType="separate"/>
      </w:r>
      <w:r>
        <w:t>197</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_Toc375130865 \h </w:instrText>
      </w:r>
      <w:r>
        <w:fldChar w:fldCharType="separate"/>
      </w:r>
      <w:r>
        <w:t>198</w:t>
      </w:r>
      <w:r>
        <w:fldChar w:fldCharType="end"/>
      </w:r>
    </w:p>
    <w:p>
      <w:pPr>
        <w:pStyle w:val="TOC8"/>
        <w:rPr>
          <w:rFonts w:asciiTheme="minorHAnsi" w:eastAsiaTheme="minorEastAsia" w:hAnsiTheme="minorHAnsi" w:cstheme="minorBidi"/>
          <w:szCs w:val="22"/>
        </w:rPr>
      </w:pPr>
      <w:r>
        <w:t>255.</w:t>
      </w:r>
      <w:r>
        <w:tab/>
        <w:t>Director General’s duties</w:t>
      </w:r>
      <w:r>
        <w:tab/>
      </w:r>
      <w:r>
        <w:fldChar w:fldCharType="begin"/>
      </w:r>
      <w:r>
        <w:instrText xml:space="preserve"> PAGEREF _Toc375130866 \h </w:instrText>
      </w:r>
      <w:r>
        <w:fldChar w:fldCharType="separate"/>
      </w:r>
      <w:r>
        <w:t>198</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_Toc375130867 \h </w:instrText>
      </w:r>
      <w:r>
        <w:fldChar w:fldCharType="separate"/>
      </w:r>
      <w:r>
        <w:t>198</w:t>
      </w:r>
      <w:r>
        <w:fldChar w:fldCharType="end"/>
      </w:r>
    </w:p>
    <w:p>
      <w:pPr>
        <w:pStyle w:val="TOC2"/>
        <w:tabs>
          <w:tab w:val="right" w:leader="dot" w:pos="7086"/>
        </w:tabs>
        <w:rPr>
          <w:rFonts w:asciiTheme="minorHAnsi" w:eastAsiaTheme="minorEastAsia" w:hAnsiTheme="minorHAnsi" w:cstheme="minorBidi"/>
          <w:b w:val="0"/>
          <w:sz w:val="22"/>
          <w:szCs w:val="22"/>
        </w:rPr>
      </w:pPr>
      <w:r>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_Toc375130869 \h </w:instrText>
      </w:r>
      <w:r>
        <w:fldChar w:fldCharType="separate"/>
      </w:r>
      <w:r>
        <w:t>199</w:t>
      </w:r>
      <w:r>
        <w:fldChar w:fldCharType="end"/>
      </w:r>
    </w:p>
    <w:p>
      <w:pPr>
        <w:pStyle w:val="TOC8"/>
        <w:rPr>
          <w:rFonts w:asciiTheme="minorHAnsi" w:eastAsiaTheme="minorEastAsia" w:hAnsiTheme="minorHAnsi" w:cstheme="minorBidi"/>
          <w:szCs w:val="22"/>
        </w:rPr>
      </w:pPr>
      <w:r>
        <w:t>258.</w:t>
      </w:r>
      <w:r>
        <w:tab/>
        <w:t>Members of a family</w:t>
      </w:r>
      <w:r>
        <w:tab/>
      </w:r>
      <w:r>
        <w:fldChar w:fldCharType="begin"/>
      </w:r>
      <w:r>
        <w:instrText xml:space="preserve"> PAGEREF _Toc375130870 \h </w:instrText>
      </w:r>
      <w:r>
        <w:fldChar w:fldCharType="separate"/>
      </w:r>
      <w:r>
        <w:t>200</w:t>
      </w:r>
      <w:r>
        <w:fldChar w:fldCharType="end"/>
      </w:r>
    </w:p>
    <w:p>
      <w:pPr>
        <w:pStyle w:val="TOC8"/>
        <w:rPr>
          <w:rFonts w:asciiTheme="minorHAnsi" w:eastAsiaTheme="minorEastAsia" w:hAnsiTheme="minorHAnsi" w:cstheme="minorBidi"/>
          <w:szCs w:val="22"/>
        </w:rPr>
      </w:pPr>
      <w:r>
        <w:t>259.</w:t>
      </w:r>
      <w:r>
        <w:tab/>
        <w:t>Term used: relevant consolidation transaction</w:t>
      </w:r>
      <w:r>
        <w:tab/>
      </w:r>
      <w:r>
        <w:fldChar w:fldCharType="begin"/>
      </w:r>
      <w:r>
        <w:instrText xml:space="preserve"> PAGEREF _Toc375130871 \h </w:instrText>
      </w:r>
      <w:r>
        <w:fldChar w:fldCharType="separate"/>
      </w:r>
      <w:r>
        <w:t>200</w:t>
      </w:r>
      <w:r>
        <w:fldChar w:fldCharType="end"/>
      </w:r>
    </w:p>
    <w:p>
      <w:pPr>
        <w:pStyle w:val="TOC8"/>
        <w:rPr>
          <w:rFonts w:asciiTheme="minorHAnsi" w:eastAsiaTheme="minorEastAsia" w:hAnsiTheme="minorHAnsi" w:cstheme="minorBidi"/>
          <w:szCs w:val="22"/>
        </w:rPr>
      </w:pPr>
      <w:r>
        <w:t>260.</w:t>
      </w:r>
      <w:r>
        <w:tab/>
        <w:t>Term used: relevant reconstruction transaction</w:t>
      </w:r>
      <w:r>
        <w:tab/>
      </w:r>
      <w:r>
        <w:fldChar w:fldCharType="begin"/>
      </w:r>
      <w:r>
        <w:instrText xml:space="preserve"> PAGEREF _Toc375130872 \h </w:instrText>
      </w:r>
      <w:r>
        <w:fldChar w:fldCharType="separate"/>
      </w:r>
      <w:r>
        <w:t>201</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_Toc375130873 \h </w:instrText>
      </w:r>
      <w:r>
        <w:fldChar w:fldCharType="separate"/>
      </w:r>
      <w:r>
        <w:t>203</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_Toc375130874 \h </w:instrText>
      </w:r>
      <w:r>
        <w:fldChar w:fldCharType="separate"/>
      </w:r>
      <w:r>
        <w:t>204</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_Toc375130875 \h </w:instrText>
      </w:r>
      <w:r>
        <w:fldChar w:fldCharType="separate"/>
      </w:r>
      <w:r>
        <w:t>205</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_Toc375130876 \h </w:instrText>
      </w:r>
      <w:r>
        <w:fldChar w:fldCharType="separate"/>
      </w:r>
      <w:r>
        <w:t>206</w:t>
      </w:r>
      <w:r>
        <w:fldChar w:fldCharType="end"/>
      </w:r>
    </w:p>
    <w:p>
      <w:pPr>
        <w:pStyle w:val="TOC8"/>
        <w:rPr>
          <w:rFonts w:asciiTheme="minorHAnsi" w:eastAsiaTheme="minorEastAsia" w:hAnsiTheme="minorHAnsi" w:cstheme="minorBidi"/>
          <w:szCs w:val="22"/>
        </w:rPr>
      </w:pPr>
      <w:r>
        <w:t>265.</w:t>
      </w:r>
      <w:r>
        <w:tab/>
        <w:t>Revoking exemption</w:t>
      </w:r>
      <w:r>
        <w:tab/>
      </w:r>
      <w:r>
        <w:fldChar w:fldCharType="begin"/>
      </w:r>
      <w:r>
        <w:instrText xml:space="preserve"> PAGEREF _Toc375130877 \h </w:instrText>
      </w:r>
      <w:r>
        <w:fldChar w:fldCharType="separate"/>
      </w:r>
      <w:r>
        <w:t>208</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_Toc375130878 \h </w:instrText>
      </w:r>
      <w:r>
        <w:fldChar w:fldCharType="separate"/>
      </w:r>
      <w:r>
        <w:t>208</w:t>
      </w:r>
      <w:r>
        <w:fldChar w:fldCharType="end"/>
      </w:r>
    </w:p>
    <w:p>
      <w:pPr>
        <w:pStyle w:val="TOC2"/>
        <w:tabs>
          <w:tab w:val="right" w:leader="dot" w:pos="7086"/>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_Toc375130880 \h </w:instrText>
      </w:r>
      <w:r>
        <w:fldChar w:fldCharType="separate"/>
      </w:r>
      <w:r>
        <w:t>210</w:t>
      </w:r>
      <w:r>
        <w:fldChar w:fldCharType="end"/>
      </w:r>
    </w:p>
    <w:p>
      <w:pPr>
        <w:pStyle w:val="TOC8"/>
        <w:rPr>
          <w:rFonts w:asciiTheme="minorHAnsi" w:eastAsiaTheme="minorEastAsia" w:hAnsiTheme="minorHAnsi" w:cstheme="minorBidi"/>
          <w:szCs w:val="22"/>
        </w:rPr>
      </w:pPr>
      <w:r>
        <w:t>268.</w:t>
      </w:r>
      <w:r>
        <w:tab/>
        <w:t>Term used: tax avoidance scheme</w:t>
      </w:r>
      <w:r>
        <w:tab/>
      </w:r>
      <w:r>
        <w:fldChar w:fldCharType="begin"/>
      </w:r>
      <w:r>
        <w:instrText xml:space="preserve"> PAGEREF _Toc375130881 \h </w:instrText>
      </w:r>
      <w:r>
        <w:fldChar w:fldCharType="separate"/>
      </w:r>
      <w:r>
        <w:t>210</w:t>
      </w:r>
      <w:r>
        <w:fldChar w:fldCharType="end"/>
      </w:r>
    </w:p>
    <w:p>
      <w:pPr>
        <w:pStyle w:val="TOC8"/>
        <w:rPr>
          <w:rFonts w:asciiTheme="minorHAnsi" w:eastAsiaTheme="minorEastAsia" w:hAnsiTheme="minorHAnsi" w:cstheme="minorBidi"/>
          <w:szCs w:val="22"/>
        </w:rPr>
      </w:pPr>
      <w:r>
        <w:t>269.</w:t>
      </w:r>
      <w:r>
        <w:tab/>
        <w:t>Deciding whether proposed scheme would be disregarded under s. 270</w:t>
      </w:r>
      <w:r>
        <w:tab/>
      </w:r>
      <w:r>
        <w:fldChar w:fldCharType="begin"/>
      </w:r>
      <w:r>
        <w:instrText xml:space="preserve"> PAGEREF _Toc375130882 \h </w:instrText>
      </w:r>
      <w:r>
        <w:fldChar w:fldCharType="separate"/>
      </w:r>
      <w:r>
        <w:t>211</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_Toc375130883 \h </w:instrText>
      </w:r>
      <w:r>
        <w:fldChar w:fldCharType="separate"/>
      </w:r>
      <w:r>
        <w:t>213</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_Toc375130884 \h </w:instrText>
      </w:r>
      <w:r>
        <w:fldChar w:fldCharType="separate"/>
      </w:r>
      <w:r>
        <w:t>215</w:t>
      </w:r>
      <w:r>
        <w:fldChar w:fldCharType="end"/>
      </w:r>
    </w:p>
    <w:p>
      <w:pPr>
        <w:pStyle w:val="TOC2"/>
        <w:tabs>
          <w:tab w:val="right" w:leader="dot" w:pos="7086"/>
        </w:tabs>
        <w:rPr>
          <w:rFonts w:asciiTheme="minorHAnsi" w:eastAsiaTheme="minorEastAsia" w:hAnsiTheme="minorHAnsi" w:cstheme="minorBidi"/>
          <w:b w:val="0"/>
          <w:sz w:val="22"/>
          <w:szCs w:val="22"/>
        </w:rPr>
      </w:pPr>
      <w:r>
        <w:t>Chapter 8 — Other general provisions</w:t>
      </w:r>
    </w:p>
    <w:p>
      <w:pPr>
        <w:pStyle w:val="TOC4"/>
        <w:tabs>
          <w:tab w:val="right" w:leader="dot" w:pos="7086"/>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Term used: duty endorsed</w:t>
      </w:r>
      <w:r>
        <w:tab/>
      </w:r>
      <w:r>
        <w:fldChar w:fldCharType="begin"/>
      </w:r>
      <w:r>
        <w:instrText xml:space="preserve"> PAGEREF _Toc375130887 \h </w:instrText>
      </w:r>
      <w:r>
        <w:fldChar w:fldCharType="separate"/>
      </w:r>
      <w:r>
        <w:t>216</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_Toc375130888 \h </w:instrText>
      </w:r>
      <w:r>
        <w:fldChar w:fldCharType="separate"/>
      </w:r>
      <w:r>
        <w:t>216</w:t>
      </w:r>
      <w:r>
        <w:fldChar w:fldCharType="end"/>
      </w:r>
    </w:p>
    <w:p>
      <w:pPr>
        <w:pStyle w:val="TOC8"/>
        <w:rPr>
          <w:rFonts w:asciiTheme="minorHAnsi" w:eastAsiaTheme="minorEastAsia" w:hAnsiTheme="minorHAnsi" w:cstheme="minorBidi"/>
          <w:szCs w:val="22"/>
        </w:rPr>
      </w:pPr>
      <w:r>
        <w:t>274.</w:t>
      </w:r>
      <w:r>
        <w:tab/>
        <w:t>Endorsement of duty that depends on duty paid on another transaction</w:t>
      </w:r>
      <w:r>
        <w:tab/>
      </w:r>
      <w:r>
        <w:fldChar w:fldCharType="begin"/>
      </w:r>
      <w:r>
        <w:instrText xml:space="preserve"> PAGEREF _Toc375130889 \h </w:instrText>
      </w:r>
      <w:r>
        <w:fldChar w:fldCharType="separate"/>
      </w:r>
      <w:r>
        <w:t>218</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_Toc375130890 \h </w:instrText>
      </w:r>
      <w:r>
        <w:fldChar w:fldCharType="separate"/>
      </w:r>
      <w:r>
        <w:t>218</w:t>
      </w:r>
      <w:r>
        <w:fldChar w:fldCharType="end"/>
      </w:r>
    </w:p>
    <w:p>
      <w:pPr>
        <w:pStyle w:val="TOC4"/>
        <w:tabs>
          <w:tab w:val="right" w:leader="dot" w:pos="7086"/>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_Toc375130892 \h </w:instrText>
      </w:r>
      <w:r>
        <w:fldChar w:fldCharType="separate"/>
      </w:r>
      <w:r>
        <w:t>219</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_Toc375130893 \h </w:instrText>
      </w:r>
      <w:r>
        <w:fldChar w:fldCharType="separate"/>
      </w:r>
      <w:r>
        <w:t>220</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_Toc375130894 \h </w:instrText>
      </w:r>
      <w:r>
        <w:fldChar w:fldCharType="separate"/>
      </w:r>
      <w:r>
        <w:t>220</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_Toc375130895 \h </w:instrText>
      </w:r>
      <w:r>
        <w:fldChar w:fldCharType="separate"/>
      </w:r>
      <w:r>
        <w:t>221</w:t>
      </w:r>
      <w:r>
        <w:fldChar w:fldCharType="end"/>
      </w:r>
    </w:p>
    <w:p>
      <w:pPr>
        <w:pStyle w:val="TOC8"/>
        <w:rPr>
          <w:rFonts w:asciiTheme="minorHAnsi" w:eastAsiaTheme="minorEastAsia" w:hAnsiTheme="minorHAnsi" w:cstheme="minorBidi"/>
          <w:szCs w:val="22"/>
        </w:rPr>
      </w:pPr>
      <w:r>
        <w:t>280.</w:t>
      </w:r>
      <w:r>
        <w:tab/>
        <w:t>Unlodged instruments, duty of non</w:t>
      </w:r>
      <w:r>
        <w:noBreakHyphen/>
        <w:t>party to lodge</w:t>
      </w:r>
      <w:r>
        <w:tab/>
      </w:r>
      <w:r>
        <w:fldChar w:fldCharType="begin"/>
      </w:r>
      <w:r>
        <w:instrText xml:space="preserve"> PAGEREF _Toc375130896 \h </w:instrText>
      </w:r>
      <w:r>
        <w:fldChar w:fldCharType="separate"/>
      </w:r>
      <w:r>
        <w:t>222</w:t>
      </w:r>
      <w:r>
        <w:fldChar w:fldCharType="end"/>
      </w:r>
    </w:p>
    <w:p>
      <w:pPr>
        <w:pStyle w:val="TOC4"/>
        <w:tabs>
          <w:tab w:val="right" w:leader="dot" w:pos="7086"/>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_Toc375130898 \h </w:instrText>
      </w:r>
      <w:r>
        <w:fldChar w:fldCharType="separate"/>
      </w:r>
      <w:r>
        <w:t>223</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_Toc375130899 \h </w:instrText>
      </w:r>
      <w:r>
        <w:fldChar w:fldCharType="separate"/>
      </w:r>
      <w:r>
        <w:t>224</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_Toc375130900 \h </w:instrText>
      </w:r>
      <w:r>
        <w:fldChar w:fldCharType="separate"/>
      </w:r>
      <w:r>
        <w:t>224</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_Toc375130901 \h </w:instrText>
      </w:r>
      <w:r>
        <w:fldChar w:fldCharType="separate"/>
      </w:r>
      <w:r>
        <w:t>224</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_Toc375130902 \h </w:instrText>
      </w:r>
      <w:r>
        <w:fldChar w:fldCharType="separate"/>
      </w:r>
      <w:r>
        <w:t>224</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_Toc375130903 \h </w:instrText>
      </w:r>
      <w:r>
        <w:fldChar w:fldCharType="separate"/>
      </w:r>
      <w:r>
        <w:t>225</w:t>
      </w:r>
      <w:r>
        <w:fldChar w:fldCharType="end"/>
      </w:r>
    </w:p>
    <w:p>
      <w:pPr>
        <w:pStyle w:val="TOC2"/>
        <w:tabs>
          <w:tab w:val="right" w:leader="dot" w:pos="7086"/>
        </w:tabs>
        <w:rPr>
          <w:rFonts w:asciiTheme="minorHAnsi" w:eastAsiaTheme="minorEastAsia" w:hAnsiTheme="minorHAnsi" w:cstheme="minorBidi"/>
          <w:b w:val="0"/>
          <w:sz w:val="22"/>
          <w:szCs w:val="22"/>
        </w:rPr>
      </w:pPr>
      <w:r>
        <w:t>Schedule 1 — When liability for transfer duty on a dutiable transaction arises and the person liable to pay it</w:t>
      </w:r>
    </w:p>
    <w:p>
      <w:pPr>
        <w:pStyle w:val="TOC2"/>
        <w:tabs>
          <w:tab w:val="right" w:leader="dot" w:pos="7086"/>
        </w:tabs>
        <w:rPr>
          <w:rFonts w:asciiTheme="minorHAnsi" w:eastAsiaTheme="minorEastAsia" w:hAnsiTheme="minorHAnsi" w:cstheme="minorBidi"/>
          <w:b w:val="0"/>
          <w:sz w:val="22"/>
          <w:szCs w:val="22"/>
        </w:rPr>
      </w:pPr>
      <w:r>
        <w:t>Schedule 2 — Rates of transfer duty</w:t>
      </w:r>
    </w:p>
    <w:p>
      <w:pPr>
        <w:pStyle w:val="TOC4"/>
        <w:tabs>
          <w:tab w:val="right" w:leader="dot" w:pos="7086"/>
        </w:tabs>
        <w:rPr>
          <w:rFonts w:asciiTheme="minorHAnsi" w:eastAsiaTheme="minorEastAsia" w:hAnsiTheme="minorHAnsi" w:cstheme="minorBidi"/>
          <w:b w:val="0"/>
          <w:szCs w:val="22"/>
        </w:rPr>
      </w:pPr>
      <w:r>
        <w:t>Division 1 — General rate</w:t>
      </w:r>
    </w:p>
    <w:p>
      <w:pPr>
        <w:pStyle w:val="TOC4"/>
        <w:tabs>
          <w:tab w:val="right" w:leader="dot" w:pos="7086"/>
        </w:tabs>
        <w:rPr>
          <w:rFonts w:asciiTheme="minorHAnsi" w:eastAsiaTheme="minorEastAsia" w:hAnsiTheme="minorHAnsi" w:cstheme="minorBidi"/>
          <w:b w:val="0"/>
          <w:szCs w:val="22"/>
        </w:rPr>
      </w:pPr>
      <w:r>
        <w:t>Division 2 — Concessional rates</w:t>
      </w:r>
    </w:p>
    <w:p>
      <w:pPr>
        <w:pStyle w:val="TOC4"/>
        <w:tabs>
          <w:tab w:val="right" w:leader="dot" w:pos="7086"/>
        </w:tabs>
        <w:rPr>
          <w:rFonts w:asciiTheme="minorHAnsi" w:eastAsiaTheme="minorEastAsia" w:hAnsiTheme="minorHAnsi" w:cstheme="minorBidi"/>
          <w:b w:val="0"/>
          <w:szCs w:val="22"/>
        </w:rPr>
      </w:pPr>
      <w:r>
        <w:t>Division 3 — Nominal duty</w:t>
      </w:r>
    </w:p>
    <w:p>
      <w:pPr>
        <w:pStyle w:val="TOC2"/>
        <w:tabs>
          <w:tab w:val="right" w:leader="dot" w:pos="7086"/>
        </w:tabs>
        <w:rPr>
          <w:rFonts w:asciiTheme="minorHAnsi" w:eastAsiaTheme="minorEastAsia" w:hAnsiTheme="minorHAnsi" w:cstheme="minorBidi"/>
          <w:b w:val="0"/>
          <w:sz w:val="22"/>
          <w:szCs w:val="22"/>
        </w:rPr>
      </w:pPr>
      <w:r>
        <w:t>Schedule 3 — Transitional provisions</w:t>
      </w:r>
    </w:p>
    <w:p>
      <w:pPr>
        <w:pStyle w:val="TOC4"/>
        <w:tabs>
          <w:tab w:val="right" w:leader="dot" w:pos="7086"/>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86"/>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_Toc375130912 \h </w:instrText>
      </w:r>
      <w:r>
        <w:fldChar w:fldCharType="separate"/>
      </w:r>
      <w:r>
        <w:t>231</w:t>
      </w:r>
      <w:r>
        <w:fldChar w:fldCharType="end"/>
      </w:r>
    </w:p>
    <w:p>
      <w:pPr>
        <w:pStyle w:val="TOC6"/>
        <w:tabs>
          <w:tab w:val="right" w:leader="dot" w:pos="7086"/>
        </w:tabs>
        <w:rPr>
          <w:rFonts w:asciiTheme="minorHAnsi" w:eastAsiaTheme="minorEastAsia" w:hAnsiTheme="minorHAnsi" w:cstheme="minorBidi"/>
          <w:b w:val="0"/>
          <w:sz w:val="22"/>
          <w:szCs w:val="22"/>
        </w:rPr>
      </w:pPr>
      <w:r>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_Toc375130914 \h </w:instrText>
      </w:r>
      <w:r>
        <w:fldChar w:fldCharType="separate"/>
      </w:r>
      <w:r>
        <w:t>231</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_Toc375130915 \h </w:instrText>
      </w:r>
      <w:r>
        <w:fldChar w:fldCharType="separate"/>
      </w:r>
      <w:r>
        <w:t>231</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_Toc375130916 \h </w:instrText>
      </w:r>
      <w:r>
        <w:fldChar w:fldCharType="separate"/>
      </w:r>
      <w:r>
        <w:t>231</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_Toc375130917 \h </w:instrText>
      </w:r>
      <w:r>
        <w:fldChar w:fldCharType="separate"/>
      </w:r>
      <w:r>
        <w:t>231</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_Toc375130918 \h </w:instrText>
      </w:r>
      <w:r>
        <w:fldChar w:fldCharType="separate"/>
      </w:r>
      <w:r>
        <w:t>232</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_Toc375130919 \h </w:instrText>
      </w:r>
      <w:r>
        <w:fldChar w:fldCharType="separate"/>
      </w:r>
      <w:r>
        <w:t>232</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_Toc375130920 \h </w:instrText>
      </w:r>
      <w:r>
        <w:fldChar w:fldCharType="separate"/>
      </w:r>
      <w:r>
        <w:t>232</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_Toc375130921 \h </w:instrText>
      </w:r>
      <w:r>
        <w:fldChar w:fldCharType="separate"/>
      </w:r>
      <w:r>
        <w:t>233</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_Toc375130922 \h </w:instrText>
      </w:r>
      <w:r>
        <w:fldChar w:fldCharType="separate"/>
      </w:r>
      <w:r>
        <w:t>233</w:t>
      </w:r>
      <w:r>
        <w:fldChar w:fldCharType="end"/>
      </w:r>
    </w:p>
    <w:p>
      <w:pPr>
        <w:pStyle w:val="TOC8"/>
        <w:rPr>
          <w:rFonts w:asciiTheme="minorHAnsi" w:eastAsiaTheme="minorEastAsia" w:hAnsiTheme="minorHAnsi" w:cstheme="minorBidi"/>
          <w:szCs w:val="22"/>
        </w:rPr>
      </w:pPr>
      <w:r>
        <w:t>11A.</w:t>
      </w:r>
      <w:r>
        <w:tab/>
        <w:t>Residential concession (Part 6 Div. 4A)</w:t>
      </w:r>
      <w:r>
        <w:tab/>
      </w:r>
      <w:r>
        <w:fldChar w:fldCharType="begin"/>
      </w:r>
      <w:r>
        <w:instrText xml:space="preserve"> PAGEREF _Toc375130923 \h </w:instrText>
      </w:r>
      <w:r>
        <w:fldChar w:fldCharType="separate"/>
      </w:r>
      <w:r>
        <w:t>233</w:t>
      </w:r>
      <w:r>
        <w:fldChar w:fldCharType="end"/>
      </w:r>
    </w:p>
    <w:p>
      <w:pPr>
        <w:pStyle w:val="TOC6"/>
        <w:tabs>
          <w:tab w:val="right" w:leader="dot" w:pos="7086"/>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_Toc375130925 \h </w:instrText>
      </w:r>
      <w:r>
        <w:fldChar w:fldCharType="separate"/>
      </w:r>
      <w:r>
        <w:t>234</w:t>
      </w:r>
      <w:r>
        <w:fldChar w:fldCharType="end"/>
      </w:r>
    </w:p>
    <w:p>
      <w:pPr>
        <w:pStyle w:val="TOC8"/>
        <w:rPr>
          <w:rFonts w:asciiTheme="minorHAnsi" w:eastAsiaTheme="minorEastAsia" w:hAnsiTheme="minorHAnsi" w:cstheme="minorBidi"/>
          <w:szCs w:val="22"/>
        </w:rPr>
      </w:pPr>
      <w:r>
        <w:t>12.</w:t>
      </w:r>
      <w:r>
        <w:tab/>
        <w:t>Acquisitions under an agreement made before 1 July 2008</w:t>
      </w:r>
      <w:r>
        <w:tab/>
      </w:r>
      <w:r>
        <w:fldChar w:fldCharType="begin"/>
      </w:r>
      <w:r>
        <w:instrText xml:space="preserve"> PAGEREF _Toc375130926 \h </w:instrText>
      </w:r>
      <w:r>
        <w:fldChar w:fldCharType="separate"/>
      </w:r>
      <w:r>
        <w:t>234</w:t>
      </w:r>
      <w:r>
        <w:fldChar w:fldCharType="end"/>
      </w:r>
    </w:p>
    <w:p>
      <w:pPr>
        <w:pStyle w:val="TOC6"/>
        <w:tabs>
          <w:tab w:val="right" w:leader="dot" w:pos="7086"/>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_Toc375130928 \h </w:instrText>
      </w:r>
      <w:r>
        <w:fldChar w:fldCharType="separate"/>
      </w:r>
      <w:r>
        <w:t>234</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_Toc375130929 \h </w:instrText>
      </w:r>
      <w:r>
        <w:fldChar w:fldCharType="separate"/>
      </w:r>
      <w:r>
        <w:t>234</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_Toc375130930 \h </w:instrText>
      </w:r>
      <w:r>
        <w:fldChar w:fldCharType="separate"/>
      </w:r>
      <w:r>
        <w:t>234</w:t>
      </w:r>
      <w:r>
        <w:fldChar w:fldCharType="end"/>
      </w:r>
    </w:p>
    <w:p>
      <w:pPr>
        <w:pStyle w:val="TOC6"/>
        <w:tabs>
          <w:tab w:val="right" w:leader="dot" w:pos="7086"/>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_Toc375130932 \h </w:instrText>
      </w:r>
      <w:r>
        <w:fldChar w:fldCharType="separate"/>
      </w:r>
      <w:r>
        <w:t>235</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_Toc375130933 \h </w:instrText>
      </w:r>
      <w:r>
        <w:fldChar w:fldCharType="separate"/>
      </w:r>
      <w:r>
        <w:t>235</w:t>
      </w:r>
      <w:r>
        <w:fldChar w:fldCharType="end"/>
      </w:r>
    </w:p>
    <w:p>
      <w:pPr>
        <w:pStyle w:val="TOC8"/>
        <w:rPr>
          <w:rFonts w:asciiTheme="minorHAnsi" w:eastAsiaTheme="minorEastAsia" w:hAnsiTheme="minorHAnsi" w:cstheme="minorBidi"/>
          <w:szCs w:val="22"/>
        </w:rPr>
      </w:pPr>
      <w:r>
        <w:t>19.</w:t>
      </w:r>
      <w:r>
        <w:tab/>
        <w:t>New vehicles (s. 228)</w:t>
      </w:r>
      <w:r>
        <w:tab/>
      </w:r>
      <w:r>
        <w:fldChar w:fldCharType="begin"/>
      </w:r>
      <w:r>
        <w:instrText xml:space="preserve"> PAGEREF _Toc375130934 \h </w:instrText>
      </w:r>
      <w:r>
        <w:fldChar w:fldCharType="separate"/>
      </w:r>
      <w:r>
        <w:t>235</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_Toc375130935 \h </w:instrText>
      </w:r>
      <w:r>
        <w:fldChar w:fldCharType="separate"/>
      </w:r>
      <w:r>
        <w:t>235</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_Toc375130936 \h </w:instrText>
      </w:r>
      <w:r>
        <w:fldChar w:fldCharType="separate"/>
      </w:r>
      <w:r>
        <w:t>236</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_Toc375130937 \h </w:instrText>
      </w:r>
      <w:r>
        <w:fldChar w:fldCharType="separate"/>
      </w:r>
      <w:r>
        <w:t>236</w:t>
      </w:r>
      <w:r>
        <w:fldChar w:fldCharType="end"/>
      </w:r>
    </w:p>
    <w:p>
      <w:pPr>
        <w:pStyle w:val="TOC8"/>
        <w:rPr>
          <w:rFonts w:asciiTheme="minorHAnsi" w:eastAsiaTheme="minorEastAsia" w:hAnsiTheme="minorHAnsi" w:cstheme="minorBidi"/>
          <w:szCs w:val="22"/>
        </w:rPr>
      </w:pPr>
      <w:r>
        <w:t>23.</w:t>
      </w:r>
      <w:r>
        <w:tab/>
        <w:t xml:space="preserve">Statements made under </w:t>
      </w:r>
      <w:r>
        <w:rPr>
          <w:i/>
          <w:iCs/>
        </w:rPr>
        <w:t>Stamp Act 1921</w:t>
      </w:r>
      <w:r>
        <w:t xml:space="preserve"> s. 76H (s. 252)</w:t>
      </w:r>
      <w:r>
        <w:tab/>
      </w:r>
      <w:r>
        <w:fldChar w:fldCharType="begin"/>
      </w:r>
      <w:r>
        <w:instrText xml:space="preserve"> PAGEREF _Toc375130938 \h </w:instrText>
      </w:r>
      <w:r>
        <w:fldChar w:fldCharType="separate"/>
      </w:r>
      <w:r>
        <w:t>237</w:t>
      </w:r>
      <w:r>
        <w:fldChar w:fldCharType="end"/>
      </w:r>
    </w:p>
    <w:p>
      <w:pPr>
        <w:pStyle w:val="TOC6"/>
        <w:tabs>
          <w:tab w:val="right" w:leader="dot" w:pos="7086"/>
        </w:tabs>
        <w:rPr>
          <w:rFonts w:asciiTheme="minorHAnsi" w:eastAsiaTheme="minorEastAsia" w:hAnsiTheme="minorHAnsi" w:cstheme="minorBidi"/>
          <w:b w:val="0"/>
          <w:sz w:val="22"/>
          <w:szCs w:val="22"/>
        </w:rPr>
      </w:pPr>
      <w:r>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_Toc375130940 \h </w:instrText>
      </w:r>
      <w:r>
        <w:fldChar w:fldCharType="separate"/>
      </w:r>
      <w:r>
        <w:t>237</w:t>
      </w:r>
      <w:r>
        <w:fldChar w:fldCharType="end"/>
      </w:r>
    </w:p>
    <w:p>
      <w:pPr>
        <w:pStyle w:val="TOC6"/>
        <w:tabs>
          <w:tab w:val="right" w:leader="dot" w:pos="7086"/>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_Toc375130942 \h </w:instrText>
      </w:r>
      <w:r>
        <w:fldChar w:fldCharType="separate"/>
      </w:r>
      <w:r>
        <w:t>237</w:t>
      </w:r>
      <w:r>
        <w:fldChar w:fldCharType="end"/>
      </w:r>
    </w:p>
    <w:p>
      <w:pPr>
        <w:pStyle w:val="TOC8"/>
        <w:rPr>
          <w:rFonts w:asciiTheme="minorHAnsi" w:eastAsiaTheme="minorEastAsia" w:hAnsiTheme="minorHAnsi" w:cstheme="minorBidi"/>
          <w:szCs w:val="22"/>
        </w:rPr>
      </w:pPr>
      <w:r>
        <w:t>26.</w:t>
      </w:r>
      <w:r>
        <w:tab/>
        <w:t>Application of some Ch. 8 provisions</w:t>
      </w:r>
      <w:r>
        <w:tab/>
      </w:r>
      <w:r>
        <w:fldChar w:fldCharType="begin"/>
      </w:r>
      <w:r>
        <w:instrText xml:space="preserve"> PAGEREF _Toc375130943 \h </w:instrText>
      </w:r>
      <w:r>
        <w:fldChar w:fldCharType="separate"/>
      </w:r>
      <w:r>
        <w:t>238</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_Toc375130944 \h </w:instrText>
      </w:r>
      <w:r>
        <w:fldChar w:fldCharType="separate"/>
      </w:r>
      <w:r>
        <w:t>238</w:t>
      </w:r>
      <w:r>
        <w:fldChar w:fldCharType="end"/>
      </w:r>
    </w:p>
    <w:p>
      <w:pPr>
        <w:pStyle w:val="TOC8"/>
        <w:rPr>
          <w:rFonts w:asciiTheme="minorHAnsi" w:eastAsiaTheme="minorEastAsia" w:hAnsiTheme="minorHAnsi" w:cstheme="minorBidi"/>
          <w:szCs w:val="22"/>
        </w:rPr>
      </w:pPr>
      <w:r>
        <w:t>28.</w:t>
      </w:r>
      <w:r>
        <w:tab/>
      </w:r>
      <w:r>
        <w:rPr>
          <w:i/>
          <w:iCs/>
        </w:rPr>
        <w:t>Stamp Act 1921</w:t>
      </w:r>
      <w:r>
        <w:rPr>
          <w:iCs/>
        </w:rPr>
        <w:t>, references to</w:t>
      </w:r>
      <w:r>
        <w:tab/>
      </w:r>
      <w:r>
        <w:fldChar w:fldCharType="begin"/>
      </w:r>
      <w:r>
        <w:instrText xml:space="preserve"> PAGEREF _Toc375130945 \h </w:instrText>
      </w:r>
      <w:r>
        <w:fldChar w:fldCharType="separate"/>
      </w:r>
      <w:r>
        <w:t>239</w:t>
      </w:r>
      <w:r>
        <w:fldChar w:fldCharType="end"/>
      </w:r>
    </w:p>
    <w:p>
      <w:pPr>
        <w:pStyle w:val="TOC4"/>
        <w:tabs>
          <w:tab w:val="right" w:leader="dot" w:pos="7086"/>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_Toc375130947 \h </w:instrText>
      </w:r>
      <w:r>
        <w:fldChar w:fldCharType="separate"/>
      </w:r>
      <w:r>
        <w:t>239</w:t>
      </w:r>
      <w:r>
        <w:fldChar w:fldCharType="end"/>
      </w:r>
    </w:p>
    <w:p>
      <w:pPr>
        <w:pStyle w:val="TOC8"/>
        <w:rPr>
          <w:rFonts w:asciiTheme="minorHAnsi" w:eastAsiaTheme="minorEastAsia" w:hAnsiTheme="minorHAnsi" w:cstheme="minorBidi"/>
          <w:szCs w:val="22"/>
        </w:rPr>
      </w:pPr>
      <w:r>
        <w:t>32.</w:t>
      </w:r>
      <w:r>
        <w:tab/>
      </w:r>
      <w:r>
        <w:rPr>
          <w:bCs/>
        </w:rPr>
        <w:t>Certain relevant reconstruction transactions</w:t>
      </w:r>
      <w:r>
        <w:tab/>
      </w:r>
      <w:r>
        <w:fldChar w:fldCharType="begin"/>
      </w:r>
      <w:r>
        <w:instrText xml:space="preserve"> PAGEREF _Toc375130948 \h </w:instrText>
      </w:r>
      <w:r>
        <w:fldChar w:fldCharType="separate"/>
      </w:r>
      <w:r>
        <w:t>240</w:t>
      </w:r>
      <w:r>
        <w:fldChar w:fldCharType="end"/>
      </w:r>
    </w:p>
    <w:p>
      <w:pPr>
        <w:pStyle w:val="TOC4"/>
        <w:tabs>
          <w:tab w:val="right" w:leader="dot" w:pos="7086"/>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_Toc375130950 \h </w:instrText>
      </w:r>
      <w:r>
        <w:fldChar w:fldCharType="separate"/>
      </w:r>
      <w:r>
        <w:t>240</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_Toc375130951 \h </w:instrText>
      </w:r>
      <w:r>
        <w:fldChar w:fldCharType="separate"/>
      </w:r>
      <w:r>
        <w:t>241</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_Toc375130952 \h </w:instrText>
      </w:r>
      <w:r>
        <w:fldChar w:fldCharType="separate"/>
      </w:r>
      <w:r>
        <w:t>241</w:t>
      </w:r>
      <w:r>
        <w:fldChar w:fldCharType="end"/>
      </w:r>
    </w:p>
    <w:p>
      <w:pPr>
        <w:pStyle w:val="TOC4"/>
        <w:tabs>
          <w:tab w:val="right" w:leader="dot" w:pos="7086"/>
        </w:tabs>
        <w:rPr>
          <w:rFonts w:asciiTheme="minorHAnsi" w:eastAsiaTheme="minorEastAsia" w:hAnsiTheme="minorHAnsi" w:cstheme="minorBidi"/>
          <w:b w:val="0"/>
          <w:szCs w:val="22"/>
        </w:rPr>
      </w:pPr>
      <w:r>
        <w:t>Division 6</w:t>
      </w:r>
      <w:r>
        <w:rPr>
          <w:b w:val="0"/>
        </w:rPr>
        <w:t> — </w:t>
      </w:r>
      <w:r>
        <w:t xml:space="preserve">Provisions for </w:t>
      </w:r>
      <w:r>
        <w:rPr>
          <w:i/>
        </w:rPr>
        <w:t>Revenue Laws Amendment Act 2013</w:t>
      </w:r>
      <w:r>
        <w:t xml:space="preserve"> Part 2</w:t>
      </w:r>
    </w:p>
    <w:p>
      <w:pPr>
        <w:pStyle w:val="TOC8"/>
        <w:rPr>
          <w:rFonts w:asciiTheme="minorHAnsi" w:eastAsiaTheme="minorEastAsia" w:hAnsiTheme="minorHAnsi" w:cstheme="minorBidi"/>
          <w:szCs w:val="22"/>
        </w:rPr>
      </w:pPr>
      <w:r>
        <w:t>36.</w:t>
      </w:r>
      <w:r>
        <w:tab/>
        <w:t>Interim assessments</w:t>
      </w:r>
      <w:r>
        <w:tab/>
      </w:r>
      <w:r>
        <w:fldChar w:fldCharType="begin"/>
      </w:r>
      <w:r>
        <w:instrText xml:space="preserve"> PAGEREF _Toc375130954 \h </w:instrText>
      </w:r>
      <w:r>
        <w:fldChar w:fldCharType="separate"/>
      </w:r>
      <w:r>
        <w:t>242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_Toc375130956 \h </w:instrText>
      </w:r>
      <w:r>
        <w:fldChar w:fldCharType="separate"/>
      </w:r>
      <w:r>
        <w:t>243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_Toc375130957 \h </w:instrText>
      </w:r>
      <w:r>
        <w:fldChar w:fldCharType="separate"/>
      </w:r>
      <w:r>
        <w:t>244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keepNext w:val="0"/>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rStyle w:val="CharSClsNo"/>
          <w:sz w:val="16"/>
          <w:szCs w:val="16"/>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An Act dealing with the imposition of a number of kinds of duty</w:t>
      </w:r>
      <w:r>
        <w:t>.</w:t>
      </w:r>
    </w:p>
    <w:p>
      <w:pPr>
        <w:pStyle w:val="Heading2"/>
        <w:rPr>
          <w:sz w:val="32"/>
        </w:rPr>
      </w:pPr>
      <w:bookmarkStart w:id="2" w:name="_Toc375130537"/>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2"/>
    </w:p>
    <w:p>
      <w:pPr>
        <w:pStyle w:val="Heading5"/>
      </w:pPr>
      <w:bookmarkStart w:id="3" w:name="_Toc375130538"/>
      <w:r>
        <w:rPr>
          <w:rStyle w:val="CharSectno"/>
        </w:rPr>
        <w:t>1</w:t>
      </w:r>
      <w:r>
        <w:t>.</w:t>
      </w:r>
      <w:r>
        <w:tab/>
      </w:r>
      <w:r>
        <w:rPr>
          <w:snapToGrid w:val="0"/>
        </w:rPr>
        <w:t>Short title</w:t>
      </w:r>
      <w:bookmarkEnd w:id="3"/>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4" w:name="_Toc375130539"/>
      <w:r>
        <w:rPr>
          <w:rStyle w:val="CharSectno"/>
        </w:rPr>
        <w:t>2</w:t>
      </w:r>
      <w:r>
        <w:rPr>
          <w:snapToGrid w:val="0"/>
        </w:rPr>
        <w:t>.</w:t>
      </w:r>
      <w:r>
        <w:rPr>
          <w:snapToGrid w:val="0"/>
        </w:rPr>
        <w:tab/>
      </w:r>
      <w:r>
        <w:t>Commencement</w:t>
      </w:r>
      <w:bookmarkEnd w:id="4"/>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5" w:name="_Toc375130540"/>
      <w:r>
        <w:rPr>
          <w:rStyle w:val="CharSectno"/>
        </w:rPr>
        <w:t>3</w:t>
      </w:r>
      <w:r>
        <w:rPr>
          <w:snapToGrid w:val="0"/>
        </w:rPr>
        <w:t>.</w:t>
      </w:r>
      <w:r>
        <w:rPr>
          <w:snapToGrid w:val="0"/>
        </w:rPr>
        <w:tab/>
        <w:t>Terms used</w:t>
      </w:r>
      <w:bookmarkEnd w:id="5"/>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w:t>
      </w:r>
      <w:r>
        <w:rPr>
          <w:b/>
          <w:i/>
        </w:rPr>
        <w:t>pipeline</w:t>
      </w:r>
      <w:r>
        <w:t xml:space="preserv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w:t>
      </w:r>
    </w:p>
    <w:p>
      <w:pPr>
        <w:pStyle w:val="Heading5"/>
        <w:rPr>
          <w:snapToGrid w:val="0"/>
        </w:rPr>
      </w:pPr>
      <w:bookmarkStart w:id="6" w:name="_Toc375130541"/>
      <w:r>
        <w:rPr>
          <w:rStyle w:val="CharSectno"/>
        </w:rPr>
        <w:t>4</w:t>
      </w:r>
      <w:r>
        <w:rPr>
          <w:snapToGrid w:val="0"/>
        </w:rPr>
        <w:t>.</w:t>
      </w:r>
      <w:r>
        <w:rPr>
          <w:snapToGrid w:val="0"/>
        </w:rPr>
        <w:tab/>
        <w:t xml:space="preserve">Relationship with </w:t>
      </w:r>
      <w:r>
        <w:rPr>
          <w:i/>
          <w:iCs/>
          <w:snapToGrid w:val="0"/>
        </w:rPr>
        <w:t>Taxation Administration Act 2003</w:t>
      </w:r>
      <w:bookmarkEnd w:id="6"/>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7" w:name="_Toc375130542"/>
      <w:r>
        <w:rPr>
          <w:rStyle w:val="CharSectno"/>
        </w:rPr>
        <w:t>5</w:t>
      </w:r>
      <w:r>
        <w:t>.</w:t>
      </w:r>
      <w:r>
        <w:tab/>
        <w:t>GST, effect of on value or consideration</w:t>
      </w:r>
      <w:bookmarkEnd w:id="7"/>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8" w:name="_Toc375130543"/>
      <w:r>
        <w:rPr>
          <w:rStyle w:val="CharSectno"/>
        </w:rPr>
        <w:t>6</w:t>
      </w:r>
      <w:r>
        <w:t>.</w:t>
      </w:r>
      <w:r>
        <w:tab/>
        <w:t>Family relationships, determining</w:t>
      </w:r>
      <w:bookmarkEnd w:id="8"/>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9" w:name="_Toc375130544"/>
      <w:r>
        <w:rPr>
          <w:rStyle w:val="CharSectno"/>
        </w:rPr>
        <w:t>7</w:t>
      </w:r>
      <w:r>
        <w:t>.</w:t>
      </w:r>
      <w:r>
        <w:tab/>
        <w:t>References to being wound up</w:t>
      </w:r>
      <w:bookmarkEnd w:id="9"/>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10" w:name="_Toc375130545"/>
      <w:r>
        <w:rPr>
          <w:rStyle w:val="CharSectno"/>
        </w:rPr>
        <w:t>8</w:t>
      </w:r>
      <w:r>
        <w:rPr>
          <w:snapToGrid w:val="0"/>
        </w:rPr>
        <w:t>.</w:t>
      </w:r>
      <w:r>
        <w:rPr>
          <w:snapToGrid w:val="0"/>
        </w:rPr>
        <w:tab/>
        <w:t>Notes in text</w:t>
      </w:r>
      <w:bookmarkEnd w:id="10"/>
    </w:p>
    <w:p>
      <w:pPr>
        <w:pStyle w:val="Subsection"/>
      </w:pPr>
      <w:r>
        <w:tab/>
      </w:r>
      <w:r>
        <w:tab/>
        <w:t>A note included in this Act is explanatory and is not part of this Act.</w:t>
      </w:r>
    </w:p>
    <w:p>
      <w:pPr>
        <w:pStyle w:val="Heading2"/>
        <w:rPr>
          <w:sz w:val="32"/>
        </w:rPr>
      </w:pPr>
      <w:bookmarkStart w:id="11" w:name="_Toc375130546"/>
      <w:r>
        <w:rPr>
          <w:rStyle w:val="CharPartNo"/>
          <w:sz w:val="32"/>
        </w:rPr>
        <w:t>Chapter 2</w:t>
      </w:r>
      <w:r>
        <w:rPr>
          <w:sz w:val="32"/>
        </w:rPr>
        <w:t> — </w:t>
      </w:r>
      <w:r>
        <w:rPr>
          <w:rStyle w:val="CharPartText"/>
          <w:sz w:val="32"/>
        </w:rPr>
        <w:t>Transfer duty</w:t>
      </w:r>
      <w:bookmarkEnd w:id="11"/>
    </w:p>
    <w:p>
      <w:pPr>
        <w:pStyle w:val="Heading3"/>
        <w:rPr>
          <w:sz w:val="28"/>
        </w:rPr>
      </w:pPr>
      <w:bookmarkStart w:id="12" w:name="_Toc375130547"/>
      <w:r>
        <w:rPr>
          <w:rStyle w:val="CharDivNo"/>
          <w:sz w:val="28"/>
        </w:rPr>
        <w:t>Part 1</w:t>
      </w:r>
      <w:r>
        <w:rPr>
          <w:sz w:val="28"/>
        </w:rPr>
        <w:t> — </w:t>
      </w:r>
      <w:r>
        <w:rPr>
          <w:rStyle w:val="CharDivText"/>
          <w:sz w:val="28"/>
        </w:rPr>
        <w:t>Preliminary</w:t>
      </w:r>
      <w:bookmarkEnd w:id="12"/>
    </w:p>
    <w:p>
      <w:pPr>
        <w:pStyle w:val="Heading5"/>
      </w:pPr>
      <w:bookmarkStart w:id="13" w:name="_Toc375130548"/>
      <w:r>
        <w:rPr>
          <w:rStyle w:val="CharSectno"/>
        </w:rPr>
        <w:t>9</w:t>
      </w:r>
      <w:r>
        <w:t>.</w:t>
      </w:r>
      <w:r>
        <w:tab/>
        <w:t>Terms used</w:t>
      </w:r>
      <w:bookmarkEnd w:id="13"/>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14" w:name="_Toc375130549"/>
      <w:r>
        <w:rPr>
          <w:rStyle w:val="CharDivNo"/>
          <w:sz w:val="28"/>
        </w:rPr>
        <w:t>Part 2</w:t>
      </w:r>
      <w:r>
        <w:rPr>
          <w:sz w:val="28"/>
        </w:rPr>
        <w:t> — </w:t>
      </w:r>
      <w:r>
        <w:rPr>
          <w:rStyle w:val="CharDivText"/>
          <w:sz w:val="28"/>
        </w:rPr>
        <w:t>Imposition of transfer duty</w:t>
      </w:r>
      <w:bookmarkEnd w:id="14"/>
    </w:p>
    <w:p>
      <w:pPr>
        <w:pStyle w:val="Heading5"/>
      </w:pPr>
      <w:bookmarkStart w:id="15" w:name="_Toc375130550"/>
      <w:r>
        <w:rPr>
          <w:rStyle w:val="CharSectno"/>
        </w:rPr>
        <w:t>10</w:t>
      </w:r>
      <w:r>
        <w:t>.</w:t>
      </w:r>
      <w:r>
        <w:tab/>
        <w:t>Transfer duty imposed</w:t>
      </w:r>
      <w:bookmarkEnd w:id="15"/>
    </w:p>
    <w:p>
      <w:pPr>
        <w:pStyle w:val="Subsection"/>
      </w:pPr>
      <w:r>
        <w:tab/>
      </w:r>
      <w:r>
        <w:tab/>
        <w:t>Duty is imposed on dutiable transactions.</w:t>
      </w:r>
    </w:p>
    <w:p>
      <w:pPr>
        <w:pStyle w:val="Heading3"/>
        <w:rPr>
          <w:sz w:val="28"/>
        </w:rPr>
      </w:pPr>
      <w:bookmarkStart w:id="16" w:name="_Toc375130551"/>
      <w:r>
        <w:rPr>
          <w:rStyle w:val="CharDivNo"/>
          <w:sz w:val="28"/>
        </w:rPr>
        <w:t>Part 3</w:t>
      </w:r>
      <w:r>
        <w:rPr>
          <w:sz w:val="28"/>
        </w:rPr>
        <w:t> — </w:t>
      </w:r>
      <w:r>
        <w:rPr>
          <w:rStyle w:val="CharDivText"/>
          <w:sz w:val="28"/>
        </w:rPr>
        <w:t>Dutiable transactions and dutiable property</w:t>
      </w:r>
      <w:bookmarkEnd w:id="16"/>
    </w:p>
    <w:p>
      <w:pPr>
        <w:pStyle w:val="Heading4"/>
        <w:rPr>
          <w:sz w:val="26"/>
        </w:rPr>
      </w:pPr>
      <w:bookmarkStart w:id="17" w:name="_Toc375130552"/>
      <w:r>
        <w:rPr>
          <w:sz w:val="26"/>
        </w:rPr>
        <w:t>Division 1 — Dutiable transactions</w:t>
      </w:r>
      <w:bookmarkEnd w:id="17"/>
    </w:p>
    <w:p>
      <w:pPr>
        <w:pStyle w:val="Heading5"/>
      </w:pPr>
      <w:bookmarkStart w:id="18" w:name="_Toc375130553"/>
      <w:r>
        <w:rPr>
          <w:rStyle w:val="CharSectno"/>
        </w:rPr>
        <w:t>11</w:t>
      </w:r>
      <w:r>
        <w:t>.</w:t>
      </w:r>
      <w:r>
        <w:tab/>
        <w:t>Term used: dutiable transaction</w:t>
      </w:r>
      <w:bookmarkEnd w:id="18"/>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19" w:name="_Toc375130554"/>
      <w:r>
        <w:rPr>
          <w:rStyle w:val="CharSectno"/>
        </w:rPr>
        <w:t>12</w:t>
      </w:r>
      <w:r>
        <w:t>.</w:t>
      </w:r>
      <w:r>
        <w:tab/>
        <w:t>Vesting of property by statute law</w:t>
      </w:r>
      <w:bookmarkEnd w:id="19"/>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20" w:name="_Toc375130555"/>
      <w:r>
        <w:rPr>
          <w:rStyle w:val="CharSectno"/>
        </w:rPr>
        <w:t>13</w:t>
      </w:r>
      <w:r>
        <w:t>.</w:t>
      </w:r>
      <w:r>
        <w:tab/>
        <w:t>References to farm</w:t>
      </w:r>
      <w:r>
        <w:noBreakHyphen/>
        <w:t>in agreement</w:t>
      </w:r>
      <w:bookmarkEnd w:id="20"/>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21" w:name="_Toc375130556"/>
      <w:r>
        <w:rPr>
          <w:rStyle w:val="CharSectno"/>
        </w:rPr>
        <w:t>14</w:t>
      </w:r>
      <w:r>
        <w:t>.</w:t>
      </w:r>
      <w:r>
        <w:tab/>
        <w:t>Transactions as to chattels, which are dutiable</w:t>
      </w:r>
      <w:bookmarkEnd w:id="21"/>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22" w:name="_Toc375130557"/>
      <w:r>
        <w:rPr>
          <w:sz w:val="26"/>
        </w:rPr>
        <w:t>Division 2 — Dutiable property</w:t>
      </w:r>
      <w:bookmarkEnd w:id="22"/>
    </w:p>
    <w:p>
      <w:pPr>
        <w:pStyle w:val="Heading5"/>
      </w:pPr>
      <w:bookmarkStart w:id="23" w:name="_Toc375130558"/>
      <w:r>
        <w:rPr>
          <w:rStyle w:val="CharSectno"/>
        </w:rPr>
        <w:t>15</w:t>
      </w:r>
      <w:r>
        <w:t>.</w:t>
      </w:r>
      <w:r>
        <w:tab/>
        <w:t>Term used: dutiable property</w:t>
      </w:r>
      <w:bookmarkEnd w:id="23"/>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24" w:name="_Toc375130559"/>
      <w:r>
        <w:rPr>
          <w:rStyle w:val="CharSectno"/>
        </w:rPr>
        <w:t>16</w:t>
      </w:r>
      <w:r>
        <w:t>.</w:t>
      </w:r>
      <w:r>
        <w:tab/>
        <w:t>References to right</w:t>
      </w:r>
      <w:bookmarkEnd w:id="24"/>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25" w:name="_Toc375130560"/>
      <w:r>
        <w:rPr>
          <w:rStyle w:val="CharSectno"/>
        </w:rPr>
        <w:t>17</w:t>
      </w:r>
      <w:r>
        <w:t>.</w:t>
      </w:r>
      <w:r>
        <w:tab/>
        <w:t>Term used: new dutiable property</w:t>
      </w:r>
      <w:bookmarkEnd w:id="25"/>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26" w:name="_Toc375130561"/>
      <w:r>
        <w:rPr>
          <w:rStyle w:val="CharSectno"/>
        </w:rPr>
        <w:t>18</w:t>
      </w:r>
      <w:r>
        <w:t>.</w:t>
      </w:r>
      <w:r>
        <w:tab/>
        <w:t>Term used: special dutiable property</w:t>
      </w:r>
      <w:bookmarkEnd w:id="26"/>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27" w:name="_Toc375130562"/>
      <w:r>
        <w:rPr>
          <w:rStyle w:val="CharDivNo"/>
          <w:sz w:val="28"/>
        </w:rPr>
        <w:t>Part 4</w:t>
      </w:r>
      <w:r>
        <w:rPr>
          <w:sz w:val="28"/>
        </w:rPr>
        <w:t> — </w:t>
      </w:r>
      <w:r>
        <w:rPr>
          <w:rStyle w:val="CharDivText"/>
          <w:sz w:val="28"/>
        </w:rPr>
        <w:t>Collection of transfer duty</w:t>
      </w:r>
      <w:bookmarkEnd w:id="27"/>
    </w:p>
    <w:p>
      <w:pPr>
        <w:pStyle w:val="Heading4"/>
        <w:rPr>
          <w:sz w:val="26"/>
        </w:rPr>
      </w:pPr>
      <w:bookmarkStart w:id="28" w:name="_Toc375130563"/>
      <w:r>
        <w:rPr>
          <w:sz w:val="26"/>
        </w:rPr>
        <w:t>Division 1 — Liability for transfer duty</w:t>
      </w:r>
      <w:bookmarkEnd w:id="28"/>
    </w:p>
    <w:p>
      <w:pPr>
        <w:pStyle w:val="Heading5"/>
        <w:spacing w:before="180"/>
      </w:pPr>
      <w:bookmarkStart w:id="29" w:name="_Toc375130564"/>
      <w:r>
        <w:rPr>
          <w:rStyle w:val="CharSectno"/>
        </w:rPr>
        <w:t>19</w:t>
      </w:r>
      <w:r>
        <w:t>.</w:t>
      </w:r>
      <w:r>
        <w:tab/>
        <w:t>When liability for duty arises</w:t>
      </w:r>
      <w:bookmarkEnd w:id="29"/>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30" w:name="_Toc375130565"/>
      <w:r>
        <w:rPr>
          <w:rStyle w:val="CharSectno"/>
        </w:rPr>
        <w:t>20</w:t>
      </w:r>
      <w:r>
        <w:t>.</w:t>
      </w:r>
      <w:r>
        <w:tab/>
        <w:t>Who is liable to pay duty</w:t>
      </w:r>
      <w:bookmarkEnd w:id="30"/>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31" w:name="_Toc375130566"/>
      <w:r>
        <w:rPr>
          <w:rStyle w:val="CharSectno"/>
        </w:rPr>
        <w:t>21</w:t>
      </w:r>
      <w:r>
        <w:t>.</w:t>
      </w:r>
      <w:r>
        <w:tab/>
        <w:t>Joint tenants to be treated as tenants in common in equal shares</w:t>
      </w:r>
      <w:bookmarkEnd w:id="31"/>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32" w:name="_Toc375130567"/>
      <w:r>
        <w:rPr>
          <w:sz w:val="26"/>
        </w:rPr>
        <w:t>Division 2 — Lodging transaction records</w:t>
      </w:r>
      <w:bookmarkEnd w:id="32"/>
    </w:p>
    <w:p>
      <w:pPr>
        <w:pStyle w:val="Heading5"/>
        <w:spacing w:before="240"/>
      </w:pPr>
      <w:bookmarkStart w:id="33" w:name="_Toc375130568"/>
      <w:r>
        <w:rPr>
          <w:rStyle w:val="CharSectno"/>
        </w:rPr>
        <w:t>22</w:t>
      </w:r>
      <w:r>
        <w:t>.</w:t>
      </w:r>
      <w:r>
        <w:tab/>
        <w:t>Transfer duty statement to be made if no instrument</w:t>
      </w:r>
      <w:bookmarkEnd w:id="33"/>
    </w:p>
    <w:p>
      <w:pPr>
        <w:pStyle w:val="Subsection"/>
        <w:spacing w:before="180"/>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spacing w:before="240"/>
      </w:pPr>
      <w:bookmarkStart w:id="34" w:name="_Toc375130569"/>
      <w:r>
        <w:rPr>
          <w:rStyle w:val="CharSectno"/>
        </w:rPr>
        <w:t>23</w:t>
      </w:r>
      <w:r>
        <w:t>.</w:t>
      </w:r>
      <w:r>
        <w:tab/>
        <w:t>Instrument or statement for dutiable transaction, duty to lodge</w:t>
      </w:r>
      <w:bookmarkEnd w:id="34"/>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Footnotesection"/>
      </w:pPr>
      <w:r>
        <w:tab/>
        <w:t>[Section 23 amended by No. 17 of 2010 s. 6.]</w:t>
      </w:r>
    </w:p>
    <w:p>
      <w:pPr>
        <w:pStyle w:val="Heading5"/>
      </w:pPr>
      <w:bookmarkStart w:id="35" w:name="_Toc375130570"/>
      <w:r>
        <w:rPr>
          <w:rStyle w:val="CharSectno"/>
        </w:rPr>
        <w:t>24</w:t>
      </w:r>
      <w:r>
        <w:t>.</w:t>
      </w:r>
      <w:r>
        <w:tab/>
        <w:t>Form of dutiable transaction</w:t>
      </w:r>
      <w:bookmarkEnd w:id="35"/>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36" w:name="_Toc375130571"/>
      <w:r>
        <w:rPr>
          <w:sz w:val="26"/>
        </w:rPr>
        <w:t>Division 3 — Payment of transfer duty</w:t>
      </w:r>
      <w:bookmarkEnd w:id="36"/>
    </w:p>
    <w:p>
      <w:pPr>
        <w:pStyle w:val="Heading5"/>
      </w:pPr>
      <w:bookmarkStart w:id="37" w:name="_Toc375130572"/>
      <w:r>
        <w:rPr>
          <w:rStyle w:val="CharSectno"/>
        </w:rPr>
        <w:t>25</w:t>
      </w:r>
      <w:r>
        <w:t>.</w:t>
      </w:r>
      <w:r>
        <w:tab/>
        <w:t>When duty must be paid</w:t>
      </w:r>
      <w:bookmarkEnd w:id="37"/>
    </w:p>
    <w:p>
      <w:pPr>
        <w:pStyle w:val="Subsection"/>
      </w:pPr>
      <w:r>
        <w:tab/>
        <w:t>(1)</w:t>
      </w:r>
      <w:r>
        <w:tab/>
        <w:t>A person liable to pay duty on a dutiable transaction is to pay the duty within one month after the date of the assessment notice issued in relation to an assessment of the duty,unless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 amended by No. 10 of 2013 s. 4.]</w:t>
      </w:r>
    </w:p>
    <w:p>
      <w:pPr>
        <w:pStyle w:val="Heading4"/>
        <w:rPr>
          <w:sz w:val="26"/>
        </w:rPr>
      </w:pPr>
      <w:bookmarkStart w:id="38" w:name="_Toc375130573"/>
      <w:r>
        <w:rPr>
          <w:sz w:val="26"/>
        </w:rPr>
        <w:t>Division 4 — Rate of transfer duty</w:t>
      </w:r>
      <w:bookmarkEnd w:id="38"/>
    </w:p>
    <w:p>
      <w:pPr>
        <w:pStyle w:val="Heading5"/>
        <w:spacing w:before="180"/>
      </w:pPr>
      <w:bookmarkStart w:id="39" w:name="_Toc375130574"/>
      <w:r>
        <w:rPr>
          <w:rStyle w:val="CharSectno"/>
        </w:rPr>
        <w:t>26</w:t>
      </w:r>
      <w:r>
        <w:t>.</w:t>
      </w:r>
      <w:r>
        <w:tab/>
        <w:t>Rate of transfer duty</w:t>
      </w:r>
      <w:bookmarkEnd w:id="39"/>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40" w:name="_Toc375130575"/>
      <w:r>
        <w:rPr>
          <w:sz w:val="26"/>
        </w:rPr>
        <w:t>Division 5 — Dutiable value</w:t>
      </w:r>
      <w:bookmarkEnd w:id="40"/>
    </w:p>
    <w:p>
      <w:pPr>
        <w:pStyle w:val="MiscellaneousHeading"/>
        <w:rPr>
          <w:b/>
          <w:bCs/>
        </w:rPr>
      </w:pPr>
      <w:r>
        <w:rPr>
          <w:b/>
          <w:bCs/>
        </w:rPr>
        <w:t>Subdivision 1 — Dutiable value</w:t>
      </w:r>
    </w:p>
    <w:p>
      <w:pPr>
        <w:pStyle w:val="Heading5"/>
      </w:pPr>
      <w:bookmarkStart w:id="41" w:name="_Toc375130576"/>
      <w:r>
        <w:rPr>
          <w:rStyle w:val="CharSectno"/>
        </w:rPr>
        <w:t>27</w:t>
      </w:r>
      <w:r>
        <w:t>.</w:t>
      </w:r>
      <w:r>
        <w:tab/>
        <w:t>Dutiable value of dutiable transactions, unless otherwise provided</w:t>
      </w:r>
      <w:bookmarkEnd w:id="41"/>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42" w:name="_Toc375130577"/>
      <w:r>
        <w:rPr>
          <w:rStyle w:val="CharSectno"/>
        </w:rPr>
        <w:t>28</w:t>
      </w:r>
      <w:r>
        <w:t>.</w:t>
      </w:r>
      <w:r>
        <w:tab/>
        <w:t>Dutiable value of certain dutiable transactions</w:t>
      </w:r>
      <w:bookmarkEnd w:id="42"/>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43" w:name="_Toc375130578"/>
      <w:r>
        <w:rPr>
          <w:rStyle w:val="CharSectno"/>
        </w:rPr>
        <w:t>29</w:t>
      </w:r>
      <w:r>
        <w:t>.</w:t>
      </w:r>
      <w:r>
        <w:tab/>
        <w:t>Dutiable value of certain dutiable transactions relating to corporation or unit trust scheme property on winding up</w:t>
      </w:r>
      <w:bookmarkEnd w:id="43"/>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0.75pt" o:ole="">
            <v:imagedata r:id="rId21" o:title=""/>
          </v:shape>
          <o:OLEObject Type="Embed" ProgID="Equation.3" ShapeID="_x0000_i1025" DrawAspect="Content" ObjectID="_1643281718" r:id="rId22"/>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5.25pt;height:30.75pt" o:ole="">
            <v:imagedata r:id="rId21" o:title=""/>
          </v:shape>
          <o:OLEObject Type="Embed" ProgID="Equation.3" ShapeID="_x0000_i1026" DrawAspect="Content" ObjectID="_1643281719" r:id="rId23"/>
        </w:obje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12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12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12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120"/>
        <w:ind w:left="1418" w:hanging="1106"/>
        <w:rPr>
          <w:snapToGrid w:val="0"/>
        </w:rPr>
      </w:pPr>
      <w:r>
        <w:rPr>
          <w:snapToGrid w:val="0"/>
        </w:rPr>
        <w:tab/>
      </w:r>
      <w:r>
        <w:rPr>
          <w:snapToGrid w:val="0"/>
        </w:rPr>
        <w:tab/>
        <w:t>Transfer duty is charged on $88 888.</w:t>
      </w:r>
    </w:p>
    <w:p>
      <w:pPr>
        <w:pStyle w:val="NotesPerm"/>
        <w:tabs>
          <w:tab w:val="left" w:pos="1418"/>
        </w:tabs>
        <w:spacing w:before="120"/>
        <w:ind w:left="1418" w:hanging="1106"/>
        <w:rPr>
          <w:snapToGrid w:val="0"/>
        </w:rPr>
      </w:pPr>
      <w:r>
        <w:rPr>
          <w:snapToGrid w:val="0"/>
        </w:rPr>
        <w:tab/>
      </w:r>
      <w:r>
        <w:rPr>
          <w:snapToGrid w:val="0"/>
        </w:rPr>
        <w:tab/>
        <w:t>B’s duty assessment:</w:t>
      </w:r>
    </w:p>
    <w:p>
      <w:pPr>
        <w:pStyle w:val="NotesPerm"/>
        <w:tabs>
          <w:tab w:val="left" w:pos="1418"/>
        </w:tabs>
        <w:spacing w:before="12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spacing w:before="60"/>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 </w:t>
      </w:r>
      <w:r>
        <w:rPr>
          <w:vertAlign w:val="superscript"/>
        </w:rPr>
        <w:t>3</w:t>
      </w:r>
      <w:r>
        <w:t xml:space="preserve"> amended by No. 29 of 2012 s. 4.]</w:t>
      </w:r>
    </w:p>
    <w:p>
      <w:pPr>
        <w:pStyle w:val="MiscellaneousHeading"/>
        <w:spacing w:before="240"/>
        <w:rPr>
          <w:b/>
          <w:bCs/>
        </w:rPr>
      </w:pPr>
      <w:r>
        <w:rPr>
          <w:b/>
          <w:bCs/>
        </w:rPr>
        <w:t>Subdivision 2 — Consideration</w:t>
      </w:r>
    </w:p>
    <w:p>
      <w:pPr>
        <w:pStyle w:val="Heading5"/>
      </w:pPr>
      <w:bookmarkStart w:id="44" w:name="_Toc375130579"/>
      <w:r>
        <w:rPr>
          <w:rStyle w:val="CharSectno"/>
        </w:rPr>
        <w:t>30</w:t>
      </w:r>
      <w:r>
        <w:t>.</w:t>
      </w:r>
      <w:r>
        <w:tab/>
        <w:t>Consideration for dutiable transaction</w:t>
      </w:r>
      <w:bookmarkEnd w:id="44"/>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spacing w:before="260"/>
      </w:pPr>
      <w:bookmarkStart w:id="45" w:name="_Toc375130580"/>
      <w:r>
        <w:rPr>
          <w:rStyle w:val="CharSectno"/>
        </w:rPr>
        <w:t>31</w:t>
      </w:r>
      <w:r>
        <w:t>.</w:t>
      </w:r>
      <w:r>
        <w:tab/>
        <w:t>Changes to consideration before transfer, consequences of</w:t>
      </w:r>
      <w:bookmarkEnd w:id="45"/>
    </w:p>
    <w:p>
      <w:pPr>
        <w:pStyle w:val="Subsection"/>
        <w:spacing w:before="120"/>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reduced consideration.</w:t>
      </w:r>
    </w:p>
    <w:p>
      <w:pPr>
        <w:pStyle w:val="Subsection"/>
        <w:spacing w:before="120"/>
      </w:pPr>
      <w:r>
        <w:tab/>
        <w:t>(2)</w:t>
      </w:r>
      <w:r>
        <w:tab/>
        <w:t>Subsection (1) does not apply in respect of an agreement to which section 32 applies.</w:t>
      </w:r>
    </w:p>
    <w:p>
      <w:pPr>
        <w:pStyle w:val="Subsection"/>
        <w:spacing w:before="12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pPr>
      <w:r>
        <w:tab/>
        <w:t>(a)</w:t>
      </w:r>
      <w:r>
        <w:tab/>
        <w:t>the consideration under the agreement is increased; and</w:t>
      </w:r>
    </w:p>
    <w:p>
      <w:pPr>
        <w:pStyle w:val="Indenta"/>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180"/>
      </w:pPr>
      <w:bookmarkStart w:id="46" w:name="_Toc375130581"/>
      <w:r>
        <w:rPr>
          <w:rStyle w:val="CharSectno"/>
        </w:rPr>
        <w:t>32</w:t>
      </w:r>
      <w:r>
        <w:t>.</w:t>
      </w:r>
      <w:r>
        <w:tab/>
        <w:t>Contingent consideration not paid, consequences of</w:t>
      </w:r>
      <w:bookmarkEnd w:id="46"/>
    </w:p>
    <w:p>
      <w:pPr>
        <w:pStyle w:val="Subsection"/>
        <w:spacing w:before="12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47" w:name="_Toc375130582"/>
      <w:r>
        <w:rPr>
          <w:rStyle w:val="CharSectno"/>
        </w:rPr>
        <w:t>33</w:t>
      </w:r>
      <w:r>
        <w:t>.</w:t>
      </w:r>
      <w:r>
        <w:tab/>
        <w:t>Agreement by instalments determined before final payment, consequences of</w:t>
      </w:r>
      <w:bookmarkEnd w:id="47"/>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48" w:name="_Toc375130583"/>
      <w:r>
        <w:rPr>
          <w:rStyle w:val="CharSectno"/>
        </w:rPr>
        <w:t>34</w:t>
      </w:r>
      <w:r>
        <w:t>.</w:t>
      </w:r>
      <w:r>
        <w:tab/>
        <w:t>Options conferred by dutiable transactions that are exercised or not renewed, consequences of</w:t>
      </w:r>
      <w:bookmarkEnd w:id="48"/>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49" w:name="_Toc375130584"/>
      <w:r>
        <w:rPr>
          <w:rStyle w:val="CharSectno"/>
        </w:rPr>
        <w:t>35</w:t>
      </w:r>
      <w:r>
        <w:t>.</w:t>
      </w:r>
      <w:r>
        <w:tab/>
        <w:t>Option to acquire dutiable property, duty paid on to be credited</w:t>
      </w:r>
      <w:bookmarkEnd w:id="49"/>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spacing w:before="120"/>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spacing w:before="120"/>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spacing w:before="120"/>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spacing w:before="120"/>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spacing w:before="120"/>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spacing w:before="240"/>
        <w:rPr>
          <w:b/>
          <w:bCs/>
        </w:rPr>
      </w:pPr>
      <w:r>
        <w:rPr>
          <w:b/>
          <w:bCs/>
        </w:rPr>
        <w:t>Subdivision 3 — Unencumbered value</w:t>
      </w:r>
    </w:p>
    <w:p>
      <w:pPr>
        <w:pStyle w:val="Heading5"/>
      </w:pPr>
      <w:bookmarkStart w:id="50" w:name="_Toc375130585"/>
      <w:r>
        <w:rPr>
          <w:rStyle w:val="CharSectno"/>
        </w:rPr>
        <w:t>36</w:t>
      </w:r>
      <w:r>
        <w:t>.</w:t>
      </w:r>
      <w:r>
        <w:tab/>
        <w:t>Unencumbered value of property, determining</w:t>
      </w:r>
      <w:bookmarkEnd w:id="50"/>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keepNext/>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spacing w:before="240"/>
        <w:rPr>
          <w:b/>
          <w:bCs/>
        </w:rPr>
      </w:pPr>
      <w:r>
        <w:rPr>
          <w:b/>
          <w:bCs/>
        </w:rPr>
        <w:t>Subdivision 4 — Miscellaneous</w:t>
      </w:r>
    </w:p>
    <w:p>
      <w:pPr>
        <w:pStyle w:val="Heading5"/>
      </w:pPr>
      <w:bookmarkStart w:id="51" w:name="_Toc375130586"/>
      <w:r>
        <w:rPr>
          <w:rStyle w:val="CharSectno"/>
        </w:rPr>
        <w:t>37</w:t>
      </w:r>
      <w:r>
        <w:t>.</w:t>
      </w:r>
      <w:r>
        <w:tab/>
        <w:t>Aggregation of dutiable transactions</w:t>
      </w:r>
      <w:bookmarkEnd w:id="51"/>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spacing w:before="180"/>
      </w:pPr>
      <w:bookmarkStart w:id="52" w:name="_Toc375130587"/>
      <w:r>
        <w:rPr>
          <w:rStyle w:val="CharSectno"/>
        </w:rPr>
        <w:t>38</w:t>
      </w:r>
      <w:r>
        <w:t>.</w:t>
      </w:r>
      <w:r>
        <w:tab/>
        <w:t>Transactions as to dutiable and not dutiable property, duty on</w:t>
      </w:r>
      <w:bookmarkEnd w:id="52"/>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53" w:name="_Toc375130588"/>
      <w:r>
        <w:rPr>
          <w:rStyle w:val="CharSectno"/>
        </w:rPr>
        <w:t>39</w:t>
      </w:r>
      <w:r>
        <w:t>.</w:t>
      </w:r>
      <w:r>
        <w:tab/>
        <w:t>Partitions of property, dutiable values in case of</w:t>
      </w:r>
      <w:bookmarkEnd w:id="53"/>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5.25pt;height:30.75pt" o:ole="">
            <v:imagedata r:id="rId21" o:title=""/>
          </v:shape>
          <o:OLEObject Type="Embed" ProgID="Equation.3" ShapeID="_x0000_i1027" DrawAspect="Content" ObjectID="_1643281720" r:id="rId24"/>
        </w:obje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NotesPerm"/>
        <w:tabs>
          <w:tab w:val="left" w:pos="1418"/>
        </w:tabs>
        <w:spacing w:before="120"/>
        <w:ind w:left="1418" w:hanging="1418"/>
      </w:pPr>
      <w:r>
        <w:tab/>
        <w:t>Note:</w:t>
      </w:r>
      <w:r>
        <w:tab/>
        <w:t>For example, A and B own lot 1 which has an unencumbered value of $400 000 and a boat that has an unencumbered value of $300 000.</w:t>
      </w:r>
    </w:p>
    <w:p>
      <w:pPr>
        <w:pStyle w:val="NotesPerm"/>
        <w:tabs>
          <w:tab w:val="left" w:pos="1418"/>
        </w:tabs>
        <w:spacing w:before="120"/>
        <w:ind w:left="1418"/>
      </w:pPr>
      <w:r>
        <w:tab/>
      </w:r>
      <w:r>
        <w:tab/>
        <w:t>The total value of the property being partitioned is $700 000 and A and B are each entitled to $350 000.</w:t>
      </w:r>
    </w:p>
    <w:p>
      <w:pPr>
        <w:pStyle w:val="NotesPerm"/>
        <w:tabs>
          <w:tab w:val="left" w:pos="1418"/>
        </w:tabs>
        <w:spacing w:before="120"/>
        <w:ind w:left="1418"/>
      </w:pPr>
      <w:r>
        <w:tab/>
      </w:r>
      <w:r>
        <w:tab/>
        <w:t>A is taking lot 1 by way of partition and the value of that lot exceeds A’s entitlement by $50 000.</w:t>
      </w:r>
    </w:p>
    <w:p>
      <w:pPr>
        <w:pStyle w:val="NotesPerm"/>
        <w:keepNext/>
        <w:keepLines/>
        <w:tabs>
          <w:tab w:val="left" w:pos="1418"/>
        </w:tabs>
        <w:spacing w:before="120"/>
        <w:ind w:left="1418"/>
      </w:pPr>
      <w:r>
        <w:tab/>
      </w:r>
      <w:r>
        <w:tab/>
        <w:t>A’s duty assessment:</w:t>
      </w:r>
    </w:p>
    <w:p>
      <w:pPr>
        <w:pStyle w:val="NotesPerm"/>
        <w:keepNext/>
        <w:keepLines/>
        <w:tabs>
          <w:tab w:val="left" w:pos="1276"/>
        </w:tabs>
        <w:spacing w:before="80"/>
        <w:ind w:left="1418"/>
        <w:jc w:val="center"/>
      </w:pPr>
      <w:r>
        <w:tab/>
      </w:r>
      <w:r>
        <w:tab/>
      </w:r>
      <w:r>
        <w:rPr>
          <w:u w:val="single"/>
        </w:rPr>
        <w:t>$50 000 (excess entitlement) x $400 000 (value of dutiable property)</w:t>
      </w:r>
      <w:r>
        <w:rPr>
          <w:u w:val="single"/>
        </w:rPr>
        <w:br/>
      </w:r>
      <w:r>
        <w:t>$700 000 (value of all property)</w:t>
      </w:r>
    </w:p>
    <w:p>
      <w:pPr>
        <w:pStyle w:val="NotesPerm"/>
        <w:tabs>
          <w:tab w:val="left" w:pos="1418"/>
        </w:tabs>
        <w:spacing w:before="120"/>
        <w:ind w:left="1418"/>
      </w:pPr>
      <w:r>
        <w:tab/>
      </w:r>
      <w:r>
        <w:tab/>
        <w:t>The dutiable value for the transfer of land to A is $28 571.</w:t>
      </w:r>
    </w:p>
    <w:p>
      <w:pPr>
        <w:pStyle w:val="Heading5"/>
      </w:pPr>
      <w:bookmarkStart w:id="54" w:name="_Toc375130589"/>
      <w:r>
        <w:rPr>
          <w:rStyle w:val="CharSectno"/>
        </w:rPr>
        <w:t>40</w:t>
      </w:r>
      <w:r>
        <w:t>.</w:t>
      </w:r>
      <w:r>
        <w:tab/>
        <w:t>Exchanges of dutiable property, duty on</w:t>
      </w:r>
      <w:bookmarkEnd w:id="54"/>
    </w:p>
    <w:p>
      <w:pPr>
        <w:pStyle w:val="Subsection"/>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55" w:name="_Toc375130590"/>
      <w:r>
        <w:rPr>
          <w:sz w:val="26"/>
        </w:rPr>
        <w:t>Division 6 — No double duty</w:t>
      </w:r>
      <w:bookmarkEnd w:id="55"/>
    </w:p>
    <w:p>
      <w:pPr>
        <w:pStyle w:val="Heading5"/>
      </w:pPr>
      <w:bookmarkStart w:id="56" w:name="_Toc375130591"/>
      <w:r>
        <w:rPr>
          <w:rStyle w:val="CharSectno"/>
        </w:rPr>
        <w:t>41</w:t>
      </w:r>
      <w:r>
        <w:t>.</w:t>
      </w:r>
      <w:r>
        <w:tab/>
        <w:t>No double duty — general</w:t>
      </w:r>
      <w:bookmarkEnd w:id="56"/>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57" w:name="_Toc375130592"/>
      <w:r>
        <w:rPr>
          <w:rStyle w:val="CharSectno"/>
        </w:rPr>
        <w:t>42</w:t>
      </w:r>
      <w:r>
        <w:t>.</w:t>
      </w:r>
      <w:r>
        <w:tab/>
        <w:t>No double duty — particular dutiable transactions</w:t>
      </w:r>
      <w:bookmarkEnd w:id="57"/>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spacing w:before="120"/>
      </w:pPr>
      <w:r>
        <w:tab/>
        <w:t>(14)</w:t>
      </w:r>
      <w:r>
        <w:tab/>
        <w:t>Duty is not chargeable on a transfer of dutiable property in accordance with a partnership acquisition if the partnership acquisition is duty endorsed.</w:t>
      </w:r>
    </w:p>
    <w:p>
      <w:pPr>
        <w:pStyle w:val="Subsection"/>
        <w:spacing w:before="120"/>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pPr>
      <w:r>
        <w:tab/>
        <w:t>[Section 42 amended by No. 32 of 2012 s. 5 and 6.]</w:t>
      </w:r>
    </w:p>
    <w:p>
      <w:pPr>
        <w:pStyle w:val="Heading5"/>
        <w:spacing w:before="180"/>
      </w:pPr>
      <w:bookmarkStart w:id="58" w:name="_Toc375130593"/>
      <w:r>
        <w:rPr>
          <w:rStyle w:val="CharSectno"/>
        </w:rPr>
        <w:t>43</w:t>
      </w:r>
      <w:r>
        <w:t>.</w:t>
      </w:r>
      <w:r>
        <w:tab/>
        <w:t>Persons related to purchaser for s. 42(2)(a)</w:t>
      </w:r>
      <w:bookmarkEnd w:id="58"/>
    </w:p>
    <w:p>
      <w:pPr>
        <w:pStyle w:val="Subsection"/>
        <w:spacing w:before="120"/>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spacing w:before="60"/>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3"/>
      </w:pPr>
      <w:bookmarkStart w:id="59" w:name="_Toc375130594"/>
      <w:r>
        <w:rPr>
          <w:rStyle w:val="CharDivNo"/>
        </w:rPr>
        <w:t>Division 7</w:t>
      </w:r>
      <w:r>
        <w:t> — </w:t>
      </w:r>
      <w:r>
        <w:rPr>
          <w:rStyle w:val="CharDivText"/>
        </w:rPr>
        <w:t>Interim assessment of transfer duty</w:t>
      </w:r>
      <w:bookmarkEnd w:id="59"/>
    </w:p>
    <w:p>
      <w:pPr>
        <w:pStyle w:val="Footnoteheading"/>
      </w:pPr>
      <w:r>
        <w:tab/>
        <w:t>[Heading inserted by No. 10 of 2013 s. 5.]</w:t>
      </w:r>
    </w:p>
    <w:p>
      <w:pPr>
        <w:pStyle w:val="Heading5"/>
      </w:pPr>
      <w:bookmarkStart w:id="60" w:name="_Toc375130595"/>
      <w:r>
        <w:rPr>
          <w:rStyle w:val="CharSectno"/>
        </w:rPr>
        <w:t>44A</w:t>
      </w:r>
      <w:r>
        <w:t>.</w:t>
      </w:r>
      <w:r>
        <w:tab/>
        <w:t>Interim assessment of transfer duty</w:t>
      </w:r>
      <w:bookmarkEnd w:id="60"/>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by No. 10 of 2013 s. 5.]</w:t>
      </w:r>
    </w:p>
    <w:p>
      <w:pPr>
        <w:pStyle w:val="Heading3"/>
        <w:keepNext w:val="0"/>
        <w:pageBreakBefore/>
        <w:rPr>
          <w:sz w:val="28"/>
        </w:rPr>
      </w:pPr>
      <w:bookmarkStart w:id="61" w:name="_Toc375130596"/>
      <w:r>
        <w:rPr>
          <w:rStyle w:val="CharDivNo"/>
          <w:sz w:val="28"/>
        </w:rPr>
        <w:t>Part 5</w:t>
      </w:r>
      <w:r>
        <w:rPr>
          <w:sz w:val="28"/>
        </w:rPr>
        <w:t> — </w:t>
      </w:r>
      <w:r>
        <w:rPr>
          <w:rStyle w:val="CharDivText"/>
          <w:sz w:val="28"/>
        </w:rPr>
        <w:t>Application of this Chapter to certain transactions</w:t>
      </w:r>
      <w:bookmarkEnd w:id="61"/>
    </w:p>
    <w:p>
      <w:pPr>
        <w:pStyle w:val="Heading4"/>
        <w:keepNext w:val="0"/>
        <w:rPr>
          <w:sz w:val="26"/>
        </w:rPr>
      </w:pPr>
      <w:bookmarkStart w:id="62" w:name="_Toc375130597"/>
      <w:r>
        <w:rPr>
          <w:sz w:val="26"/>
        </w:rPr>
        <w:t>Division 1 — Simultaneous put and call options</w:t>
      </w:r>
      <w:bookmarkEnd w:id="62"/>
    </w:p>
    <w:p>
      <w:pPr>
        <w:pStyle w:val="MiscellaneousHeading"/>
        <w:keepNext w:val="0"/>
        <w:rPr>
          <w:b/>
          <w:bCs/>
        </w:rPr>
      </w:pPr>
      <w:r>
        <w:rPr>
          <w:b/>
          <w:bCs/>
        </w:rPr>
        <w:t>Subdivision 1 — Terms used in this Division</w:t>
      </w:r>
    </w:p>
    <w:p>
      <w:pPr>
        <w:pStyle w:val="Heading5"/>
        <w:keepNext w:val="0"/>
      </w:pPr>
      <w:bookmarkStart w:id="63" w:name="_Toc375130598"/>
      <w:r>
        <w:rPr>
          <w:rStyle w:val="CharSectno"/>
        </w:rPr>
        <w:t>44</w:t>
      </w:r>
      <w:r>
        <w:t>.</w:t>
      </w:r>
      <w:r>
        <w:tab/>
        <w:t>Terms used</w:t>
      </w:r>
      <w:bookmarkEnd w:id="63"/>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64" w:name="_Toc375130599"/>
      <w:r>
        <w:rPr>
          <w:rStyle w:val="CharSectno"/>
        </w:rPr>
        <w:t>45</w:t>
      </w:r>
      <w:r>
        <w:t>.</w:t>
      </w:r>
      <w:r>
        <w:tab/>
        <w:t>Call option of simultaneous put and call option to be taken to be agreement for transfer of option property</w:t>
      </w:r>
      <w:bookmarkEnd w:id="64"/>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65" w:name="_Toc375130600"/>
      <w:r>
        <w:rPr>
          <w:rStyle w:val="CharSectno"/>
        </w:rPr>
        <w:t>46</w:t>
      </w:r>
      <w:r>
        <w:t>.</w:t>
      </w:r>
      <w:r>
        <w:tab/>
        <w:t>Simultaneous put and call option, dutiable value of</w:t>
      </w:r>
      <w:bookmarkEnd w:id="65"/>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66" w:name="_Toc375130601"/>
      <w:r>
        <w:rPr>
          <w:rStyle w:val="CharSectno"/>
        </w:rPr>
        <w:t>47</w:t>
      </w:r>
      <w:r>
        <w:t>.</w:t>
      </w:r>
      <w:r>
        <w:tab/>
        <w:t>Dutiable transaction referred to in s. 45, duty paid on to be credited</w:t>
      </w:r>
      <w:bookmarkEnd w:id="66"/>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67" w:name="_Toc375130602"/>
      <w:r>
        <w:rPr>
          <w:rStyle w:val="CharSectno"/>
        </w:rPr>
        <w:t>48</w:t>
      </w:r>
      <w:r>
        <w:t>.</w:t>
      </w:r>
      <w:r>
        <w:tab/>
        <w:t>Simultaneous put and call option not exercised or assigned, consequences of</w:t>
      </w:r>
      <w:bookmarkEnd w:id="67"/>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spacing w:before="180"/>
      </w:pPr>
      <w:bookmarkStart w:id="68" w:name="_Toc375130603"/>
      <w:r>
        <w:rPr>
          <w:rStyle w:val="CharSectno"/>
        </w:rPr>
        <w:t>49</w:t>
      </w:r>
      <w:r>
        <w:t>.</w:t>
      </w:r>
      <w:r>
        <w:tab/>
        <w:t>Assignment of call option to be taken to be agreement for transfer of option property</w:t>
      </w:r>
      <w:bookmarkEnd w:id="68"/>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69" w:name="_Toc375130604"/>
      <w:r>
        <w:rPr>
          <w:rStyle w:val="CharSectno"/>
        </w:rPr>
        <w:t>50</w:t>
      </w:r>
      <w:r>
        <w:t>.</w:t>
      </w:r>
      <w:r>
        <w:tab/>
        <w:t>Assignment of call option, dutiable value of</w:t>
      </w:r>
      <w:bookmarkEnd w:id="69"/>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70" w:name="_Toc375130605"/>
      <w:r>
        <w:rPr>
          <w:rStyle w:val="CharSectno"/>
        </w:rPr>
        <w:t>51</w:t>
      </w:r>
      <w:r>
        <w:t>.</w:t>
      </w:r>
      <w:r>
        <w:tab/>
        <w:t>Dutiable transaction referred to in s. 49, duty paid on to be credited</w:t>
      </w:r>
      <w:bookmarkEnd w:id="70"/>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71" w:name="_Toc375130606"/>
      <w:r>
        <w:rPr>
          <w:rStyle w:val="CharSectno"/>
        </w:rPr>
        <w:t>52</w:t>
      </w:r>
      <w:r>
        <w:t>.</w:t>
      </w:r>
      <w:r>
        <w:tab/>
        <w:t>Assigned call option not exercised or further assigned, consequences of</w:t>
      </w:r>
      <w:bookmarkEnd w:id="71"/>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72" w:name="_Toc375130607"/>
      <w:r>
        <w:rPr>
          <w:sz w:val="26"/>
        </w:rPr>
        <w:t>Division 2 — Discretionary trust acquisitions and surrenders</w:t>
      </w:r>
      <w:bookmarkEnd w:id="72"/>
    </w:p>
    <w:p>
      <w:pPr>
        <w:pStyle w:val="MiscellaneousHeading"/>
        <w:spacing w:before="240"/>
        <w:rPr>
          <w:b/>
          <w:bCs/>
        </w:rPr>
      </w:pPr>
      <w:r>
        <w:rPr>
          <w:b/>
          <w:bCs/>
        </w:rPr>
        <w:t>Subdivision 1 — Terms used in this Division</w:t>
      </w:r>
    </w:p>
    <w:p>
      <w:pPr>
        <w:pStyle w:val="Heading5"/>
      </w:pPr>
      <w:bookmarkStart w:id="73" w:name="_Toc375130608"/>
      <w:r>
        <w:rPr>
          <w:rStyle w:val="CharSectno"/>
        </w:rPr>
        <w:t>53</w:t>
      </w:r>
      <w:r>
        <w:t>.</w:t>
      </w:r>
      <w:r>
        <w:tab/>
        <w:t>References to partnership or trust holding property</w:t>
      </w:r>
      <w:bookmarkEnd w:id="73"/>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74" w:name="_Toc375130609"/>
      <w:r>
        <w:rPr>
          <w:rStyle w:val="CharSectno"/>
        </w:rPr>
        <w:t>54</w:t>
      </w:r>
      <w:r>
        <w:t>.</w:t>
      </w:r>
      <w:r>
        <w:tab/>
        <w:t>References to taker in default</w:t>
      </w:r>
      <w:bookmarkEnd w:id="74"/>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75" w:name="_Toc375130610"/>
      <w:r>
        <w:rPr>
          <w:rStyle w:val="CharSectno"/>
        </w:rPr>
        <w:t>55</w:t>
      </w:r>
      <w:r>
        <w:t>.</w:t>
      </w:r>
      <w:r>
        <w:tab/>
        <w:t>References to trust acquisition</w:t>
      </w:r>
      <w:bookmarkEnd w:id="75"/>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76" w:name="_Toc375130611"/>
      <w:r>
        <w:rPr>
          <w:rStyle w:val="CharSectno"/>
        </w:rPr>
        <w:t>56</w:t>
      </w:r>
      <w:r>
        <w:t>.</w:t>
      </w:r>
      <w:r>
        <w:tab/>
        <w:t>References to trust surrender</w:t>
      </w:r>
      <w:bookmarkEnd w:id="76"/>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77" w:name="_Toc375130612"/>
      <w:r>
        <w:rPr>
          <w:rStyle w:val="CharSectno"/>
        </w:rPr>
        <w:t>57</w:t>
      </w:r>
      <w:r>
        <w:t>.</w:t>
      </w:r>
      <w:r>
        <w:tab/>
        <w:t>When discretionary trust holds indirect interest in dutiable property</w:t>
      </w:r>
      <w:bookmarkEnd w:id="77"/>
    </w:p>
    <w:p>
      <w:pPr>
        <w:pStyle w:val="Subsection"/>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78" w:name="_Toc375130613"/>
      <w:r>
        <w:rPr>
          <w:rStyle w:val="CharSectno"/>
        </w:rPr>
        <w:t>58</w:t>
      </w:r>
      <w:r>
        <w:t>.</w:t>
      </w:r>
      <w:r>
        <w:tab/>
        <w:t>When person acquires interest in discretionary trust</w:t>
      </w:r>
      <w:bookmarkEnd w:id="78"/>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79" w:name="_Toc375130614"/>
      <w:r>
        <w:rPr>
          <w:rStyle w:val="CharSectno"/>
        </w:rPr>
        <w:t>59</w:t>
      </w:r>
      <w:r>
        <w:t>.</w:t>
      </w:r>
      <w:r>
        <w:tab/>
        <w:t>Trust acquisition or trust surrender, dutiable value of</w:t>
      </w:r>
      <w:bookmarkEnd w:id="79"/>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80" w:name="_Toc375130615"/>
      <w:r>
        <w:rPr>
          <w:rStyle w:val="CharSectno"/>
        </w:rPr>
        <w:t>60</w:t>
      </w:r>
      <w:r>
        <w:t>.</w:t>
      </w:r>
      <w:r>
        <w:tab/>
        <w:t>References to interest in discretionary trust of taker in default</w:t>
      </w:r>
      <w:bookmarkEnd w:id="80"/>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81" w:name="_Toc375130616"/>
      <w:r>
        <w:rPr>
          <w:rStyle w:val="CharSectno"/>
        </w:rPr>
        <w:t>61</w:t>
      </w:r>
      <w:r>
        <w:t>.</w:t>
      </w:r>
      <w:r>
        <w:tab/>
        <w:t>Taker in default’s interest, value of for s. 59(b)</w:t>
      </w:r>
      <w:bookmarkEnd w:id="81"/>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82" w:name="_Toc375130617"/>
      <w:r>
        <w:rPr>
          <w:rStyle w:val="CharSectno"/>
        </w:rPr>
        <w:t>62</w:t>
      </w:r>
      <w:r>
        <w:t>.</w:t>
      </w:r>
      <w:r>
        <w:tab/>
        <w:t>When trust acquisition or trust surrender is not dutiable transaction</w:t>
      </w:r>
      <w:bookmarkEnd w:id="82"/>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83" w:name="_Toc375130618"/>
      <w:r>
        <w:rPr>
          <w:sz w:val="26"/>
        </w:rPr>
        <w:t>Division 3 — Corporate trustees</w:t>
      </w:r>
      <w:bookmarkEnd w:id="83"/>
    </w:p>
    <w:p>
      <w:pPr>
        <w:pStyle w:val="MiscellaneousHeading"/>
        <w:spacing w:before="240"/>
        <w:rPr>
          <w:b/>
          <w:bCs/>
        </w:rPr>
      </w:pPr>
      <w:r>
        <w:rPr>
          <w:b/>
          <w:bCs/>
        </w:rPr>
        <w:t>Subdivision 1 — Terms used in this Division</w:t>
      </w:r>
    </w:p>
    <w:p>
      <w:pPr>
        <w:pStyle w:val="Heading5"/>
      </w:pPr>
      <w:bookmarkStart w:id="84" w:name="_Toc375130619"/>
      <w:r>
        <w:rPr>
          <w:rStyle w:val="CharSectno"/>
        </w:rPr>
        <w:t>63</w:t>
      </w:r>
      <w:r>
        <w:t>.</w:t>
      </w:r>
      <w:r>
        <w:tab/>
        <w:t>Terms used</w:t>
      </w:r>
      <w:bookmarkEnd w:id="84"/>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85" w:name="_Toc375130620"/>
      <w:r>
        <w:rPr>
          <w:rStyle w:val="CharSectno"/>
        </w:rPr>
        <w:t>64</w:t>
      </w:r>
      <w:r>
        <w:t>.</w:t>
      </w:r>
      <w:r>
        <w:tab/>
        <w:t>References to trustee of discretionary trust holding property</w:t>
      </w:r>
      <w:bookmarkEnd w:id="85"/>
    </w:p>
    <w:p>
      <w:pPr>
        <w:pStyle w:val="Subsection"/>
      </w:pPr>
      <w:r>
        <w:tab/>
      </w:r>
      <w:r>
        <w:tab/>
        <w:t xml:space="preserve">A reference to a trustee of a discretionary </w:t>
      </w:r>
      <w:r>
        <w:rPr>
          <w:rStyle w:val="CharDefText"/>
          <w:b w:val="0"/>
          <w:i w:val="0"/>
        </w:rPr>
        <w:t>trust holding property</w:t>
      </w:r>
      <w:r>
        <w:t xml:space="preserve"> is a reference to the holding of the property by the trustee under the trust.</w:t>
      </w:r>
    </w:p>
    <w:p>
      <w:pPr>
        <w:pStyle w:val="Heading5"/>
      </w:pPr>
      <w:bookmarkStart w:id="86" w:name="_Toc375130621"/>
      <w:r>
        <w:rPr>
          <w:rStyle w:val="CharSectno"/>
        </w:rPr>
        <w:t>65</w:t>
      </w:r>
      <w:r>
        <w:t>.</w:t>
      </w:r>
      <w:r>
        <w:tab/>
        <w:t>References to corporate trustee</w:t>
      </w:r>
      <w:bookmarkEnd w:id="86"/>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87" w:name="_Toc375130622"/>
      <w:r>
        <w:rPr>
          <w:rStyle w:val="CharSectno"/>
        </w:rPr>
        <w:t>66</w:t>
      </w:r>
      <w:r>
        <w:t>.</w:t>
      </w:r>
      <w:r>
        <w:tab/>
        <w:t>When corporate trustee holds indirect interest in dutiable property</w:t>
      </w:r>
      <w:bookmarkEnd w:id="87"/>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88" w:name="_Toc375130623"/>
      <w:r>
        <w:rPr>
          <w:rStyle w:val="CharSectno"/>
        </w:rPr>
        <w:t>67</w:t>
      </w:r>
      <w:r>
        <w:t>.</w:t>
      </w:r>
      <w:r>
        <w:tab/>
        <w:t xml:space="preserve">Share disposition taken to be agreement </w:t>
      </w:r>
      <w:r>
        <w:rPr>
          <w:snapToGrid w:val="0"/>
        </w:rPr>
        <w:t>for transfer of</w:t>
      </w:r>
      <w:r>
        <w:t xml:space="preserve"> trust property</w:t>
      </w:r>
      <w:bookmarkEnd w:id="88"/>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89" w:name="_Toc375130624"/>
      <w:r>
        <w:rPr>
          <w:rStyle w:val="CharSectno"/>
        </w:rPr>
        <w:t>68</w:t>
      </w:r>
      <w:r>
        <w:t>.</w:t>
      </w:r>
      <w:r>
        <w:tab/>
        <w:t>Transaction referred to in s. 67, dutiable value of</w:t>
      </w:r>
      <w:bookmarkEnd w:id="89"/>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90" w:name="_Toc375130625"/>
      <w:r>
        <w:rPr>
          <w:rStyle w:val="CharSectno"/>
        </w:rPr>
        <w:t>69</w:t>
      </w:r>
      <w:r>
        <w:t>.</w:t>
      </w:r>
      <w:r>
        <w:tab/>
        <w:t>Person liable to pay duty on disposition of share</w:t>
      </w:r>
      <w:bookmarkEnd w:id="90"/>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91" w:name="_Toc375130626"/>
      <w:r>
        <w:rPr>
          <w:sz w:val="26"/>
        </w:rPr>
        <w:t>Division 4 — Partnerships</w:t>
      </w:r>
      <w:bookmarkEnd w:id="91"/>
    </w:p>
    <w:p>
      <w:pPr>
        <w:pStyle w:val="MiscellaneousHeading"/>
        <w:keepLines/>
        <w:spacing w:before="240"/>
        <w:rPr>
          <w:b/>
          <w:bCs/>
        </w:rPr>
      </w:pPr>
      <w:r>
        <w:rPr>
          <w:b/>
          <w:bCs/>
        </w:rPr>
        <w:t>Subdivision 1 — Terms used in this Division</w:t>
      </w:r>
    </w:p>
    <w:p>
      <w:pPr>
        <w:pStyle w:val="Heading5"/>
      </w:pPr>
      <w:bookmarkStart w:id="92" w:name="_Toc375130627"/>
      <w:r>
        <w:rPr>
          <w:rStyle w:val="CharSectno"/>
        </w:rPr>
        <w:t>70</w:t>
      </w:r>
      <w:r>
        <w:t>.</w:t>
      </w:r>
      <w:r>
        <w:tab/>
        <w:t>Term used: dutiable property</w:t>
      </w:r>
      <w:bookmarkEnd w:id="92"/>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93" w:name="_Toc375130628"/>
      <w:r>
        <w:rPr>
          <w:rStyle w:val="CharSectno"/>
        </w:rPr>
        <w:t>71</w:t>
      </w:r>
      <w:r>
        <w:t>.</w:t>
      </w:r>
      <w:r>
        <w:tab/>
        <w:t>References to partnership or trust holding property</w:t>
      </w:r>
      <w:bookmarkEnd w:id="93"/>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94" w:name="_Toc375130629"/>
      <w:r>
        <w:rPr>
          <w:rStyle w:val="CharSectno"/>
        </w:rPr>
        <w:t>72</w:t>
      </w:r>
      <w:r>
        <w:t>.</w:t>
      </w:r>
      <w:r>
        <w:tab/>
        <w:t>References to partnership acquisition</w:t>
      </w:r>
      <w:bookmarkEnd w:id="94"/>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by No. 17 of 2010 s. 13.]</w:t>
      </w:r>
    </w:p>
    <w:p>
      <w:pPr>
        <w:pStyle w:val="Heading5"/>
      </w:pPr>
      <w:bookmarkStart w:id="95" w:name="_Toc375130630"/>
      <w:r>
        <w:rPr>
          <w:rStyle w:val="CharSectno"/>
        </w:rPr>
        <w:t>73</w:t>
      </w:r>
      <w:r>
        <w:t>.</w:t>
      </w:r>
      <w:r>
        <w:tab/>
        <w:t>When partnership holds indirect interest in WA land</w:t>
      </w:r>
      <w:bookmarkEnd w:id="95"/>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96" w:name="_Toc375130631"/>
      <w:r>
        <w:rPr>
          <w:rStyle w:val="CharSectno"/>
        </w:rPr>
        <w:t>74</w:t>
      </w:r>
      <w:r>
        <w:t>.</w:t>
      </w:r>
      <w:r>
        <w:tab/>
        <w:t>References to partner’s partnership interest</w:t>
      </w:r>
      <w:bookmarkEnd w:id="96"/>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97" w:name="_Toc375130632"/>
      <w:r>
        <w:rPr>
          <w:rStyle w:val="CharSectno"/>
        </w:rPr>
        <w:t>75</w:t>
      </w:r>
      <w:r>
        <w:t>.</w:t>
      </w:r>
      <w:r>
        <w:tab/>
        <w:t>When person acquires partnership interest</w:t>
      </w:r>
      <w:bookmarkEnd w:id="97"/>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98" w:name="_Toc375130633"/>
      <w:r>
        <w:rPr>
          <w:rStyle w:val="CharSectno"/>
        </w:rPr>
        <w:t>76</w:t>
      </w:r>
      <w:r>
        <w:t>.</w:t>
      </w:r>
      <w:r>
        <w:tab/>
        <w:t>Partnership acquisition, dutiable value of</w:t>
      </w:r>
      <w:bookmarkEnd w:id="98"/>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99" w:name="_Toc375130634"/>
      <w:r>
        <w:rPr>
          <w:rStyle w:val="CharSectno"/>
        </w:rPr>
        <w:t>77</w:t>
      </w:r>
      <w:r>
        <w:t>.</w:t>
      </w:r>
      <w:r>
        <w:tab/>
        <w:t>Partnership interest, value of for s. 76(b)</w:t>
      </w:r>
      <w:bookmarkEnd w:id="99"/>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100" w:name="_Toc375130635"/>
      <w:r>
        <w:rPr>
          <w:rStyle w:val="CharSectno"/>
        </w:rPr>
        <w:t>78</w:t>
      </w:r>
      <w:r>
        <w:t>.</w:t>
      </w:r>
      <w:r>
        <w:tab/>
        <w:t>Transfer of dutiable property of partnership to retiring partner, dutiable value of</w:t>
      </w:r>
      <w:bookmarkEnd w:id="100"/>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101" w:name="_Toc375130636"/>
      <w:r>
        <w:rPr>
          <w:sz w:val="26"/>
        </w:rPr>
        <w:t>Division 5 — Western Australian business assets</w:t>
      </w:r>
      <w:bookmarkEnd w:id="101"/>
    </w:p>
    <w:p>
      <w:pPr>
        <w:pStyle w:val="MiscellaneousHeading"/>
        <w:spacing w:before="240"/>
        <w:rPr>
          <w:b/>
          <w:bCs/>
        </w:rPr>
      </w:pPr>
      <w:r>
        <w:rPr>
          <w:b/>
          <w:bCs/>
        </w:rPr>
        <w:t>Subdivision 1 — Terms used in this Division</w:t>
      </w:r>
    </w:p>
    <w:p>
      <w:pPr>
        <w:pStyle w:val="Heading5"/>
      </w:pPr>
      <w:bookmarkStart w:id="102" w:name="_Toc375130637"/>
      <w:r>
        <w:rPr>
          <w:rStyle w:val="CharSectno"/>
        </w:rPr>
        <w:t>79</w:t>
      </w:r>
      <w:r>
        <w:t>.</w:t>
      </w:r>
      <w:r>
        <w:tab/>
        <w:t>Terms used</w:t>
      </w:r>
      <w:bookmarkEnd w:id="102"/>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103" w:name="_Toc375130638"/>
      <w:r>
        <w:rPr>
          <w:rStyle w:val="CharSectno"/>
        </w:rPr>
        <w:t>80</w:t>
      </w:r>
      <w:r>
        <w:t>.</w:t>
      </w:r>
      <w:r>
        <w:tab/>
        <w:t>Some transactions involving business licences to be taken to be agreements to transfer WA business assets</w:t>
      </w:r>
      <w:bookmarkEnd w:id="103"/>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104" w:name="_Toc375130639"/>
      <w:r>
        <w:rPr>
          <w:rStyle w:val="CharSectno"/>
        </w:rPr>
        <w:t>81</w:t>
      </w:r>
      <w:r>
        <w:t>.</w:t>
      </w:r>
      <w:r>
        <w:tab/>
        <w:t>Transactions for particular WA business assets that are not dutiable transactions</w:t>
      </w:r>
      <w:bookmarkEnd w:id="104"/>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105" w:name="_Toc375130640"/>
      <w:r>
        <w:rPr>
          <w:rStyle w:val="CharSectno"/>
        </w:rPr>
        <w:t>82</w:t>
      </w:r>
      <w:r>
        <w:t>.</w:t>
      </w:r>
      <w:r>
        <w:tab/>
        <w:t>Dutiable transaction for business asset, dutiable value of</w:t>
      </w:r>
      <w:bookmarkEnd w:id="105"/>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106" w:name="_Toc375130641"/>
      <w:r>
        <w:rPr>
          <w:rStyle w:val="CharSectno"/>
        </w:rPr>
        <w:t>83</w:t>
      </w:r>
      <w:r>
        <w:t>.</w:t>
      </w:r>
      <w:r>
        <w:tab/>
        <w:t>Certain business licences required by Cwlth law, dutiable value of for s. 82(a)</w:t>
      </w:r>
      <w:bookmarkEnd w:id="106"/>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107" w:name="_Toc375130642"/>
      <w:r>
        <w:rPr>
          <w:rStyle w:val="CharSectno"/>
        </w:rPr>
        <w:t>84</w:t>
      </w:r>
      <w:r>
        <w:t>.</w:t>
      </w:r>
      <w:r>
        <w:tab/>
        <w:t>Business licences required by WA law, dutiable value of for s. 82(b)</w:t>
      </w:r>
      <w:bookmarkEnd w:id="107"/>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108" w:name="_Toc375130643"/>
      <w:r>
        <w:rPr>
          <w:rStyle w:val="CharSectno"/>
        </w:rPr>
        <w:t>85</w:t>
      </w:r>
      <w:r>
        <w:t>.</w:t>
      </w:r>
      <w:r>
        <w:tab/>
        <w:t>Dutiable value of business asset where principal place of business is in WA</w:t>
      </w:r>
      <w:bookmarkEnd w:id="108"/>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4pt;height:30.75pt" o:ole="">
            <v:imagedata r:id="rId25" o:title=""/>
          </v:shape>
          <o:OLEObject Type="Embed" ProgID="Equation.3" ShapeID="_x0000_i1028" DrawAspect="Content" ObjectID="_1643281721" r:id="rId26"/>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109" w:name="_Toc375130644"/>
      <w:r>
        <w:rPr>
          <w:rStyle w:val="CharSectno"/>
        </w:rPr>
        <w:t>86</w:t>
      </w:r>
      <w:r>
        <w:t>.</w:t>
      </w:r>
      <w:r>
        <w:tab/>
        <w:t>Dutiable value of business asset where principal place of business is out of WA</w:t>
      </w:r>
      <w:bookmarkEnd w:id="109"/>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98.25pt;height:30.75pt" o:ole="">
            <v:imagedata r:id="rId27" o:title=""/>
          </v:shape>
          <o:OLEObject Type="Embed" ProgID="Equation.3" ShapeID="_x0000_i1029" DrawAspect="Content" ObjectID="_1643281722" r:id="rId28"/>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110" w:name="_Toc375130645"/>
      <w:r>
        <w:rPr>
          <w:sz w:val="26"/>
        </w:rPr>
        <w:t>Division 6 — Conditional agreements</w:t>
      </w:r>
      <w:bookmarkEnd w:id="110"/>
    </w:p>
    <w:p>
      <w:pPr>
        <w:pStyle w:val="Heading5"/>
      </w:pPr>
      <w:bookmarkStart w:id="111" w:name="_Toc375130646"/>
      <w:r>
        <w:rPr>
          <w:rStyle w:val="CharSectno"/>
        </w:rPr>
        <w:t>87</w:t>
      </w:r>
      <w:r>
        <w:t>.</w:t>
      </w:r>
      <w:r>
        <w:tab/>
        <w:t>References to conditional agreement</w:t>
      </w:r>
      <w:bookmarkEnd w:id="111"/>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80"/>
      </w:pPr>
      <w:r>
        <w:tab/>
        <w:t>(5)</w:t>
      </w:r>
      <w:r>
        <w:tab/>
        <w:t xml:space="preserve">For the purposes of subsection (1)(c), the following persons are related persons — </w:t>
      </w:r>
    </w:p>
    <w:p>
      <w:pPr>
        <w:pStyle w:val="Indenta"/>
        <w:spacing w:before="60"/>
      </w:pPr>
      <w:r>
        <w:tab/>
        <w:t>(a)</w:t>
      </w:r>
      <w:r>
        <w:tab/>
        <w:t>joint owners of property;</w:t>
      </w:r>
    </w:p>
    <w:p>
      <w:pPr>
        <w:pStyle w:val="Indenta"/>
        <w:spacing w:before="60"/>
      </w:pPr>
      <w:r>
        <w:tab/>
        <w:t>(b)</w:t>
      </w:r>
      <w:r>
        <w:tab/>
        <w:t>individuals who are in partnership with each other;</w:t>
      </w:r>
    </w:p>
    <w:p>
      <w:pPr>
        <w:pStyle w:val="Indenta"/>
        <w:spacing w:before="60"/>
      </w:pPr>
      <w:r>
        <w:tab/>
        <w:t>(c)</w:t>
      </w:r>
      <w:r>
        <w:tab/>
        <w:t>participants in the same joint venture;</w:t>
      </w:r>
    </w:p>
    <w:p>
      <w:pPr>
        <w:pStyle w:val="Indenta"/>
        <w:spacing w:before="60"/>
      </w:pPr>
      <w:r>
        <w:tab/>
        <w:t>(d)</w:t>
      </w:r>
      <w:r>
        <w:tab/>
        <w:t>family members;</w:t>
      </w:r>
    </w:p>
    <w:p>
      <w:pPr>
        <w:pStyle w:val="Indenta"/>
        <w:spacing w:before="60"/>
      </w:pPr>
      <w:r>
        <w:tab/>
        <w:t>(e)</w:t>
      </w:r>
      <w:r>
        <w:tab/>
        <w:t>related corporations;</w:t>
      </w:r>
    </w:p>
    <w:p>
      <w:pPr>
        <w:pStyle w:val="Indenta"/>
        <w:spacing w:before="60"/>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pPr>
      <w:r>
        <w:tab/>
        <w:t>(g)</w:t>
      </w:r>
      <w:r>
        <w:tab/>
        <w:t>an individual and a corporation, if the individual is a majority shareholder, director or secretary of the corporation or a related corporation;</w:t>
      </w:r>
    </w:p>
    <w:p>
      <w:pPr>
        <w:pStyle w:val="Indenta"/>
        <w:spacing w:before="60"/>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60"/>
        <w:rPr>
          <w:snapToGrid w:val="0"/>
        </w:rPr>
      </w:pPr>
      <w:r>
        <w:rPr>
          <w:snapToGrid w:val="0"/>
        </w:rPr>
        <w:tab/>
        <w:t>(i)</w:t>
      </w:r>
      <w:r>
        <w:rPr>
          <w:snapToGrid w:val="0"/>
        </w:rPr>
        <w:tab/>
        <w:t xml:space="preserve">a corporation and a trustee if — </w:t>
      </w:r>
    </w:p>
    <w:p>
      <w:pPr>
        <w:pStyle w:val="Indenti"/>
        <w:spacing w:before="6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60"/>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4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pPr>
      <w:bookmarkStart w:id="112" w:name="_Toc375130647"/>
      <w:r>
        <w:rPr>
          <w:rStyle w:val="CharSectno"/>
        </w:rPr>
        <w:t>88A</w:t>
      </w:r>
      <w:r>
        <w:t>.</w:t>
      </w:r>
      <w:r>
        <w:tab/>
        <w:t>General conditional agreements, no duty on if terminated on relevant grounds</w:t>
      </w:r>
      <w:bookmarkEnd w:id="112"/>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113" w:name="_Toc375130648"/>
      <w:r>
        <w:rPr>
          <w:rStyle w:val="CharSectno"/>
        </w:rPr>
        <w:t>88</w:t>
      </w:r>
      <w:r>
        <w:t>.</w:t>
      </w:r>
      <w:r>
        <w:tab/>
        <w:t>References to farming land conditional agreement</w:t>
      </w:r>
      <w:bookmarkEnd w:id="113"/>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114" w:name="_Toc375130649"/>
      <w:r>
        <w:rPr>
          <w:rStyle w:val="CharSectno"/>
        </w:rPr>
        <w:t>89</w:t>
      </w:r>
      <w:r>
        <w:t>.</w:t>
      </w:r>
      <w:r>
        <w:tab/>
        <w:t>References to mining tenement conditional agreement</w:t>
      </w:r>
      <w:bookmarkEnd w:id="114"/>
    </w:p>
    <w:p>
      <w:pPr>
        <w:pStyle w:val="Subsection"/>
      </w:pPr>
      <w:r>
        <w:tab/>
      </w:r>
      <w:r>
        <w:tab/>
        <w:t>A reference to a mining tenement conditional agreement is to a conditional agreement the subject of which is a mining tenement.</w:t>
      </w:r>
    </w:p>
    <w:p>
      <w:pPr>
        <w:pStyle w:val="Heading5"/>
        <w:spacing w:before="180"/>
      </w:pPr>
      <w:bookmarkStart w:id="115" w:name="_Toc375130650"/>
      <w:r>
        <w:rPr>
          <w:rStyle w:val="CharSectno"/>
        </w:rPr>
        <w:t>90</w:t>
      </w:r>
      <w:r>
        <w:t>.</w:t>
      </w:r>
      <w:r>
        <w:tab/>
        <w:t>References to issue of title conditional agreement</w:t>
      </w:r>
      <w:bookmarkEnd w:id="115"/>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116" w:name="_Toc375130651"/>
      <w:r>
        <w:rPr>
          <w:rStyle w:val="CharSectno"/>
        </w:rPr>
        <w:t>91</w:t>
      </w:r>
      <w:r>
        <w:t>.</w:t>
      </w:r>
      <w:r>
        <w:tab/>
        <w:t>References to subdivision conditional agreement</w:t>
      </w:r>
      <w:bookmarkEnd w:id="116"/>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117" w:name="_Toc375130652"/>
      <w:r>
        <w:rPr>
          <w:rStyle w:val="CharDivNo"/>
          <w:sz w:val="28"/>
        </w:rPr>
        <w:t>Part 6</w:t>
      </w:r>
      <w:r>
        <w:rPr>
          <w:sz w:val="28"/>
        </w:rPr>
        <w:t> — </w:t>
      </w:r>
      <w:r>
        <w:rPr>
          <w:rStyle w:val="CharDivText"/>
          <w:sz w:val="28"/>
        </w:rPr>
        <w:t>Exemptions, nominal duty and concessions</w:t>
      </w:r>
      <w:bookmarkEnd w:id="117"/>
    </w:p>
    <w:p>
      <w:pPr>
        <w:pStyle w:val="Heading4"/>
        <w:rPr>
          <w:sz w:val="26"/>
        </w:rPr>
      </w:pPr>
      <w:bookmarkStart w:id="118" w:name="_Toc375130653"/>
      <w:r>
        <w:rPr>
          <w:sz w:val="26"/>
        </w:rPr>
        <w:t>Division 1 — Exemptions</w:t>
      </w:r>
      <w:bookmarkEnd w:id="118"/>
    </w:p>
    <w:p>
      <w:pPr>
        <w:pStyle w:val="MiscellaneousHeading"/>
        <w:spacing w:before="240"/>
        <w:rPr>
          <w:b/>
          <w:bCs/>
        </w:rPr>
      </w:pPr>
      <w:r>
        <w:rPr>
          <w:b/>
          <w:bCs/>
        </w:rPr>
        <w:t>Subdivision 1 — Exemptions for public and governmental purposes</w:t>
      </w:r>
    </w:p>
    <w:p>
      <w:pPr>
        <w:pStyle w:val="Heading5"/>
      </w:pPr>
      <w:bookmarkStart w:id="119" w:name="_Toc375130654"/>
      <w:r>
        <w:rPr>
          <w:rStyle w:val="CharSectno"/>
        </w:rPr>
        <w:t>92</w:t>
      </w:r>
      <w:r>
        <w:t>.</w:t>
      </w:r>
      <w:r>
        <w:tab/>
        <w:t>Public authorities, declaration of as exempt bodies</w:t>
      </w:r>
      <w:bookmarkEnd w:id="119"/>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120" w:name="_Toc375130655"/>
      <w:r>
        <w:rPr>
          <w:rStyle w:val="CharSectno"/>
        </w:rPr>
        <w:t>93</w:t>
      </w:r>
      <w:r>
        <w:t>.</w:t>
      </w:r>
      <w:r>
        <w:tab/>
        <w:t>Transactions for which exempt body would be solely liable</w:t>
      </w:r>
      <w:bookmarkEnd w:id="120"/>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121" w:name="_Toc375130656"/>
      <w:r>
        <w:rPr>
          <w:rStyle w:val="CharSectno"/>
        </w:rPr>
        <w:t>94</w:t>
      </w:r>
      <w:r>
        <w:t>.</w:t>
      </w:r>
      <w:r>
        <w:tab/>
        <w:t>Transactions for which exempt body and another party would be liable, duty reduction for etc.</w:t>
      </w:r>
      <w:bookmarkEnd w:id="121"/>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5pt;height:15pt" o:ole="">
            <v:imagedata r:id="rId29" o:title=""/>
          </v:shape>
          <o:OLEObject Type="Embed" ProgID="Equation.3" ShapeID="_x0000_i1030" DrawAspect="Content" ObjectID="_1643281723" r:id="rId30"/>
        </w:object>
      </w:r>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object w:dxaOrig="3460" w:dyaOrig="520">
          <v:shape id="_x0000_i1031" type="#_x0000_t75" style="width:174pt;height:26.25pt" o:ole="">
            <v:imagedata r:id="rId31" o:title=""/>
          </v:shape>
          <o:OLEObject Type="Embed" ProgID="Equation.3" ShapeID="_x0000_i1031" DrawAspect="Content" ObjectID="_1643281724" r:id="rId32"/>
        </w:obje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122" w:name="_Toc375130657"/>
      <w:r>
        <w:rPr>
          <w:rStyle w:val="CharSectno"/>
        </w:rPr>
        <w:t>95</w:t>
      </w:r>
      <w:r>
        <w:t>.</w:t>
      </w:r>
      <w:r>
        <w:tab/>
        <w:t>Transactions for charitable etc. purposes</w:t>
      </w:r>
      <w:bookmarkEnd w:id="122"/>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spacing w:before="240"/>
      </w:pPr>
      <w:bookmarkStart w:id="123" w:name="_Toc375130658"/>
      <w:r>
        <w:rPr>
          <w:rStyle w:val="CharSectno"/>
        </w:rPr>
        <w:t>96</w:t>
      </w:r>
      <w:r>
        <w:t>.</w:t>
      </w:r>
      <w:r>
        <w:tab/>
        <w:t>Terms used</w:t>
      </w:r>
      <w:bookmarkEnd w:id="123"/>
    </w:p>
    <w:p>
      <w:pPr>
        <w:pStyle w:val="Subsection"/>
        <w:spacing w:before="180"/>
      </w:pPr>
      <w:r>
        <w:tab/>
      </w:r>
      <w:r>
        <w:tab/>
        <w:t xml:space="preserve">In this Subdivision — </w:t>
      </w:r>
    </w:p>
    <w:p>
      <w:pPr>
        <w:pStyle w:val="Defstart"/>
        <w:spacing w:before="120"/>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spacing w:before="240"/>
      </w:pPr>
      <w:bookmarkStart w:id="124" w:name="_Toc375130659"/>
      <w:r>
        <w:rPr>
          <w:rStyle w:val="CharSectno"/>
        </w:rPr>
        <w:t>97</w:t>
      </w:r>
      <w:r>
        <w:t>.</w:t>
      </w:r>
      <w:r>
        <w:tab/>
        <w:t>Some transactions between spouses or de facto partners</w:t>
      </w:r>
      <w:bookmarkEnd w:id="124"/>
    </w:p>
    <w:p>
      <w:pPr>
        <w:pStyle w:val="Subsection"/>
        <w:spacing w:before="180"/>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spacing w:before="60"/>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spacing w:before="240"/>
      </w:pPr>
      <w:bookmarkStart w:id="125" w:name="_Toc375130660"/>
      <w:r>
        <w:rPr>
          <w:rStyle w:val="CharSectno"/>
        </w:rPr>
        <w:t>98</w:t>
      </w:r>
      <w:r>
        <w:t>.</w:t>
      </w:r>
      <w:r>
        <w:tab/>
        <w:t>Application for exemption under this Subdivision</w:t>
      </w:r>
      <w:bookmarkEnd w:id="125"/>
    </w:p>
    <w:p>
      <w:pPr>
        <w:pStyle w:val="Subsection"/>
        <w:spacing w:before="180"/>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60"/>
        <w:rPr>
          <w:b/>
          <w:bCs/>
        </w:rPr>
      </w:pPr>
      <w:r>
        <w:rPr>
          <w:b/>
          <w:bCs/>
        </w:rPr>
        <w:t>Subdivision 3 — Family farm transactions</w:t>
      </w:r>
    </w:p>
    <w:p>
      <w:pPr>
        <w:pStyle w:val="Heading5"/>
        <w:spacing w:before="240"/>
      </w:pPr>
      <w:bookmarkStart w:id="126" w:name="_Toc375130661"/>
      <w:r>
        <w:rPr>
          <w:rStyle w:val="CharSectno"/>
        </w:rPr>
        <w:t>99</w:t>
      </w:r>
      <w:r>
        <w:t>.</w:t>
      </w:r>
      <w:r>
        <w:tab/>
        <w:t>Terms used</w:t>
      </w:r>
      <w:bookmarkEnd w:id="126"/>
    </w:p>
    <w:p>
      <w:pPr>
        <w:pStyle w:val="Subsection"/>
        <w:spacing w:before="180"/>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spacing w:before="180"/>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spacing w:before="180"/>
      </w:pPr>
      <w:r>
        <w:tab/>
        <w:t>(3)</w:t>
      </w:r>
      <w:r>
        <w:tab/>
        <w:t>For the purposes of this Subdivision, farming property is the subject of a dutiable transaction that is a partnership acquisition, if the land referred to in section 72 is farming land.</w:t>
      </w:r>
    </w:p>
    <w:p>
      <w:pPr>
        <w:pStyle w:val="Heading5"/>
        <w:spacing w:before="240"/>
      </w:pPr>
      <w:bookmarkStart w:id="127" w:name="_Toc375130662"/>
      <w:r>
        <w:rPr>
          <w:rStyle w:val="CharSectno"/>
        </w:rPr>
        <w:t>100</w:t>
      </w:r>
      <w:r>
        <w:t>.</w:t>
      </w:r>
      <w:r>
        <w:tab/>
        <w:t>References to family member</w:t>
      </w:r>
      <w:bookmarkEnd w:id="127"/>
    </w:p>
    <w:p>
      <w:pPr>
        <w:pStyle w:val="Subsection"/>
        <w:spacing w:before="180"/>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spacing w:before="240"/>
      </w:pPr>
      <w:bookmarkStart w:id="128" w:name="_Toc375130663"/>
      <w:r>
        <w:rPr>
          <w:rStyle w:val="CharSectno"/>
        </w:rPr>
        <w:t>101</w:t>
      </w:r>
      <w:r>
        <w:t>.</w:t>
      </w:r>
      <w:r>
        <w:tab/>
        <w:t>References to transferee</w:t>
      </w:r>
      <w:bookmarkEnd w:id="128"/>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129" w:name="_Toc375130664"/>
      <w:r>
        <w:rPr>
          <w:rStyle w:val="CharSectno"/>
        </w:rPr>
        <w:t>102</w:t>
      </w:r>
      <w:r>
        <w:t>.</w:t>
      </w:r>
      <w:r>
        <w:tab/>
        <w:t>References to exempt family farm transaction</w:t>
      </w:r>
      <w:bookmarkEnd w:id="129"/>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spacing w:before="10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keepNext w:val="0"/>
        <w:keepLines w:val="0"/>
        <w:spacing w:before="160"/>
      </w:pPr>
      <w:bookmarkStart w:id="130" w:name="_Toc375130665"/>
      <w:r>
        <w:rPr>
          <w:rStyle w:val="CharSectno"/>
        </w:rPr>
        <w:t>103</w:t>
      </w:r>
      <w:r>
        <w:t>.</w:t>
      </w:r>
      <w:r>
        <w:tab/>
        <w:t>Exempt family farm transactions, exemption for</w:t>
      </w:r>
      <w:bookmarkEnd w:id="130"/>
    </w:p>
    <w:p>
      <w:pPr>
        <w:pStyle w:val="Subsection"/>
        <w:spacing w:before="100"/>
      </w:pPr>
      <w:r>
        <w:tab/>
      </w:r>
      <w:r>
        <w:tab/>
        <w:t>Duty is not chargeable on an exempt family farm transaction.</w:t>
      </w:r>
    </w:p>
    <w:p>
      <w:pPr>
        <w:pStyle w:val="Heading5"/>
      </w:pPr>
      <w:bookmarkStart w:id="131" w:name="_Toc375130666"/>
      <w:r>
        <w:rPr>
          <w:rStyle w:val="CharSectno"/>
        </w:rPr>
        <w:t>104</w:t>
      </w:r>
      <w:r>
        <w:t>.</w:t>
      </w:r>
      <w:r>
        <w:tab/>
        <w:t>No exemption for subsequent transactions for same farming property within 5 years</w:t>
      </w:r>
      <w:bookmarkEnd w:id="131"/>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132" w:name="_Toc375130667"/>
      <w:r>
        <w:rPr>
          <w:rStyle w:val="CharSectno"/>
        </w:rPr>
        <w:t>105</w:t>
      </w:r>
      <w:r>
        <w:t>.</w:t>
      </w:r>
      <w:r>
        <w:tab/>
        <w:t>Subsequent liability to duty in certain circumstances</w:t>
      </w:r>
      <w:bookmarkEnd w:id="132"/>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133" w:name="_Toc375130668"/>
      <w:r>
        <w:rPr>
          <w:rStyle w:val="CharSectno"/>
        </w:rPr>
        <w:t>106</w:t>
      </w:r>
      <w:r>
        <w:t>.</w:t>
      </w:r>
      <w:r>
        <w:tab/>
        <w:t>Application for an exemption under this Subdivision</w:t>
      </w:r>
      <w:bookmarkEnd w:id="133"/>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60"/>
        <w:rPr>
          <w:b/>
          <w:bCs/>
        </w:rPr>
      </w:pPr>
      <w:r>
        <w:rPr>
          <w:b/>
          <w:bCs/>
        </w:rPr>
        <w:t>Subdivision 4 — Other exempt transactions</w:t>
      </w:r>
    </w:p>
    <w:p>
      <w:pPr>
        <w:pStyle w:val="Heading5"/>
        <w:spacing w:before="240"/>
      </w:pPr>
      <w:bookmarkStart w:id="134" w:name="_Toc375130669"/>
      <w:r>
        <w:rPr>
          <w:rStyle w:val="CharSectno"/>
        </w:rPr>
        <w:t>107</w:t>
      </w:r>
      <w:r>
        <w:t>.</w:t>
      </w:r>
      <w:r>
        <w:tab/>
        <w:t>Cancelled transactions</w:t>
      </w:r>
      <w:bookmarkEnd w:id="134"/>
    </w:p>
    <w:p>
      <w:pPr>
        <w:pStyle w:val="Subsection"/>
        <w:spacing w:before="180"/>
      </w:pPr>
      <w:r>
        <w:tab/>
        <w:t>(1)</w:t>
      </w:r>
      <w:r>
        <w:tab/>
        <w:t xml:space="preserve">In this section — </w:t>
      </w:r>
    </w:p>
    <w:p>
      <w:pPr>
        <w:pStyle w:val="Defstart"/>
        <w:spacing w:before="100"/>
      </w:pPr>
      <w:r>
        <w:rPr>
          <w:b/>
        </w:rPr>
        <w:tab/>
      </w:r>
      <w:r>
        <w:rPr>
          <w:rStyle w:val="CharDefText"/>
        </w:rPr>
        <w:t>cancelled transaction</w:t>
      </w:r>
      <w:r>
        <w:rPr>
          <w:b/>
        </w:rPr>
        <w:t xml:space="preserve"> </w:t>
      </w:r>
      <w:r>
        <w:t>has the meaning given in subsection (2);</w:t>
      </w:r>
    </w:p>
    <w:p>
      <w:pPr>
        <w:pStyle w:val="Defstart"/>
        <w:spacing w:before="100"/>
      </w:pPr>
      <w:r>
        <w:rPr>
          <w:b/>
        </w:rPr>
        <w:tab/>
      </w:r>
      <w:r>
        <w:rPr>
          <w:rStyle w:val="CharDefText"/>
        </w:rPr>
        <w:t>replacement transaction</w:t>
      </w:r>
      <w:r>
        <w:t xml:space="preserve">, in relation to a cancelled transaction, means another dutiable transaction that — </w:t>
      </w:r>
    </w:p>
    <w:p>
      <w:pPr>
        <w:pStyle w:val="Defpara"/>
        <w:spacing w:before="100"/>
      </w:pPr>
      <w:r>
        <w:tab/>
        <w:t>(a)</w:t>
      </w:r>
      <w:r>
        <w:tab/>
        <w:t>is between all of the same parties as the parties to the cancelled transaction; and</w:t>
      </w:r>
    </w:p>
    <w:p>
      <w:pPr>
        <w:pStyle w:val="Defpara"/>
        <w:spacing w:before="100"/>
      </w:pPr>
      <w:r>
        <w:tab/>
        <w:t>(b)</w:t>
      </w:r>
      <w:r>
        <w:tab/>
        <w:t>is substantially similar in effect to the cancelled transaction; and</w:t>
      </w:r>
    </w:p>
    <w:p>
      <w:pPr>
        <w:pStyle w:val="Defpara"/>
        <w:spacing w:before="100"/>
      </w:pPr>
      <w:r>
        <w:tab/>
        <w:t>(c)</w:t>
      </w:r>
      <w:r>
        <w:tab/>
        <w:t>in the opinion of the Commissioner, is a scheme or arrangement, or part of a scheme or arrangement, for which the sole or dominant purpose of any party is to avoid, reduce or defer the payment of duty;</w:t>
      </w:r>
    </w:p>
    <w:p>
      <w:pPr>
        <w:pStyle w:val="Defstart"/>
        <w:spacing w:before="100"/>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spacing w:before="100"/>
      </w:pPr>
      <w:r>
        <w:tab/>
        <w:t>(a)</w:t>
      </w:r>
      <w:r>
        <w:tab/>
        <w:t>a person who is not a party to the cancelled transaction, a result which is contemplated or provided for under the cancelled transaction; or</w:t>
      </w:r>
    </w:p>
    <w:p>
      <w:pPr>
        <w:pStyle w:val="Defpara"/>
        <w:spacing w:before="100"/>
      </w:pPr>
      <w:r>
        <w:tab/>
        <w:t>(b)</w:t>
      </w:r>
      <w:r>
        <w:tab/>
        <w:t>a person who is not a party to the cancelled transaction, a result which is substantially similar in effect to the effect of the cancelled transaction; or</w:t>
      </w:r>
    </w:p>
    <w:p>
      <w:pPr>
        <w:pStyle w:val="Defpara"/>
        <w:spacing w:before="100"/>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spacing w:before="100"/>
      </w:pPr>
      <w:r>
        <w:tab/>
        <w:t>(a)</w:t>
      </w:r>
      <w:r>
        <w:tab/>
        <w:t>a call option of a simultaneous put and call option taken to be an agreement for the transfer of the option property under section 45;</w:t>
      </w:r>
    </w:p>
    <w:p>
      <w:pPr>
        <w:pStyle w:val="Indenta"/>
        <w:spacing w:before="100"/>
      </w:pPr>
      <w:r>
        <w:tab/>
        <w:t>(b)</w:t>
      </w:r>
      <w:r>
        <w:tab/>
        <w:t>an assignment of a call option taken to be an agreement for the transfer of the option property under section 49;</w:t>
      </w:r>
    </w:p>
    <w:p>
      <w:pPr>
        <w:pStyle w:val="Indenta"/>
        <w:spacing w:before="100"/>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6.]</w:t>
      </w:r>
    </w:p>
    <w:p>
      <w:pPr>
        <w:pStyle w:val="Heading5"/>
        <w:spacing w:before="240"/>
      </w:pPr>
      <w:bookmarkStart w:id="135" w:name="_Toc375130670"/>
      <w:r>
        <w:rPr>
          <w:rStyle w:val="CharSectno"/>
        </w:rPr>
        <w:t>108</w:t>
      </w:r>
      <w:r>
        <w:t>.</w:t>
      </w:r>
      <w:r>
        <w:tab/>
        <w:t>Bankruptcy transactions</w:t>
      </w:r>
      <w:bookmarkEnd w:id="135"/>
    </w:p>
    <w:p>
      <w:pPr>
        <w:pStyle w:val="Subsection"/>
        <w:spacing w:before="180"/>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spacing w:before="180"/>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240"/>
      </w:pPr>
      <w:bookmarkStart w:id="136" w:name="_Toc375130671"/>
      <w:r>
        <w:rPr>
          <w:rStyle w:val="CharSectno"/>
        </w:rPr>
        <w:t>109</w:t>
      </w:r>
      <w:r>
        <w:t>.</w:t>
      </w:r>
      <w:r>
        <w:tab/>
        <w:t>Transfer etc. to foreign country’s representative etc.</w:t>
      </w:r>
      <w:bookmarkEnd w:id="136"/>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240"/>
      </w:pPr>
      <w:bookmarkStart w:id="137" w:name="_Toc375130672"/>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137"/>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138" w:name="_Toc375130673"/>
      <w:r>
        <w:rPr>
          <w:rStyle w:val="CharSectno"/>
        </w:rPr>
        <w:t>111</w:t>
      </w:r>
      <w:r>
        <w:t>.</w:t>
      </w:r>
      <w:r>
        <w:tab/>
        <w:t>Special disability trust transactions</w:t>
      </w:r>
      <w:bookmarkEnd w:id="138"/>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139" w:name="_Toc375130674"/>
      <w:r>
        <w:rPr>
          <w:rStyle w:val="CharSectno"/>
        </w:rPr>
        <w:t>112</w:t>
      </w:r>
      <w:r>
        <w:t>.</w:t>
      </w:r>
      <w:r>
        <w:tab/>
        <w:t>Some transactions under other Acts</w:t>
      </w:r>
      <w:bookmarkEnd w:id="139"/>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spacing w:before="100"/>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spacing w:before="100"/>
      </w:pPr>
      <w:r>
        <w:tab/>
        <w:t>(b)</w:t>
      </w:r>
      <w:r>
        <w:tab/>
        <w:t xml:space="preserve">to give effect to a notice of resolution referred to in the </w:t>
      </w:r>
      <w:r>
        <w:rPr>
          <w:i/>
          <w:iCs/>
        </w:rPr>
        <w:t>Strata Titles Act 1985</w:t>
      </w:r>
      <w:r>
        <w:t xml:space="preserve"> section 21V or 31H; or</w:t>
      </w:r>
    </w:p>
    <w:p>
      <w:pPr>
        <w:pStyle w:val="Indenta"/>
        <w:spacing w:before="100"/>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spacing w:before="100"/>
      </w:pPr>
      <w:r>
        <w:tab/>
        <w:t>(d)</w:t>
      </w:r>
      <w:r>
        <w:tab/>
        <w:t xml:space="preserve">under, or to give effect to, the </w:t>
      </w:r>
      <w:r>
        <w:rPr>
          <w:i/>
          <w:iCs/>
        </w:rPr>
        <w:t xml:space="preserve">Strata Titles Act 1985 </w:t>
      </w:r>
      <w:r>
        <w:t>Part II Division 2A or Part III Division 3,</w:t>
      </w:r>
    </w:p>
    <w:p>
      <w:pPr>
        <w:pStyle w:val="Subsection"/>
        <w:spacing w:before="180"/>
      </w:pPr>
      <w:r>
        <w:tab/>
      </w:r>
      <w:r>
        <w:tab/>
        <w:t>to the extent that the consideration for the transaction is an interest in common property, within the meaning of that term in that Act.</w:t>
      </w:r>
    </w:p>
    <w:p>
      <w:pPr>
        <w:pStyle w:val="Heading5"/>
        <w:spacing w:before="240"/>
      </w:pPr>
      <w:bookmarkStart w:id="140" w:name="_Toc375130675"/>
      <w:r>
        <w:rPr>
          <w:rStyle w:val="CharSectno"/>
        </w:rPr>
        <w:t>113</w:t>
      </w:r>
      <w:r>
        <w:t>.</w:t>
      </w:r>
      <w:r>
        <w:tab/>
        <w:t>Transactions effected by matrimonial instrument or de facto relationship instrument</w:t>
      </w:r>
      <w:bookmarkEnd w:id="140"/>
    </w:p>
    <w:p>
      <w:pPr>
        <w:pStyle w:val="Subsection"/>
        <w:spacing w:before="180"/>
      </w:pPr>
      <w:r>
        <w:tab/>
      </w:r>
      <w:r>
        <w:tab/>
        <w:t>Duty is not chargeable on a dutiable transaction to the extent that it is effected by a matrimonial instrument mentioned in section 129(b) or (c) or a de facto relationship instrument mentioned in section 130(a).</w:t>
      </w:r>
    </w:p>
    <w:p>
      <w:pPr>
        <w:pStyle w:val="Heading4"/>
        <w:spacing w:before="260"/>
        <w:rPr>
          <w:sz w:val="26"/>
        </w:rPr>
      </w:pPr>
      <w:bookmarkStart w:id="141" w:name="_Toc375130676"/>
      <w:r>
        <w:rPr>
          <w:sz w:val="26"/>
        </w:rPr>
        <w:t>Division 2 — Nominal duty</w:t>
      </w:r>
      <w:bookmarkEnd w:id="141"/>
      <w:r>
        <w:rPr>
          <w:sz w:val="26"/>
        </w:rPr>
        <w:t xml:space="preserve"> </w:t>
      </w:r>
    </w:p>
    <w:p>
      <w:pPr>
        <w:pStyle w:val="MiscellaneousHeading"/>
        <w:spacing w:before="240"/>
        <w:rPr>
          <w:b/>
          <w:bCs/>
        </w:rPr>
      </w:pPr>
      <w:r>
        <w:rPr>
          <w:b/>
          <w:bCs/>
        </w:rPr>
        <w:t>Subdivision 1 — Certain trust transactions</w:t>
      </w:r>
    </w:p>
    <w:p>
      <w:pPr>
        <w:pStyle w:val="Heading5"/>
        <w:spacing w:before="240"/>
      </w:pPr>
      <w:bookmarkStart w:id="142" w:name="_Toc375130677"/>
      <w:r>
        <w:rPr>
          <w:rStyle w:val="CharSectno"/>
        </w:rPr>
        <w:t>114</w:t>
      </w:r>
      <w:r>
        <w:t>.</w:t>
      </w:r>
      <w:r>
        <w:tab/>
        <w:t>Some transfers etc. on vesting or termination of discretionary trust</w:t>
      </w:r>
      <w:bookmarkEnd w:id="142"/>
    </w:p>
    <w:p>
      <w:pPr>
        <w:pStyle w:val="Subsection"/>
        <w:spacing w:before="180"/>
      </w:pPr>
      <w:r>
        <w:tab/>
        <w:t>(1)</w:t>
      </w:r>
      <w:r>
        <w:tab/>
        <w:t>This section applies to a transfer of, or an agreement for the transfer of, dutiable property to a taker in default on the vesting or termination of the discretionary trust.</w:t>
      </w:r>
    </w:p>
    <w:p>
      <w:pPr>
        <w:pStyle w:val="Subsection"/>
        <w:spacing w:before="180"/>
      </w:pPr>
      <w:r>
        <w:tab/>
        <w:t>(2)</w:t>
      </w:r>
      <w:r>
        <w:tab/>
        <w:t>Nominal duty is chargeable on a transaction to which this section applies if there is, or will be, no consideration for the transaction.</w:t>
      </w:r>
    </w:p>
    <w:p>
      <w:pPr>
        <w:pStyle w:val="Heading5"/>
        <w:spacing w:before="240"/>
      </w:pPr>
      <w:bookmarkStart w:id="143" w:name="_Toc375130678"/>
      <w:r>
        <w:rPr>
          <w:rStyle w:val="CharSectno"/>
        </w:rPr>
        <w:t>115</w:t>
      </w:r>
      <w:r>
        <w:t>.</w:t>
      </w:r>
      <w:r>
        <w:tab/>
        <w:t>Some transfers etc. on exercise of power of appointment by trustee of discretionary trust</w:t>
      </w:r>
      <w:bookmarkEnd w:id="143"/>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144" w:name="_Toc375130679"/>
      <w:r>
        <w:rPr>
          <w:rStyle w:val="CharSectno"/>
        </w:rPr>
        <w:t>116</w:t>
      </w:r>
      <w:r>
        <w:t>.</w:t>
      </w:r>
      <w:r>
        <w:tab/>
        <w:t>Some transfers etc. of dutiable property to beneficiary</w:t>
      </w:r>
      <w:bookmarkEnd w:id="144"/>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145" w:name="_Toc375130680"/>
      <w:r>
        <w:rPr>
          <w:rStyle w:val="CharSectno"/>
        </w:rPr>
        <w:t>117</w:t>
      </w:r>
      <w:r>
        <w:t>.</w:t>
      </w:r>
      <w:r>
        <w:tab/>
        <w:t>Transactions involving apparent purchaser</w:t>
      </w:r>
      <w:bookmarkEnd w:id="145"/>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spacing w:before="240"/>
      </w:pPr>
      <w:bookmarkStart w:id="146" w:name="_Toc375130681"/>
      <w:r>
        <w:rPr>
          <w:rStyle w:val="CharSectno"/>
        </w:rPr>
        <w:t>118</w:t>
      </w:r>
      <w:r>
        <w:t>.</w:t>
      </w:r>
      <w:r>
        <w:tab/>
        <w:t>Transfer to and from trustee</w:t>
      </w:r>
      <w:bookmarkEnd w:id="146"/>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147" w:name="_Toc375130682"/>
      <w:r>
        <w:rPr>
          <w:rStyle w:val="CharSectno"/>
        </w:rPr>
        <w:t>119</w:t>
      </w:r>
      <w:r>
        <w:t>.</w:t>
      </w:r>
      <w:r>
        <w:tab/>
        <w:t>Transactions related to changes in trustees and managed investment schemes</w:t>
      </w:r>
      <w:bookmarkEnd w:id="147"/>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148" w:name="_Toc375130683"/>
      <w:r>
        <w:rPr>
          <w:rStyle w:val="CharSectno"/>
        </w:rPr>
        <w:t>120</w:t>
      </w:r>
      <w:r>
        <w:t>.</w:t>
      </w:r>
      <w:r>
        <w:tab/>
        <w:t>Transfer by way of security</w:t>
      </w:r>
      <w:bookmarkEnd w:id="148"/>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149" w:name="_Toc375130684"/>
      <w:r>
        <w:rPr>
          <w:rStyle w:val="CharSectno"/>
        </w:rPr>
        <w:t>121</w:t>
      </w:r>
      <w:r>
        <w:t>.</w:t>
      </w:r>
      <w:r>
        <w:tab/>
        <w:t>Terms used</w:t>
      </w:r>
      <w:bookmarkEnd w:id="149"/>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150" w:name="_Toc375130685"/>
      <w:r>
        <w:rPr>
          <w:rStyle w:val="CharSectno"/>
        </w:rPr>
        <w:t>122</w:t>
      </w:r>
      <w:r>
        <w:t>.</w:t>
      </w:r>
      <w:r>
        <w:tab/>
        <w:t>Some transfers etc. of dutiable property to superannuation fund for consideration</w:t>
      </w:r>
      <w:bookmarkEnd w:id="150"/>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151" w:name="_Toc375130686"/>
      <w:r>
        <w:rPr>
          <w:rStyle w:val="CharSectno"/>
        </w:rPr>
        <w:t>123</w:t>
      </w:r>
      <w:r>
        <w:t>.</w:t>
      </w:r>
      <w:r>
        <w:tab/>
        <w:t>Subsequent liability in certain circumstances</w:t>
      </w:r>
      <w:bookmarkEnd w:id="151"/>
    </w:p>
    <w:p>
      <w:pPr>
        <w:pStyle w:val="Subsection"/>
      </w:pPr>
      <w:r>
        <w:tab/>
        <w:t>(1)</w:t>
      </w:r>
      <w:r>
        <w:tab/>
        <w:t xml:space="preserve">If — </w:t>
      </w:r>
    </w:p>
    <w:p>
      <w:pPr>
        <w:pStyle w:val="Indenta"/>
        <w:spacing w:before="60"/>
      </w:pPr>
      <w:r>
        <w:tab/>
        <w:t>(a)</w:t>
      </w:r>
      <w:r>
        <w:tab/>
        <w:t>after a transaction is duty endorsed under section 122; and</w:t>
      </w:r>
    </w:p>
    <w:p>
      <w:pPr>
        <w:pStyle w:val="Indenta"/>
        <w:keepNext/>
        <w:spacing w:before="60"/>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152" w:name="_Toc375130687"/>
      <w:r>
        <w:rPr>
          <w:rStyle w:val="CharSectno"/>
        </w:rPr>
        <w:t>124</w:t>
      </w:r>
      <w:r>
        <w:t>.</w:t>
      </w:r>
      <w:r>
        <w:tab/>
        <w:t>Some transfers etc. of dutiable property to superannuation fund without consideration</w:t>
      </w:r>
      <w:bookmarkEnd w:id="152"/>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153" w:name="_Toc375130688"/>
      <w:r>
        <w:rPr>
          <w:rStyle w:val="CharSectno"/>
        </w:rPr>
        <w:t>125</w:t>
      </w:r>
      <w:r>
        <w:t>.</w:t>
      </w:r>
      <w:r>
        <w:tab/>
        <w:t>Transfer from one superannuation fund to another</w:t>
      </w:r>
      <w:bookmarkEnd w:id="153"/>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154" w:name="_Toc375130689"/>
      <w:r>
        <w:rPr>
          <w:rStyle w:val="CharSectno"/>
        </w:rPr>
        <w:t>126</w:t>
      </w:r>
      <w:r>
        <w:t>.</w:t>
      </w:r>
      <w:r>
        <w:tab/>
        <w:t>Some transfers etc. of dutiable property between trustees and custodians of superannuation funds</w:t>
      </w:r>
      <w:bookmarkEnd w:id="154"/>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155" w:name="_Toc375130690"/>
      <w:r>
        <w:rPr>
          <w:rStyle w:val="CharSectno"/>
        </w:rPr>
        <w:t>127</w:t>
      </w:r>
      <w:r>
        <w:t>.</w:t>
      </w:r>
      <w:r>
        <w:tab/>
        <w:t>Some transfers etc. of dutiable property from superannuation fund to member, dependant or representative</w:t>
      </w:r>
      <w:bookmarkEnd w:id="155"/>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156" w:name="_Toc375130691"/>
      <w:r>
        <w:rPr>
          <w:rStyle w:val="CharSectno"/>
        </w:rPr>
        <w:t>128</w:t>
      </w:r>
      <w:r>
        <w:t>.</w:t>
      </w:r>
      <w:r>
        <w:tab/>
        <w:t>Terms used</w:t>
      </w:r>
      <w:bookmarkEnd w:id="156"/>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240"/>
      </w:pPr>
      <w:bookmarkStart w:id="157" w:name="_Toc375130692"/>
      <w:r>
        <w:rPr>
          <w:rStyle w:val="CharSectno"/>
        </w:rPr>
        <w:t>129</w:t>
      </w:r>
      <w:r>
        <w:t>.</w:t>
      </w:r>
      <w:r>
        <w:tab/>
        <w:t>References to matrimonial instrument</w:t>
      </w:r>
      <w:bookmarkEnd w:id="157"/>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158" w:name="_Toc375130693"/>
      <w:r>
        <w:rPr>
          <w:rStyle w:val="CharSectno"/>
        </w:rPr>
        <w:t>130</w:t>
      </w:r>
      <w:r>
        <w:t>.</w:t>
      </w:r>
      <w:r>
        <w:tab/>
        <w:t>References to de facto relationship instrument</w:t>
      </w:r>
      <w:bookmarkEnd w:id="158"/>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159" w:name="_Toc375130694"/>
      <w:r>
        <w:rPr>
          <w:rStyle w:val="CharSectno"/>
        </w:rPr>
        <w:t>131</w:t>
      </w:r>
      <w:r>
        <w:t>.</w:t>
      </w:r>
      <w:r>
        <w:tab/>
        <w:t>Transactions effected by or in accordance with matrimonial instrument or de facto relationship instrument</w:t>
      </w:r>
      <w:bookmarkEnd w:id="159"/>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spacing w:before="180"/>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160" w:name="_Toc375130695"/>
      <w:r>
        <w:rPr>
          <w:rStyle w:val="CharSectno"/>
        </w:rPr>
        <w:t>132</w:t>
      </w:r>
      <w:r>
        <w:t>.</w:t>
      </w:r>
      <w:r>
        <w:tab/>
        <w:t>Transactions becoming ones to which s. 131 applies, reassessment of</w:t>
      </w:r>
      <w:bookmarkEnd w:id="160"/>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161" w:name="_Toc375130696"/>
      <w:r>
        <w:rPr>
          <w:rStyle w:val="CharSectno"/>
        </w:rPr>
        <w:t>133</w:t>
      </w:r>
      <w:r>
        <w:t>.</w:t>
      </w:r>
      <w:r>
        <w:tab/>
        <w:t>Evidence as to marriage or de facto relationship</w:t>
      </w:r>
      <w:bookmarkEnd w:id="161"/>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162" w:name="_Toc375130697"/>
      <w:r>
        <w:rPr>
          <w:rStyle w:val="CharSectno"/>
        </w:rPr>
        <w:t>134</w:t>
      </w:r>
      <w:r>
        <w:t>.</w:t>
      </w:r>
      <w:r>
        <w:tab/>
        <w:t>Some transfers etc. of certain lots under planning scheme</w:t>
      </w:r>
      <w:bookmarkEnd w:id="162"/>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163" w:name="_Toc375130698"/>
      <w:r>
        <w:rPr>
          <w:rStyle w:val="CharSectno"/>
        </w:rPr>
        <w:t>135</w:t>
      </w:r>
      <w:r>
        <w:t>.</w:t>
      </w:r>
      <w:r>
        <w:tab/>
        <w:t>Farm</w:t>
      </w:r>
      <w:r>
        <w:noBreakHyphen/>
        <w:t>in agreements</w:t>
      </w:r>
      <w:bookmarkEnd w:id="163"/>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164" w:name="_Toc375130699"/>
      <w:r>
        <w:rPr>
          <w:rStyle w:val="CharSectno"/>
        </w:rPr>
        <w:t>136</w:t>
      </w:r>
      <w:r>
        <w:t>.</w:t>
      </w:r>
      <w:r>
        <w:tab/>
        <w:t xml:space="preserve">Business licences held under </w:t>
      </w:r>
      <w:r>
        <w:rPr>
          <w:i/>
          <w:iCs/>
        </w:rPr>
        <w:t>Fish Resources Management Act 1994</w:t>
      </w:r>
      <w:bookmarkEnd w:id="164"/>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165" w:name="_Toc375130700"/>
      <w:r>
        <w:rPr>
          <w:rStyle w:val="CharSectno"/>
        </w:rPr>
        <w:t>137</w:t>
      </w:r>
      <w:r>
        <w:t>.</w:t>
      </w:r>
      <w:r>
        <w:tab/>
        <w:t>Transfers etc. to change joint tenancy to tenancy in common etc.</w:t>
      </w:r>
      <w:bookmarkEnd w:id="165"/>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166" w:name="_Toc375130701"/>
      <w:r>
        <w:rPr>
          <w:rStyle w:val="CharSectno"/>
        </w:rPr>
        <w:t>138</w:t>
      </w:r>
      <w:r>
        <w:t>.</w:t>
      </w:r>
      <w:r>
        <w:tab/>
        <w:t>Transactions to correct clerical errors in previous dutiable transactions</w:t>
      </w:r>
      <w:bookmarkEnd w:id="166"/>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167" w:name="_Toc375130702"/>
      <w:r>
        <w:rPr>
          <w:rStyle w:val="CharSectno"/>
        </w:rPr>
        <w:t>139</w:t>
      </w:r>
      <w:r>
        <w:t>.</w:t>
      </w:r>
      <w:r>
        <w:tab/>
        <w:t>Some transactions involving deceased estates</w:t>
      </w:r>
      <w:bookmarkEnd w:id="167"/>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spacing w:before="180"/>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pPr>
      <w:bookmarkStart w:id="168" w:name="_Toc375130703"/>
      <w:r>
        <w:rPr>
          <w:rStyle w:val="CharSectno"/>
        </w:rPr>
        <w:t>140</w:t>
      </w:r>
      <w:r>
        <w:t>.</w:t>
      </w:r>
      <w:r>
        <w:tab/>
        <w:t>Prescribed dutiable transactions</w:t>
      </w:r>
      <w:bookmarkEnd w:id="168"/>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169" w:name="_Toc375130704"/>
      <w:r>
        <w:rPr>
          <w:sz w:val="26"/>
        </w:rPr>
        <w:t>Division 3 — First home owner concessions</w:t>
      </w:r>
      <w:bookmarkEnd w:id="169"/>
    </w:p>
    <w:p>
      <w:pPr>
        <w:pStyle w:val="Heading5"/>
      </w:pPr>
      <w:bookmarkStart w:id="170" w:name="_Toc375130705"/>
      <w:r>
        <w:rPr>
          <w:rStyle w:val="CharSectno"/>
        </w:rPr>
        <w:t>141</w:t>
      </w:r>
      <w:r>
        <w:t>.</w:t>
      </w:r>
      <w:r>
        <w:tab/>
        <w:t>Terms used</w:t>
      </w:r>
      <w:bookmarkEnd w:id="170"/>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spacing w:before="180"/>
      </w:pPr>
      <w:r>
        <w:tab/>
        <w:t>(2)</w:t>
      </w:r>
      <w:r>
        <w:tab/>
        <w:t>If a term is given a meaning in the FHOG Act, it has the same meaning in this Division.</w:t>
      </w:r>
    </w:p>
    <w:p>
      <w:pPr>
        <w:pStyle w:val="Heading5"/>
        <w:spacing w:before="240"/>
      </w:pPr>
      <w:bookmarkStart w:id="171" w:name="_Toc375130706"/>
      <w:r>
        <w:rPr>
          <w:rStyle w:val="CharSectno"/>
        </w:rPr>
        <w:t>142</w:t>
      </w:r>
      <w:r>
        <w:t>.</w:t>
      </w:r>
      <w:r>
        <w:tab/>
        <w:t>References to FHOG concessional transaction and further FHOG concessional transaction</w:t>
      </w:r>
      <w:bookmarkEnd w:id="171"/>
    </w:p>
    <w:p>
      <w:pPr>
        <w:pStyle w:val="Subsection"/>
        <w:spacing w:before="180"/>
      </w:pPr>
      <w:r>
        <w:tab/>
        <w:t>(1)</w:t>
      </w:r>
      <w:r>
        <w:tab/>
        <w:t xml:space="preserve">A reference in this Division to a FHOG concessional transaction is to a transfer of, or an agreement for the transfer of, dutiable property where — </w:t>
      </w:r>
    </w:p>
    <w:p>
      <w:pPr>
        <w:pStyle w:val="Indenta"/>
        <w:spacing w:before="100"/>
      </w:pPr>
      <w:r>
        <w:tab/>
        <w:t>(a)</w:t>
      </w:r>
      <w:r>
        <w:tab/>
        <w:t xml:space="preserve">the transferee or, if there are more than one, each transferee — </w:t>
      </w:r>
    </w:p>
    <w:p>
      <w:pPr>
        <w:pStyle w:val="Indenti"/>
        <w:spacing w:before="100"/>
      </w:pPr>
      <w:r>
        <w:tab/>
        <w:t>(i)</w:t>
      </w:r>
      <w:r>
        <w:tab/>
        <w:t>is paid a first home owner grant in relation to the property or becomes a person to whom a first home owner grant is or will be payable, in relation to the property; or</w:t>
      </w:r>
    </w:p>
    <w:p>
      <w:pPr>
        <w:pStyle w:val="Indenti"/>
        <w:spacing w:before="100"/>
      </w:pPr>
      <w:r>
        <w:tab/>
        <w:t>(ii)</w:t>
      </w:r>
      <w:r>
        <w:tab/>
        <w:t xml:space="preserve">becomes a person to whom a first home owner grant would be, or would have been, payable in relation to the property if consideration had been given for the transfer of the property; </w:t>
      </w:r>
    </w:p>
    <w:p>
      <w:pPr>
        <w:pStyle w:val="Indenta"/>
        <w:spacing w:before="100"/>
      </w:pPr>
      <w:r>
        <w:tab/>
      </w:r>
      <w:r>
        <w:tab/>
        <w:t>and</w:t>
      </w:r>
    </w:p>
    <w:p>
      <w:pPr>
        <w:pStyle w:val="Indenta"/>
        <w:spacing w:before="100"/>
      </w:pPr>
      <w:r>
        <w:tab/>
        <w:t>(b)</w:t>
      </w:r>
      <w:r>
        <w:tab/>
        <w:t xml:space="preserve">the unencumbered value of the land, or the land and home, the subject of the eligible transaction to which the first home owner grant relates, does not exceed — </w:t>
      </w:r>
    </w:p>
    <w:p>
      <w:pPr>
        <w:pStyle w:val="Indenti"/>
        <w:spacing w:before="100"/>
      </w:pPr>
      <w:r>
        <w:tab/>
        <w:t>(i)</w:t>
      </w:r>
      <w:r>
        <w:tab/>
        <w:t>if there is no home on the land — $400 000; or</w:t>
      </w:r>
    </w:p>
    <w:p>
      <w:pPr>
        <w:pStyle w:val="Indenti"/>
        <w:spacing w:before="100"/>
      </w:pPr>
      <w:r>
        <w:tab/>
        <w:t>(ii)</w:t>
      </w:r>
      <w:r>
        <w:tab/>
        <w:t>otherwise — $600 000,</w:t>
      </w:r>
    </w:p>
    <w:p>
      <w:pPr>
        <w:pStyle w:val="Indenta"/>
        <w:spacing w:before="100"/>
      </w:pPr>
      <w:r>
        <w:tab/>
      </w:r>
      <w:r>
        <w:tab/>
        <w:t>and includes a transaction where, due to the operation of section 42(2) or (4), duty is not chargeable on the transfer of dutiable property the subject of the transaction.</w:t>
      </w:r>
    </w:p>
    <w:p>
      <w:pPr>
        <w:pStyle w:val="Subsection"/>
        <w:spacing w:before="200"/>
      </w:pPr>
      <w:r>
        <w:tab/>
        <w:t>(2)</w:t>
      </w:r>
      <w:r>
        <w:tab/>
        <w:t xml:space="preserve">A reference in this Division to a further FHOG concessional transaction is to a 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Subsection"/>
      </w:pPr>
      <w:r>
        <w:tab/>
      </w:r>
      <w:r>
        <w:tab/>
        <w:t>and includes a transaction where, due to the operation of section 42(2) or (4), duty is not chargeable on the transfer of dutiable property the subject of the transaction.</w:t>
      </w:r>
    </w:p>
    <w:p>
      <w:pPr>
        <w:pStyle w:val="Footnotesection"/>
      </w:pPr>
      <w:r>
        <w:tab/>
        <w:t>[Section 142 amended by No. 29 of 2012 s. 7.]</w:t>
      </w:r>
    </w:p>
    <w:p>
      <w:pPr>
        <w:pStyle w:val="Heading5"/>
      </w:pPr>
      <w:bookmarkStart w:id="172" w:name="_Toc375130707"/>
      <w:r>
        <w:rPr>
          <w:rStyle w:val="CharSectno"/>
        </w:rPr>
        <w:t>143</w:t>
      </w:r>
      <w:r>
        <w:t>.</w:t>
      </w:r>
      <w:r>
        <w:tab/>
        <w:t>Concessions for first home owners</w:t>
      </w:r>
      <w:bookmarkEnd w:id="172"/>
    </w:p>
    <w:p>
      <w:pPr>
        <w:pStyle w:val="Subsection"/>
      </w:pPr>
      <w:r>
        <w:tab/>
        <w:t>(1)</w:t>
      </w:r>
      <w:r>
        <w:tab/>
        <w:t>Duty is chargeable on a FHOG concessional transaction at the applicable concessional rate of duty.</w:t>
      </w:r>
    </w:p>
    <w:p>
      <w:pPr>
        <w:pStyle w:val="Subsection"/>
        <w:keepLines/>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keepNext/>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spacing w:before="160"/>
      </w:pPr>
      <w:bookmarkStart w:id="173" w:name="_Toc375130708"/>
      <w:r>
        <w:rPr>
          <w:rStyle w:val="CharSectno"/>
        </w:rPr>
        <w:t>144</w:t>
      </w:r>
      <w:r>
        <w:t>.</w:t>
      </w:r>
      <w:r>
        <w:tab/>
        <w:t>Application for concession under this Division</w:t>
      </w:r>
      <w:bookmarkEnd w:id="173"/>
    </w:p>
    <w:p>
      <w:pPr>
        <w:pStyle w:val="Subsection"/>
        <w:spacing w:before="120"/>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spacing w:before="60"/>
      </w:pPr>
      <w:r>
        <w:tab/>
        <w:t>(b)</w:t>
      </w:r>
      <w:r>
        <w:tab/>
        <w:t>accompanied by such transaction record for the transaction as is required to be lodged under section 23.</w:t>
      </w:r>
    </w:p>
    <w:p>
      <w:pPr>
        <w:pStyle w:val="Subsection"/>
        <w:spacing w:before="120"/>
      </w:pPr>
      <w:r>
        <w:tab/>
        <w:t>(2)</w:t>
      </w:r>
      <w:r>
        <w:tab/>
        <w:t xml:space="preserve">For the purposes of this Division, the Taxation Administration Act section 17 applies as if — </w:t>
      </w:r>
    </w:p>
    <w:p>
      <w:pPr>
        <w:pStyle w:val="Indenta"/>
        <w:spacing w:before="60"/>
      </w:pPr>
      <w:r>
        <w:tab/>
        <w:t>(a)</w:t>
      </w:r>
      <w:r>
        <w:tab/>
        <w:t xml:space="preserve">in respect of a FHOG concessional transaction — </w:t>
      </w:r>
    </w:p>
    <w:p>
      <w:pPr>
        <w:pStyle w:val="Indenti"/>
        <w:spacing w:before="40"/>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spacing w:before="6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174" w:name="_Toc375130709"/>
      <w:r>
        <w:rPr>
          <w:rStyle w:val="CharSectno"/>
        </w:rPr>
        <w:t>145</w:t>
      </w:r>
      <w:r>
        <w:t>.</w:t>
      </w:r>
      <w:r>
        <w:tab/>
        <w:t>Subsequent liability in certain circumstances</w:t>
      </w:r>
      <w:bookmarkEnd w:id="174"/>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175" w:name="_Toc375130710"/>
      <w:r>
        <w:rPr>
          <w:rStyle w:val="CharSectno"/>
        </w:rPr>
        <w:t>146</w:t>
      </w:r>
      <w:r>
        <w:t>.</w:t>
      </w:r>
      <w:r>
        <w:tab/>
        <w:t>Other provisions about first home owner concessions</w:t>
      </w:r>
      <w:bookmarkEnd w:id="175"/>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bCs/>
          <w:szCs w:val="24"/>
        </w:rPr>
      </w:pPr>
      <w:bookmarkStart w:id="176" w:name="_Toc375130711"/>
      <w:r>
        <w:rPr>
          <w:sz w:val="26"/>
        </w:rPr>
        <w:t>Division 4A</w:t>
      </w:r>
      <w:r>
        <w:rPr>
          <w:bCs/>
          <w:szCs w:val="24"/>
        </w:rPr>
        <w:t xml:space="preserve"> — </w:t>
      </w:r>
      <w:r>
        <w:rPr>
          <w:sz w:val="26"/>
        </w:rPr>
        <w:t>Residential concession</w:t>
      </w:r>
      <w:bookmarkEnd w:id="176"/>
    </w:p>
    <w:p>
      <w:pPr>
        <w:pStyle w:val="Footnoteheading"/>
        <w:keepNext/>
        <w:keepLines/>
      </w:pPr>
      <w:r>
        <w:tab/>
        <w:t>[Heading inserted by No. 30 of 2008 s. 26.]</w:t>
      </w:r>
    </w:p>
    <w:p>
      <w:pPr>
        <w:pStyle w:val="Heading5"/>
      </w:pPr>
      <w:bookmarkStart w:id="177" w:name="_Toc375130712"/>
      <w:r>
        <w:rPr>
          <w:rStyle w:val="CharSectno"/>
        </w:rPr>
        <w:t>147A</w:t>
      </w:r>
      <w:r>
        <w:t>.</w:t>
      </w:r>
      <w:r>
        <w:tab/>
        <w:t>Terms used</w:t>
      </w:r>
      <w:bookmarkEnd w:id="177"/>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178" w:name="_Toc375130713"/>
      <w:r>
        <w:rPr>
          <w:rStyle w:val="CharSectno"/>
        </w:rPr>
        <w:t>147B</w:t>
      </w:r>
      <w:r>
        <w:t>.</w:t>
      </w:r>
      <w:r>
        <w:tab/>
        <w:t>Term used: eligible transaction</w:t>
      </w:r>
      <w:bookmarkEnd w:id="178"/>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by No. 30 of 2008 s. 26.]</w:t>
      </w:r>
    </w:p>
    <w:p>
      <w:pPr>
        <w:pStyle w:val="Heading5"/>
      </w:pPr>
      <w:bookmarkStart w:id="179" w:name="_Toc375130714"/>
      <w:r>
        <w:rPr>
          <w:rStyle w:val="CharSectno"/>
        </w:rPr>
        <w:t>147C</w:t>
      </w:r>
      <w:r>
        <w:t>.</w:t>
      </w:r>
      <w:r>
        <w:tab/>
        <w:t>Term used: concessional transaction</w:t>
      </w:r>
      <w:bookmarkEnd w:id="179"/>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by No. 30 of 2008 s. 26.]</w:t>
      </w:r>
    </w:p>
    <w:p>
      <w:pPr>
        <w:pStyle w:val="Heading5"/>
      </w:pPr>
      <w:bookmarkStart w:id="180" w:name="_Toc375130715"/>
      <w:r>
        <w:rPr>
          <w:rStyle w:val="CharSectno"/>
        </w:rPr>
        <w:t>147D</w:t>
      </w:r>
      <w:r>
        <w:t>.</w:t>
      </w:r>
      <w:r>
        <w:tab/>
        <w:t>Term used: residential property</w:t>
      </w:r>
      <w:bookmarkEnd w:id="180"/>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181" w:name="OLE_LINK1"/>
      <w:r>
        <w:tab/>
        <w:t>[Section 147D inserted by No. 30 of 2008 s. 26.]</w:t>
      </w:r>
    </w:p>
    <w:p>
      <w:pPr>
        <w:pStyle w:val="Heading5"/>
        <w:keepNext w:val="0"/>
        <w:keepLines w:val="0"/>
        <w:spacing w:before="180"/>
      </w:pPr>
      <w:bookmarkStart w:id="182" w:name="_Toc375130716"/>
      <w:r>
        <w:rPr>
          <w:rStyle w:val="CharSectno"/>
        </w:rPr>
        <w:t>147E</w:t>
      </w:r>
      <w:r>
        <w:t>.</w:t>
      </w:r>
      <w:r>
        <w:tab/>
        <w:t>Concessional rate of duty chargeable on concessional transactions</w:t>
      </w:r>
      <w:bookmarkEnd w:id="182"/>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bookmarkEnd w:id="181"/>
    <w:p>
      <w:pPr>
        <w:pStyle w:val="Footnotesection"/>
      </w:pPr>
      <w:r>
        <w:tab/>
        <w:t>[Section 147E inserted by No. 30 of 2008 s. 26; amended by No. 17 of 2010 s. 14.]</w:t>
      </w:r>
    </w:p>
    <w:p>
      <w:pPr>
        <w:pStyle w:val="Heading5"/>
      </w:pPr>
      <w:bookmarkStart w:id="183" w:name="_Toc375130717"/>
      <w:r>
        <w:rPr>
          <w:rStyle w:val="CharSectno"/>
        </w:rPr>
        <w:t>147F</w:t>
      </w:r>
      <w:r>
        <w:t>.</w:t>
      </w:r>
      <w:r>
        <w:tab/>
        <w:t>Eligible transactions to be reassessed if construction of residence begins etc. in certain time</w:t>
      </w:r>
      <w:bookmarkEnd w:id="183"/>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by No. 30 of 2008 s. 26; amended by No. 17 of 2010 s. 15.]</w:t>
      </w:r>
    </w:p>
    <w:p>
      <w:pPr>
        <w:pStyle w:val="Heading5"/>
      </w:pPr>
      <w:bookmarkStart w:id="184" w:name="_Toc375130718"/>
      <w:r>
        <w:rPr>
          <w:rStyle w:val="CharSectno"/>
        </w:rPr>
        <w:t>147G</w:t>
      </w:r>
      <w:r>
        <w:t>.</w:t>
      </w:r>
      <w:r>
        <w:tab/>
        <w:t>Application for assessment or reassessment at concessional rate</w:t>
      </w:r>
      <w:bookmarkEnd w:id="184"/>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185" w:name="_Toc375130719"/>
      <w:r>
        <w:rPr>
          <w:sz w:val="26"/>
        </w:rPr>
        <w:t>Division 4 — Residential or business concessions</w:t>
      </w:r>
      <w:bookmarkEnd w:id="185"/>
    </w:p>
    <w:p>
      <w:pPr>
        <w:pStyle w:val="Heading5"/>
      </w:pPr>
      <w:bookmarkStart w:id="186" w:name="_Toc375130720"/>
      <w:r>
        <w:rPr>
          <w:rStyle w:val="CharSectno"/>
        </w:rPr>
        <w:t>147</w:t>
      </w:r>
      <w:r>
        <w:t>.</w:t>
      </w:r>
      <w:r>
        <w:tab/>
        <w:t xml:space="preserve">Concessional rates for transactions referred to in </w:t>
      </w:r>
      <w:r>
        <w:rPr>
          <w:i/>
          <w:iCs/>
        </w:rPr>
        <w:t>Stamp Act 1921</w:t>
      </w:r>
      <w:r>
        <w:t xml:space="preserve"> s. 75AE</w:t>
      </w:r>
      <w:bookmarkEnd w:id="186"/>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187" w:name="_Toc375130721"/>
      <w:r>
        <w:rPr>
          <w:rStyle w:val="CharPartNo"/>
          <w:sz w:val="32"/>
        </w:rPr>
        <w:t>Chapter 3</w:t>
      </w:r>
      <w:r>
        <w:rPr>
          <w:sz w:val="32"/>
        </w:rPr>
        <w:t> — </w:t>
      </w:r>
      <w:r>
        <w:rPr>
          <w:rStyle w:val="CharPartText"/>
          <w:sz w:val="32"/>
        </w:rPr>
        <w:t>Landholder duty</w:t>
      </w:r>
      <w:bookmarkEnd w:id="187"/>
    </w:p>
    <w:p>
      <w:pPr>
        <w:pStyle w:val="Heading3"/>
        <w:rPr>
          <w:sz w:val="28"/>
        </w:rPr>
      </w:pPr>
      <w:bookmarkStart w:id="188" w:name="_Toc375130722"/>
      <w:r>
        <w:rPr>
          <w:rStyle w:val="CharDivNo"/>
          <w:sz w:val="28"/>
        </w:rPr>
        <w:t>Part 1</w:t>
      </w:r>
      <w:r>
        <w:rPr>
          <w:sz w:val="28"/>
        </w:rPr>
        <w:t> — </w:t>
      </w:r>
      <w:r>
        <w:rPr>
          <w:rStyle w:val="CharDivText"/>
          <w:sz w:val="28"/>
        </w:rPr>
        <w:t>Preliminary</w:t>
      </w:r>
      <w:bookmarkEnd w:id="188"/>
    </w:p>
    <w:p>
      <w:pPr>
        <w:pStyle w:val="Heading5"/>
      </w:pPr>
      <w:bookmarkStart w:id="189" w:name="_Toc375130723"/>
      <w:r>
        <w:rPr>
          <w:rStyle w:val="CharSectno"/>
        </w:rPr>
        <w:t>148</w:t>
      </w:r>
      <w:r>
        <w:t>.</w:t>
      </w:r>
      <w:r>
        <w:tab/>
        <w:t>Terms used</w:t>
      </w:r>
      <w:bookmarkEnd w:id="189"/>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190" w:name="_Toc375130724"/>
      <w:r>
        <w:rPr>
          <w:rStyle w:val="CharSectno"/>
        </w:rPr>
        <w:t>149</w:t>
      </w:r>
      <w:r>
        <w:t>.</w:t>
      </w:r>
      <w:r>
        <w:tab/>
        <w:t>Entitlement to land, determining</w:t>
      </w:r>
      <w:bookmarkEnd w:id="190"/>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8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80"/>
      </w:pPr>
      <w:r>
        <w:tab/>
      </w:r>
      <w:r>
        <w:tab/>
        <w:t>the landholder or other entity is to be regarded as having an entitlement to land for the purposes of this Chapter to the extent of its entitlement to the fixture.</w:t>
      </w:r>
    </w:p>
    <w:p>
      <w:pPr>
        <w:pStyle w:val="Subsection"/>
        <w:spacing w:before="18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240"/>
      </w:pPr>
      <w:bookmarkStart w:id="191" w:name="_Toc375130725"/>
      <w:r>
        <w:rPr>
          <w:rStyle w:val="CharSectno"/>
        </w:rPr>
        <w:t>150</w:t>
      </w:r>
      <w:r>
        <w:t>.</w:t>
      </w:r>
      <w:r>
        <w:tab/>
        <w:t>Unencumbered value of land or chattels</w:t>
      </w:r>
      <w:bookmarkEnd w:id="191"/>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192" w:name="_Toc375130726"/>
      <w:r>
        <w:rPr>
          <w:rStyle w:val="CharDivNo"/>
          <w:sz w:val="28"/>
        </w:rPr>
        <w:t>Part 2</w:t>
      </w:r>
      <w:r>
        <w:rPr>
          <w:sz w:val="28"/>
        </w:rPr>
        <w:t> — </w:t>
      </w:r>
      <w:r>
        <w:rPr>
          <w:rStyle w:val="CharDivText"/>
          <w:sz w:val="28"/>
        </w:rPr>
        <w:t>Imposition of landholder duty</w:t>
      </w:r>
      <w:bookmarkEnd w:id="192"/>
    </w:p>
    <w:p>
      <w:pPr>
        <w:pStyle w:val="Heading5"/>
        <w:spacing w:before="240"/>
      </w:pPr>
      <w:bookmarkStart w:id="193" w:name="_Toc375130727"/>
      <w:r>
        <w:rPr>
          <w:rStyle w:val="CharSectno"/>
        </w:rPr>
        <w:t>151</w:t>
      </w:r>
      <w:r>
        <w:t>.</w:t>
      </w:r>
      <w:r>
        <w:tab/>
        <w:t>Landholder duty imposed</w:t>
      </w:r>
      <w:bookmarkEnd w:id="193"/>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194" w:name="_Toc375130728"/>
      <w:r>
        <w:rPr>
          <w:rStyle w:val="CharDivNo"/>
          <w:sz w:val="28"/>
        </w:rPr>
        <w:t>Part 3</w:t>
      </w:r>
      <w:r>
        <w:rPr>
          <w:sz w:val="28"/>
        </w:rPr>
        <w:t> — </w:t>
      </w:r>
      <w:r>
        <w:rPr>
          <w:rStyle w:val="CharDivText"/>
          <w:sz w:val="28"/>
        </w:rPr>
        <w:t>Certain key concepts defined and related provisions</w:t>
      </w:r>
      <w:bookmarkEnd w:id="194"/>
    </w:p>
    <w:p>
      <w:pPr>
        <w:pStyle w:val="Heading5"/>
      </w:pPr>
      <w:bookmarkStart w:id="195" w:name="_Toc375130729"/>
      <w:r>
        <w:rPr>
          <w:rStyle w:val="CharSectno"/>
        </w:rPr>
        <w:t>152</w:t>
      </w:r>
      <w:r>
        <w:t>.</w:t>
      </w:r>
      <w:r>
        <w:tab/>
        <w:t>References to entity</w:t>
      </w:r>
      <w:bookmarkEnd w:id="195"/>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196" w:name="_Toc375130730"/>
      <w:r>
        <w:rPr>
          <w:rStyle w:val="CharSectno"/>
        </w:rPr>
        <w:t>153</w:t>
      </w:r>
      <w:r>
        <w:t>.</w:t>
      </w:r>
      <w:r>
        <w:tab/>
        <w:t>References to interest in landholder or other entity</w:t>
      </w:r>
      <w:bookmarkEnd w:id="196"/>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197" w:name="_Toc375130731"/>
      <w:r>
        <w:rPr>
          <w:rStyle w:val="CharSectno"/>
        </w:rPr>
        <w:t>154</w:t>
      </w:r>
      <w:r>
        <w:t>.</w:t>
      </w:r>
      <w:r>
        <w:tab/>
        <w:t>Interest of person in landholder etc., calculating</w:t>
      </w:r>
      <w:bookmarkEnd w:id="197"/>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198" w:name="_Toc375130732"/>
      <w:r>
        <w:rPr>
          <w:rStyle w:val="CharDivNo"/>
          <w:sz w:val="28"/>
        </w:rPr>
        <w:t>Part 4</w:t>
      </w:r>
      <w:r>
        <w:rPr>
          <w:sz w:val="28"/>
        </w:rPr>
        <w:t> — </w:t>
      </w:r>
      <w:r>
        <w:rPr>
          <w:rStyle w:val="CharDivText"/>
          <w:sz w:val="28"/>
        </w:rPr>
        <w:t>Landholders to which this Chapter applies</w:t>
      </w:r>
      <w:bookmarkEnd w:id="198"/>
    </w:p>
    <w:p>
      <w:pPr>
        <w:pStyle w:val="Heading5"/>
        <w:keepNext w:val="0"/>
        <w:keepLines w:val="0"/>
      </w:pPr>
      <w:bookmarkStart w:id="199" w:name="_Toc375130733"/>
      <w:r>
        <w:rPr>
          <w:rStyle w:val="CharSectno"/>
        </w:rPr>
        <w:t>155</w:t>
      </w:r>
      <w:r>
        <w:t>.</w:t>
      </w:r>
      <w:r>
        <w:tab/>
        <w:t>Which entities are landholders</w:t>
      </w:r>
      <w:bookmarkEnd w:id="199"/>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200" w:name="_Toc375130734"/>
      <w:r>
        <w:rPr>
          <w:rStyle w:val="CharSectno"/>
        </w:rPr>
        <w:t>156</w:t>
      </w:r>
      <w:r>
        <w:t>.</w:t>
      </w:r>
      <w:r>
        <w:tab/>
        <w:t>Which entities are linked to an entity</w:t>
      </w:r>
      <w:bookmarkEnd w:id="200"/>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201" w:name="_Toc375130735"/>
      <w:r>
        <w:rPr>
          <w:rStyle w:val="CharSectno"/>
        </w:rPr>
        <w:t>157</w:t>
      </w:r>
      <w:r>
        <w:t>.</w:t>
      </w:r>
      <w:r>
        <w:tab/>
        <w:t>Land of linked entity, value of for s. 155</w:t>
      </w:r>
      <w:bookmarkEnd w:id="201"/>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202" w:name="_Toc375130736"/>
      <w:r>
        <w:rPr>
          <w:rStyle w:val="CharSectno"/>
        </w:rPr>
        <w:t>158</w:t>
      </w:r>
      <w:r>
        <w:t>.</w:t>
      </w:r>
      <w:r>
        <w:tab/>
        <w:t>Extent of interest in discretionary trust</w:t>
      </w:r>
      <w:bookmarkEnd w:id="202"/>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203" w:name="_Toc375130737"/>
      <w:r>
        <w:rPr>
          <w:rStyle w:val="CharSectno"/>
        </w:rPr>
        <w:t>159</w:t>
      </w:r>
      <w:r>
        <w:t>.</w:t>
      </w:r>
      <w:r>
        <w:tab/>
        <w:t>Extent of interest in partnership</w:t>
      </w:r>
      <w:bookmarkEnd w:id="203"/>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rPr>
          <w:sz w:val="28"/>
        </w:rPr>
      </w:pPr>
      <w:bookmarkStart w:id="204" w:name="_Toc375130738"/>
      <w:r>
        <w:rPr>
          <w:rStyle w:val="CharDivNo"/>
          <w:sz w:val="28"/>
        </w:rPr>
        <w:t>Part 5</w:t>
      </w:r>
      <w:r>
        <w:rPr>
          <w:sz w:val="28"/>
        </w:rPr>
        <w:t> — </w:t>
      </w:r>
      <w:r>
        <w:rPr>
          <w:rStyle w:val="CharDivText"/>
          <w:sz w:val="28"/>
        </w:rPr>
        <w:t>Acquisitions to which this Chapter applies</w:t>
      </w:r>
      <w:bookmarkEnd w:id="204"/>
    </w:p>
    <w:p>
      <w:pPr>
        <w:pStyle w:val="Heading4"/>
        <w:rPr>
          <w:sz w:val="26"/>
        </w:rPr>
      </w:pPr>
      <w:bookmarkStart w:id="205" w:name="_Toc375130739"/>
      <w:r>
        <w:rPr>
          <w:sz w:val="26"/>
        </w:rPr>
        <w:t>Division 1 — Means by which interest acquired</w:t>
      </w:r>
      <w:bookmarkEnd w:id="205"/>
    </w:p>
    <w:p>
      <w:pPr>
        <w:pStyle w:val="Heading5"/>
      </w:pPr>
      <w:bookmarkStart w:id="206" w:name="_Toc375130740"/>
      <w:r>
        <w:rPr>
          <w:rStyle w:val="CharSectno"/>
        </w:rPr>
        <w:t>160</w:t>
      </w:r>
      <w:r>
        <w:t>.</w:t>
      </w:r>
      <w:r>
        <w:tab/>
        <w:t>When a person acquires an interest in an entity</w:t>
      </w:r>
      <w:bookmarkEnd w:id="206"/>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207" w:name="_Toc375130741"/>
      <w:r>
        <w:rPr>
          <w:sz w:val="26"/>
        </w:rPr>
        <w:t>Division 2 — Relevant acquisitions of interests in landholders</w:t>
      </w:r>
      <w:bookmarkEnd w:id="207"/>
    </w:p>
    <w:p>
      <w:pPr>
        <w:pStyle w:val="MiscellaneousHeading"/>
        <w:spacing w:before="240"/>
        <w:rPr>
          <w:b/>
          <w:bCs/>
        </w:rPr>
      </w:pPr>
      <w:r>
        <w:rPr>
          <w:b/>
          <w:bCs/>
        </w:rPr>
        <w:t xml:space="preserve">Subdivision 1 — Definitions </w:t>
      </w:r>
    </w:p>
    <w:p>
      <w:pPr>
        <w:pStyle w:val="Heading5"/>
        <w:spacing w:before="240"/>
      </w:pPr>
      <w:bookmarkStart w:id="208" w:name="_Toc375130742"/>
      <w:r>
        <w:rPr>
          <w:rStyle w:val="CharSectno"/>
        </w:rPr>
        <w:t>161</w:t>
      </w:r>
      <w:r>
        <w:t>.</w:t>
      </w:r>
      <w:r>
        <w:tab/>
        <w:t>Term used: significant interest</w:t>
      </w:r>
      <w:bookmarkEnd w:id="208"/>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pPr>
      <w:r>
        <w:tab/>
        <w:t>[Section 161 amended by No. 32 of 2012 s. 11.]</w:t>
      </w:r>
    </w:p>
    <w:p>
      <w:pPr>
        <w:pStyle w:val="Heading5"/>
      </w:pPr>
      <w:bookmarkStart w:id="209" w:name="_Toc375130743"/>
      <w:r>
        <w:rPr>
          <w:rStyle w:val="CharSectno"/>
        </w:rPr>
        <w:t>162</w:t>
      </w:r>
      <w:r>
        <w:t>.</w:t>
      </w:r>
      <w:r>
        <w:tab/>
        <w:t>Related persons: s. 163 and 164</w:t>
      </w:r>
      <w:bookmarkEnd w:id="209"/>
    </w:p>
    <w:p>
      <w:pPr>
        <w:pStyle w:val="Subsection"/>
        <w:keepNext/>
        <w:keepLines/>
        <w:spacing w:before="12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20"/>
        <w:rPr>
          <w:b/>
          <w:bCs/>
        </w:rPr>
      </w:pPr>
      <w:r>
        <w:rPr>
          <w:b/>
          <w:bCs/>
        </w:rPr>
        <w:t>Subdivision 2 — Relevant acquisitions</w:t>
      </w:r>
    </w:p>
    <w:p>
      <w:pPr>
        <w:pStyle w:val="Heading5"/>
        <w:spacing w:before="180"/>
      </w:pPr>
      <w:bookmarkStart w:id="210" w:name="_Toc375130744"/>
      <w:r>
        <w:rPr>
          <w:rStyle w:val="CharSectno"/>
        </w:rPr>
        <w:t>163</w:t>
      </w:r>
      <w:r>
        <w:t>.</w:t>
      </w:r>
      <w:r>
        <w:tab/>
        <w:t>Term used: relevant acquisition</w:t>
      </w:r>
      <w:bookmarkEnd w:id="210"/>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pPr>
      <w:bookmarkStart w:id="211" w:name="_Toc375130745"/>
      <w:r>
        <w:rPr>
          <w:rStyle w:val="CharSectno"/>
        </w:rPr>
        <w:t>164</w:t>
      </w:r>
      <w:r>
        <w:t>.</w:t>
      </w:r>
      <w:r>
        <w:tab/>
        <w:t>Term used: relevant acquisition</w:t>
      </w:r>
      <w:bookmarkEnd w:id="211"/>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pPr>
      <w:r>
        <w:tab/>
        <w:t>[Section 164 amended by No. 32 of 2012 s. 12.]</w:t>
      </w:r>
    </w:p>
    <w:p>
      <w:pPr>
        <w:pStyle w:val="MiscellaneousHeading"/>
        <w:spacing w:before="240"/>
        <w:rPr>
          <w:b/>
          <w:bCs/>
        </w:rPr>
      </w:pPr>
      <w:r>
        <w:rPr>
          <w:b/>
          <w:bCs/>
        </w:rPr>
        <w:t>Subdivision 3 — Exempt acquisitions</w:t>
      </w:r>
    </w:p>
    <w:p>
      <w:pPr>
        <w:pStyle w:val="Heading5"/>
      </w:pPr>
      <w:bookmarkStart w:id="212" w:name="_Toc375130746"/>
      <w:r>
        <w:rPr>
          <w:rStyle w:val="CharSectno"/>
        </w:rPr>
        <w:t>165</w:t>
      </w:r>
      <w:r>
        <w:t>.</w:t>
      </w:r>
      <w:r>
        <w:tab/>
        <w:t>Term used: acquisition</w:t>
      </w:r>
      <w:bookmarkEnd w:id="212"/>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213" w:name="_Toc375130747"/>
      <w:r>
        <w:rPr>
          <w:rStyle w:val="CharSectno"/>
        </w:rPr>
        <w:t>166</w:t>
      </w:r>
      <w:r>
        <w:t>.</w:t>
      </w:r>
      <w:r>
        <w:tab/>
        <w:t>Effect of acquisition being exempt</w:t>
      </w:r>
      <w:bookmarkEnd w:id="213"/>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214" w:name="_Toc375130748"/>
      <w:r>
        <w:rPr>
          <w:rStyle w:val="CharSectno"/>
        </w:rPr>
        <w:t>167</w:t>
      </w:r>
      <w:r>
        <w:t>.</w:t>
      </w:r>
      <w:r>
        <w:tab/>
        <w:t>Exemption if nominal duty would be chargeable on transfer</w:t>
      </w:r>
      <w:bookmarkEnd w:id="214"/>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Footnotesection"/>
      </w:pPr>
      <w:r>
        <w:tab/>
        <w:t>[Section 167 inserted by No. 32 of 2012 s. 14.]</w:t>
      </w:r>
    </w:p>
    <w:p>
      <w:pPr>
        <w:pStyle w:val="Heading5"/>
        <w:keepNext w:val="0"/>
        <w:keepLines w:val="0"/>
      </w:pPr>
      <w:bookmarkStart w:id="215" w:name="_Toc375130749"/>
      <w:r>
        <w:rPr>
          <w:rStyle w:val="CharSectno"/>
        </w:rPr>
        <w:t>168</w:t>
      </w:r>
      <w:r>
        <w:t>.</w:t>
      </w:r>
      <w:r>
        <w:tab/>
        <w:t>Exemption if transfer duty would not be chargeable</w:t>
      </w:r>
      <w:bookmarkEnd w:id="215"/>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pPr>
      <w:bookmarkStart w:id="216" w:name="_Toc375130750"/>
      <w:r>
        <w:rPr>
          <w:rStyle w:val="CharSectno"/>
        </w:rPr>
        <w:t>169</w:t>
      </w:r>
      <w:r>
        <w:t>.</w:t>
      </w:r>
      <w:r>
        <w:tab/>
        <w:t>Exemption if acquisition is dutiable under s. 67</w:t>
      </w:r>
      <w:bookmarkEnd w:id="216"/>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217" w:name="_Toc375130751"/>
      <w:r>
        <w:rPr>
          <w:rStyle w:val="CharSectno"/>
        </w:rPr>
        <w:t>170</w:t>
      </w:r>
      <w:r>
        <w:t>.</w:t>
      </w:r>
      <w:r>
        <w:tab/>
        <w:t xml:space="preserve">Exemption relating to approved arrangements with creditors under </w:t>
      </w:r>
      <w:r>
        <w:rPr>
          <w:iCs/>
          <w:spacing w:val="-4"/>
          <w:kern w:val="2"/>
        </w:rPr>
        <w:t>Corporations Act</w:t>
      </w:r>
      <w:bookmarkEnd w:id="217"/>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218" w:name="_Toc375130752"/>
      <w:r>
        <w:rPr>
          <w:rStyle w:val="CharSectno"/>
        </w:rPr>
        <w:t>171</w:t>
      </w:r>
      <w:r>
        <w:t>.</w:t>
      </w:r>
      <w:r>
        <w:tab/>
        <w:t>Exemption of acquisition by family member of interest in corporation engaged in primary production</w:t>
      </w:r>
      <w:bookmarkEnd w:id="218"/>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219" w:name="_Toc375130753"/>
      <w:r>
        <w:rPr>
          <w:rStyle w:val="CharSectno"/>
        </w:rPr>
        <w:t>172</w:t>
      </w:r>
      <w:r>
        <w:t>.</w:t>
      </w:r>
      <w:r>
        <w:tab/>
        <w:t>Calculation of duty where some land of corporation not used for primary production</w:t>
      </w:r>
      <w:bookmarkEnd w:id="219"/>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220" w:name="_Toc375130754"/>
      <w:r>
        <w:rPr>
          <w:rStyle w:val="CharSectno"/>
        </w:rPr>
        <w:t>173</w:t>
      </w:r>
      <w:r>
        <w:t>.</w:t>
      </w:r>
      <w:r>
        <w:tab/>
        <w:t>Reversal of exemption where certain changes made to discretionary trust</w:t>
      </w:r>
      <w:bookmarkEnd w:id="220"/>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221" w:name="_Toc375130755"/>
      <w:r>
        <w:rPr>
          <w:rStyle w:val="CharSectno"/>
        </w:rPr>
        <w:t>174</w:t>
      </w:r>
      <w:r>
        <w:t>.</w:t>
      </w:r>
      <w:r>
        <w:tab/>
        <w:t>No exemption where interest transferred within 5 years</w:t>
      </w:r>
      <w:bookmarkEnd w:id="221"/>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222" w:name="_Toc375130756"/>
      <w:r>
        <w:rPr>
          <w:rStyle w:val="CharDivNo"/>
          <w:sz w:val="28"/>
        </w:rPr>
        <w:t>Part 6</w:t>
      </w:r>
      <w:r>
        <w:rPr>
          <w:sz w:val="28"/>
        </w:rPr>
        <w:t> — </w:t>
      </w:r>
      <w:r>
        <w:rPr>
          <w:rStyle w:val="CharDivText"/>
          <w:sz w:val="28"/>
        </w:rPr>
        <w:t>Collection of landholder duty</w:t>
      </w:r>
      <w:bookmarkEnd w:id="222"/>
    </w:p>
    <w:p>
      <w:pPr>
        <w:pStyle w:val="Heading4"/>
        <w:keepLines/>
        <w:rPr>
          <w:sz w:val="26"/>
        </w:rPr>
      </w:pPr>
      <w:bookmarkStart w:id="223" w:name="_Toc375130757"/>
      <w:r>
        <w:rPr>
          <w:sz w:val="26"/>
        </w:rPr>
        <w:t>Division 1 — Preliminary</w:t>
      </w:r>
      <w:bookmarkEnd w:id="223"/>
    </w:p>
    <w:p>
      <w:pPr>
        <w:pStyle w:val="Heading5"/>
      </w:pPr>
      <w:bookmarkStart w:id="224" w:name="_Toc375130758"/>
      <w:r>
        <w:rPr>
          <w:rStyle w:val="CharSectno"/>
        </w:rPr>
        <w:t>175</w:t>
      </w:r>
      <w:r>
        <w:t>.</w:t>
      </w:r>
      <w:r>
        <w:tab/>
        <w:t>Term used: acquirer</w:t>
      </w:r>
      <w:bookmarkEnd w:id="224"/>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225" w:name="_Toc375130759"/>
      <w:r>
        <w:rPr>
          <w:rStyle w:val="CharSectno"/>
        </w:rPr>
        <w:t>176</w:t>
      </w:r>
      <w:r>
        <w:t>.</w:t>
      </w:r>
      <w:r>
        <w:tab/>
        <w:t>When acquisition occurs</w:t>
      </w:r>
      <w:bookmarkEnd w:id="225"/>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(4A)</w:t>
      </w:r>
      <w:r>
        <w:tab/>
        <w:t>An entity referred to in subsection (3) may be a landholder as a result of another application of subsection (2).</w:t>
      </w:r>
    </w:p>
    <w:p>
      <w:pPr>
        <w:pStyle w:val="Subsection"/>
      </w:pPr>
      <w:r>
        <w:tab/>
        <w:t>(4)</w:t>
      </w:r>
      <w:r>
        <w:tab/>
        <w:t>If subsections (2) and (3) do not apply, the acquisition occurs when the interest to which it relates is acquired.</w:t>
      </w:r>
    </w:p>
    <w:p>
      <w:pPr>
        <w:pStyle w:val="Footnotesection"/>
      </w:pPr>
      <w:r>
        <w:tab/>
        <w:t>[Section 176 amended by No. 32 of 2012 s. 15.]</w:t>
      </w:r>
    </w:p>
    <w:p>
      <w:pPr>
        <w:pStyle w:val="Heading5"/>
      </w:pPr>
      <w:bookmarkStart w:id="226" w:name="_Toc375130760"/>
      <w:r>
        <w:rPr>
          <w:rStyle w:val="CharSectno"/>
        </w:rPr>
        <w:t>177</w:t>
      </w:r>
      <w:r>
        <w:t>.</w:t>
      </w:r>
      <w:r>
        <w:tab/>
        <w:t>Certain transactions to be treated as agreements</w:t>
      </w:r>
      <w:bookmarkEnd w:id="226"/>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227" w:name="_Toc375130761"/>
      <w:r>
        <w:rPr>
          <w:rStyle w:val="CharSectno"/>
        </w:rPr>
        <w:t>178</w:t>
      </w:r>
      <w:r>
        <w:t>.</w:t>
      </w:r>
      <w:r>
        <w:tab/>
        <w:t>Exceptions to s. 177</w:t>
      </w:r>
      <w:bookmarkEnd w:id="227"/>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228" w:name="_Toc375130762"/>
      <w:r>
        <w:rPr>
          <w:sz w:val="26"/>
        </w:rPr>
        <w:t>Division 2 — Liability</w:t>
      </w:r>
      <w:bookmarkEnd w:id="228"/>
    </w:p>
    <w:p>
      <w:pPr>
        <w:pStyle w:val="Heading5"/>
      </w:pPr>
      <w:bookmarkStart w:id="229" w:name="_Toc375130763"/>
      <w:r>
        <w:rPr>
          <w:rStyle w:val="CharSectno"/>
        </w:rPr>
        <w:t>179</w:t>
      </w:r>
      <w:r>
        <w:t>.</w:t>
      </w:r>
      <w:r>
        <w:tab/>
        <w:t>Who is liable to pay duty</w:t>
      </w:r>
      <w:bookmarkEnd w:id="229"/>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230" w:name="_Toc375130764"/>
      <w:r>
        <w:rPr>
          <w:rStyle w:val="CharSectno"/>
        </w:rPr>
        <w:t>180</w:t>
      </w:r>
      <w:r>
        <w:t>.</w:t>
      </w:r>
      <w:r>
        <w:tab/>
        <w:t>Application to Commissioner for determination of liability</w:t>
      </w:r>
      <w:bookmarkEnd w:id="230"/>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231" w:name="_Toc375130765"/>
      <w:r>
        <w:rPr>
          <w:rStyle w:val="CharSectno"/>
        </w:rPr>
        <w:t>181</w:t>
      </w:r>
      <w:r>
        <w:t>.</w:t>
      </w:r>
      <w:r>
        <w:tab/>
        <w:t>Determination of s. 180 application</w:t>
      </w:r>
      <w:bookmarkEnd w:id="231"/>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232" w:name="_Toc375130766"/>
      <w:r>
        <w:rPr>
          <w:rStyle w:val="CharSectno"/>
        </w:rPr>
        <w:t>182</w:t>
      </w:r>
      <w:r>
        <w:t>.</w:t>
      </w:r>
      <w:r>
        <w:tab/>
        <w:t>Powers of Commissioner where further information required for determination of s. 180 application</w:t>
      </w:r>
      <w:bookmarkEnd w:id="232"/>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spacing w:before="120"/>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233" w:name="_Toc375130767"/>
      <w:r>
        <w:rPr>
          <w:sz w:val="26"/>
        </w:rPr>
        <w:t>Division 3 — Payment of landholder duty</w:t>
      </w:r>
      <w:bookmarkEnd w:id="233"/>
    </w:p>
    <w:p>
      <w:pPr>
        <w:pStyle w:val="Heading5"/>
      </w:pPr>
      <w:bookmarkStart w:id="234" w:name="_Toc375130768"/>
      <w:r>
        <w:rPr>
          <w:rStyle w:val="CharSectno"/>
        </w:rPr>
        <w:t>183</w:t>
      </w:r>
      <w:r>
        <w:t>.</w:t>
      </w:r>
      <w:r>
        <w:tab/>
        <w:t>When landholder duty must be paid</w:t>
      </w:r>
      <w:bookmarkEnd w:id="234"/>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235" w:name="_Toc375130769"/>
      <w:r>
        <w:rPr>
          <w:sz w:val="26"/>
        </w:rPr>
        <w:t>Division 4 — Rates of landholder duty</w:t>
      </w:r>
      <w:bookmarkEnd w:id="235"/>
    </w:p>
    <w:p>
      <w:pPr>
        <w:pStyle w:val="Heading5"/>
      </w:pPr>
      <w:bookmarkStart w:id="236" w:name="_Toc375130770"/>
      <w:r>
        <w:rPr>
          <w:rStyle w:val="CharSectno"/>
        </w:rPr>
        <w:t>184</w:t>
      </w:r>
      <w:r>
        <w:t>.</w:t>
      </w:r>
      <w:r>
        <w:tab/>
        <w:t>Rates of landholder duty</w:t>
      </w:r>
      <w:bookmarkEnd w:id="236"/>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237" w:name="_Toc375130771"/>
      <w:r>
        <w:rPr>
          <w:sz w:val="26"/>
        </w:rPr>
        <w:t>Division 5 — Calculation of landholder duty</w:t>
      </w:r>
      <w:bookmarkEnd w:id="237"/>
    </w:p>
    <w:p>
      <w:pPr>
        <w:pStyle w:val="Heading5"/>
      </w:pPr>
      <w:bookmarkStart w:id="238" w:name="_Toc375130772"/>
      <w:r>
        <w:rPr>
          <w:rStyle w:val="CharSectno"/>
        </w:rPr>
        <w:t>185</w:t>
      </w:r>
      <w:r>
        <w:t>.</w:t>
      </w:r>
      <w:r>
        <w:tab/>
        <w:t>References to interest of acquirer in landholder</w:t>
      </w:r>
      <w:bookmarkEnd w:id="238"/>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239" w:name="_Toc375130773"/>
      <w:r>
        <w:rPr>
          <w:rStyle w:val="CharSectno"/>
        </w:rPr>
        <w:t>186</w:t>
      </w:r>
      <w:r>
        <w:t>.</w:t>
      </w:r>
      <w:r>
        <w:tab/>
        <w:t>Value of landholder</w:t>
      </w:r>
      <w:bookmarkEnd w:id="239"/>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spacing w:before="180"/>
      </w:pPr>
      <w:bookmarkStart w:id="240" w:name="_Toc375130774"/>
      <w:r>
        <w:rPr>
          <w:rStyle w:val="CharSectno"/>
        </w:rPr>
        <w:t>187</w:t>
      </w:r>
      <w:r>
        <w:t>.</w:t>
      </w:r>
      <w:r>
        <w:tab/>
        <w:t>Determining value of further interest for duty calculation</w:t>
      </w:r>
      <w:bookmarkEnd w:id="240"/>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241" w:name="_Toc375130775"/>
      <w:r>
        <w:rPr>
          <w:rStyle w:val="CharSectno"/>
        </w:rPr>
        <w:t>188</w:t>
      </w:r>
      <w:r>
        <w:t>.</w:t>
      </w:r>
      <w:r>
        <w:tab/>
        <w:t>Calculating duty payable</w:t>
      </w:r>
      <w:bookmarkEnd w:id="241"/>
    </w:p>
    <w:p>
      <w:pPr>
        <w:pStyle w:val="Subsection"/>
        <w:spacing w:before="120"/>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spacing w:before="120"/>
      </w:pPr>
      <w:r>
        <w:tab/>
        <w:t>(2)</w:t>
      </w:r>
      <w:r>
        <w:tab/>
        <w:t xml:space="preserve">The resulting amount is the duty payable in respect of the relevant acquisition. </w:t>
      </w:r>
    </w:p>
    <w:p>
      <w:pPr>
        <w:pStyle w:val="Subsection"/>
        <w:spacing w:before="120"/>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242" w:name="_Toc375130776"/>
      <w:r>
        <w:rPr>
          <w:rStyle w:val="CharSectno"/>
        </w:rPr>
        <w:t>189</w:t>
      </w:r>
      <w:r>
        <w:t>.</w:t>
      </w:r>
      <w:r>
        <w:tab/>
        <w:t>Reduction for s. 188</w:t>
      </w:r>
      <w:bookmarkEnd w:id="242"/>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spacing w:before="180"/>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spacing w:before="180"/>
      </w:pPr>
      <w:r>
        <w:tab/>
        <w:t>(3)</w:t>
      </w:r>
      <w:r>
        <w:tab/>
        <w:t>The value of an excluded interest is the same percentage of the value of the landholder concerned as the percentage of all interests in the landholder that is represented by the excluded interest.</w:t>
      </w:r>
    </w:p>
    <w:p>
      <w:pPr>
        <w:pStyle w:val="Subsection"/>
        <w:spacing w:before="180"/>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spacing w:before="180"/>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spacing w:before="180"/>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pPr>
      <w:r>
        <w:tab/>
        <w:t>[Section 189 inserted by No. 32 of 2012 s. 21; amended by No. 32 of 2012 s. 22.]</w:t>
      </w:r>
    </w:p>
    <w:p>
      <w:pPr>
        <w:pStyle w:val="Ednotesection"/>
        <w:spacing w:before="240"/>
      </w:pPr>
      <w:r>
        <w:t>[</w:t>
      </w:r>
      <w:r>
        <w:rPr>
          <w:b/>
        </w:rPr>
        <w:t>190</w:t>
      </w:r>
      <w:r>
        <w:rPr>
          <w:b/>
        </w:rPr>
        <w:noBreakHyphen/>
        <w:t>192.</w:t>
      </w:r>
      <w:r>
        <w:tab/>
        <w:t>Deleted by No. 32 of 2012 s. 21.]</w:t>
      </w:r>
    </w:p>
    <w:p>
      <w:pPr>
        <w:pStyle w:val="Heading5"/>
        <w:spacing w:before="240"/>
      </w:pPr>
      <w:bookmarkStart w:id="243" w:name="_Toc375130777"/>
      <w:r>
        <w:rPr>
          <w:rStyle w:val="CharSectno"/>
        </w:rPr>
        <w:t>193</w:t>
      </w:r>
      <w:r>
        <w:t>.</w:t>
      </w:r>
      <w:r>
        <w:tab/>
        <w:t>Calculation of duty where statement lodged under s. 201</w:t>
      </w:r>
      <w:bookmarkEnd w:id="243"/>
    </w:p>
    <w:p>
      <w:pPr>
        <w:pStyle w:val="Subsection"/>
        <w:spacing w:before="18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80"/>
      </w:pPr>
      <w:r>
        <w:tab/>
        <w:t>(2)</w:t>
      </w:r>
      <w:r>
        <w:tab/>
        <w:t>The Commissioner is not required to make a separate calculation under this Division of duty in respect of each relevant acquisition that occurred during the relevant period.</w:t>
      </w:r>
    </w:p>
    <w:p>
      <w:pPr>
        <w:pStyle w:val="Subsection"/>
        <w:spacing w:before="18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244" w:name="_Toc375130778"/>
      <w:r>
        <w:rPr>
          <w:rStyle w:val="CharSectno"/>
        </w:rPr>
        <w:t>194</w:t>
      </w:r>
      <w:r>
        <w:t>.</w:t>
      </w:r>
      <w:r>
        <w:tab/>
        <w:t>Calculation of duty on certain acquisitions on winding up of corporation or unit trust scheme</w:t>
      </w:r>
      <w:bookmarkEnd w:id="244"/>
    </w:p>
    <w:p>
      <w:pPr>
        <w:pStyle w:val="Subsection"/>
        <w:keepNext/>
        <w:spacing w:before="18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spacing w:before="180"/>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spacing w:before="180"/>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spacing w:before="120"/>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spacing w:before="120"/>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3</w:t>
      </w:r>
      <w:r>
        <w:t xml:space="preserve"> amended by No. 29 of 2012 s. 5.]</w:t>
      </w:r>
    </w:p>
    <w:p>
      <w:pPr>
        <w:pStyle w:val="Heading3"/>
      </w:pPr>
      <w:bookmarkStart w:id="245" w:name="_Toc375130779"/>
      <w:r>
        <w:rPr>
          <w:rStyle w:val="CharDivNo"/>
        </w:rPr>
        <w:t>Division 6A</w:t>
      </w:r>
      <w:r>
        <w:t> — </w:t>
      </w:r>
      <w:r>
        <w:rPr>
          <w:rStyle w:val="CharDivText"/>
        </w:rPr>
        <w:t>Interim assessment of landholder duty</w:t>
      </w:r>
      <w:bookmarkEnd w:id="245"/>
    </w:p>
    <w:p>
      <w:pPr>
        <w:pStyle w:val="Footnoteheading"/>
      </w:pPr>
      <w:r>
        <w:tab/>
        <w:t>[Heading inserted by No. 10 of 2013 s. 6.]</w:t>
      </w:r>
    </w:p>
    <w:p>
      <w:pPr>
        <w:pStyle w:val="Heading5"/>
      </w:pPr>
      <w:bookmarkStart w:id="246" w:name="_Toc375130780"/>
      <w:r>
        <w:rPr>
          <w:rStyle w:val="CharSectno"/>
        </w:rPr>
        <w:t>195A</w:t>
      </w:r>
      <w:r>
        <w:t>.</w:t>
      </w:r>
      <w:r>
        <w:tab/>
        <w:t>Interim assessment of landholder duty</w:t>
      </w:r>
      <w:bookmarkEnd w:id="246"/>
    </w:p>
    <w:p>
      <w:pPr>
        <w:pStyle w:val="Subsection"/>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pPr>
      <w:r>
        <w:tab/>
        <w:t>(b)</w:t>
      </w:r>
      <w:r>
        <w:tab/>
        <w:t xml:space="preserve">one of the following applies — </w:t>
      </w:r>
    </w:p>
    <w:p>
      <w:pPr>
        <w:pStyle w:val="Indenti"/>
      </w:pPr>
      <w:r>
        <w:tab/>
        <w:t>(i)</w:t>
      </w:r>
      <w:r>
        <w:tab/>
        <w:t>more than 6 months have elapsed since the day on which an acquisition statement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ought to have been lodged is the last day of the period within which the statement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or chattels to which section 186(1) applies; or</w:t>
      </w:r>
    </w:p>
    <w:p>
      <w:pPr>
        <w:pStyle w:val="Indenta"/>
      </w:pPr>
      <w:r>
        <w:tab/>
        <w:t>(b)</w:t>
      </w:r>
      <w:r>
        <w:tab/>
        <w:t>only a portion of the value of particular land or chattels to which section 186(1) applies.</w:t>
      </w:r>
    </w:p>
    <w:p>
      <w:pPr>
        <w:pStyle w:val="Footnotesection"/>
        <w:ind w:left="890" w:hanging="890"/>
      </w:pPr>
      <w:r>
        <w:tab/>
        <w:t>[Section 195A inserted by No. 10 of 2013 s. 6.]</w:t>
      </w:r>
    </w:p>
    <w:p>
      <w:pPr>
        <w:pStyle w:val="Heading4"/>
        <w:spacing w:before="200"/>
        <w:rPr>
          <w:sz w:val="26"/>
        </w:rPr>
      </w:pPr>
      <w:bookmarkStart w:id="247" w:name="_Toc375130781"/>
      <w:r>
        <w:rPr>
          <w:sz w:val="26"/>
        </w:rPr>
        <w:t>Division 6 — Reassessment of liability for landholder duty</w:t>
      </w:r>
      <w:bookmarkEnd w:id="247"/>
    </w:p>
    <w:p>
      <w:pPr>
        <w:pStyle w:val="Heading5"/>
        <w:spacing w:before="240"/>
      </w:pPr>
      <w:bookmarkStart w:id="248" w:name="_Toc375130782"/>
      <w:r>
        <w:rPr>
          <w:rStyle w:val="CharSectno"/>
        </w:rPr>
        <w:t>195</w:t>
      </w:r>
      <w:r>
        <w:t>.</w:t>
      </w:r>
      <w:r>
        <w:tab/>
        <w:t>Reassessment of duty where s. 149 applied</w:t>
      </w:r>
      <w:bookmarkEnd w:id="248"/>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spacing w:before="240"/>
      </w:pPr>
      <w:bookmarkStart w:id="249" w:name="_Toc375130783"/>
      <w:r>
        <w:rPr>
          <w:rStyle w:val="CharSectno"/>
        </w:rPr>
        <w:t>196</w:t>
      </w:r>
      <w:r>
        <w:t>.</w:t>
      </w:r>
      <w:r>
        <w:tab/>
        <w:t>Reassessment of duty where s. 176(2) applied</w:t>
      </w:r>
      <w:bookmarkEnd w:id="249"/>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180"/>
      </w:pPr>
      <w:bookmarkStart w:id="250" w:name="_Toc375130784"/>
      <w:r>
        <w:rPr>
          <w:rStyle w:val="CharSectno"/>
        </w:rPr>
        <w:t>197</w:t>
      </w:r>
      <w:r>
        <w:t>.</w:t>
      </w:r>
      <w:r>
        <w:tab/>
        <w:t>Condition precedent to reassessment under s. 195 or 196</w:t>
      </w:r>
      <w:bookmarkEnd w:id="250"/>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251" w:name="_Toc375130785"/>
      <w:r>
        <w:rPr>
          <w:rStyle w:val="CharSectno"/>
        </w:rPr>
        <w:t>198</w:t>
      </w:r>
      <w:r>
        <w:t>.</w:t>
      </w:r>
      <w:r>
        <w:tab/>
      </w:r>
      <w:r>
        <w:rPr>
          <w:iCs/>
        </w:rPr>
        <w:t>Taxation Administration Act</w:t>
      </w:r>
      <w:r>
        <w:rPr>
          <w:i/>
        </w:rPr>
        <w:t xml:space="preserve"> </w:t>
      </w:r>
      <w:r>
        <w:t>not affected</w:t>
      </w:r>
      <w:bookmarkEnd w:id="251"/>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252" w:name="_Toc375130786"/>
      <w:r>
        <w:rPr>
          <w:sz w:val="26"/>
        </w:rPr>
        <w:t>Division 7 — Lodgment of statements</w:t>
      </w:r>
      <w:bookmarkEnd w:id="252"/>
    </w:p>
    <w:p>
      <w:pPr>
        <w:pStyle w:val="Heading5"/>
        <w:spacing w:before="180"/>
      </w:pPr>
      <w:bookmarkStart w:id="253" w:name="_Toc375130787"/>
      <w:r>
        <w:rPr>
          <w:rStyle w:val="CharSectno"/>
        </w:rPr>
        <w:t>199</w:t>
      </w:r>
      <w:r>
        <w:t>.</w:t>
      </w:r>
      <w:r>
        <w:tab/>
        <w:t>Term used: acquisition statement</w:t>
      </w:r>
      <w:bookmarkEnd w:id="253"/>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254" w:name="_Toc375130788"/>
      <w:r>
        <w:rPr>
          <w:rStyle w:val="CharSectno"/>
        </w:rPr>
        <w:t>200</w:t>
      </w:r>
      <w:r>
        <w:t>.</w:t>
      </w:r>
      <w:r>
        <w:tab/>
        <w:t>Acquisition statement to be lodged</w:t>
      </w:r>
      <w:bookmarkEnd w:id="254"/>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255" w:name="_Toc375130789"/>
      <w:r>
        <w:rPr>
          <w:rStyle w:val="CharSectno"/>
        </w:rPr>
        <w:t>201</w:t>
      </w:r>
      <w:r>
        <w:t>.</w:t>
      </w:r>
      <w:r>
        <w:tab/>
        <w:t>Acquisition of further interests, lodgment of periodical statements may be approved</w:t>
      </w:r>
      <w:bookmarkEnd w:id="255"/>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spacing w:before="180"/>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256" w:name="_Toc375130790"/>
      <w:r>
        <w:rPr>
          <w:rStyle w:val="CharSectno"/>
        </w:rPr>
        <w:t>202</w:t>
      </w:r>
      <w:r>
        <w:t>.</w:t>
      </w:r>
      <w:r>
        <w:tab/>
        <w:t>Lodgment obligations if s. 201 application refused</w:t>
      </w:r>
      <w:bookmarkEnd w:id="256"/>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257" w:name="_Toc375130791"/>
      <w:r>
        <w:rPr>
          <w:rStyle w:val="CharSectno"/>
        </w:rPr>
        <w:t>203</w:t>
      </w:r>
      <w:r>
        <w:t>.</w:t>
      </w:r>
      <w:r>
        <w:tab/>
        <w:t>Form and content of acquisition statements</w:t>
      </w:r>
      <w:bookmarkEnd w:id="257"/>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258" w:name="_Toc375130792"/>
      <w:r>
        <w:rPr>
          <w:rStyle w:val="CharSectno"/>
        </w:rPr>
        <w:t>204</w:t>
      </w:r>
      <w:r>
        <w:t>.</w:t>
      </w:r>
      <w:r>
        <w:tab/>
        <w:t>Failure to lodge acquisition statement</w:t>
      </w:r>
      <w:bookmarkEnd w:id="258"/>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Ednotedivision"/>
      </w:pPr>
      <w:r>
        <w:t>[Division 8 (s. 205) omitted under the Reprints Act 1984 s. 7(4)(e).]</w:t>
      </w:r>
    </w:p>
    <w:p>
      <w:pPr>
        <w:pStyle w:val="Heading2"/>
        <w:rPr>
          <w:sz w:val="32"/>
        </w:rPr>
      </w:pPr>
      <w:bookmarkStart w:id="259" w:name="_Toc375130793"/>
      <w:r>
        <w:rPr>
          <w:rStyle w:val="CharPartNo"/>
          <w:sz w:val="32"/>
        </w:rPr>
        <w:t>Chapter 4</w:t>
      </w:r>
      <w:r>
        <w:rPr>
          <w:sz w:val="32"/>
        </w:rPr>
        <w:t> — </w:t>
      </w:r>
      <w:r>
        <w:rPr>
          <w:rStyle w:val="CharPartText"/>
          <w:sz w:val="32"/>
        </w:rPr>
        <w:t>Insurance duty</w:t>
      </w:r>
      <w:bookmarkEnd w:id="259"/>
    </w:p>
    <w:p>
      <w:pPr>
        <w:pStyle w:val="Heading3"/>
        <w:rPr>
          <w:sz w:val="28"/>
        </w:rPr>
      </w:pPr>
      <w:bookmarkStart w:id="260" w:name="_Toc375130794"/>
      <w:r>
        <w:rPr>
          <w:rStyle w:val="CharDivNo"/>
          <w:sz w:val="28"/>
        </w:rPr>
        <w:t>Part 1</w:t>
      </w:r>
      <w:r>
        <w:rPr>
          <w:sz w:val="28"/>
        </w:rPr>
        <w:t> — </w:t>
      </w:r>
      <w:r>
        <w:rPr>
          <w:rStyle w:val="CharDivText"/>
          <w:sz w:val="28"/>
        </w:rPr>
        <w:t>Preliminary</w:t>
      </w:r>
      <w:bookmarkEnd w:id="260"/>
    </w:p>
    <w:p>
      <w:pPr>
        <w:pStyle w:val="Heading5"/>
      </w:pPr>
      <w:bookmarkStart w:id="261" w:name="_Toc375130795"/>
      <w:r>
        <w:rPr>
          <w:rStyle w:val="CharSectno"/>
        </w:rPr>
        <w:t>206</w:t>
      </w:r>
      <w:r>
        <w:t>.</w:t>
      </w:r>
      <w:r>
        <w:tab/>
        <w:t>Terms used</w:t>
      </w:r>
      <w:bookmarkEnd w:id="261"/>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262" w:name="_Toc375130796"/>
      <w:r>
        <w:rPr>
          <w:rStyle w:val="CharDivNo"/>
          <w:sz w:val="28"/>
        </w:rPr>
        <w:t>Part 2</w:t>
      </w:r>
      <w:r>
        <w:rPr>
          <w:sz w:val="28"/>
        </w:rPr>
        <w:t> — </w:t>
      </w:r>
      <w:r>
        <w:rPr>
          <w:rStyle w:val="CharDivText"/>
          <w:sz w:val="28"/>
        </w:rPr>
        <w:t>Imposition of insurance duty</w:t>
      </w:r>
      <w:bookmarkEnd w:id="262"/>
    </w:p>
    <w:p>
      <w:pPr>
        <w:pStyle w:val="Heading5"/>
        <w:spacing w:before="240"/>
      </w:pPr>
      <w:bookmarkStart w:id="263" w:name="_Toc375130797"/>
      <w:r>
        <w:rPr>
          <w:rStyle w:val="CharSectno"/>
        </w:rPr>
        <w:t>207</w:t>
      </w:r>
      <w:r>
        <w:t>.</w:t>
      </w:r>
      <w:r>
        <w:tab/>
        <w:t>Insurance duty imposed</w:t>
      </w:r>
      <w:bookmarkEnd w:id="263"/>
    </w:p>
    <w:p>
      <w:pPr>
        <w:pStyle w:val="Subsection"/>
      </w:pPr>
      <w:r>
        <w:tab/>
      </w:r>
      <w:r>
        <w:tab/>
        <w:t>Duty is imposed on the premium paid in relation to a contract of insurance.</w:t>
      </w:r>
    </w:p>
    <w:p>
      <w:pPr>
        <w:pStyle w:val="Heading5"/>
        <w:spacing w:before="240"/>
      </w:pPr>
      <w:bookmarkStart w:id="264" w:name="_Toc375130798"/>
      <w:r>
        <w:rPr>
          <w:rStyle w:val="CharSectno"/>
        </w:rPr>
        <w:t>208</w:t>
      </w:r>
      <w:r>
        <w:t>.</w:t>
      </w:r>
      <w:r>
        <w:tab/>
        <w:t>Term used: contract of insurance</w:t>
      </w:r>
      <w:bookmarkEnd w:id="264"/>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265" w:name="_Toc375130799"/>
      <w:r>
        <w:rPr>
          <w:rStyle w:val="CharSectno"/>
        </w:rPr>
        <w:t>209</w:t>
      </w:r>
      <w:r>
        <w:t>.</w:t>
      </w:r>
      <w:r>
        <w:tab/>
        <w:t>Term used: general insurance</w:t>
      </w:r>
      <w:bookmarkEnd w:id="265"/>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keepNext/>
        <w:spacing w:before="18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266" w:name="_Toc375130800"/>
      <w:r>
        <w:rPr>
          <w:rStyle w:val="CharSectno"/>
        </w:rPr>
        <w:t>210</w:t>
      </w:r>
      <w:r>
        <w:t>.</w:t>
      </w:r>
      <w:r>
        <w:tab/>
        <w:t>Additional insurance in life insurance policy is general insurance</w:t>
      </w:r>
      <w:bookmarkEnd w:id="266"/>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267" w:name="_Toc375130801"/>
      <w:r>
        <w:rPr>
          <w:rStyle w:val="CharSectno"/>
        </w:rPr>
        <w:t>211</w:t>
      </w:r>
      <w:r>
        <w:t>.</w:t>
      </w:r>
      <w:r>
        <w:tab/>
        <w:t>Term used: premium</w:t>
      </w:r>
      <w:bookmarkEnd w:id="267"/>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268" w:name="_Toc375130802"/>
      <w:r>
        <w:rPr>
          <w:rStyle w:val="CharSectno"/>
        </w:rPr>
        <w:t>212</w:t>
      </w:r>
      <w:r>
        <w:t>.</w:t>
      </w:r>
      <w:r>
        <w:tab/>
        <w:t>When premium paid</w:t>
      </w:r>
      <w:bookmarkEnd w:id="268"/>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269" w:name="_Toc375130803"/>
      <w:r>
        <w:rPr>
          <w:rStyle w:val="CharDivNo"/>
          <w:sz w:val="28"/>
        </w:rPr>
        <w:t>Part 3</w:t>
      </w:r>
      <w:r>
        <w:rPr>
          <w:sz w:val="28"/>
        </w:rPr>
        <w:t> — </w:t>
      </w:r>
      <w:r>
        <w:rPr>
          <w:rStyle w:val="CharDivText"/>
          <w:sz w:val="28"/>
        </w:rPr>
        <w:t>Collection of insurance duty</w:t>
      </w:r>
      <w:bookmarkEnd w:id="269"/>
    </w:p>
    <w:p>
      <w:pPr>
        <w:pStyle w:val="Heading4"/>
        <w:rPr>
          <w:sz w:val="26"/>
        </w:rPr>
      </w:pPr>
      <w:bookmarkStart w:id="270" w:name="_Toc375130804"/>
      <w:r>
        <w:rPr>
          <w:sz w:val="26"/>
        </w:rPr>
        <w:t>Division 1 — Liability</w:t>
      </w:r>
      <w:bookmarkEnd w:id="270"/>
    </w:p>
    <w:p>
      <w:pPr>
        <w:pStyle w:val="Heading5"/>
      </w:pPr>
      <w:bookmarkStart w:id="271" w:name="_Toc375130805"/>
      <w:r>
        <w:rPr>
          <w:rStyle w:val="CharSectno"/>
        </w:rPr>
        <w:t>213</w:t>
      </w:r>
      <w:r>
        <w:t>.</w:t>
      </w:r>
      <w:r>
        <w:tab/>
        <w:t>Who is liable to pay duty</w:t>
      </w:r>
      <w:bookmarkEnd w:id="271"/>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272" w:name="_Toc375130806"/>
      <w:r>
        <w:rPr>
          <w:rStyle w:val="CharSectno"/>
        </w:rPr>
        <w:t>214</w:t>
      </w:r>
      <w:r>
        <w:t>.</w:t>
      </w:r>
      <w:r>
        <w:tab/>
        <w:t>Term used: general insurer</w:t>
      </w:r>
      <w:bookmarkEnd w:id="272"/>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273" w:name="_Toc375130807"/>
      <w:r>
        <w:rPr>
          <w:sz w:val="26"/>
        </w:rPr>
        <w:t>Division 2 — Amount of insurance duty</w:t>
      </w:r>
      <w:bookmarkEnd w:id="273"/>
    </w:p>
    <w:p>
      <w:pPr>
        <w:pStyle w:val="Heading5"/>
        <w:spacing w:before="180"/>
      </w:pPr>
      <w:bookmarkStart w:id="274" w:name="_Toc375130808"/>
      <w:r>
        <w:rPr>
          <w:rStyle w:val="CharSectno"/>
        </w:rPr>
        <w:t>215</w:t>
      </w:r>
      <w:r>
        <w:t>.</w:t>
      </w:r>
      <w:r>
        <w:tab/>
        <w:t>Amount of duty payable</w:t>
      </w:r>
      <w:bookmarkEnd w:id="274"/>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275" w:name="_Toc375130809"/>
      <w:r>
        <w:rPr>
          <w:rStyle w:val="CharSectno"/>
        </w:rPr>
        <w:t>216</w:t>
      </w:r>
      <w:r>
        <w:t>.</w:t>
      </w:r>
      <w:r>
        <w:tab/>
        <w:t>Policies effecting general insurance and other insurance, duty on</w:t>
      </w:r>
      <w:bookmarkEnd w:id="275"/>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276" w:name="_Toc375130810"/>
      <w:r>
        <w:rPr>
          <w:sz w:val="26"/>
        </w:rPr>
        <w:t>Division 3 — Insurers</w:t>
      </w:r>
      <w:bookmarkEnd w:id="276"/>
    </w:p>
    <w:p>
      <w:pPr>
        <w:pStyle w:val="Heading5"/>
      </w:pPr>
      <w:bookmarkStart w:id="277" w:name="_Toc375130811"/>
      <w:r>
        <w:rPr>
          <w:rStyle w:val="CharSectno"/>
        </w:rPr>
        <w:t>217</w:t>
      </w:r>
      <w:r>
        <w:t>.</w:t>
      </w:r>
      <w:r>
        <w:tab/>
        <w:t>General insurers to apply to be registered</w:t>
      </w:r>
      <w:bookmarkEnd w:id="277"/>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278" w:name="_Toc375130812"/>
      <w:r>
        <w:rPr>
          <w:rStyle w:val="CharSectno"/>
        </w:rPr>
        <w:t>218</w:t>
      </w:r>
      <w:r>
        <w:t>.</w:t>
      </w:r>
      <w:r>
        <w:tab/>
        <w:t>Registration of general insurers</w:t>
      </w:r>
      <w:bookmarkEnd w:id="278"/>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279" w:name="_Toc375130813"/>
      <w:r>
        <w:rPr>
          <w:rStyle w:val="CharSectno"/>
        </w:rPr>
        <w:t>219</w:t>
      </w:r>
      <w:r>
        <w:t>.</w:t>
      </w:r>
      <w:r>
        <w:tab/>
        <w:t>Return period of registered insurer</w:t>
      </w:r>
      <w:bookmarkEnd w:id="279"/>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280" w:name="_Toc375130814"/>
      <w:r>
        <w:rPr>
          <w:rStyle w:val="CharSectno"/>
        </w:rPr>
        <w:t>220</w:t>
      </w:r>
      <w:r>
        <w:t>.</w:t>
      </w:r>
      <w:r>
        <w:tab/>
        <w:t>Registered insurers to lodge returns</w:t>
      </w:r>
      <w:bookmarkEnd w:id="280"/>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281" w:name="_Toc375130815"/>
      <w:r>
        <w:rPr>
          <w:rStyle w:val="CharSectno"/>
        </w:rPr>
        <w:t>221</w:t>
      </w:r>
      <w:r>
        <w:t>.</w:t>
      </w:r>
      <w:r>
        <w:tab/>
        <w:t>Time for payment of duty by insurers</w:t>
      </w:r>
      <w:bookmarkEnd w:id="281"/>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282" w:name="_Toc375130816"/>
      <w:r>
        <w:rPr>
          <w:rStyle w:val="CharSectno"/>
        </w:rPr>
        <w:t>222</w:t>
      </w:r>
      <w:r>
        <w:t>.</w:t>
      </w:r>
      <w:r>
        <w:tab/>
        <w:t>Cancelling registration of general insurers</w:t>
      </w:r>
      <w:bookmarkEnd w:id="282"/>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283" w:name="_Toc375130817"/>
      <w:r>
        <w:rPr>
          <w:sz w:val="26"/>
        </w:rPr>
        <w:t>Division 4 — Insured persons</w:t>
      </w:r>
      <w:bookmarkEnd w:id="283"/>
    </w:p>
    <w:p>
      <w:pPr>
        <w:pStyle w:val="Heading5"/>
        <w:spacing w:before="240"/>
      </w:pPr>
      <w:bookmarkStart w:id="284" w:name="_Toc375130818"/>
      <w:r>
        <w:rPr>
          <w:rStyle w:val="CharSectno"/>
        </w:rPr>
        <w:t>223</w:t>
      </w:r>
      <w:r>
        <w:t>.</w:t>
      </w:r>
      <w:r>
        <w:tab/>
        <w:t>Some insured persons to lodge statements</w:t>
      </w:r>
      <w:bookmarkEnd w:id="284"/>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285" w:name="_Toc375130819"/>
      <w:r>
        <w:rPr>
          <w:rStyle w:val="CharSectno"/>
        </w:rPr>
        <w:t>224</w:t>
      </w:r>
      <w:r>
        <w:t>.</w:t>
      </w:r>
      <w:r>
        <w:tab/>
        <w:t>Time for payment of duty by insured persons</w:t>
      </w:r>
      <w:bookmarkEnd w:id="285"/>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286" w:name="_Toc375130820"/>
      <w:r>
        <w:rPr>
          <w:rStyle w:val="CharDivNo"/>
          <w:sz w:val="28"/>
        </w:rPr>
        <w:t>Part 4</w:t>
      </w:r>
      <w:r>
        <w:rPr>
          <w:sz w:val="28"/>
        </w:rPr>
        <w:t> — </w:t>
      </w:r>
      <w:r>
        <w:rPr>
          <w:rStyle w:val="CharDivText"/>
          <w:sz w:val="28"/>
        </w:rPr>
        <w:t>General provisions as to insurance duty</w:t>
      </w:r>
      <w:bookmarkEnd w:id="286"/>
    </w:p>
    <w:p>
      <w:pPr>
        <w:pStyle w:val="Heading5"/>
        <w:spacing w:before="180"/>
      </w:pPr>
      <w:bookmarkStart w:id="287" w:name="_Toc375130821"/>
      <w:r>
        <w:rPr>
          <w:rStyle w:val="CharSectno"/>
        </w:rPr>
        <w:t>225</w:t>
      </w:r>
      <w:r>
        <w:t>.</w:t>
      </w:r>
      <w:r>
        <w:tab/>
        <w:t>Insurer and intermediary to notify Commissioner of contracts of insurance</w:t>
      </w:r>
      <w:bookmarkEnd w:id="287"/>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240"/>
      </w:pPr>
      <w:bookmarkStart w:id="288" w:name="_Toc375130822"/>
      <w:r>
        <w:rPr>
          <w:rStyle w:val="CharSectno"/>
        </w:rPr>
        <w:t>226</w:t>
      </w:r>
      <w:r>
        <w:t>.</w:t>
      </w:r>
      <w:r>
        <w:tab/>
        <w:t>Refunds of duty if premium refunded</w:t>
      </w:r>
      <w:bookmarkEnd w:id="288"/>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289" w:name="_Toc375130823"/>
      <w:r>
        <w:rPr>
          <w:rStyle w:val="CharSectno"/>
        </w:rPr>
        <w:t>227</w:t>
      </w:r>
      <w:r>
        <w:t>.</w:t>
      </w:r>
      <w:r>
        <w:tab/>
        <w:t>Records to be kept</w:t>
      </w:r>
      <w:bookmarkEnd w:id="289"/>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290" w:name="_Toc375130824"/>
      <w:r>
        <w:rPr>
          <w:rStyle w:val="CharPartNo"/>
          <w:sz w:val="32"/>
        </w:rPr>
        <w:t>Chapter 5</w:t>
      </w:r>
      <w:r>
        <w:rPr>
          <w:sz w:val="32"/>
        </w:rPr>
        <w:t> — </w:t>
      </w:r>
      <w:r>
        <w:rPr>
          <w:rStyle w:val="CharPartText"/>
          <w:sz w:val="32"/>
        </w:rPr>
        <w:t>Vehicle licence duty</w:t>
      </w:r>
      <w:bookmarkEnd w:id="290"/>
    </w:p>
    <w:p>
      <w:pPr>
        <w:pStyle w:val="Heading3"/>
        <w:rPr>
          <w:sz w:val="28"/>
        </w:rPr>
      </w:pPr>
      <w:bookmarkStart w:id="291" w:name="_Toc375130825"/>
      <w:r>
        <w:rPr>
          <w:rStyle w:val="CharDivNo"/>
          <w:sz w:val="28"/>
        </w:rPr>
        <w:t>Part 1</w:t>
      </w:r>
      <w:r>
        <w:rPr>
          <w:sz w:val="28"/>
        </w:rPr>
        <w:t> — </w:t>
      </w:r>
      <w:r>
        <w:rPr>
          <w:rStyle w:val="CharDivText"/>
          <w:sz w:val="28"/>
        </w:rPr>
        <w:t>Preliminary</w:t>
      </w:r>
      <w:bookmarkEnd w:id="291"/>
    </w:p>
    <w:p>
      <w:pPr>
        <w:pStyle w:val="Heading5"/>
        <w:rPr>
          <w:sz w:val="32"/>
        </w:rPr>
      </w:pPr>
      <w:bookmarkStart w:id="292" w:name="_Toc375130826"/>
      <w:r>
        <w:rPr>
          <w:rStyle w:val="CharSectno"/>
        </w:rPr>
        <w:t>228</w:t>
      </w:r>
      <w:r>
        <w:t>.</w:t>
      </w:r>
      <w:r>
        <w:tab/>
        <w:t>Terms used</w:t>
      </w:r>
      <w:bookmarkEnd w:id="292"/>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293" w:name="_Toc375130827"/>
      <w:r>
        <w:rPr>
          <w:rStyle w:val="CharDivNo"/>
          <w:sz w:val="28"/>
        </w:rPr>
        <w:t>Part 2</w:t>
      </w:r>
      <w:r>
        <w:rPr>
          <w:sz w:val="28"/>
        </w:rPr>
        <w:t> — </w:t>
      </w:r>
      <w:r>
        <w:rPr>
          <w:rStyle w:val="CharDivText"/>
          <w:sz w:val="28"/>
        </w:rPr>
        <w:t>Imposition of vehicle licence duty</w:t>
      </w:r>
      <w:bookmarkEnd w:id="293"/>
    </w:p>
    <w:p>
      <w:pPr>
        <w:pStyle w:val="Heading5"/>
      </w:pPr>
      <w:bookmarkStart w:id="294" w:name="_Toc375130828"/>
      <w:r>
        <w:rPr>
          <w:rStyle w:val="CharSectno"/>
        </w:rPr>
        <w:t>229</w:t>
      </w:r>
      <w:r>
        <w:t>.</w:t>
      </w:r>
      <w:r>
        <w:tab/>
        <w:t>Vehicle licence duty imposed</w:t>
      </w:r>
      <w:bookmarkEnd w:id="294"/>
    </w:p>
    <w:p>
      <w:pPr>
        <w:pStyle w:val="Subsection"/>
      </w:pPr>
      <w:r>
        <w:tab/>
      </w:r>
      <w:r>
        <w:tab/>
        <w:t>Duty is imposed on the grant or transfer of a licence for a vehicle.</w:t>
      </w:r>
    </w:p>
    <w:p>
      <w:pPr>
        <w:pStyle w:val="Heading5"/>
      </w:pPr>
      <w:bookmarkStart w:id="295" w:name="_Toc375130829"/>
      <w:r>
        <w:rPr>
          <w:rStyle w:val="CharSectno"/>
        </w:rPr>
        <w:t>230</w:t>
      </w:r>
      <w:r>
        <w:t>.</w:t>
      </w:r>
      <w:r>
        <w:tab/>
        <w:t>Terms used</w:t>
      </w:r>
      <w:bookmarkEnd w:id="295"/>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296" w:name="_Toc375130830"/>
      <w:r>
        <w:rPr>
          <w:rStyle w:val="CharDivNo"/>
          <w:sz w:val="28"/>
        </w:rPr>
        <w:t>Part 3</w:t>
      </w:r>
      <w:r>
        <w:rPr>
          <w:sz w:val="28"/>
        </w:rPr>
        <w:t> — </w:t>
      </w:r>
      <w:r>
        <w:rPr>
          <w:rStyle w:val="CharDivText"/>
          <w:sz w:val="28"/>
        </w:rPr>
        <w:t>Collection of vehicle licence duty</w:t>
      </w:r>
      <w:bookmarkEnd w:id="296"/>
    </w:p>
    <w:p>
      <w:pPr>
        <w:pStyle w:val="Heading4"/>
        <w:rPr>
          <w:sz w:val="26"/>
        </w:rPr>
      </w:pPr>
      <w:bookmarkStart w:id="297" w:name="_Toc375130831"/>
      <w:r>
        <w:rPr>
          <w:sz w:val="26"/>
        </w:rPr>
        <w:t>Division 1 — Preliminary</w:t>
      </w:r>
      <w:bookmarkEnd w:id="297"/>
    </w:p>
    <w:p>
      <w:pPr>
        <w:pStyle w:val="Heading5"/>
      </w:pPr>
      <w:bookmarkStart w:id="298" w:name="_Toc375130832"/>
      <w:r>
        <w:rPr>
          <w:rStyle w:val="CharSectno"/>
        </w:rPr>
        <w:t>231</w:t>
      </w:r>
      <w:r>
        <w:t>.</w:t>
      </w:r>
      <w:r>
        <w:tab/>
        <w:t>Terms used</w:t>
      </w:r>
      <w:bookmarkEnd w:id="298"/>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299" w:name="_Toc375130833"/>
      <w:r>
        <w:rPr>
          <w:sz w:val="26"/>
        </w:rPr>
        <w:t>Division 2 — Liability</w:t>
      </w:r>
      <w:bookmarkEnd w:id="299"/>
    </w:p>
    <w:p>
      <w:pPr>
        <w:pStyle w:val="Heading5"/>
        <w:ind w:left="0" w:firstLine="0"/>
      </w:pPr>
      <w:bookmarkStart w:id="300" w:name="_Toc375130834"/>
      <w:r>
        <w:rPr>
          <w:rStyle w:val="CharSectno"/>
        </w:rPr>
        <w:t>232</w:t>
      </w:r>
      <w:r>
        <w:t>.</w:t>
      </w:r>
      <w:r>
        <w:tab/>
        <w:t>Who is liable to pay duty</w:t>
      </w:r>
      <w:bookmarkEnd w:id="300"/>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301" w:name="_Toc375130835"/>
      <w:r>
        <w:rPr>
          <w:sz w:val="26"/>
        </w:rPr>
        <w:t>Division 3 — Assessment and payment of vehicle licence duty</w:t>
      </w:r>
      <w:bookmarkEnd w:id="301"/>
    </w:p>
    <w:p>
      <w:pPr>
        <w:pStyle w:val="Heading5"/>
      </w:pPr>
      <w:bookmarkStart w:id="302" w:name="_Toc375130836"/>
      <w:r>
        <w:rPr>
          <w:rStyle w:val="CharSectno"/>
        </w:rPr>
        <w:t>233</w:t>
      </w:r>
      <w:r>
        <w:t>.</w:t>
      </w:r>
      <w:r>
        <w:tab/>
        <w:t>Assessment of duty</w:t>
      </w:r>
      <w:bookmarkEnd w:id="302"/>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303" w:name="_Toc375130837"/>
      <w:r>
        <w:rPr>
          <w:rStyle w:val="CharSectno"/>
        </w:rPr>
        <w:t>234</w:t>
      </w:r>
      <w:r>
        <w:t>.</w:t>
      </w:r>
      <w:r>
        <w:tab/>
        <w:t>Applicant for licence to state dutiable value of vehicle etc.</w:t>
      </w:r>
      <w:bookmarkEnd w:id="303"/>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304" w:name="_Toc375130838"/>
      <w:r>
        <w:rPr>
          <w:rStyle w:val="CharSectno"/>
        </w:rPr>
        <w:t>235</w:t>
      </w:r>
      <w:r>
        <w:t>.</w:t>
      </w:r>
      <w:r>
        <w:tab/>
        <w:t>Payment of duty</w:t>
      </w:r>
      <w:bookmarkEnd w:id="304"/>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305" w:name="_Toc375130839"/>
      <w:r>
        <w:rPr>
          <w:sz w:val="26"/>
        </w:rPr>
        <w:t>Division 4 — Amount of vehicle licence duty</w:t>
      </w:r>
      <w:bookmarkEnd w:id="305"/>
    </w:p>
    <w:p>
      <w:pPr>
        <w:pStyle w:val="Heading5"/>
      </w:pPr>
      <w:bookmarkStart w:id="306" w:name="_Toc375130840"/>
      <w:r>
        <w:rPr>
          <w:rStyle w:val="CharSectno"/>
        </w:rPr>
        <w:t>236</w:t>
      </w:r>
      <w:r>
        <w:t>.</w:t>
      </w:r>
      <w:r>
        <w:tab/>
        <w:t>Amount of duty payable</w:t>
      </w:r>
      <w:bookmarkEnd w:id="306"/>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307" w:name="_Toc375130841"/>
      <w:r>
        <w:rPr>
          <w:sz w:val="26"/>
        </w:rPr>
        <w:t>Division 5 — Dutiable value of a vehicle</w:t>
      </w:r>
      <w:bookmarkEnd w:id="307"/>
    </w:p>
    <w:p>
      <w:pPr>
        <w:pStyle w:val="Heading5"/>
        <w:spacing w:before="180"/>
      </w:pPr>
      <w:bookmarkStart w:id="308" w:name="_Toc375130842"/>
      <w:r>
        <w:rPr>
          <w:rStyle w:val="CharSectno"/>
        </w:rPr>
        <w:t>237</w:t>
      </w:r>
      <w:r>
        <w:t>.</w:t>
      </w:r>
      <w:r>
        <w:tab/>
        <w:t>Certain new vehicles, dutiable value of</w:t>
      </w:r>
      <w:bookmarkEnd w:id="308"/>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309" w:name="_Toc375130843"/>
      <w:r>
        <w:rPr>
          <w:rStyle w:val="CharSectno"/>
        </w:rPr>
        <w:t>238</w:t>
      </w:r>
      <w:r>
        <w:t>.</w:t>
      </w:r>
      <w:r>
        <w:tab/>
        <w:t>Certain other vehicles, dutiable value of</w:t>
      </w:r>
      <w:bookmarkEnd w:id="309"/>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310" w:name="_Toc375130844"/>
      <w:r>
        <w:rPr>
          <w:rStyle w:val="CharSectno"/>
        </w:rPr>
        <w:t>239</w:t>
      </w:r>
      <w:r>
        <w:t>.</w:t>
      </w:r>
      <w:r>
        <w:tab/>
        <w:t>Specialised vehicles, dutiable value of</w:t>
      </w:r>
      <w:bookmarkEnd w:id="310"/>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311" w:name="_Toc375130845"/>
      <w:r>
        <w:rPr>
          <w:rStyle w:val="CharDivNo"/>
          <w:sz w:val="28"/>
        </w:rPr>
        <w:t>Part 4</w:t>
      </w:r>
      <w:r>
        <w:rPr>
          <w:sz w:val="28"/>
        </w:rPr>
        <w:t> — </w:t>
      </w:r>
      <w:r>
        <w:rPr>
          <w:rStyle w:val="CharDivText"/>
          <w:sz w:val="28"/>
        </w:rPr>
        <w:t>Exemptions and nominal duty</w:t>
      </w:r>
      <w:bookmarkEnd w:id="311"/>
    </w:p>
    <w:p>
      <w:pPr>
        <w:pStyle w:val="Heading4"/>
        <w:spacing w:before="220"/>
        <w:rPr>
          <w:sz w:val="26"/>
        </w:rPr>
      </w:pPr>
      <w:bookmarkStart w:id="312" w:name="_Toc375130846"/>
      <w:r>
        <w:rPr>
          <w:sz w:val="26"/>
        </w:rPr>
        <w:t>Division 1 — Exemptions — general</w:t>
      </w:r>
      <w:bookmarkEnd w:id="312"/>
    </w:p>
    <w:p>
      <w:pPr>
        <w:pStyle w:val="Heading5"/>
        <w:spacing w:before="180"/>
      </w:pPr>
      <w:bookmarkStart w:id="313" w:name="_Toc375130847"/>
      <w:r>
        <w:rPr>
          <w:rStyle w:val="CharSectno"/>
        </w:rPr>
        <w:t>240</w:t>
      </w:r>
      <w:r>
        <w:t>.</w:t>
      </w:r>
      <w:r>
        <w:tab/>
        <w:t>If no vehicle licence fee payable under Road Traffic Act</w:t>
      </w:r>
      <w:bookmarkEnd w:id="313"/>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314" w:name="_Toc375130848"/>
      <w:r>
        <w:rPr>
          <w:rStyle w:val="CharSectno"/>
        </w:rPr>
        <w:t>241</w:t>
      </w:r>
      <w:r>
        <w:t>.</w:t>
      </w:r>
      <w:r>
        <w:tab/>
        <w:t>If transfer is a reconstruction transaction</w:t>
      </w:r>
      <w:bookmarkEnd w:id="314"/>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315" w:name="_Toc375130849"/>
      <w:r>
        <w:rPr>
          <w:rStyle w:val="CharSectno"/>
        </w:rPr>
        <w:t>242</w:t>
      </w:r>
      <w:r>
        <w:t>.</w:t>
      </w:r>
      <w:r>
        <w:tab/>
        <w:t>If vehicle previously licensed to licence holder</w:t>
      </w:r>
      <w:bookmarkEnd w:id="315"/>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316" w:name="_Toc375130850"/>
      <w:r>
        <w:rPr>
          <w:rStyle w:val="CharSectno"/>
        </w:rPr>
        <w:t>243</w:t>
      </w:r>
      <w:r>
        <w:t>.</w:t>
      </w:r>
      <w:r>
        <w:tab/>
        <w:t>If licence is for certain heavy vehicle</w:t>
      </w:r>
      <w:bookmarkEnd w:id="316"/>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since 16 January 1997, no licence or registration has been granted under the Road Traffic Act or a corresponding State law for the vehicle in any other person’s name.</w:t>
      </w:r>
    </w:p>
    <w:p>
      <w:pPr>
        <w:pStyle w:val="Heading5"/>
      </w:pPr>
      <w:bookmarkStart w:id="317" w:name="_Toc375130851"/>
      <w:r>
        <w:rPr>
          <w:rStyle w:val="CharSectno"/>
        </w:rPr>
        <w:t>244A</w:t>
      </w:r>
      <w:r>
        <w:t>.</w:t>
      </w:r>
      <w:r>
        <w:tab/>
        <w:t>If transfer is between spouses or de facto partners</w:t>
      </w:r>
      <w:bookmarkEnd w:id="317"/>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318" w:name="_Toc375130852"/>
      <w:r>
        <w:rPr>
          <w:rStyle w:val="CharSectno"/>
        </w:rPr>
        <w:t>244</w:t>
      </w:r>
      <w:r>
        <w:t>.</w:t>
      </w:r>
      <w:r>
        <w:tab/>
        <w:t>If licence is for prescribed class of person or vehicle etc.</w:t>
      </w:r>
      <w:bookmarkEnd w:id="318"/>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319" w:name="_Toc375130853"/>
      <w:r>
        <w:rPr>
          <w:sz w:val="26"/>
        </w:rPr>
        <w:t>Division 2 — Exemptions — motor vehicle dealers</w:t>
      </w:r>
      <w:bookmarkEnd w:id="319"/>
    </w:p>
    <w:p>
      <w:pPr>
        <w:pStyle w:val="Heading5"/>
      </w:pPr>
      <w:bookmarkStart w:id="320" w:name="_Toc375130854"/>
      <w:r>
        <w:rPr>
          <w:rStyle w:val="CharSectno"/>
        </w:rPr>
        <w:t>245</w:t>
      </w:r>
      <w:r>
        <w:t>.</w:t>
      </w:r>
      <w:r>
        <w:tab/>
        <w:t>Use of vehicle includes for minor incidental purposes</w:t>
      </w:r>
      <w:bookmarkEnd w:id="320"/>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321" w:name="_Toc375130855"/>
      <w:r>
        <w:rPr>
          <w:rStyle w:val="CharSectno"/>
        </w:rPr>
        <w:t>246</w:t>
      </w:r>
      <w:r>
        <w:t>.</w:t>
      </w:r>
      <w:r>
        <w:tab/>
        <w:t>If licence is for vehicle in dealer’s trading stock</w:t>
      </w:r>
      <w:bookmarkEnd w:id="321"/>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322" w:name="_Toc375130856"/>
      <w:r>
        <w:rPr>
          <w:rStyle w:val="CharSectno"/>
        </w:rPr>
        <w:t>247</w:t>
      </w:r>
      <w:r>
        <w:t>.</w:t>
      </w:r>
      <w:r>
        <w:tab/>
        <w:t>If licence is for vehicle used for charitable etc. purposes</w:t>
      </w:r>
      <w:bookmarkEnd w:id="322"/>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323" w:name="_Toc375130857"/>
      <w:r>
        <w:rPr>
          <w:rStyle w:val="CharSectno"/>
        </w:rPr>
        <w:t>248</w:t>
      </w:r>
      <w:r>
        <w:t>.</w:t>
      </w:r>
      <w:r>
        <w:tab/>
        <w:t>Change of permitted use of exempt vehicle, Commissioner to be notified</w:t>
      </w:r>
      <w:bookmarkEnd w:id="323"/>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324" w:name="_Toc375130858"/>
      <w:r>
        <w:rPr>
          <w:rStyle w:val="CharSectno"/>
        </w:rPr>
        <w:t>249</w:t>
      </w:r>
      <w:r>
        <w:t>.</w:t>
      </w:r>
      <w:r>
        <w:tab/>
        <w:t>Change of use of exempt vehicle to non</w:t>
      </w:r>
      <w:r>
        <w:noBreakHyphen/>
        <w:t>permitted use, consequences of</w:t>
      </w:r>
      <w:bookmarkEnd w:id="324"/>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325" w:name="_Toc375130859"/>
      <w:r>
        <w:rPr>
          <w:sz w:val="26"/>
        </w:rPr>
        <w:t>Division 3 — Nominal duty</w:t>
      </w:r>
      <w:bookmarkEnd w:id="325"/>
    </w:p>
    <w:p>
      <w:pPr>
        <w:pStyle w:val="Heading5"/>
      </w:pPr>
      <w:bookmarkStart w:id="326" w:name="_Toc375130860"/>
      <w:r>
        <w:rPr>
          <w:rStyle w:val="CharSectno"/>
        </w:rPr>
        <w:t>250</w:t>
      </w:r>
      <w:r>
        <w:t>.</w:t>
      </w:r>
      <w:r>
        <w:tab/>
        <w:t>Transactions chargeable with nominal duty</w:t>
      </w:r>
      <w:bookmarkEnd w:id="326"/>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327" w:name="_Toc375130861"/>
      <w:r>
        <w:rPr>
          <w:rStyle w:val="CharDivNo"/>
          <w:sz w:val="28"/>
        </w:rPr>
        <w:t>Part 5</w:t>
      </w:r>
      <w:r>
        <w:rPr>
          <w:sz w:val="28"/>
        </w:rPr>
        <w:t> — </w:t>
      </w:r>
      <w:r>
        <w:rPr>
          <w:rStyle w:val="CharDivText"/>
          <w:sz w:val="28"/>
        </w:rPr>
        <w:t>General provisions as to vehicle licence duty</w:t>
      </w:r>
      <w:bookmarkEnd w:id="327"/>
    </w:p>
    <w:p>
      <w:pPr>
        <w:pStyle w:val="Heading5"/>
      </w:pPr>
      <w:bookmarkStart w:id="328" w:name="_Toc375130862"/>
      <w:r>
        <w:rPr>
          <w:rStyle w:val="CharSectno"/>
        </w:rPr>
        <w:t>251</w:t>
      </w:r>
      <w:r>
        <w:t>.</w:t>
      </w:r>
      <w:r>
        <w:tab/>
        <w:t>Failure to apply for transfer of licence</w:t>
      </w:r>
      <w:bookmarkEnd w:id="328"/>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329" w:name="_Toc375130863"/>
      <w:r>
        <w:rPr>
          <w:rStyle w:val="CharSectno"/>
        </w:rPr>
        <w:t>252</w:t>
      </w:r>
      <w:r>
        <w:t>.</w:t>
      </w:r>
      <w:r>
        <w:tab/>
        <w:t>Seller to state dutiable value of vehicle etc.</w:t>
      </w:r>
      <w:bookmarkEnd w:id="329"/>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330" w:name="_Toc375130864"/>
      <w:r>
        <w:rPr>
          <w:rStyle w:val="CharSectno"/>
        </w:rPr>
        <w:t>253</w:t>
      </w:r>
      <w:r>
        <w:t>.</w:t>
      </w:r>
      <w:r>
        <w:tab/>
        <w:t>Functions of Director General and Commissioner</w:t>
      </w:r>
      <w:bookmarkEnd w:id="330"/>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331" w:name="_Toc375130865"/>
      <w:r>
        <w:rPr>
          <w:rStyle w:val="CharSectno"/>
        </w:rPr>
        <w:t>254</w:t>
      </w:r>
      <w:r>
        <w:t>.</w:t>
      </w:r>
      <w:r>
        <w:tab/>
        <w:t>Form of certain declarations</w:t>
      </w:r>
      <w:bookmarkEnd w:id="331"/>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332" w:name="_Toc375130866"/>
      <w:r>
        <w:rPr>
          <w:rStyle w:val="CharSectno"/>
        </w:rPr>
        <w:t>255</w:t>
      </w:r>
      <w:r>
        <w:t>.</w:t>
      </w:r>
      <w:r>
        <w:tab/>
        <w:t>Director General’s duties</w:t>
      </w:r>
      <w:bookmarkEnd w:id="332"/>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333" w:name="_Toc375130867"/>
      <w:r>
        <w:rPr>
          <w:rStyle w:val="CharSectno"/>
        </w:rPr>
        <w:t>256</w:t>
      </w:r>
      <w:r>
        <w:t>.</w:t>
      </w:r>
      <w:r>
        <w:tab/>
        <w:t>Records to be kept by dealers</w:t>
      </w:r>
      <w:bookmarkEnd w:id="333"/>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334" w:name="_Toc375130868"/>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334"/>
    </w:p>
    <w:p>
      <w:pPr>
        <w:pStyle w:val="Heading5"/>
      </w:pPr>
      <w:bookmarkStart w:id="335" w:name="_Toc375130869"/>
      <w:r>
        <w:rPr>
          <w:rStyle w:val="CharSectno"/>
        </w:rPr>
        <w:t>257</w:t>
      </w:r>
      <w:r>
        <w:t>.</w:t>
      </w:r>
      <w:r>
        <w:tab/>
        <w:t>Terms used</w:t>
      </w:r>
      <w:bookmarkEnd w:id="335"/>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336" w:name="_Toc375130870"/>
      <w:r>
        <w:rPr>
          <w:rStyle w:val="CharSectno"/>
        </w:rPr>
        <w:t>258</w:t>
      </w:r>
      <w:r>
        <w:t>.</w:t>
      </w:r>
      <w:r>
        <w:tab/>
        <w:t>Members of a family</w:t>
      </w:r>
      <w:bookmarkEnd w:id="336"/>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337" w:name="_Toc375130871"/>
      <w:r>
        <w:rPr>
          <w:rStyle w:val="CharSectno"/>
        </w:rPr>
        <w:t>259</w:t>
      </w:r>
      <w:r>
        <w:t>.</w:t>
      </w:r>
      <w:r>
        <w:tab/>
        <w:t>Term used: relevant consolidation transaction</w:t>
      </w:r>
      <w:bookmarkEnd w:id="337"/>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338" w:name="_Toc375130872"/>
      <w:r>
        <w:rPr>
          <w:rStyle w:val="CharSectno"/>
        </w:rPr>
        <w:t>260</w:t>
      </w:r>
      <w:r>
        <w:t>.</w:t>
      </w:r>
      <w:r>
        <w:tab/>
        <w:t>Term used: relevant reconstruction transaction</w:t>
      </w:r>
      <w:bookmarkEnd w:id="338"/>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spacing w:before="100"/>
      </w:pPr>
      <w:r>
        <w:tab/>
        <w:t>(ii)</w:t>
      </w:r>
      <w:r>
        <w:tab/>
        <w:t>a transfer of dutiable property from one member of a family to another member of the family;</w:t>
      </w:r>
    </w:p>
    <w:p>
      <w:pPr>
        <w:pStyle w:val="Indenti"/>
        <w:spacing w:before="100"/>
      </w:pPr>
      <w:r>
        <w:tab/>
        <w:t>(iii)</w:t>
      </w:r>
      <w:r>
        <w:tab/>
        <w:t>a declaration of trust over dutiable property under which one member of a family holds the property on trust for another member of the family;</w:t>
      </w:r>
    </w:p>
    <w:p>
      <w:pPr>
        <w:pStyle w:val="Indenti"/>
        <w:spacing w:before="100"/>
      </w:pPr>
      <w:r>
        <w:tab/>
        <w:t>(iv)</w:t>
      </w:r>
      <w:r>
        <w:tab/>
        <w:t>a vesting of dutiable property held by one member of a family in another member of the family;</w:t>
      </w:r>
    </w:p>
    <w:p>
      <w:pPr>
        <w:pStyle w:val="Indenti"/>
        <w:spacing w:before="100"/>
      </w:pPr>
      <w:r>
        <w:tab/>
        <w:t>(v)</w:t>
      </w:r>
      <w:r>
        <w:tab/>
        <w:t>a surrender of special dutiable property, within the meaning of section 18, if the special dutiable property is surrendered by one member of a family to another member of the family;</w:t>
      </w:r>
    </w:p>
    <w:p>
      <w:pPr>
        <w:pStyle w:val="Indenta"/>
        <w:spacing w:before="100"/>
      </w:pPr>
      <w:r>
        <w:tab/>
        <w:t>(b)</w:t>
      </w:r>
      <w:r>
        <w:tab/>
        <w:t>a transfer of a licence for a vehicle from one member of a family to another member of the family, if vehicle licence duty is chargeable;</w:t>
      </w:r>
    </w:p>
    <w:p>
      <w:pPr>
        <w:pStyle w:val="Ednotepara"/>
        <w:spacing w:before="100"/>
      </w:pPr>
      <w:r>
        <w:tab/>
        <w:t>[(c)</w:t>
      </w:r>
      <w:r>
        <w:tab/>
        <w:t>deleted]</w:t>
      </w:r>
    </w:p>
    <w:p>
      <w:pPr>
        <w:pStyle w:val="Indenta"/>
        <w:spacing w:before="100"/>
      </w:pPr>
      <w:r>
        <w:tab/>
        <w:t>(d)</w:t>
      </w:r>
      <w:r>
        <w:tab/>
        <w:t>an acquisition by one member of a family from another member of the family of an interest in an entity, if landholder duty is chargeable.</w:t>
      </w:r>
    </w:p>
    <w:p>
      <w:pPr>
        <w:pStyle w:val="Subsection"/>
        <w:spacing w:before="20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20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keepNext/>
        <w:spacing w:before="20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339" w:name="_Toc375130873"/>
      <w:r>
        <w:rPr>
          <w:rStyle w:val="CharSectno"/>
        </w:rPr>
        <w:t>261</w:t>
      </w:r>
      <w:r>
        <w:t>.</w:t>
      </w:r>
      <w:r>
        <w:tab/>
        <w:t>Predetermining certain questions</w:t>
      </w:r>
      <w:bookmarkEnd w:id="339"/>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340" w:name="_Toc375130874"/>
      <w:r>
        <w:rPr>
          <w:rStyle w:val="CharSectno"/>
        </w:rPr>
        <w:t>262</w:t>
      </w:r>
      <w:r>
        <w:t>.</w:t>
      </w:r>
      <w:r>
        <w:tab/>
        <w:t>Application for exemption</w:t>
      </w:r>
      <w:bookmarkEnd w:id="340"/>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r>
        <w:tab/>
        <w:t>[Section 262 amended by No. 17 of 2010 s. 16.]</w:t>
      </w:r>
    </w:p>
    <w:p>
      <w:pPr>
        <w:pStyle w:val="Heading5"/>
      </w:pPr>
      <w:bookmarkStart w:id="341" w:name="_Toc375130875"/>
      <w:r>
        <w:rPr>
          <w:rStyle w:val="CharSectno"/>
        </w:rPr>
        <w:t>263</w:t>
      </w:r>
      <w:r>
        <w:t>.</w:t>
      </w:r>
      <w:r>
        <w:tab/>
        <w:t>Grant of exemption</w:t>
      </w:r>
      <w:bookmarkEnd w:id="341"/>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342" w:name="_Toc375130876"/>
      <w:r>
        <w:rPr>
          <w:rStyle w:val="CharSectno"/>
        </w:rPr>
        <w:t>264</w:t>
      </w:r>
      <w:r>
        <w:t>.</w:t>
      </w:r>
      <w:r>
        <w:tab/>
        <w:t>Commissioner to be notified of certain events after exempt relevant transaction</w:t>
      </w:r>
      <w:bookmarkEnd w:id="342"/>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343" w:name="_Toc375130877"/>
      <w:r>
        <w:rPr>
          <w:rStyle w:val="CharSectno"/>
        </w:rPr>
        <w:t>265</w:t>
      </w:r>
      <w:r>
        <w:t>.</w:t>
      </w:r>
      <w:r>
        <w:tab/>
        <w:t>Revoking exemption</w:t>
      </w:r>
      <w:bookmarkEnd w:id="343"/>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344" w:name="_Toc375130878"/>
      <w:r>
        <w:rPr>
          <w:rStyle w:val="CharSectno"/>
        </w:rPr>
        <w:t>266</w:t>
      </w:r>
      <w:r>
        <w:t>.</w:t>
      </w:r>
      <w:r>
        <w:tab/>
        <w:t>Liability for duty and tax if exemption revoked</w:t>
      </w:r>
      <w:bookmarkEnd w:id="344"/>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345" w:name="_Toc375130879"/>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345"/>
    </w:p>
    <w:p>
      <w:pPr>
        <w:pStyle w:val="Heading5"/>
      </w:pPr>
      <w:bookmarkStart w:id="346" w:name="_Toc375130880"/>
      <w:r>
        <w:rPr>
          <w:rStyle w:val="CharSectno"/>
        </w:rPr>
        <w:t>267</w:t>
      </w:r>
      <w:r>
        <w:t>.</w:t>
      </w:r>
      <w:r>
        <w:tab/>
        <w:t>Term used: scheme</w:t>
      </w:r>
      <w:bookmarkEnd w:id="346"/>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347" w:name="_Toc375130881"/>
      <w:r>
        <w:rPr>
          <w:rStyle w:val="CharSectno"/>
        </w:rPr>
        <w:t>268</w:t>
      </w:r>
      <w:r>
        <w:t>.</w:t>
      </w:r>
      <w:r>
        <w:tab/>
        <w:t>Term used: tax avoidance scheme</w:t>
      </w:r>
      <w:bookmarkEnd w:id="347"/>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348" w:name="_Toc375130882"/>
      <w:r>
        <w:rPr>
          <w:rStyle w:val="CharSectno"/>
        </w:rPr>
        <w:t>269</w:t>
      </w:r>
      <w:r>
        <w:t>.</w:t>
      </w:r>
      <w:r>
        <w:tab/>
        <w:t>Deciding whether proposed scheme would be disregarded under s. 270</w:t>
      </w:r>
      <w:bookmarkEnd w:id="348"/>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349" w:name="_Toc375130883"/>
      <w:r>
        <w:rPr>
          <w:rStyle w:val="CharSectno"/>
        </w:rPr>
        <w:t>270</w:t>
      </w:r>
      <w:r>
        <w:t>.</w:t>
      </w:r>
      <w:r>
        <w:tab/>
        <w:t>Certain tax avoidance schemes, Commissioner may disregard</w:t>
      </w:r>
      <w:bookmarkEnd w:id="349"/>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by No. 10 of 2013 s. 7.]</w:t>
      </w:r>
    </w:p>
    <w:p>
      <w:pPr>
        <w:pStyle w:val="Heading5"/>
      </w:pPr>
      <w:bookmarkStart w:id="350" w:name="_Toc375130884"/>
      <w:r>
        <w:rPr>
          <w:rStyle w:val="CharSectno"/>
        </w:rPr>
        <w:t>271</w:t>
      </w:r>
      <w:r>
        <w:t>.</w:t>
      </w:r>
      <w:r>
        <w:tab/>
        <w:t>Statement in relation to determination</w:t>
      </w:r>
      <w:bookmarkEnd w:id="350"/>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351" w:name="_Toc375130885"/>
      <w:r>
        <w:rPr>
          <w:rStyle w:val="CharPartNo"/>
          <w:sz w:val="32"/>
        </w:rPr>
        <w:t>Chapter 8</w:t>
      </w:r>
      <w:r>
        <w:rPr>
          <w:sz w:val="32"/>
        </w:rPr>
        <w:t> — </w:t>
      </w:r>
      <w:r>
        <w:rPr>
          <w:rStyle w:val="CharPartText"/>
          <w:sz w:val="32"/>
        </w:rPr>
        <w:t>Other general provisions</w:t>
      </w:r>
      <w:bookmarkEnd w:id="351"/>
    </w:p>
    <w:p>
      <w:pPr>
        <w:pStyle w:val="Heading3"/>
        <w:rPr>
          <w:sz w:val="28"/>
        </w:rPr>
      </w:pPr>
      <w:bookmarkStart w:id="352" w:name="_Toc375130886"/>
      <w:r>
        <w:rPr>
          <w:rStyle w:val="CharDivNo"/>
          <w:sz w:val="28"/>
        </w:rPr>
        <w:t>Part 1</w:t>
      </w:r>
      <w:r>
        <w:rPr>
          <w:sz w:val="28"/>
        </w:rPr>
        <w:t> — </w:t>
      </w:r>
      <w:r>
        <w:rPr>
          <w:rStyle w:val="CharDivText"/>
          <w:sz w:val="28"/>
        </w:rPr>
        <w:t>Duty endorsement</w:t>
      </w:r>
      <w:bookmarkEnd w:id="352"/>
    </w:p>
    <w:p>
      <w:pPr>
        <w:pStyle w:val="Heading5"/>
        <w:spacing w:before="180"/>
      </w:pPr>
      <w:bookmarkStart w:id="353" w:name="_Toc375130887"/>
      <w:r>
        <w:rPr>
          <w:rStyle w:val="CharSectno"/>
        </w:rPr>
        <w:t>272</w:t>
      </w:r>
      <w:r>
        <w:t>.</w:t>
      </w:r>
      <w:r>
        <w:tab/>
        <w:t>Term used: duty endorsed</w:t>
      </w:r>
      <w:bookmarkEnd w:id="353"/>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spacing w:before="180"/>
      </w:pPr>
      <w:bookmarkStart w:id="354" w:name="_Toc375130888"/>
      <w:r>
        <w:rPr>
          <w:rStyle w:val="CharSectno"/>
        </w:rPr>
        <w:t>273</w:t>
      </w:r>
      <w:r>
        <w:t>.</w:t>
      </w:r>
      <w:r>
        <w:tab/>
        <w:t>Endorsing transaction records as to duty paid etc.</w:t>
      </w:r>
      <w:bookmarkEnd w:id="354"/>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(3A)</w:t>
      </w:r>
      <w:r>
        <w:tab/>
        <w:t>Despite subsection (2), the Commissioner is not required to (but may) endorse a transaction record to indicate the duty paid as a consequence of an interim assessment.</w:t>
      </w:r>
    </w:p>
    <w:p>
      <w:pPr>
        <w:pStyle w:val="Subsection"/>
        <w:spacing w:before="12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spacing w:before="120"/>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2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by No. 10 of 2013 s. 8.]</w:t>
      </w:r>
    </w:p>
    <w:p>
      <w:pPr>
        <w:pStyle w:val="Heading5"/>
        <w:keepNext w:val="0"/>
        <w:keepLines w:val="0"/>
        <w:spacing w:before="180"/>
      </w:pPr>
      <w:bookmarkStart w:id="355" w:name="_Toc375130889"/>
      <w:r>
        <w:rPr>
          <w:rStyle w:val="CharSectno"/>
        </w:rPr>
        <w:t>274</w:t>
      </w:r>
      <w:r>
        <w:t>.</w:t>
      </w:r>
      <w:r>
        <w:tab/>
        <w:t>Endorsement of duty that depends on duty paid on another transaction</w:t>
      </w:r>
      <w:bookmarkEnd w:id="355"/>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28"/>
        </w:numPr>
        <w:tabs>
          <w:tab w:val="clear" w:pos="1920"/>
          <w:tab w:val="left" w:pos="1418"/>
          <w:tab w:val="num" w:pos="1843"/>
        </w:tabs>
        <w:spacing w:before="80"/>
        <w:ind w:left="1775" w:hanging="357"/>
      </w:pPr>
      <w:r>
        <w:t xml:space="preserve"> that no duty is chargeable on the transfer; and</w:t>
      </w:r>
    </w:p>
    <w:p>
      <w:pPr>
        <w:pStyle w:val="NotesPerm"/>
        <w:numPr>
          <w:ilvl w:val="0"/>
          <w:numId w:val="28"/>
        </w:numPr>
        <w:tabs>
          <w:tab w:val="clear" w:pos="1920"/>
          <w:tab w:val="num" w:pos="1843"/>
        </w:tabs>
        <w:spacing w:before="80"/>
        <w:ind w:left="1843" w:hanging="425"/>
      </w:pPr>
      <w:r>
        <w:t>the duty of $20 700 paid on the agreement for transfer.</w:t>
      </w:r>
    </w:p>
    <w:p>
      <w:pPr>
        <w:pStyle w:val="Heading5"/>
      </w:pPr>
      <w:bookmarkStart w:id="356" w:name="_Toc375130890"/>
      <w:r>
        <w:rPr>
          <w:rStyle w:val="CharSectno"/>
        </w:rPr>
        <w:t>275</w:t>
      </w:r>
      <w:r>
        <w:t>.</w:t>
      </w:r>
      <w:r>
        <w:tab/>
        <w:t>Duty endorsement is evidence of certain matters</w:t>
      </w:r>
      <w:bookmarkEnd w:id="356"/>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357" w:name="_Toc375130891"/>
      <w:r>
        <w:rPr>
          <w:rStyle w:val="CharDivNo"/>
          <w:sz w:val="28"/>
        </w:rPr>
        <w:t>Part 2</w:t>
      </w:r>
      <w:r>
        <w:rPr>
          <w:sz w:val="28"/>
        </w:rPr>
        <w:t> — </w:t>
      </w:r>
      <w:r>
        <w:rPr>
          <w:rStyle w:val="CharDivText"/>
          <w:sz w:val="28"/>
        </w:rPr>
        <w:t>Enforcement</w:t>
      </w:r>
      <w:bookmarkEnd w:id="357"/>
    </w:p>
    <w:p>
      <w:pPr>
        <w:pStyle w:val="Heading5"/>
      </w:pPr>
      <w:bookmarkStart w:id="358" w:name="_Toc375130892"/>
      <w:r>
        <w:rPr>
          <w:rStyle w:val="CharSectno"/>
        </w:rPr>
        <w:t>276</w:t>
      </w:r>
      <w:r>
        <w:t>.</w:t>
      </w:r>
      <w:r>
        <w:tab/>
        <w:t>Dutiable transactions etc. not to be registered etc. unless duty endorsed</w:t>
      </w:r>
      <w:bookmarkEnd w:id="358"/>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359" w:name="_Toc375130893"/>
      <w:r>
        <w:rPr>
          <w:rStyle w:val="CharSectno"/>
        </w:rPr>
        <w:t>277</w:t>
      </w:r>
      <w:r>
        <w:t>.</w:t>
      </w:r>
      <w:r>
        <w:tab/>
        <w:t>Business licences not to be registered etc. unless duty endorsed or instrument lodged</w:t>
      </w:r>
      <w:bookmarkEnd w:id="359"/>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360" w:name="_Toc375130894"/>
      <w:r>
        <w:rPr>
          <w:rStyle w:val="CharSectno"/>
        </w:rPr>
        <w:t>278</w:t>
      </w:r>
      <w:r>
        <w:t>.</w:t>
      </w:r>
      <w:r>
        <w:tab/>
        <w:t>Caveat as to dutiable transaction not to be registered unless transaction is duty endorsed or lodged</w:t>
      </w:r>
      <w:bookmarkEnd w:id="360"/>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keepNext/>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361" w:name="_Toc375130895"/>
      <w:r>
        <w:rPr>
          <w:rStyle w:val="CharSectno"/>
        </w:rPr>
        <w:t>279</w:t>
      </w:r>
      <w:r>
        <w:t>.</w:t>
      </w:r>
      <w:r>
        <w:tab/>
        <w:t>Use of transaction records in civil proceedings</w:t>
      </w:r>
      <w:bookmarkEnd w:id="361"/>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pPr>
      <w:r>
        <w:tab/>
        <w:t>(ii)</w:t>
      </w:r>
      <w:r>
        <w:tab/>
        <w:t>if the court or tribunal is satisfied that the transaction record will be transmitted to the Commissioner in accordance with arrangements approved by the court or tribunal;</w:t>
      </w:r>
    </w:p>
    <w:p>
      <w:pPr>
        <w:pStyle w:val="Indenta"/>
      </w:pPr>
      <w:r>
        <w:tab/>
      </w:r>
      <w:r>
        <w:tab/>
        <w:t>or</w:t>
      </w:r>
    </w:p>
    <w:p>
      <w:pPr>
        <w:pStyle w:val="Indenta"/>
      </w:pPr>
      <w:r>
        <w:tab/>
        <w:t>(b)</w:t>
      </w:r>
      <w:r>
        <w:tab/>
        <w:t xml:space="preserve">where the person that produces the transaction record is not the person liable to pay the duty — </w:t>
      </w:r>
    </w:p>
    <w:p>
      <w:pPr>
        <w:pStyle w:val="Indenti"/>
      </w:pPr>
      <w:r>
        <w:tab/>
        <w:t>(i)</w:t>
      </w:r>
      <w:r>
        <w:tab/>
        <w:t>if the name and address of the person so liable and the transaction record have been transmitted to the Commissioner; or</w:t>
      </w:r>
    </w:p>
    <w:p>
      <w:pPr>
        <w:pStyle w:val="Indenti"/>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pPr>
      <w:bookmarkStart w:id="362" w:name="_Toc375130896"/>
      <w:r>
        <w:rPr>
          <w:rStyle w:val="CharSectno"/>
        </w:rPr>
        <w:t>280</w:t>
      </w:r>
      <w:r>
        <w:t>.</w:t>
      </w:r>
      <w:r>
        <w:tab/>
        <w:t>Unlodged instruments, duty of non</w:t>
      </w:r>
      <w:r>
        <w:noBreakHyphen/>
        <w:t>party to lodge</w:t>
      </w:r>
      <w:bookmarkEnd w:id="362"/>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363" w:name="_Toc375130897"/>
      <w:r>
        <w:rPr>
          <w:rStyle w:val="CharDivNo"/>
          <w:sz w:val="28"/>
        </w:rPr>
        <w:t>Part 3</w:t>
      </w:r>
      <w:r>
        <w:rPr>
          <w:sz w:val="28"/>
        </w:rPr>
        <w:t> — </w:t>
      </w:r>
      <w:r>
        <w:rPr>
          <w:rStyle w:val="CharDivText"/>
          <w:sz w:val="28"/>
        </w:rPr>
        <w:t>Miscellaneous</w:t>
      </w:r>
      <w:bookmarkEnd w:id="363"/>
    </w:p>
    <w:p>
      <w:pPr>
        <w:pStyle w:val="Heading5"/>
      </w:pPr>
      <w:bookmarkStart w:id="364" w:name="_Toc375130898"/>
      <w:r>
        <w:rPr>
          <w:rStyle w:val="CharSectno"/>
        </w:rPr>
        <w:t>281</w:t>
      </w:r>
      <w:r>
        <w:t>.</w:t>
      </w:r>
      <w:r>
        <w:tab/>
        <w:t>Transaction records etc., Commissioner’s power to destroy</w:t>
      </w:r>
      <w:bookmarkEnd w:id="364"/>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365" w:name="_Toc375130899"/>
      <w:r>
        <w:rPr>
          <w:rStyle w:val="CharSectno"/>
        </w:rPr>
        <w:t>282</w:t>
      </w:r>
      <w:r>
        <w:t>.</w:t>
      </w:r>
      <w:r>
        <w:tab/>
        <w:t>Correction of errors</w:t>
      </w:r>
      <w:bookmarkEnd w:id="365"/>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28"/>
        </w:numPr>
        <w:tabs>
          <w:tab w:val="clear" w:pos="1920"/>
          <w:tab w:val="num" w:pos="1800"/>
        </w:tabs>
        <w:spacing w:before="80"/>
        <w:ind w:left="1775" w:hanging="215"/>
      </w:pPr>
      <w:r>
        <w:t>an accidental misdescription of property;</w:t>
      </w:r>
    </w:p>
    <w:p>
      <w:pPr>
        <w:pStyle w:val="NotesPerm"/>
        <w:numPr>
          <w:ilvl w:val="0"/>
          <w:numId w:val="28"/>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366" w:name="_Toc375130900"/>
      <w:r>
        <w:rPr>
          <w:rStyle w:val="CharSectno"/>
        </w:rPr>
        <w:t>283</w:t>
      </w:r>
      <w:r>
        <w:t>.</w:t>
      </w:r>
      <w:r>
        <w:tab/>
      </w:r>
      <w:r>
        <w:rPr>
          <w:snapToGrid w:val="0"/>
        </w:rPr>
        <w:t>Amounts expressed in foreign currency</w:t>
      </w:r>
      <w:bookmarkEnd w:id="366"/>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367" w:name="_Toc375130901"/>
      <w:r>
        <w:rPr>
          <w:rStyle w:val="CharSectno"/>
        </w:rPr>
        <w:t>284</w:t>
      </w:r>
      <w:r>
        <w:t>.</w:t>
      </w:r>
      <w:r>
        <w:tab/>
        <w:t>Application of Corporations Act s. 1070A(1)(a) limited</w:t>
      </w:r>
      <w:bookmarkEnd w:id="367"/>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368" w:name="_Toc375130902"/>
      <w:r>
        <w:rPr>
          <w:rStyle w:val="CharSectno"/>
        </w:rPr>
        <w:t>285</w:t>
      </w:r>
      <w:r>
        <w:t>.</w:t>
      </w:r>
      <w:r>
        <w:tab/>
        <w:t>Regulations</w:t>
      </w:r>
      <w:bookmarkEnd w:id="368"/>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369" w:name="_Toc375130903"/>
      <w:r>
        <w:rPr>
          <w:rStyle w:val="CharSectno"/>
        </w:rPr>
        <w:t>286</w:t>
      </w:r>
      <w:r>
        <w:t>.</w:t>
      </w:r>
      <w:r>
        <w:tab/>
        <w:t>Transitional provisions (Sch. 3)</w:t>
      </w:r>
      <w:bookmarkEnd w:id="369"/>
    </w:p>
    <w:p>
      <w:pPr>
        <w:pStyle w:val="Subsection"/>
      </w:pPr>
      <w:r>
        <w:tab/>
      </w:r>
      <w:r>
        <w:tab/>
        <w:t>Schedule 3 sets out transitional provisions.</w:t>
      </w:r>
    </w:p>
    <w:p>
      <w:pPr>
        <w:pStyle w:val="Subsection"/>
        <w:sectPr>
          <w:headerReference w:type="even" r:id="rId34"/>
          <w:headerReference w:type="default" r:id="rId35"/>
          <w:footerReference w:type="even" r:id="rId36"/>
          <w:footerReference w:type="default" r:id="rId37"/>
          <w:footerReference w:type="first" r:id="rId38"/>
          <w:endnotePr>
            <w:numFmt w:val="decimal"/>
          </w:endnotePr>
          <w:pgSz w:w="11906" w:h="16838" w:code="9"/>
          <w:pgMar w:top="2381" w:right="2410" w:bottom="3544" w:left="2410" w:header="720" w:footer="3380" w:gutter="0"/>
          <w:pgNumType w:start="1"/>
          <w:cols w:space="720"/>
          <w:titlePg/>
          <w:docGrid w:linePitch="326"/>
        </w:sectPr>
      </w:pPr>
    </w:p>
    <w:p>
      <w:pPr>
        <w:pStyle w:val="yScheduleHeading"/>
      </w:pPr>
      <w:bookmarkStart w:id="370" w:name="_Toc375130904"/>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370"/>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701"/>
        <w:gridCol w:w="1842"/>
        <w:gridCol w:w="1985"/>
      </w:tblGrid>
      <w:tr>
        <w:trPr>
          <w:cantSplit/>
          <w:tblHeader/>
        </w:trPr>
        <w:tc>
          <w:tcPr>
            <w:tcW w:w="1560"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01"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42"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98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560" w:type="dxa"/>
            <w:tcBorders>
              <w:top w:val="nil"/>
              <w:left w:val="nil"/>
              <w:bottom w:val="nil"/>
              <w:right w:val="nil"/>
            </w:tcBorders>
          </w:tcPr>
          <w:p>
            <w:pPr>
              <w:pStyle w:val="yTableNAm"/>
            </w:pPr>
            <w:r>
              <w:t>s. 11(1)(a)</w:t>
            </w:r>
          </w:p>
        </w:tc>
        <w:tc>
          <w:tcPr>
            <w:tcW w:w="1701" w:type="dxa"/>
            <w:tcBorders>
              <w:top w:val="nil"/>
              <w:left w:val="nil"/>
              <w:bottom w:val="nil"/>
              <w:right w:val="nil"/>
            </w:tcBorders>
          </w:tcPr>
          <w:p>
            <w:pPr>
              <w:pStyle w:val="yTableNAm"/>
            </w:pPr>
            <w:r>
              <w:t>Transfer</w:t>
            </w:r>
          </w:p>
        </w:tc>
        <w:tc>
          <w:tcPr>
            <w:tcW w:w="1842" w:type="dxa"/>
            <w:tcBorders>
              <w:top w:val="nil"/>
              <w:left w:val="nil"/>
              <w:bottom w:val="nil"/>
              <w:right w:val="nil"/>
            </w:tcBorders>
          </w:tcPr>
          <w:p>
            <w:pPr>
              <w:pStyle w:val="yTableNAm"/>
            </w:pPr>
            <w:r>
              <w:t xml:space="preserve">When the property is transferred </w:t>
            </w:r>
          </w:p>
        </w:tc>
        <w:tc>
          <w:tcPr>
            <w:tcW w:w="1985" w:type="dxa"/>
            <w:tcBorders>
              <w:top w:val="nil"/>
              <w:left w:val="nil"/>
              <w:bottom w:val="nil"/>
              <w:right w:val="nil"/>
            </w:tcBorders>
          </w:tcPr>
          <w:p>
            <w:pPr>
              <w:pStyle w:val="yTableNAm"/>
            </w:pPr>
            <w:r>
              <w:t>Transferee</w:t>
            </w:r>
          </w:p>
        </w:tc>
      </w:tr>
      <w:tr>
        <w:trPr>
          <w:cantSplit/>
        </w:trPr>
        <w:tc>
          <w:tcPr>
            <w:tcW w:w="1560" w:type="dxa"/>
            <w:tcBorders>
              <w:top w:val="nil"/>
              <w:left w:val="nil"/>
              <w:bottom w:val="nil"/>
              <w:right w:val="nil"/>
            </w:tcBorders>
          </w:tcPr>
          <w:p>
            <w:pPr>
              <w:pStyle w:val="yTableNAm"/>
            </w:pPr>
            <w:r>
              <w:t>s. 11(1)(b)</w:t>
            </w:r>
          </w:p>
        </w:tc>
        <w:tc>
          <w:tcPr>
            <w:tcW w:w="1701" w:type="dxa"/>
            <w:tcBorders>
              <w:top w:val="nil"/>
              <w:left w:val="nil"/>
              <w:bottom w:val="nil"/>
              <w:right w:val="nil"/>
            </w:tcBorders>
          </w:tcPr>
          <w:p>
            <w:pPr>
              <w:pStyle w:val="yTableNAm"/>
            </w:pPr>
            <w:r>
              <w:t>Agreement for transfer</w:t>
            </w:r>
          </w:p>
        </w:tc>
        <w:tc>
          <w:tcPr>
            <w:tcW w:w="1842" w:type="dxa"/>
            <w:tcBorders>
              <w:top w:val="nil"/>
              <w:left w:val="nil"/>
              <w:bottom w:val="nil"/>
              <w:right w:val="nil"/>
            </w:tcBorders>
          </w:tcPr>
          <w:p>
            <w:pPr>
              <w:pStyle w:val="yTableNAm"/>
            </w:pPr>
            <w:r>
              <w:t>When the agreement is made</w:t>
            </w:r>
          </w:p>
        </w:tc>
        <w:tc>
          <w:tcPr>
            <w:tcW w:w="1985" w:type="dxa"/>
            <w:tcBorders>
              <w:top w:val="nil"/>
              <w:left w:val="nil"/>
              <w:bottom w:val="nil"/>
              <w:right w:val="nil"/>
            </w:tcBorders>
          </w:tcPr>
          <w:p>
            <w:pPr>
              <w:pStyle w:val="yTableNAm"/>
            </w:pPr>
            <w:r>
              <w:t>Purchaser or transferee</w:t>
            </w:r>
          </w:p>
        </w:tc>
      </w:tr>
      <w:tr>
        <w:trPr>
          <w:cantSplit/>
        </w:trPr>
        <w:tc>
          <w:tcPr>
            <w:tcW w:w="1560" w:type="dxa"/>
            <w:tcBorders>
              <w:top w:val="nil"/>
              <w:left w:val="nil"/>
              <w:bottom w:val="nil"/>
              <w:right w:val="nil"/>
            </w:tcBorders>
          </w:tcPr>
          <w:p>
            <w:pPr>
              <w:pStyle w:val="yTableNAm"/>
            </w:pPr>
            <w:r>
              <w:t>s. 11(1)(c)</w:t>
            </w:r>
          </w:p>
        </w:tc>
        <w:tc>
          <w:tcPr>
            <w:tcW w:w="1701" w:type="dxa"/>
            <w:tcBorders>
              <w:top w:val="nil"/>
              <w:left w:val="nil"/>
              <w:bottom w:val="nil"/>
              <w:right w:val="nil"/>
            </w:tcBorders>
          </w:tcPr>
          <w:p>
            <w:pPr>
              <w:pStyle w:val="yTableNAm"/>
            </w:pPr>
            <w:r>
              <w:t>Declaration of trust</w:t>
            </w:r>
          </w:p>
        </w:tc>
        <w:tc>
          <w:tcPr>
            <w:tcW w:w="1842" w:type="dxa"/>
            <w:tcBorders>
              <w:top w:val="nil"/>
              <w:left w:val="nil"/>
              <w:bottom w:val="nil"/>
              <w:right w:val="nil"/>
            </w:tcBorders>
          </w:tcPr>
          <w:p>
            <w:pPr>
              <w:pStyle w:val="yTableNAm"/>
            </w:pPr>
            <w:r>
              <w:t>When the declaration is made</w:t>
            </w:r>
          </w:p>
        </w:tc>
        <w:tc>
          <w:tcPr>
            <w:tcW w:w="1985" w:type="dxa"/>
            <w:tcBorders>
              <w:top w:val="nil"/>
              <w:left w:val="nil"/>
              <w:bottom w:val="nil"/>
              <w:right w:val="nil"/>
            </w:tcBorders>
          </w:tcPr>
          <w:p>
            <w:pPr>
              <w:pStyle w:val="yTableNAm"/>
            </w:pPr>
            <w:r>
              <w:t>Person making the declaration</w:t>
            </w:r>
          </w:p>
        </w:tc>
      </w:tr>
      <w:tr>
        <w:trPr>
          <w:cantSplit/>
        </w:trPr>
        <w:tc>
          <w:tcPr>
            <w:tcW w:w="1560" w:type="dxa"/>
            <w:tcBorders>
              <w:top w:val="nil"/>
              <w:left w:val="nil"/>
              <w:bottom w:val="nil"/>
              <w:right w:val="nil"/>
            </w:tcBorders>
          </w:tcPr>
          <w:p>
            <w:pPr>
              <w:pStyle w:val="yTableNAm"/>
            </w:pPr>
            <w:r>
              <w:t>s. 11(1)(d)(i)</w:t>
            </w:r>
          </w:p>
        </w:tc>
        <w:tc>
          <w:tcPr>
            <w:tcW w:w="1701" w:type="dxa"/>
            <w:tcBorders>
              <w:top w:val="nil"/>
              <w:left w:val="nil"/>
              <w:bottom w:val="nil"/>
              <w:right w:val="nil"/>
            </w:tcBorders>
          </w:tcPr>
          <w:p>
            <w:pPr>
              <w:pStyle w:val="yTableNAm"/>
            </w:pPr>
            <w:r>
              <w:t>Vesting by statute law</w:t>
            </w:r>
          </w:p>
        </w:tc>
        <w:tc>
          <w:tcPr>
            <w:tcW w:w="1842" w:type="dxa"/>
            <w:tcBorders>
              <w:top w:val="nil"/>
              <w:left w:val="nil"/>
              <w:bottom w:val="nil"/>
              <w:right w:val="nil"/>
            </w:tcBorders>
          </w:tcPr>
          <w:p>
            <w:pPr>
              <w:pStyle w:val="yTableNAm"/>
            </w:pPr>
            <w:r>
              <w:t>When the vesting takes place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11(1)(d)(ii)</w:t>
            </w:r>
          </w:p>
        </w:tc>
        <w:tc>
          <w:tcPr>
            <w:tcW w:w="1701" w:type="dxa"/>
            <w:tcBorders>
              <w:top w:val="nil"/>
              <w:left w:val="nil"/>
              <w:bottom w:val="nil"/>
              <w:right w:val="nil"/>
            </w:tcBorders>
          </w:tcPr>
          <w:p>
            <w:pPr>
              <w:pStyle w:val="yTableNAm"/>
            </w:pPr>
            <w:r>
              <w:t>Vesting by court order</w:t>
            </w:r>
          </w:p>
        </w:tc>
        <w:tc>
          <w:tcPr>
            <w:tcW w:w="1842" w:type="dxa"/>
            <w:tcBorders>
              <w:top w:val="nil"/>
              <w:left w:val="nil"/>
              <w:bottom w:val="nil"/>
              <w:right w:val="nil"/>
            </w:tcBorders>
          </w:tcPr>
          <w:p>
            <w:pPr>
              <w:pStyle w:val="yTableNAm"/>
            </w:pPr>
            <w:r>
              <w:t>When the order is made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11(1)(e)</w:t>
            </w:r>
          </w:p>
        </w:tc>
        <w:tc>
          <w:tcPr>
            <w:tcW w:w="1701" w:type="dxa"/>
            <w:tcBorders>
              <w:top w:val="nil"/>
              <w:left w:val="nil"/>
              <w:bottom w:val="nil"/>
              <w:right w:val="nil"/>
            </w:tcBorders>
          </w:tcPr>
          <w:p>
            <w:pPr>
              <w:pStyle w:val="yTableNAm"/>
            </w:pPr>
            <w:r>
              <w:t>Foreclosure of mortgage</w:t>
            </w:r>
          </w:p>
        </w:tc>
        <w:tc>
          <w:tcPr>
            <w:tcW w:w="1842" w:type="dxa"/>
            <w:tcBorders>
              <w:top w:val="nil"/>
              <w:left w:val="nil"/>
              <w:bottom w:val="nil"/>
              <w:right w:val="nil"/>
            </w:tcBorders>
          </w:tcPr>
          <w:p>
            <w:pPr>
              <w:pStyle w:val="yTableNAm"/>
            </w:pPr>
            <w:r>
              <w:t>When the foreclosure order is made</w:t>
            </w:r>
          </w:p>
        </w:tc>
        <w:tc>
          <w:tcPr>
            <w:tcW w:w="1985" w:type="dxa"/>
            <w:tcBorders>
              <w:top w:val="nil"/>
              <w:left w:val="nil"/>
              <w:bottom w:val="nil"/>
              <w:right w:val="nil"/>
            </w:tcBorders>
          </w:tcPr>
          <w:p>
            <w:pPr>
              <w:pStyle w:val="yTableNAm"/>
            </w:pPr>
            <w:r>
              <w:t>Mortgagee</w:t>
            </w:r>
          </w:p>
        </w:tc>
      </w:tr>
      <w:tr>
        <w:trPr>
          <w:cantSplit/>
          <w:trHeight w:val="1508"/>
        </w:trPr>
        <w:tc>
          <w:tcPr>
            <w:tcW w:w="1560" w:type="dxa"/>
            <w:tcBorders>
              <w:top w:val="nil"/>
              <w:left w:val="nil"/>
              <w:bottom w:val="nil"/>
              <w:right w:val="nil"/>
            </w:tcBorders>
          </w:tcPr>
          <w:p>
            <w:pPr>
              <w:pStyle w:val="yTableNAm"/>
            </w:pPr>
            <w:r>
              <w:t>s. 11(1)(f)</w:t>
            </w:r>
          </w:p>
        </w:tc>
        <w:tc>
          <w:tcPr>
            <w:tcW w:w="1701" w:type="dxa"/>
            <w:tcBorders>
              <w:top w:val="nil"/>
              <w:left w:val="nil"/>
              <w:bottom w:val="nil"/>
              <w:right w:val="nil"/>
            </w:tcBorders>
          </w:tcPr>
          <w:p>
            <w:pPr>
              <w:pStyle w:val="yTableNAm"/>
            </w:pPr>
            <w:r>
              <w:t>Acquisition of new dutiable property</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985" w:type="dxa"/>
            <w:tcBorders>
              <w:top w:val="nil"/>
              <w:left w:val="nil"/>
              <w:bottom w:val="nil"/>
              <w:right w:val="nil"/>
            </w:tcBorders>
          </w:tcPr>
          <w:p>
            <w:pPr>
              <w:pStyle w:val="yTableNAm"/>
            </w:pPr>
            <w:r>
              <w:t>Person that acquires the property</w:t>
            </w:r>
          </w:p>
        </w:tc>
      </w:tr>
      <w:tr>
        <w:trPr>
          <w:cantSplit/>
          <w:trHeight w:val="1869"/>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p>
        </w:tc>
      </w:tr>
      <w:tr>
        <w:trPr>
          <w:cantSplit/>
        </w:trPr>
        <w:tc>
          <w:tcPr>
            <w:tcW w:w="1560" w:type="dxa"/>
            <w:tcBorders>
              <w:top w:val="nil"/>
              <w:left w:val="nil"/>
              <w:bottom w:val="nil"/>
              <w:right w:val="nil"/>
            </w:tcBorders>
          </w:tcPr>
          <w:p>
            <w:pPr>
              <w:pStyle w:val="yTableNAm"/>
            </w:pPr>
            <w:r>
              <w:t>s. 11(1)(g)</w:t>
            </w:r>
          </w:p>
        </w:tc>
        <w:tc>
          <w:tcPr>
            <w:tcW w:w="1701" w:type="dxa"/>
            <w:tcBorders>
              <w:top w:val="nil"/>
              <w:left w:val="nil"/>
              <w:bottom w:val="nil"/>
              <w:right w:val="nil"/>
            </w:tcBorders>
          </w:tcPr>
          <w:p>
            <w:pPr>
              <w:pStyle w:val="yTableNAm"/>
            </w:pPr>
            <w:r>
              <w:t>Surrender of special dutiable property</w:t>
            </w:r>
          </w:p>
        </w:tc>
        <w:tc>
          <w:tcPr>
            <w:tcW w:w="1842" w:type="dxa"/>
            <w:tcBorders>
              <w:top w:val="nil"/>
              <w:left w:val="nil"/>
              <w:bottom w:val="nil"/>
              <w:right w:val="nil"/>
            </w:tcBorders>
          </w:tcPr>
          <w:p>
            <w:pPr>
              <w:pStyle w:val="yTableNAm"/>
            </w:pPr>
            <w:r>
              <w:t>When the surrender takes place</w:t>
            </w:r>
          </w:p>
        </w:tc>
        <w:tc>
          <w:tcPr>
            <w:tcW w:w="1985" w:type="dxa"/>
            <w:tcBorders>
              <w:top w:val="nil"/>
              <w:left w:val="nil"/>
              <w:bottom w:val="nil"/>
              <w:right w:val="nil"/>
            </w:tcBorders>
          </w:tcPr>
          <w:p>
            <w:pPr>
              <w:pStyle w:val="yTableNAm"/>
            </w:pPr>
            <w:r>
              <w:t>Person to whom the interest is surrendered;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560" w:type="dxa"/>
            <w:tcBorders>
              <w:top w:val="nil"/>
              <w:left w:val="nil"/>
              <w:bottom w:val="nil"/>
              <w:right w:val="nil"/>
            </w:tcBorders>
          </w:tcPr>
          <w:p>
            <w:pPr>
              <w:pStyle w:val="yTableNAm"/>
            </w:pPr>
            <w:r>
              <w:t xml:space="preserve">s. 11(1)(h) </w:t>
            </w:r>
          </w:p>
        </w:tc>
        <w:tc>
          <w:tcPr>
            <w:tcW w:w="1701" w:type="dxa"/>
            <w:tcBorders>
              <w:top w:val="nil"/>
              <w:left w:val="nil"/>
              <w:bottom w:val="nil"/>
              <w:right w:val="nil"/>
            </w:tcBorders>
          </w:tcPr>
          <w:p>
            <w:pPr>
              <w:pStyle w:val="yTableNAm"/>
            </w:pPr>
            <w:r>
              <w:t xml:space="preserve">A trust acquisition or trust surrender </w:t>
            </w:r>
          </w:p>
        </w:tc>
        <w:tc>
          <w:tcPr>
            <w:tcW w:w="1842" w:type="dxa"/>
            <w:tcBorders>
              <w:top w:val="nil"/>
              <w:left w:val="nil"/>
              <w:bottom w:val="nil"/>
              <w:right w:val="nil"/>
            </w:tcBorders>
          </w:tcPr>
          <w:p>
            <w:pPr>
              <w:pStyle w:val="yTableNAm"/>
            </w:pPr>
            <w:r>
              <w:t>When the interest in the trust is acquired or surrendered</w:t>
            </w:r>
          </w:p>
        </w:tc>
        <w:tc>
          <w:tcPr>
            <w:tcW w:w="1985" w:type="dxa"/>
            <w:tcBorders>
              <w:top w:val="nil"/>
              <w:left w:val="nil"/>
              <w:bottom w:val="nil"/>
              <w:right w:val="nil"/>
            </w:tcBorders>
          </w:tcPr>
          <w:p>
            <w:pPr>
              <w:pStyle w:val="yTableNAm"/>
            </w:pPr>
            <w:r>
              <w:t>Person that is the trustee of the discretionary trust</w:t>
            </w:r>
          </w:p>
        </w:tc>
      </w:tr>
      <w:tr>
        <w:trPr>
          <w:cantSplit/>
        </w:trPr>
        <w:tc>
          <w:tcPr>
            <w:tcW w:w="1560" w:type="dxa"/>
            <w:tcBorders>
              <w:top w:val="nil"/>
              <w:left w:val="nil"/>
              <w:bottom w:val="nil"/>
              <w:right w:val="nil"/>
            </w:tcBorders>
          </w:tcPr>
          <w:p>
            <w:pPr>
              <w:pStyle w:val="yTableNAm"/>
            </w:pPr>
            <w:r>
              <w:t>s. 11(1)(i)</w:t>
            </w:r>
          </w:p>
        </w:tc>
        <w:tc>
          <w:tcPr>
            <w:tcW w:w="1701" w:type="dxa"/>
            <w:tcBorders>
              <w:top w:val="nil"/>
              <w:left w:val="nil"/>
              <w:bottom w:val="nil"/>
              <w:right w:val="nil"/>
            </w:tcBorders>
          </w:tcPr>
          <w:p>
            <w:pPr>
              <w:pStyle w:val="yTableNAm"/>
            </w:pPr>
            <w:r>
              <w:t>A partnership acquisition</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r>
              <w:t>Person that acquires the partnership interest</w:t>
            </w:r>
          </w:p>
        </w:tc>
      </w:tr>
      <w:tr>
        <w:trPr>
          <w:cantSplit/>
        </w:trPr>
        <w:tc>
          <w:tcPr>
            <w:tcW w:w="1560" w:type="dxa"/>
            <w:tcBorders>
              <w:top w:val="nil"/>
              <w:left w:val="nil"/>
              <w:bottom w:val="single" w:sz="4" w:space="0" w:color="auto"/>
              <w:right w:val="nil"/>
            </w:tcBorders>
          </w:tcPr>
          <w:p>
            <w:pPr>
              <w:pStyle w:val="yTableNAm"/>
            </w:pPr>
            <w:r>
              <w:t>s. 11(1)(j)</w:t>
            </w:r>
          </w:p>
        </w:tc>
        <w:tc>
          <w:tcPr>
            <w:tcW w:w="1701" w:type="dxa"/>
            <w:tcBorders>
              <w:top w:val="nil"/>
              <w:left w:val="nil"/>
              <w:bottom w:val="single" w:sz="4" w:space="0" w:color="auto"/>
              <w:right w:val="nil"/>
            </w:tcBorders>
          </w:tcPr>
          <w:p>
            <w:pPr>
              <w:pStyle w:val="yTableNAm"/>
            </w:pPr>
            <w:r>
              <w:t>A farm</w:t>
            </w:r>
            <w:r>
              <w:noBreakHyphen/>
              <w:t>in agreement</w:t>
            </w:r>
          </w:p>
        </w:tc>
        <w:tc>
          <w:tcPr>
            <w:tcW w:w="1842" w:type="dxa"/>
            <w:tcBorders>
              <w:top w:val="nil"/>
              <w:left w:val="nil"/>
              <w:bottom w:val="single" w:sz="4" w:space="0" w:color="auto"/>
              <w:right w:val="nil"/>
            </w:tcBorders>
          </w:tcPr>
          <w:p>
            <w:pPr>
              <w:pStyle w:val="yTableNAm"/>
            </w:pPr>
            <w:r>
              <w:t>When the agreement is made</w:t>
            </w:r>
          </w:p>
        </w:tc>
        <w:tc>
          <w:tcPr>
            <w:tcW w:w="1985" w:type="dxa"/>
            <w:tcBorders>
              <w:top w:val="nil"/>
              <w:left w:val="nil"/>
              <w:bottom w:val="single" w:sz="4" w:space="0" w:color="auto"/>
              <w:right w:val="nil"/>
            </w:tcBorders>
          </w:tcPr>
          <w:p>
            <w:pPr>
              <w:pStyle w:val="yTableNAm"/>
            </w:pPr>
            <w:r>
              <w:t>Person referred to in section 13(1)(b)</w:t>
            </w:r>
          </w:p>
        </w:tc>
      </w:tr>
    </w:tbl>
    <w:p>
      <w:pPr>
        <w:pStyle w:val="yScheduleHeading"/>
      </w:pPr>
      <w:bookmarkStart w:id="371" w:name="_Toc375130905"/>
      <w:r>
        <w:rPr>
          <w:rStyle w:val="CharSchNo"/>
        </w:rPr>
        <w:t>Schedule 2</w:t>
      </w:r>
      <w:r>
        <w:t> — </w:t>
      </w:r>
      <w:r>
        <w:rPr>
          <w:rStyle w:val="CharSchText"/>
        </w:rPr>
        <w:t>Rates of transfer duty</w:t>
      </w:r>
      <w:bookmarkEnd w:id="371"/>
    </w:p>
    <w:p>
      <w:pPr>
        <w:pStyle w:val="yHeading3"/>
      </w:pPr>
      <w:bookmarkStart w:id="372" w:name="_Toc375130906"/>
      <w:r>
        <w:rPr>
          <w:rStyle w:val="CharSDivNo"/>
        </w:rPr>
        <w:t>Division 1</w:t>
      </w:r>
      <w:r>
        <w:t> — </w:t>
      </w:r>
      <w:r>
        <w:rPr>
          <w:rStyle w:val="CharSDivText"/>
        </w:rPr>
        <w:t>General rate</w:t>
      </w:r>
      <w:bookmarkEnd w:id="372"/>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373" w:name="_Toc375130907"/>
      <w:r>
        <w:rPr>
          <w:rStyle w:val="CharSDivNo"/>
        </w:rPr>
        <w:t>Division 2</w:t>
      </w:r>
      <w:r>
        <w:t> — </w:t>
      </w:r>
      <w:r>
        <w:rPr>
          <w:rStyle w:val="CharSDivText"/>
        </w:rPr>
        <w:t>Concessional rates</w:t>
      </w:r>
      <w:bookmarkEnd w:id="373"/>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$500 000</w:t>
            </w:r>
            <w:r>
              <w:br/>
              <w:t>$500 001 — $600 000</w:t>
            </w:r>
          </w:p>
        </w:tc>
        <w:tc>
          <w:tcPr>
            <w:tcW w:w="2378" w:type="dxa"/>
            <w:tcBorders>
              <w:top w:val="nil"/>
              <w:left w:val="nil"/>
              <w:bottom w:val="nil"/>
              <w:right w:val="nil"/>
            </w:tcBorders>
          </w:tcPr>
          <w:p>
            <w:pPr>
              <w:pStyle w:val="yTableNAm"/>
            </w:pPr>
            <w:r>
              <w:t>Nil</w:t>
            </w:r>
            <w:r>
              <w:br/>
              <w:t xml:space="preserve">$22.51 per $100.00 or part of $100.00 above </w:t>
            </w:r>
            <w:r>
              <w:br/>
              <w:t>$500 000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Footnotesection"/>
      </w:pPr>
      <w:r>
        <w:tab/>
        <w:t>[Division 2 amended by No. 30 of 2008 s. 28.]</w:t>
      </w:r>
    </w:p>
    <w:p>
      <w:pPr>
        <w:pStyle w:val="yHeading3"/>
      </w:pPr>
      <w:bookmarkStart w:id="374" w:name="_Toc375130908"/>
      <w:r>
        <w:rPr>
          <w:rStyle w:val="CharSDivNo"/>
        </w:rPr>
        <w:t>Division 3</w:t>
      </w:r>
      <w:r>
        <w:t> — </w:t>
      </w:r>
      <w:r>
        <w:rPr>
          <w:rStyle w:val="CharSDivText"/>
        </w:rPr>
        <w:t>Nominal duty</w:t>
      </w:r>
      <w:bookmarkEnd w:id="374"/>
    </w:p>
    <w:p>
      <w:pPr>
        <w:pStyle w:val="ySubsection"/>
      </w:pPr>
      <w:r>
        <w:tab/>
      </w:r>
      <w:r>
        <w:tab/>
        <w:t>The amount of nominal duty is $20.00.</w:t>
      </w:r>
    </w:p>
    <w:p>
      <w:pPr>
        <w:sectPr>
          <w:headerReference w:type="even" r:id="rId39"/>
          <w:headerReference w:type="default" r:id="rId40"/>
          <w:endnotePr>
            <w:numFmt w:val="decimal"/>
          </w:endnotePr>
          <w:pgSz w:w="11906" w:h="16838" w:code="9"/>
          <w:pgMar w:top="2381" w:right="2410" w:bottom="3544" w:left="2410" w:header="720" w:footer="3380" w:gutter="0"/>
          <w:cols w:space="720"/>
          <w:docGrid w:linePitch="326"/>
        </w:sectPr>
      </w:pPr>
    </w:p>
    <w:p>
      <w:pPr>
        <w:pStyle w:val="yScheduleHeading"/>
      </w:pPr>
      <w:bookmarkStart w:id="375" w:name="_Toc375130909"/>
      <w:r>
        <w:rPr>
          <w:rStyle w:val="CharSchNo"/>
        </w:rPr>
        <w:t>Schedule 3</w:t>
      </w:r>
      <w:r>
        <w:t> — </w:t>
      </w:r>
      <w:r>
        <w:rPr>
          <w:rStyle w:val="CharSchText"/>
        </w:rPr>
        <w:t>Transitional provisions</w:t>
      </w:r>
      <w:bookmarkEnd w:id="375"/>
    </w:p>
    <w:p>
      <w:pPr>
        <w:pStyle w:val="yShoulderClause"/>
      </w:pPr>
      <w:r>
        <w:t>[s. 286]</w:t>
      </w:r>
    </w:p>
    <w:p>
      <w:pPr>
        <w:pStyle w:val="yHeading3"/>
      </w:pPr>
      <w:bookmarkStart w:id="376" w:name="_Toc375130910"/>
      <w:r>
        <w:rPr>
          <w:rStyle w:val="CharSDivNo"/>
        </w:rPr>
        <w:t>Division 1</w:t>
      </w:r>
      <w:r>
        <w:t> — </w:t>
      </w:r>
      <w:r>
        <w:rPr>
          <w:rStyle w:val="CharSDivText"/>
        </w:rPr>
        <w:t xml:space="preserve">Provisions for </w:t>
      </w:r>
      <w:r>
        <w:rPr>
          <w:rStyle w:val="CharSDivText"/>
          <w:i/>
          <w:iCs/>
        </w:rPr>
        <w:t>Duties Act 2008</w:t>
      </w:r>
      <w:bookmarkEnd w:id="376"/>
    </w:p>
    <w:p>
      <w:pPr>
        <w:pStyle w:val="yHeading4"/>
      </w:pPr>
      <w:bookmarkStart w:id="377" w:name="_Toc375130911"/>
      <w:r>
        <w:t>Subdivision 1</w:t>
      </w:r>
      <w:r>
        <w:rPr>
          <w:b w:val="0"/>
        </w:rPr>
        <w:t> — </w:t>
      </w:r>
      <w:r>
        <w:t>Preliminary</w:t>
      </w:r>
      <w:bookmarkEnd w:id="377"/>
    </w:p>
    <w:p>
      <w:pPr>
        <w:pStyle w:val="yHeading5"/>
      </w:pPr>
      <w:bookmarkStart w:id="378" w:name="_Toc375130912"/>
      <w:r>
        <w:rPr>
          <w:rStyle w:val="CharSClsNo"/>
        </w:rPr>
        <w:t>1</w:t>
      </w:r>
      <w:r>
        <w:t>.</w:t>
      </w:r>
      <w:r>
        <w:tab/>
        <w:t>Terms used</w:t>
      </w:r>
      <w:bookmarkEnd w:id="378"/>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379" w:name="_Toc375130913"/>
      <w:r>
        <w:t>Subdivision 2</w:t>
      </w:r>
      <w:r>
        <w:rPr>
          <w:b w:val="0"/>
        </w:rPr>
        <w:t> — </w:t>
      </w:r>
      <w:r>
        <w:t>Provisions for Chapter 2</w:t>
      </w:r>
      <w:bookmarkEnd w:id="379"/>
    </w:p>
    <w:p>
      <w:pPr>
        <w:pStyle w:val="yHeading5"/>
      </w:pPr>
      <w:bookmarkStart w:id="380" w:name="_Toc375130914"/>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380"/>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381" w:name="_Toc375130915"/>
      <w:r>
        <w:rPr>
          <w:rStyle w:val="CharSClsNo"/>
        </w:rPr>
        <w:t>3</w:t>
      </w:r>
      <w:r>
        <w:t>.</w:t>
      </w:r>
      <w:r>
        <w:tab/>
        <w:t>No double duty</w:t>
      </w:r>
      <w:bookmarkEnd w:id="381"/>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382" w:name="_Toc375130916"/>
      <w:r>
        <w:rPr>
          <w:rStyle w:val="CharSClsNo"/>
        </w:rPr>
        <w:t>4</w:t>
      </w:r>
      <w:r>
        <w:t>.</w:t>
      </w:r>
      <w:r>
        <w:tab/>
        <w:t>Alteration of consideration (s. 31)</w:t>
      </w:r>
      <w:bookmarkEnd w:id="382"/>
    </w:p>
    <w:p>
      <w:pPr>
        <w:pStyle w:val="ySubsection"/>
      </w:pPr>
      <w:r>
        <w:tab/>
      </w:r>
      <w:r>
        <w:tab/>
        <w:t xml:space="preserve">Section 31(1) and (3) do not apply if the liability to duty is under the </w:t>
      </w:r>
      <w:r>
        <w:rPr>
          <w:i/>
          <w:iCs/>
        </w:rPr>
        <w:t>Stamp Act 1921</w:t>
      </w:r>
      <w:r>
        <w:t>.</w:t>
      </w:r>
    </w:p>
    <w:p>
      <w:pPr>
        <w:pStyle w:val="yHeading5"/>
      </w:pPr>
      <w:bookmarkStart w:id="383" w:name="_Toc375130917"/>
      <w:r>
        <w:rPr>
          <w:rStyle w:val="CharSClsNo"/>
        </w:rPr>
        <w:t>5</w:t>
      </w:r>
      <w:r>
        <w:t>.</w:t>
      </w:r>
      <w:r>
        <w:tab/>
        <w:t>Aggregation (s. 37)</w:t>
      </w:r>
      <w:bookmarkEnd w:id="383"/>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384" w:name="_Toc375130918"/>
      <w:r>
        <w:rPr>
          <w:rStyle w:val="CharSClsNo"/>
        </w:rPr>
        <w:t>6</w:t>
      </w:r>
      <w:r>
        <w:t>.</w:t>
      </w:r>
      <w:r>
        <w:tab/>
        <w:t>Exchanges (s. 40)</w:t>
      </w:r>
      <w:bookmarkEnd w:id="384"/>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385" w:name="_Toc375130919"/>
      <w:r>
        <w:rPr>
          <w:rStyle w:val="CharSClsNo"/>
        </w:rPr>
        <w:t>7</w:t>
      </w:r>
      <w:r>
        <w:t>.</w:t>
      </w:r>
      <w:r>
        <w:tab/>
        <w:t>Exempt bodies (s. 92)</w:t>
      </w:r>
      <w:bookmarkEnd w:id="385"/>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386" w:name="_Toc375130920"/>
      <w:r>
        <w:rPr>
          <w:rStyle w:val="CharSClsNo"/>
        </w:rPr>
        <w:t>8</w:t>
      </w:r>
      <w:r>
        <w:t>.</w:t>
      </w:r>
      <w:r>
        <w:tab/>
        <w:t>Family farm transactions (s. 104 and 105)</w:t>
      </w:r>
      <w:bookmarkEnd w:id="386"/>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387" w:name="_Toc375130921"/>
      <w:r>
        <w:rPr>
          <w:rStyle w:val="CharSClsNo"/>
        </w:rPr>
        <w:t>9</w:t>
      </w:r>
      <w:r>
        <w:t>.</w:t>
      </w:r>
      <w:r>
        <w:tab/>
        <w:t>Matrimonial and de facto relationship instruments (s. 129, 130)</w:t>
      </w:r>
      <w:bookmarkEnd w:id="387"/>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388" w:name="_Toc375130922"/>
      <w:r>
        <w:rPr>
          <w:rStyle w:val="CharSClsNo"/>
        </w:rPr>
        <w:t>10</w:t>
      </w:r>
      <w:r>
        <w:t>.</w:t>
      </w:r>
      <w:r>
        <w:tab/>
        <w:t>First home owners (Part 6 Div. 3)</w:t>
      </w:r>
      <w:bookmarkEnd w:id="388"/>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spacing w:before="180"/>
      </w:pPr>
      <w:bookmarkStart w:id="389" w:name="_Toc375130923"/>
      <w:r>
        <w:rPr>
          <w:rStyle w:val="CharSClsNo"/>
        </w:rPr>
        <w:t>11A</w:t>
      </w:r>
      <w:r>
        <w:t>.</w:t>
      </w:r>
      <w:r>
        <w:rPr>
          <w:b w:val="0"/>
        </w:rPr>
        <w:tab/>
      </w:r>
      <w:r>
        <w:t>Residential concession (Part 6 Div. 4A)</w:t>
      </w:r>
      <w:bookmarkEnd w:id="389"/>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390" w:name="_Toc375130924"/>
      <w:r>
        <w:t>Subdivision 3</w:t>
      </w:r>
      <w:r>
        <w:rPr>
          <w:b w:val="0"/>
        </w:rPr>
        <w:t> — </w:t>
      </w:r>
      <w:r>
        <w:t>Provisions for Chapter 3</w:t>
      </w:r>
      <w:bookmarkEnd w:id="390"/>
    </w:p>
    <w:p>
      <w:pPr>
        <w:pStyle w:val="yHeading5"/>
      </w:pPr>
      <w:bookmarkStart w:id="391" w:name="_Toc375130925"/>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391"/>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392" w:name="_Toc375130926"/>
      <w:r>
        <w:rPr>
          <w:rStyle w:val="CharSClsNo"/>
        </w:rPr>
        <w:t>12</w:t>
      </w:r>
      <w:r>
        <w:t>.</w:t>
      </w:r>
      <w:r>
        <w:tab/>
        <w:t>Acquisitions under an agreement made before 1 July 2008</w:t>
      </w:r>
      <w:bookmarkEnd w:id="392"/>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393" w:name="_Toc375130927"/>
      <w:r>
        <w:t>Subdivision 4</w:t>
      </w:r>
      <w:r>
        <w:rPr>
          <w:b w:val="0"/>
        </w:rPr>
        <w:t> — </w:t>
      </w:r>
      <w:r>
        <w:t>Provisions for Chapter 4</w:t>
      </w:r>
      <w:bookmarkEnd w:id="393"/>
    </w:p>
    <w:p>
      <w:pPr>
        <w:pStyle w:val="yHeading5"/>
      </w:pPr>
      <w:bookmarkStart w:id="394" w:name="_Toc375130928"/>
      <w:r>
        <w:rPr>
          <w:rStyle w:val="CharSClsNo"/>
        </w:rPr>
        <w:t>14</w:t>
      </w:r>
      <w:r>
        <w:t>.</w:t>
      </w:r>
      <w:r>
        <w:tab/>
        <w:t>Terms used</w:t>
      </w:r>
      <w:bookmarkEnd w:id="394"/>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395" w:name="_Toc375130929"/>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395"/>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396" w:name="_Toc375130930"/>
      <w:r>
        <w:rPr>
          <w:rStyle w:val="CharSClsNo"/>
        </w:rPr>
        <w:t>16</w:t>
      </w:r>
      <w:r>
        <w:t>.</w:t>
      </w:r>
      <w:r>
        <w:tab/>
        <w:t>Registration</w:t>
      </w:r>
      <w:bookmarkEnd w:id="396"/>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397" w:name="_Toc375130931"/>
      <w:r>
        <w:t>Subdivision 5</w:t>
      </w:r>
      <w:r>
        <w:rPr>
          <w:b w:val="0"/>
        </w:rPr>
        <w:t> — </w:t>
      </w:r>
      <w:r>
        <w:t>Provisions for Chapter 5</w:t>
      </w:r>
      <w:bookmarkEnd w:id="397"/>
    </w:p>
    <w:p>
      <w:pPr>
        <w:pStyle w:val="yHeading5"/>
      </w:pPr>
      <w:bookmarkStart w:id="398" w:name="_Toc375130932"/>
      <w:r>
        <w:rPr>
          <w:rStyle w:val="CharSClsNo"/>
        </w:rPr>
        <w:t>17</w:t>
      </w:r>
      <w:r>
        <w:t>.</w:t>
      </w:r>
      <w:r>
        <w:tab/>
        <w:t>Terms used</w:t>
      </w:r>
      <w:bookmarkEnd w:id="398"/>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399" w:name="_Toc375130933"/>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399"/>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400" w:name="_Toc375130934"/>
      <w:r>
        <w:rPr>
          <w:rStyle w:val="CharSClsNo"/>
        </w:rPr>
        <w:t>19</w:t>
      </w:r>
      <w:r>
        <w:t>.</w:t>
      </w:r>
      <w:r>
        <w:tab/>
        <w:t>New vehicles (s. 228)</w:t>
      </w:r>
      <w:bookmarkEnd w:id="400"/>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401" w:name="_Toc375130935"/>
      <w:r>
        <w:rPr>
          <w:rStyle w:val="CharSClsNo"/>
        </w:rPr>
        <w:t>20</w:t>
      </w:r>
      <w:r>
        <w:t>.</w:t>
      </w:r>
      <w:r>
        <w:tab/>
        <w:t>Specialised vehicles (s. 239)</w:t>
      </w:r>
      <w:bookmarkEnd w:id="401"/>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402" w:name="_Toc375130936"/>
      <w:r>
        <w:rPr>
          <w:rStyle w:val="CharSClsNo"/>
        </w:rPr>
        <w:t>21</w:t>
      </w:r>
      <w:r>
        <w:t>.</w:t>
      </w:r>
      <w:r>
        <w:tab/>
        <w:t>Approval of philanthropic purposes (s. 247)</w:t>
      </w:r>
      <w:bookmarkEnd w:id="402"/>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403" w:name="_Toc375130937"/>
      <w:r>
        <w:rPr>
          <w:rStyle w:val="CharSClsNo"/>
        </w:rPr>
        <w:t>22</w:t>
      </w:r>
      <w:r>
        <w:t>.</w:t>
      </w:r>
      <w:r>
        <w:tab/>
        <w:t>Transfer of vehicles, nominal duty on (s. 250)</w:t>
      </w:r>
      <w:bookmarkEnd w:id="403"/>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404" w:name="_Toc375130938"/>
      <w:r>
        <w:rPr>
          <w:rStyle w:val="CharSClsNo"/>
        </w:rPr>
        <w:t>23</w:t>
      </w:r>
      <w:r>
        <w:t>.</w:t>
      </w:r>
      <w:r>
        <w:tab/>
        <w:t xml:space="preserve">Statements made under </w:t>
      </w:r>
      <w:r>
        <w:rPr>
          <w:i/>
          <w:iCs/>
        </w:rPr>
        <w:t>Stamp Act 1921</w:t>
      </w:r>
      <w:r>
        <w:t xml:space="preserve"> s. 76H (s. 252)</w:t>
      </w:r>
      <w:bookmarkEnd w:id="404"/>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405" w:name="_Toc375130939"/>
      <w:r>
        <w:t>Subdivision 6</w:t>
      </w:r>
      <w:r>
        <w:rPr>
          <w:b w:val="0"/>
        </w:rPr>
        <w:t> — </w:t>
      </w:r>
      <w:r>
        <w:t>Provisions for Chapter 7</w:t>
      </w:r>
      <w:bookmarkEnd w:id="405"/>
    </w:p>
    <w:p>
      <w:pPr>
        <w:pStyle w:val="yHeading5"/>
      </w:pPr>
      <w:bookmarkStart w:id="406" w:name="_Toc375130940"/>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406"/>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407" w:name="_Toc375130941"/>
      <w:r>
        <w:t>Subdivision 7</w:t>
      </w:r>
      <w:r>
        <w:rPr>
          <w:b w:val="0"/>
        </w:rPr>
        <w:t> — </w:t>
      </w:r>
      <w:r>
        <w:t>General</w:t>
      </w:r>
      <w:bookmarkEnd w:id="407"/>
    </w:p>
    <w:p>
      <w:pPr>
        <w:pStyle w:val="yHeading5"/>
      </w:pPr>
      <w:bookmarkStart w:id="408" w:name="_Toc375130942"/>
      <w:r>
        <w:rPr>
          <w:rStyle w:val="CharSClsNo"/>
        </w:rPr>
        <w:t>25</w:t>
      </w:r>
      <w:r>
        <w:t>.</w:t>
      </w:r>
      <w:r>
        <w:tab/>
        <w:t>Some references to duty include stamp duty</w:t>
      </w:r>
      <w:bookmarkEnd w:id="408"/>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409" w:name="_Toc375130943"/>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409"/>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410" w:name="_Toc375130944"/>
      <w:r>
        <w:rPr>
          <w:rStyle w:val="CharSClsNo"/>
        </w:rPr>
        <w:t>27</w:t>
      </w:r>
      <w:r>
        <w:t>.</w:t>
      </w:r>
      <w:r>
        <w:tab/>
        <w:t>Regulations</w:t>
      </w:r>
      <w:bookmarkEnd w:id="410"/>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411" w:name="_Toc375130945"/>
      <w:r>
        <w:rPr>
          <w:rStyle w:val="CharSClsNo"/>
        </w:rPr>
        <w:t>28</w:t>
      </w:r>
      <w:r>
        <w:t>.</w:t>
      </w:r>
      <w:r>
        <w:tab/>
      </w:r>
      <w:r>
        <w:rPr>
          <w:i/>
          <w:iCs/>
        </w:rPr>
        <w:t>Stamp Act 1921</w:t>
      </w:r>
      <w:r>
        <w:rPr>
          <w:iCs/>
        </w:rPr>
        <w:t>, references to</w:t>
      </w:r>
      <w:bookmarkEnd w:id="411"/>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r>
        <w:t>[Division 3 (cl. 30) deleted by No. 5 of 2013 s. 7.]</w:t>
      </w:r>
    </w:p>
    <w:p>
      <w:pPr>
        <w:pStyle w:val="yHeading3"/>
      </w:pPr>
      <w:bookmarkStart w:id="412" w:name="_Toc375130946"/>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412"/>
    </w:p>
    <w:p>
      <w:pPr>
        <w:pStyle w:val="yFootnoteheading"/>
      </w:pPr>
      <w:r>
        <w:tab/>
        <w:t>[Heading inserted by No. 9 of 2010 s. 6.]</w:t>
      </w:r>
    </w:p>
    <w:p>
      <w:pPr>
        <w:pStyle w:val="yHeading5"/>
      </w:pPr>
      <w:bookmarkStart w:id="413" w:name="_Toc375130947"/>
      <w:r>
        <w:rPr>
          <w:rStyle w:val="CharSClsNo"/>
        </w:rPr>
        <w:t>31</w:t>
      </w:r>
      <w:r>
        <w:t>.</w:t>
      </w:r>
      <w:r>
        <w:rPr>
          <w:b w:val="0"/>
        </w:rPr>
        <w:tab/>
      </w:r>
      <w:r>
        <w:rPr>
          <w:bCs/>
        </w:rPr>
        <w:t>Terms used</w:t>
      </w:r>
      <w:bookmarkEnd w:id="413"/>
    </w:p>
    <w:p>
      <w:pPr>
        <w:pStyle w:val="ySubsection"/>
      </w:pPr>
      <w:r>
        <w:tab/>
      </w:r>
      <w:r>
        <w:tab/>
        <w:t>When this Division uses a term that is used in Chapter 6, the term has the same meaning in this Division as it has in Chapter 6.</w:t>
      </w:r>
    </w:p>
    <w:p>
      <w:pPr>
        <w:pStyle w:val="yFootnotesection"/>
      </w:pPr>
      <w:r>
        <w:tab/>
        <w:t>[Clause 31 inserted by No. 9 of 2010 s. 6.]</w:t>
      </w:r>
    </w:p>
    <w:p>
      <w:pPr>
        <w:pStyle w:val="yHeading5"/>
      </w:pPr>
      <w:bookmarkStart w:id="414" w:name="_Toc375130948"/>
      <w:r>
        <w:rPr>
          <w:rStyle w:val="CharSClsNo"/>
        </w:rPr>
        <w:t>32</w:t>
      </w:r>
      <w:r>
        <w:t>.</w:t>
      </w:r>
      <w:r>
        <w:rPr>
          <w:b w:val="0"/>
        </w:rPr>
        <w:tab/>
      </w:r>
      <w:r>
        <w:rPr>
          <w:bCs/>
        </w:rPr>
        <w:t>Certain relevant reconstruction transactions</w:t>
      </w:r>
      <w:bookmarkEnd w:id="414"/>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415" w:name="_Toc375130949"/>
      <w:r>
        <w:rPr>
          <w:rStyle w:val="CharSDivNo"/>
        </w:rPr>
        <w:t>Division 5</w:t>
      </w:r>
      <w:r>
        <w:rPr>
          <w:b w:val="0"/>
        </w:rPr>
        <w:t> — </w:t>
      </w:r>
      <w:r>
        <w:rPr>
          <w:rStyle w:val="CharSDivText"/>
        </w:rPr>
        <w:t xml:space="preserve">Provisions for </w:t>
      </w:r>
      <w:r>
        <w:rPr>
          <w:rStyle w:val="CharSDivText"/>
          <w:i/>
        </w:rPr>
        <w:t>Duties Amendment Act (No. 2) 2011</w:t>
      </w:r>
      <w:bookmarkEnd w:id="415"/>
    </w:p>
    <w:p>
      <w:pPr>
        <w:pStyle w:val="yFootnoteheading"/>
      </w:pPr>
      <w:r>
        <w:tab/>
        <w:t>[Heading inserted by No. 33 of 2011 s. 6.]</w:t>
      </w:r>
    </w:p>
    <w:p>
      <w:pPr>
        <w:pStyle w:val="yHeading5"/>
      </w:pPr>
      <w:bookmarkStart w:id="416" w:name="_Toc375130950"/>
      <w:r>
        <w:rPr>
          <w:rStyle w:val="CharSClsNo"/>
        </w:rPr>
        <w:t>33</w:t>
      </w:r>
      <w:r>
        <w:t>.</w:t>
      </w:r>
      <w:r>
        <w:rPr>
          <w:b w:val="0"/>
        </w:rPr>
        <w:tab/>
      </w:r>
      <w:r>
        <w:t>Term used: relevant period</w:t>
      </w:r>
      <w:bookmarkEnd w:id="416"/>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by No. 33 of 2011 s. 6.]</w:t>
      </w:r>
    </w:p>
    <w:p>
      <w:pPr>
        <w:pStyle w:val="yHeading5"/>
      </w:pPr>
      <w:bookmarkStart w:id="417" w:name="_Toc375130951"/>
      <w:r>
        <w:rPr>
          <w:rStyle w:val="CharSClsNo"/>
        </w:rPr>
        <w:t>34</w:t>
      </w:r>
      <w:r>
        <w:t>.</w:t>
      </w:r>
      <w:r>
        <w:rPr>
          <w:b w:val="0"/>
        </w:rPr>
        <w:tab/>
      </w:r>
      <w:r>
        <w:t>When transfer duty deemed to arise in certain cases</w:t>
      </w:r>
      <w:bookmarkEnd w:id="417"/>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by No. 33 of 2011 s. 6.]</w:t>
      </w:r>
    </w:p>
    <w:p>
      <w:pPr>
        <w:pStyle w:val="yHeading5"/>
        <w:spacing w:before="180"/>
      </w:pPr>
      <w:bookmarkStart w:id="418" w:name="_Toc375130952"/>
      <w:r>
        <w:rPr>
          <w:rStyle w:val="CharSClsNo"/>
        </w:rPr>
        <w:t>35</w:t>
      </w:r>
      <w:r>
        <w:t>.</w:t>
      </w:r>
      <w:r>
        <w:rPr>
          <w:b w:val="0"/>
        </w:rPr>
        <w:tab/>
      </w:r>
      <w:r>
        <w:t>When landholder duty deemed to arise in certain cases</w:t>
      </w:r>
      <w:bookmarkEnd w:id="418"/>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yHeading3"/>
      </w:pPr>
      <w:bookmarkStart w:id="419" w:name="_Toc375130953"/>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419"/>
    </w:p>
    <w:p>
      <w:pPr>
        <w:pStyle w:val="yFootnoteheading"/>
      </w:pPr>
      <w:r>
        <w:tab/>
        <w:t>[Heading inserted by No. 10 of 2013 s. 9.]</w:t>
      </w:r>
    </w:p>
    <w:p>
      <w:pPr>
        <w:pStyle w:val="yHeading5"/>
      </w:pPr>
      <w:bookmarkStart w:id="420" w:name="_Toc375130954"/>
      <w:r>
        <w:rPr>
          <w:rStyle w:val="CharSClsNo"/>
        </w:rPr>
        <w:t>36</w:t>
      </w:r>
      <w:r>
        <w:t>.</w:t>
      </w:r>
      <w:r>
        <w:tab/>
        <w:t>Interim assessments</w:t>
      </w:r>
      <w:bookmarkEnd w:id="420"/>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by No. 10 of 2013 s. 9.]</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2"/>
          <w:headerReference w:type="default" r:id="rId43"/>
          <w:endnotePr>
            <w:numFmt w:val="decimal"/>
          </w:endnotePr>
          <w:pgSz w:w="11906" w:h="16838" w:code="9"/>
          <w:pgMar w:top="2381" w:right="2410" w:bottom="3544" w:left="2410" w:header="720" w:footer="3380" w:gutter="0"/>
          <w:cols w:space="720"/>
          <w:docGrid w:linePitch="326"/>
        </w:sectPr>
      </w:pPr>
    </w:p>
    <w:p>
      <w:pPr>
        <w:pStyle w:val="nHeading2"/>
      </w:pPr>
      <w:bookmarkStart w:id="421" w:name="_Toc375130955"/>
      <w:r>
        <w:t>Notes</w:t>
      </w:r>
      <w:bookmarkEnd w:id="421"/>
    </w:p>
    <w:p>
      <w:pPr>
        <w:pStyle w:val="nSubsection"/>
        <w:rPr>
          <w:snapToGrid w:val="0"/>
        </w:rPr>
      </w:pPr>
      <w:r>
        <w:rPr>
          <w:snapToGrid w:val="0"/>
          <w:vertAlign w:val="superscript"/>
        </w:rPr>
        <w:t>1</w:t>
      </w:r>
      <w:r>
        <w:rPr>
          <w:snapToGrid w:val="0"/>
        </w:rPr>
        <w:tab/>
        <w:t>This is a compilation of the</w:t>
      </w:r>
      <w:r>
        <w:rPr>
          <w:i/>
          <w:snapToGrid w:val="0"/>
        </w:rPr>
        <w:t xml:space="preserve"> </w:t>
      </w:r>
      <w:r>
        <w:rPr>
          <w:i/>
          <w:noProof/>
          <w:snapToGrid w:val="0"/>
        </w:rPr>
        <w:t>Duties Act 2008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22" w:name="_Toc375130956"/>
      <w:r>
        <w:rPr>
          <w:snapToGrid w:val="0"/>
        </w:rPr>
        <w:t>Compilation table</w:t>
      </w:r>
      <w:bookmarkEnd w:id="42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Duties Act 2008</w:t>
            </w:r>
          </w:p>
        </w:tc>
        <w:tc>
          <w:tcPr>
            <w:tcW w:w="1134" w:type="dxa"/>
            <w:tcBorders>
              <w:top w:val="single" w:sz="8" w:space="0" w:color="auto"/>
              <w:bottom w:val="nil"/>
            </w:tcBorders>
          </w:tcPr>
          <w:p>
            <w:pPr>
              <w:pStyle w:val="nTable"/>
              <w:spacing w:after="40"/>
              <w:rPr>
                <w:sz w:val="19"/>
              </w:rPr>
            </w:pPr>
            <w:r>
              <w:rPr>
                <w:sz w:val="19"/>
              </w:rPr>
              <w:t>11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z w:val="19"/>
              </w:rPr>
            </w:pPr>
            <w:r>
              <w:rPr>
                <w:sz w:val="19"/>
              </w:rPr>
              <w:t xml:space="preserve">s. 1 and 2: 14 Apr 2008 </w:t>
            </w:r>
            <w:r>
              <w:rPr>
                <w:snapToGrid w:val="0"/>
                <w:sz w:val="19"/>
              </w:rPr>
              <w:t>(see s. 2(a));</w:t>
            </w:r>
            <w:r>
              <w:rPr>
                <w:snapToGrid w:val="0"/>
                <w:sz w:val="19"/>
              </w:rPr>
              <w:br/>
              <w:t>Act other than s. 1 and 2 and Sch. 3 Div. 2: 1 Jul 2008 (see s. 2(b));</w:t>
            </w:r>
            <w:r>
              <w:rPr>
                <w:snapToGrid w:val="0"/>
                <w:sz w:val="19"/>
              </w:rPr>
              <w:br/>
              <w:t>Sch. 3 Div. 2: deleted by No. 30 of 2008 s. 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rPr>
              <w:t>Subdiv. 1 and 2 </w:t>
            </w:r>
            <w:r>
              <w:rPr>
                <w:snapToGrid w:val="0"/>
                <w:sz w:val="19"/>
                <w:vertAlign w:val="superscript"/>
              </w:rPr>
              <w:t>5</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rPr>
            </w:pPr>
            <w:r>
              <w:rPr>
                <w:snapToGrid w:val="0"/>
                <w:sz w:val="19"/>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s. 4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rPr>
            </w:pPr>
            <w:r>
              <w:rPr>
                <w:snapToGrid w:val="0"/>
                <w:sz w:val="19"/>
              </w:rPr>
              <w:t>s. 4: 27 Jun 2008 (see s. 2(2)(a));</w:t>
            </w:r>
            <w:r>
              <w:rPr>
                <w:snapToGrid w:val="0"/>
                <w:sz w:val="19"/>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rPr>
            </w:pPr>
            <w:r>
              <w:rPr>
                <w:snapToGrid w:val="0"/>
                <w:sz w:val="19"/>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Revenue Laws Amendment Act 2010</w:t>
            </w:r>
            <w:r>
              <w:rPr>
                <w:iCs/>
                <w:noProof/>
                <w:snapToGrid w:val="0"/>
                <w:sz w:val="19"/>
              </w:rPr>
              <w:t xml:space="preserve"> Pt. 2 and Pt. 3 Div. 2 </w:t>
            </w:r>
            <w:r>
              <w:rPr>
                <w:iCs/>
                <w:noProof/>
                <w:snapToGrid w:val="0"/>
                <w:sz w:val="19"/>
                <w:vertAlign w:val="superscript"/>
              </w:rPr>
              <w:t>5</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rPr>
            </w:pPr>
            <w:r>
              <w:rPr>
                <w:snapToGrid w:val="0"/>
                <w:sz w:val="19"/>
              </w:rPr>
              <w:t>s. 5 and 6: 10 Mar 2010 (see s. 2(d));</w:t>
            </w:r>
            <w:r>
              <w:rPr>
                <w:snapToGrid w:val="0"/>
                <w:sz w:val="19"/>
              </w:rPr>
              <w:br/>
              <w:t>s. 3: 10 Jun 2010 (see s. 2(a));</w:t>
            </w:r>
            <w:r>
              <w:rPr>
                <w:snapToGrid w:val="0"/>
                <w:sz w:val="19"/>
              </w:rPr>
              <w:br/>
              <w:t>Pt. 3 Div. 2: 10 Jun 2010 (see s. 2(b)(i));</w:t>
            </w:r>
            <w:r>
              <w:rPr>
                <w:snapToGrid w:val="0"/>
                <w:sz w:val="19"/>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rPr>
            </w:pPr>
            <w:r>
              <w:rPr>
                <w:snapToGrid w:val="0"/>
                <w:sz w:val="19"/>
              </w:rPr>
              <w:t>s. 12: 1 Jul 2008 (see s. 2(c));</w:t>
            </w:r>
            <w:r>
              <w:rPr>
                <w:snapToGrid w:val="0"/>
                <w:sz w:val="19"/>
              </w:rPr>
              <w:br/>
              <w:t>s. 3, 13 and 16: 25 Jun 2010 (see s. 2(a));</w:t>
            </w:r>
            <w:r>
              <w:rPr>
                <w:snapToGrid w:val="0"/>
                <w:sz w:val="19"/>
              </w:rPr>
              <w:br/>
              <w:t>s. 4</w:t>
            </w:r>
            <w:r>
              <w:rPr>
                <w:snapToGrid w:val="0"/>
                <w:sz w:val="19"/>
              </w:rPr>
              <w:noBreakHyphen/>
              <w:t xml:space="preserve">11, 14 and 15: 1 Mar 2011 (see s. 2(d) and </w:t>
            </w:r>
            <w:r>
              <w:rPr>
                <w:i/>
                <w:snapToGrid w:val="0"/>
                <w:sz w:val="19"/>
              </w:rPr>
              <w:t>Gazette</w:t>
            </w:r>
            <w:r>
              <w:rPr>
                <w:snapToGrid w:val="0"/>
                <w:sz w:val="19"/>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rPr>
            </w:pPr>
            <w:r>
              <w:rPr>
                <w:snapToGrid w:val="0"/>
                <w:sz w:val="19"/>
              </w:rPr>
              <w:t>s. 1 and 2: 11 Jul 2011 (see s. 2(a));</w:t>
            </w:r>
            <w:r>
              <w:rPr>
                <w:snapToGrid w:val="0"/>
                <w:sz w:val="19"/>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keepLines/>
              <w:spacing w:after="40"/>
              <w:rPr>
                <w:snapToGrid w:val="0"/>
                <w:sz w:val="19"/>
              </w:rPr>
            </w:pPr>
            <w:r>
              <w:rPr>
                <w:b/>
                <w:snapToGrid w:val="0"/>
                <w:sz w:val="19"/>
              </w:rPr>
              <w:t xml:space="preserve">Reprint 1:  The </w:t>
            </w:r>
            <w:r>
              <w:rPr>
                <w:b/>
                <w:i/>
                <w:snapToGrid w:val="0"/>
                <w:sz w:val="19"/>
              </w:rPr>
              <w:t>Duties Act 2008</w:t>
            </w:r>
            <w:r>
              <w:rPr>
                <w:b/>
                <w:snapToGrid w:val="0"/>
                <w:sz w:val="19"/>
              </w:rPr>
              <w:t xml:space="preserve"> as at 12 Jul 2011</w:t>
            </w:r>
            <w:r>
              <w:rPr>
                <w:snapToGrid w:val="0"/>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Duties Amendment Act (No. 2) 2011</w:t>
            </w:r>
          </w:p>
        </w:tc>
        <w:tc>
          <w:tcPr>
            <w:tcW w:w="1134" w:type="dxa"/>
          </w:tcPr>
          <w:p>
            <w:pPr>
              <w:pStyle w:val="nTable"/>
              <w:spacing w:after="40"/>
              <w:rPr>
                <w:sz w:val="19"/>
                <w:szCs w:val="19"/>
              </w:rPr>
            </w:pPr>
            <w:r>
              <w:rPr>
                <w:sz w:val="19"/>
                <w:szCs w:val="19"/>
              </w:rPr>
              <w:t>33 of 2011</w:t>
            </w:r>
          </w:p>
        </w:tc>
        <w:tc>
          <w:tcPr>
            <w:tcW w:w="1134" w:type="dxa"/>
          </w:tcPr>
          <w:p>
            <w:pPr>
              <w:pStyle w:val="nTable"/>
              <w:spacing w:after="40"/>
              <w:rPr>
                <w:sz w:val="19"/>
                <w:szCs w:val="19"/>
              </w:rPr>
            </w:pPr>
            <w:r>
              <w:rPr>
                <w:sz w:val="19"/>
                <w:szCs w:val="19"/>
              </w:rPr>
              <w:t>12 Sep 2011</w:t>
            </w:r>
          </w:p>
        </w:tc>
        <w:tc>
          <w:tcPr>
            <w:tcW w:w="2552" w:type="dxa"/>
          </w:tcPr>
          <w:p>
            <w:pPr>
              <w:pStyle w:val="nTable"/>
              <w:spacing w:after="40"/>
              <w:rPr>
                <w:sz w:val="19"/>
                <w:szCs w:val="19"/>
              </w:rPr>
            </w:pPr>
            <w:r>
              <w:rPr>
                <w:snapToGrid w:val="0"/>
                <w:sz w:val="19"/>
                <w:szCs w:val="19"/>
              </w:rPr>
              <w:t>Pt. 2: 24 Dec 2010 (see s.</w:t>
            </w:r>
            <w:r>
              <w:rPr>
                <w:sz w:val="19"/>
                <w:szCs w:val="19"/>
              </w:rPr>
              <w:t> 2(b));</w:t>
            </w:r>
            <w:r>
              <w:rPr>
                <w:sz w:val="19"/>
                <w:szCs w:val="19"/>
              </w:rPr>
              <w:br/>
              <w:t>Pt. 1: 12 Sep 2011 (see s. 2(a));</w:t>
            </w:r>
            <w:r>
              <w:rPr>
                <w:sz w:val="19"/>
                <w:szCs w:val="19"/>
              </w:rP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szCs w:val="19"/>
              </w:rPr>
            </w:pPr>
            <w:r>
              <w:rPr>
                <w:i/>
                <w:snapToGrid w:val="0"/>
                <w:sz w:val="19"/>
              </w:rPr>
              <w:t>Inheritance (Family and Dependants Provision) Amendment Act 2011</w:t>
            </w:r>
            <w:r>
              <w:rPr>
                <w:snapToGrid w:val="0"/>
                <w:sz w:val="19"/>
              </w:rPr>
              <w:t xml:space="preserve"> s. 15</w:t>
            </w:r>
          </w:p>
        </w:tc>
        <w:tc>
          <w:tcPr>
            <w:tcW w:w="1134" w:type="dxa"/>
          </w:tcPr>
          <w:p>
            <w:pPr>
              <w:pStyle w:val="nTable"/>
              <w:spacing w:after="40"/>
              <w:rPr>
                <w:sz w:val="19"/>
                <w:szCs w:val="19"/>
              </w:rPr>
            </w:pPr>
            <w:r>
              <w:rPr>
                <w:sz w:val="19"/>
              </w:rPr>
              <w:t>48 of 2011</w:t>
            </w:r>
          </w:p>
        </w:tc>
        <w:tc>
          <w:tcPr>
            <w:tcW w:w="1134" w:type="dxa"/>
          </w:tcPr>
          <w:p>
            <w:pPr>
              <w:pStyle w:val="nTable"/>
              <w:spacing w:after="40"/>
              <w:rPr>
                <w:sz w:val="19"/>
                <w:szCs w:val="19"/>
              </w:rPr>
            </w:pPr>
            <w:r>
              <w:rPr>
                <w:sz w:val="19"/>
              </w:rPr>
              <w:t>25 Oct 2011</w:t>
            </w:r>
          </w:p>
        </w:tc>
        <w:tc>
          <w:tcPr>
            <w:tcW w:w="2552" w:type="dxa"/>
          </w:tcPr>
          <w:p>
            <w:pPr>
              <w:pStyle w:val="nTable"/>
              <w:spacing w:after="40"/>
              <w:rPr>
                <w:snapToGrid w:val="0"/>
                <w:sz w:val="19"/>
                <w:szCs w:val="19"/>
              </w:rPr>
            </w:pPr>
            <w:r>
              <w:rPr>
                <w:snapToGrid w:val="0"/>
                <w:sz w:val="19"/>
                <w:szCs w:val="19"/>
              </w:rPr>
              <w:t xml:space="preserve">16 Jan 2013 (see s. 2(b) and </w:t>
            </w:r>
            <w:r>
              <w:rPr>
                <w:i/>
                <w:snapToGrid w:val="0"/>
                <w:sz w:val="19"/>
                <w:szCs w:val="19"/>
              </w:rPr>
              <w:t xml:space="preserve">Gazette </w:t>
            </w:r>
            <w:r>
              <w:rPr>
                <w:snapToGrid w:val="0"/>
                <w:sz w:val="19"/>
                <w:szCs w:val="19"/>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z w:val="19"/>
              </w:rPr>
            </w:pPr>
            <w:r>
              <w:rPr>
                <w:i/>
                <w:sz w:val="19"/>
              </w:rPr>
              <w:t>Revenue Laws Amendment Act 2012</w:t>
            </w:r>
            <w:r>
              <w:rPr>
                <w:sz w:val="19"/>
              </w:rPr>
              <w:t xml:space="preserve"> Pt. 2</w:t>
            </w:r>
          </w:p>
        </w:tc>
        <w:tc>
          <w:tcPr>
            <w:tcW w:w="1134" w:type="dxa"/>
          </w:tcPr>
          <w:p>
            <w:pPr>
              <w:pStyle w:val="nTable"/>
              <w:spacing w:after="40"/>
              <w:rPr>
                <w:sz w:val="19"/>
              </w:rPr>
            </w:pPr>
            <w:r>
              <w:rPr>
                <w:sz w:val="19"/>
              </w:rPr>
              <w:t>29 of 2012</w:t>
            </w:r>
          </w:p>
        </w:tc>
        <w:tc>
          <w:tcPr>
            <w:tcW w:w="1134" w:type="dxa"/>
          </w:tcPr>
          <w:p>
            <w:pPr>
              <w:pStyle w:val="nTable"/>
              <w:spacing w:after="40"/>
              <w:rPr>
                <w:sz w:val="19"/>
              </w:rPr>
            </w:pPr>
            <w:r>
              <w:rPr>
                <w:sz w:val="19"/>
              </w:rPr>
              <w:t>3 Sep 2012</w:t>
            </w:r>
          </w:p>
        </w:tc>
        <w:tc>
          <w:tcPr>
            <w:tcW w:w="2552" w:type="dxa"/>
          </w:tcPr>
          <w:p>
            <w:pPr>
              <w:pStyle w:val="nTable"/>
              <w:spacing w:after="40"/>
              <w:rPr>
                <w:sz w:val="19"/>
              </w:rPr>
            </w:pPr>
            <w:r>
              <w:rPr>
                <w:sz w:val="19"/>
              </w:rPr>
              <w:t>Heading to Pt. 2, Pt. 2 Div. 1 and 2: 1 Dec 2011 (see s. 2(b));</w:t>
            </w:r>
            <w:r>
              <w:rPr>
                <w:sz w:val="19"/>
              </w:rP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Revenue Laws Amendment Act (No. 2) 2012</w:t>
            </w:r>
            <w:r>
              <w:rPr>
                <w:noProof/>
                <w:snapToGrid w:val="0"/>
                <w:sz w:val="19"/>
                <w:szCs w:val="19"/>
              </w:rPr>
              <w:t> Pt. 2</w:t>
            </w:r>
          </w:p>
        </w:tc>
        <w:tc>
          <w:tcPr>
            <w:tcW w:w="1134" w:type="dxa"/>
          </w:tcPr>
          <w:p>
            <w:pPr>
              <w:pStyle w:val="nTable"/>
              <w:spacing w:after="40"/>
              <w:rPr>
                <w:sz w:val="19"/>
                <w:szCs w:val="19"/>
              </w:rPr>
            </w:pPr>
            <w:r>
              <w:rPr>
                <w:sz w:val="19"/>
                <w:szCs w:val="19"/>
              </w:rPr>
              <w:t>32 of 2012</w:t>
            </w:r>
          </w:p>
        </w:tc>
        <w:tc>
          <w:tcPr>
            <w:tcW w:w="1134" w:type="dxa"/>
          </w:tcPr>
          <w:p>
            <w:pPr>
              <w:pStyle w:val="nTable"/>
              <w:spacing w:after="40"/>
              <w:rPr>
                <w:sz w:val="19"/>
                <w:szCs w:val="19"/>
              </w:rPr>
            </w:pPr>
            <w:r>
              <w:rPr>
                <w:sz w:val="19"/>
                <w:szCs w:val="19"/>
              </w:rPr>
              <w:t>8 Oct 2012</w:t>
            </w:r>
          </w:p>
        </w:tc>
        <w:tc>
          <w:tcPr>
            <w:tcW w:w="2552" w:type="dxa"/>
          </w:tcPr>
          <w:p>
            <w:pPr>
              <w:pStyle w:val="nTable"/>
              <w:spacing w:after="40"/>
              <w:rPr>
                <w:snapToGrid w:val="0"/>
                <w:sz w:val="19"/>
                <w:szCs w:val="19"/>
              </w:rPr>
            </w:pPr>
            <w:r>
              <w:rPr>
                <w:snapToGrid w:val="0"/>
                <w:sz w:val="19"/>
                <w:szCs w:val="19"/>
              </w:rPr>
              <w:t xml:space="preserve">Pt. 2 (other than </w:t>
            </w:r>
            <w:r>
              <w:rPr>
                <w:noProof/>
                <w:snapToGrid w:val="0"/>
                <w:sz w:val="19"/>
                <w:szCs w:val="19"/>
              </w:rPr>
              <w:t>s. </w:t>
            </w:r>
            <w:r>
              <w:t>5</w:t>
            </w:r>
            <w:r>
              <w:noBreakHyphen/>
              <w:t>7, 12, 15, 18, 22 and 25:</w:t>
            </w:r>
            <w:r>
              <w:rPr>
                <w:snapToGrid w:val="0"/>
                <w:sz w:val="19"/>
                <w:szCs w:val="19"/>
              </w:rPr>
              <w:t xml:space="preserve"> 1 Jul 2008 (see s. 2(b));</w:t>
            </w:r>
            <w:r>
              <w:rPr>
                <w:snapToGrid w:val="0"/>
                <w:sz w:val="19"/>
                <w:szCs w:val="19"/>
              </w:rPr>
              <w:br/>
            </w:r>
            <w:r>
              <w:rPr>
                <w:noProof/>
                <w:snapToGrid w:val="0"/>
                <w:sz w:val="19"/>
                <w:szCs w:val="19"/>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z w:val="19"/>
              </w:rPr>
            </w:pPr>
            <w:r>
              <w:rPr>
                <w:i/>
                <w:sz w:val="19"/>
              </w:rPr>
              <w:t>Duties Legislation Amendment Act 2013</w:t>
            </w:r>
            <w:r>
              <w:rPr>
                <w:sz w:val="19"/>
              </w:rPr>
              <w:t xml:space="preserve"> Pt. 2 Div. 2</w:t>
            </w:r>
            <w:r>
              <w:rPr>
                <w:snapToGrid w:val="0"/>
                <w:sz w:val="19"/>
                <w:vertAlign w:val="superscript"/>
              </w:rPr>
              <w:t> 6</w:t>
            </w:r>
          </w:p>
        </w:tc>
        <w:tc>
          <w:tcPr>
            <w:tcW w:w="1134" w:type="dxa"/>
          </w:tcPr>
          <w:p>
            <w:pPr>
              <w:pStyle w:val="nTable"/>
              <w:spacing w:after="40"/>
              <w:rPr>
                <w:sz w:val="19"/>
              </w:rPr>
            </w:pPr>
            <w:r>
              <w:rPr>
                <w:sz w:val="19"/>
              </w:rPr>
              <w:t>5 of 2013</w:t>
            </w:r>
          </w:p>
        </w:tc>
        <w:tc>
          <w:tcPr>
            <w:tcW w:w="1134" w:type="dxa"/>
          </w:tcPr>
          <w:p>
            <w:pPr>
              <w:pStyle w:val="nTable"/>
              <w:spacing w:after="40"/>
              <w:rPr>
                <w:sz w:val="19"/>
              </w:rPr>
            </w:pPr>
            <w:r>
              <w:rPr>
                <w:sz w:val="19"/>
              </w:rPr>
              <w:t>29 Jun 2013</w:t>
            </w:r>
          </w:p>
        </w:tc>
        <w:tc>
          <w:tcPr>
            <w:tcW w:w="2552" w:type="dxa"/>
          </w:tcPr>
          <w:p>
            <w:pPr>
              <w:pStyle w:val="nTable"/>
              <w:spacing w:after="40"/>
              <w:rPr>
                <w:sz w:val="19"/>
              </w:rPr>
            </w:pPr>
            <w:r>
              <w:rPr>
                <w:snapToGrid w:val="0"/>
                <w:sz w:val="19"/>
                <w:szCs w:val="19"/>
              </w:rPr>
              <w:t>29 Jun 2013 (see s. 2(1)(b))</w:t>
            </w:r>
          </w:p>
        </w:tc>
      </w:tr>
      <w:tr>
        <w:trPr>
          <w:cantSplit/>
        </w:trPr>
        <w:tc>
          <w:tcPr>
            <w:tcW w:w="7088" w:type="dxa"/>
            <w:gridSpan w:val="4"/>
            <w:tcBorders>
              <w:top w:val="nil"/>
              <w:bottom w:val="nil"/>
            </w:tcBorders>
          </w:tcPr>
          <w:p>
            <w:pPr>
              <w:pStyle w:val="nTable"/>
              <w:spacing w:after="40"/>
              <w:rPr>
                <w:b/>
                <w:sz w:val="19"/>
              </w:rPr>
            </w:pPr>
            <w:r>
              <w:rPr>
                <w:b/>
                <w:sz w:val="19"/>
              </w:rPr>
              <w:t xml:space="preserve">Reprint 2: The </w:t>
            </w:r>
            <w:r>
              <w:rPr>
                <w:b/>
                <w:i/>
                <w:sz w:val="19"/>
              </w:rPr>
              <w:t xml:space="preserve">Duties Act 2008 </w:t>
            </w:r>
            <w:r>
              <w:rPr>
                <w:b/>
                <w:sz w:val="19"/>
              </w:rPr>
              <w:t xml:space="preserve">as at 9 Aug 2013 </w:t>
            </w:r>
            <w:r>
              <w:rPr>
                <w:sz w:val="19"/>
              </w:rPr>
              <w:t>(includes amendments listed above)</w:t>
            </w:r>
          </w:p>
        </w:tc>
      </w:tr>
      <w:tr>
        <w:trPr>
          <w:cantSplit/>
        </w:trPr>
        <w:tc>
          <w:tcPr>
            <w:tcW w:w="2268" w:type="dxa"/>
            <w:tcBorders>
              <w:top w:val="nil"/>
              <w:bottom w:val="single" w:sz="4" w:space="0" w:color="auto"/>
            </w:tcBorders>
          </w:tcPr>
          <w:p>
            <w:pPr>
              <w:pStyle w:val="nTable"/>
              <w:spacing w:after="40"/>
              <w:rPr>
                <w:sz w:val="19"/>
              </w:rPr>
            </w:pPr>
            <w:r>
              <w:rPr>
                <w:i/>
                <w:sz w:val="19"/>
              </w:rPr>
              <w:t>Revenue Laws Amendment Act 2013</w:t>
            </w:r>
            <w:r>
              <w:rPr>
                <w:sz w:val="19"/>
              </w:rPr>
              <w:t xml:space="preserve"> Pt. 2 Div. 1</w:t>
            </w:r>
          </w:p>
        </w:tc>
        <w:tc>
          <w:tcPr>
            <w:tcW w:w="1134" w:type="dxa"/>
            <w:tcBorders>
              <w:top w:val="nil"/>
              <w:bottom w:val="single" w:sz="4" w:space="0" w:color="auto"/>
            </w:tcBorders>
          </w:tcPr>
          <w:p>
            <w:pPr>
              <w:pStyle w:val="nTable"/>
              <w:spacing w:after="40"/>
              <w:rPr>
                <w:sz w:val="19"/>
              </w:rPr>
            </w:pPr>
            <w:r>
              <w:rPr>
                <w:sz w:val="19"/>
              </w:rPr>
              <w:t>10 of 2013</w:t>
            </w:r>
          </w:p>
        </w:tc>
        <w:tc>
          <w:tcPr>
            <w:tcW w:w="1134" w:type="dxa"/>
            <w:tcBorders>
              <w:top w:val="nil"/>
              <w:bottom w:val="single" w:sz="4" w:space="0" w:color="auto"/>
            </w:tcBorders>
          </w:tcPr>
          <w:p>
            <w:pPr>
              <w:pStyle w:val="nTable"/>
              <w:spacing w:after="40"/>
              <w:rPr>
                <w:sz w:val="19"/>
              </w:rPr>
            </w:pPr>
            <w:r>
              <w:rPr>
                <w:sz w:val="19"/>
              </w:rPr>
              <w:t>24 Sep 2013</w:t>
            </w:r>
          </w:p>
        </w:tc>
        <w:tc>
          <w:tcPr>
            <w:tcW w:w="2552" w:type="dxa"/>
            <w:tcBorders>
              <w:top w:val="nil"/>
              <w:bottom w:val="single" w:sz="4" w:space="0" w:color="auto"/>
            </w:tcBorders>
          </w:tcPr>
          <w:p>
            <w:pPr>
              <w:pStyle w:val="nTable"/>
              <w:spacing w:after="40"/>
              <w:rPr>
                <w:sz w:val="19"/>
              </w:rPr>
            </w:pPr>
            <w:r>
              <w:rPr>
                <w:snapToGrid w:val="0"/>
                <w:sz w:val="19"/>
                <w:szCs w:val="19"/>
              </w:rPr>
              <w:t>25 Sep 2013 (see s. 2(b))</w:t>
            </w:r>
          </w:p>
        </w:tc>
      </w:tr>
    </w:tbl>
    <w:p>
      <w:pPr>
        <w:pStyle w:val="nSubsection"/>
        <w:keepNext/>
        <w:keepLines/>
        <w:spacing w:before="24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3" w:name="_Toc375130957"/>
      <w:r>
        <w:t>Provisions that have not come into operation</w:t>
      </w:r>
      <w:bookmarkEnd w:id="4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4" w:space="0" w:color="auto"/>
            </w:tcBorders>
            <w:shd w:val="clear" w:color="auto" w:fill="auto"/>
          </w:tcPr>
          <w:p>
            <w:pPr>
              <w:pStyle w:val="nTable"/>
              <w:spacing w:after="40"/>
              <w:rPr>
                <w:b/>
                <w:sz w:val="19"/>
              </w:rPr>
            </w:pPr>
            <w:r>
              <w:rPr>
                <w:b/>
                <w:sz w:val="19"/>
              </w:rPr>
              <w:t>Commencement</w:t>
            </w:r>
          </w:p>
        </w:tc>
      </w:tr>
      <w:tr>
        <w:trPr>
          <w:cantSplit/>
        </w:trPr>
        <w:tc>
          <w:tcPr>
            <w:tcW w:w="2268" w:type="dxa"/>
            <w:tcBorders>
              <w:bottom w:val="single" w:sz="8" w:space="0" w:color="auto"/>
            </w:tcBorders>
            <w:shd w:val="clear" w:color="auto" w:fill="auto"/>
          </w:tcPr>
          <w:p>
            <w:pPr>
              <w:pStyle w:val="nTable"/>
              <w:spacing w:after="40"/>
              <w:rPr>
                <w:i/>
                <w:snapToGrid w:val="0"/>
                <w:sz w:val="19"/>
              </w:rPr>
            </w:pPr>
            <w:r>
              <w:rPr>
                <w:i/>
                <w:snapToGrid w:val="0"/>
                <w:sz w:val="19"/>
              </w:rPr>
              <w:t xml:space="preserve">Road Traffic Legislation Amendment Act 2012 </w:t>
            </w:r>
            <w:r>
              <w:rPr>
                <w:snapToGrid w:val="0"/>
                <w:sz w:val="19"/>
              </w:rPr>
              <w:t>Pt. 4 Div. 18</w:t>
            </w:r>
            <w:r>
              <w:rPr>
                <w:snapToGrid w:val="0"/>
                <w:sz w:val="19"/>
                <w:vertAlign w:val="superscript"/>
              </w:rPr>
              <w:t> 7</w:t>
            </w:r>
          </w:p>
        </w:tc>
        <w:tc>
          <w:tcPr>
            <w:tcW w:w="1134" w:type="dxa"/>
            <w:tcBorders>
              <w:bottom w:val="single" w:sz="8" w:space="0" w:color="auto"/>
            </w:tcBorders>
            <w:shd w:val="clear" w:color="auto" w:fill="auto"/>
          </w:tcPr>
          <w:p>
            <w:pPr>
              <w:pStyle w:val="nTable"/>
              <w:spacing w:after="40"/>
              <w:rPr>
                <w:sz w:val="19"/>
              </w:rPr>
            </w:pPr>
            <w:r>
              <w:rPr>
                <w:snapToGrid w:val="0"/>
                <w:sz w:val="19"/>
              </w:rPr>
              <w:t>8 of 2012</w:t>
            </w:r>
          </w:p>
        </w:tc>
        <w:tc>
          <w:tcPr>
            <w:tcW w:w="1134" w:type="dxa"/>
            <w:tcBorders>
              <w:bottom w:val="single" w:sz="8" w:space="0" w:color="auto"/>
            </w:tcBorders>
            <w:shd w:val="clear" w:color="auto" w:fill="auto"/>
          </w:tcPr>
          <w:p>
            <w:pPr>
              <w:pStyle w:val="nTable"/>
              <w:spacing w:after="40"/>
              <w:rPr>
                <w:sz w:val="19"/>
              </w:rPr>
            </w:pPr>
            <w:r>
              <w:rPr>
                <w:sz w:val="19"/>
              </w:rPr>
              <w:t>21 May 2012</w:t>
            </w:r>
          </w:p>
        </w:tc>
        <w:tc>
          <w:tcPr>
            <w:tcW w:w="2552" w:type="dxa"/>
            <w:tcBorders>
              <w:bottom w:val="single" w:sz="8" w:space="0" w:color="auto"/>
            </w:tcBorders>
            <w:shd w:val="clear" w:color="auto" w:fill="auto"/>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spacing w:before="200"/>
      </w:pPr>
      <w:bookmarkStart w:id="424" w:name="AutoSch"/>
      <w:bookmarkEnd w:id="424"/>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spacing w:before="100"/>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spacing w:before="100"/>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spacing w:before="100"/>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Pt. 2 Div. 1.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18 had not come into operation.  It reads as follows:</w:t>
      </w:r>
    </w:p>
    <w:p>
      <w:pPr>
        <w:pStyle w:val="BlankOpen"/>
        <w:rPr>
          <w:snapToGrid w:val="0"/>
        </w:rPr>
      </w:pPr>
    </w:p>
    <w:p>
      <w:pPr>
        <w:pStyle w:val="nzHeading3"/>
        <w:spacing w:before="80"/>
      </w:pPr>
      <w:r>
        <w:rPr>
          <w:rStyle w:val="CharDivNo"/>
        </w:rPr>
        <w:t>Division 18</w:t>
      </w:r>
      <w:r>
        <w:t> — </w:t>
      </w:r>
      <w:r>
        <w:rPr>
          <w:rStyle w:val="CharDivText"/>
          <w:i/>
          <w:iCs/>
        </w:rPr>
        <w:t>Duties Act 2008</w:t>
      </w:r>
      <w:r>
        <w:rPr>
          <w:rStyle w:val="CharDivText"/>
        </w:rPr>
        <w:t xml:space="preserve"> amended</w:t>
      </w:r>
    </w:p>
    <w:p>
      <w:pPr>
        <w:pStyle w:val="nzHeading5"/>
        <w:rPr>
          <w:snapToGrid w:val="0"/>
        </w:rPr>
      </w:pPr>
      <w:r>
        <w:rPr>
          <w:rStyle w:val="CharSectno"/>
        </w:rPr>
        <w:t>89</w:t>
      </w:r>
      <w:r>
        <w:rPr>
          <w:snapToGrid w:val="0"/>
        </w:rPr>
        <w:t>.</w:t>
      </w:r>
      <w:r>
        <w:rPr>
          <w:snapToGrid w:val="0"/>
        </w:rPr>
        <w:tab/>
        <w:t>Act amended</w:t>
      </w:r>
    </w:p>
    <w:p>
      <w:pPr>
        <w:pStyle w:val="nzSubsection"/>
      </w:pPr>
      <w:r>
        <w:tab/>
      </w:r>
      <w:r>
        <w:tab/>
        <w:t xml:space="preserve">This Division amends the </w:t>
      </w:r>
      <w:r>
        <w:rPr>
          <w:i/>
        </w:rPr>
        <w:t>Duties Act 2008</w:t>
      </w:r>
      <w:r>
        <w:t>.</w:t>
      </w:r>
    </w:p>
    <w:p>
      <w:pPr>
        <w:pStyle w:val="nzHeading5"/>
      </w:pPr>
      <w:r>
        <w:rPr>
          <w:rStyle w:val="CharSectno"/>
        </w:rPr>
        <w:t>90</w:t>
      </w:r>
      <w:r>
        <w:t>.</w:t>
      </w:r>
      <w:r>
        <w:tab/>
        <w:t>Section 228 amended</w:t>
      </w:r>
    </w:p>
    <w:p>
      <w:pPr>
        <w:pStyle w:val="nzSubsection"/>
        <w:spacing w:before="40"/>
      </w:pPr>
      <w:r>
        <w:tab/>
        <w:t>(1)</w:t>
      </w:r>
      <w:r>
        <w:tab/>
        <w:t>In section 228 delete the definitions of:</w:t>
      </w:r>
    </w:p>
    <w:p>
      <w:pPr>
        <w:pStyle w:val="DeleteListSub"/>
        <w:ind w:left="1425"/>
        <w:rPr>
          <w:sz w:val="20"/>
        </w:rPr>
      </w:pPr>
      <w:r>
        <w:rPr>
          <w:b/>
          <w:bCs/>
          <w:i/>
          <w:iCs/>
          <w:sz w:val="20"/>
        </w:rPr>
        <w:t>Director General</w:t>
      </w:r>
    </w:p>
    <w:p>
      <w:pPr>
        <w:pStyle w:val="DeleteListSub"/>
        <w:ind w:left="1425"/>
        <w:rPr>
          <w:sz w:val="20"/>
        </w:rPr>
      </w:pPr>
      <w:r>
        <w:rPr>
          <w:b/>
          <w:bCs/>
          <w:i/>
          <w:iCs/>
          <w:sz w:val="20"/>
        </w:rPr>
        <w:t>Road Traffic Act</w:t>
      </w:r>
    </w:p>
    <w:p>
      <w:pPr>
        <w:pStyle w:val="nzSubsection"/>
        <w:spacing w:before="40"/>
      </w:pPr>
      <w:r>
        <w:tab/>
        <w:t>(2)</w:t>
      </w:r>
      <w:r>
        <w:tab/>
        <w:t>In section 228 insert in alphabetical order:</w:t>
      </w:r>
    </w:p>
    <w:p>
      <w:pPr>
        <w:pStyle w:val="BlankOpen"/>
      </w:pPr>
    </w:p>
    <w:p>
      <w:pPr>
        <w:pStyle w:val="nzDefstart"/>
      </w:pPr>
      <w:r>
        <w:rPr>
          <w:b/>
        </w:rPr>
        <w:tab/>
      </w:r>
      <w:r>
        <w:rPr>
          <w:rStyle w:val="CharDefText"/>
        </w:rPr>
        <w:t>CEO</w:t>
      </w:r>
      <w:r>
        <w:t xml:space="preserve"> has the meaning given in the </w:t>
      </w:r>
      <w:r>
        <w:rPr>
          <w:i/>
          <w:iCs/>
        </w:rPr>
        <w:t>Road Traffic (Administration) Act 2008</w:t>
      </w:r>
      <w:r>
        <w:t xml:space="preserve"> section 4;</w:t>
      </w:r>
    </w:p>
    <w:p>
      <w:pPr>
        <w:pStyle w:val="nzDefstart"/>
      </w:pPr>
      <w:r>
        <w:rPr>
          <w:b/>
        </w:rPr>
        <w:tab/>
      </w:r>
      <w:r>
        <w:rPr>
          <w:rStyle w:val="CharDefText"/>
        </w:rPr>
        <w:t>Vehicles Act</w:t>
      </w:r>
      <w:r>
        <w:t xml:space="preserve"> means the </w:t>
      </w:r>
      <w:r>
        <w:rPr>
          <w:i/>
          <w:iCs/>
        </w:rPr>
        <w:t>Road Traffic (Vehicles) Act 2012</w:t>
      </w:r>
      <w:r>
        <w:t>.</w:t>
      </w:r>
    </w:p>
    <w:p>
      <w:pPr>
        <w:pStyle w:val="BlankClose"/>
        <w:keepNext/>
      </w:pPr>
    </w:p>
    <w:p>
      <w:pPr>
        <w:pStyle w:val="nzSubsection"/>
        <w:spacing w:before="40"/>
      </w:pPr>
      <w:r>
        <w:tab/>
        <w:t>(3)</w:t>
      </w:r>
      <w:r>
        <w:tab/>
        <w:t xml:space="preserve">In section 228 in the definition of </w:t>
      </w:r>
      <w:r>
        <w:rPr>
          <w:b/>
          <w:bCs/>
          <w:i/>
          <w:iCs/>
        </w:rPr>
        <w:t>heavy vehicle</w:t>
      </w:r>
      <w:r>
        <w:t xml:space="preserve"> delete “means a vehicle with a gross vehicle mass of more than 4.5 tonnes;” and insert:</w:t>
      </w:r>
    </w:p>
    <w:p>
      <w:pPr>
        <w:pStyle w:val="BlankOpen"/>
      </w:pPr>
    </w:p>
    <w:p>
      <w:pPr>
        <w:pStyle w:val="nzSubsection"/>
      </w:pPr>
      <w:r>
        <w:tab/>
      </w:r>
      <w:r>
        <w:tab/>
        <w:t>has the meaning given in the Vehicles Act;</w:t>
      </w:r>
    </w:p>
    <w:p>
      <w:pPr>
        <w:pStyle w:val="BlankClose"/>
      </w:pPr>
    </w:p>
    <w:p>
      <w:pPr>
        <w:pStyle w:val="nzSubsection"/>
        <w:spacing w:before="40"/>
      </w:pPr>
      <w:r>
        <w:tab/>
        <w:t>(4)</w:t>
      </w:r>
      <w:r>
        <w:tab/>
        <w:t xml:space="preserve">In section 228 in the definition of </w:t>
      </w:r>
      <w:r>
        <w:rPr>
          <w:b/>
          <w:bCs/>
          <w:i/>
          <w:iCs/>
        </w:rPr>
        <w:t>motor vehicle</w:t>
      </w:r>
      <w:r>
        <w:t xml:space="preserve"> delete “in the Road Traffic Act section 5,” and insert:</w:t>
      </w:r>
    </w:p>
    <w:p>
      <w:pPr>
        <w:pStyle w:val="BlankOpen"/>
      </w:pPr>
    </w:p>
    <w:p>
      <w:pPr>
        <w:pStyle w:val="nzDefstart"/>
      </w:pPr>
      <w:r>
        <w:tab/>
        <w:t xml:space="preserve">in the </w:t>
      </w:r>
      <w:r>
        <w:rPr>
          <w:i/>
          <w:iCs/>
        </w:rPr>
        <w:t>Road Traffic (Administration) Act 2008</w:t>
      </w:r>
      <w:r>
        <w:t xml:space="preserve"> section 4,</w:t>
      </w:r>
    </w:p>
    <w:p>
      <w:pPr>
        <w:pStyle w:val="BlankClose"/>
      </w:pPr>
    </w:p>
    <w:p>
      <w:pPr>
        <w:pStyle w:val="nzSubsection"/>
        <w:spacing w:before="40"/>
      </w:pPr>
      <w:r>
        <w:tab/>
        <w:t>(5)</w:t>
      </w:r>
      <w:r>
        <w:tab/>
        <w:t xml:space="preserve">In section 228 in the definition of </w:t>
      </w:r>
      <w:r>
        <w:rPr>
          <w:b/>
          <w:bCs/>
          <w:i/>
          <w:iCs/>
        </w:rPr>
        <w:t>vehicle</w:t>
      </w:r>
      <w:r>
        <w:t xml:space="preserve"> delete “section 230(1).” and insert:</w:t>
      </w:r>
    </w:p>
    <w:p>
      <w:pPr>
        <w:pStyle w:val="BlankOpen"/>
        <w:rPr>
          <w:sz w:val="20"/>
          <w:szCs w:val="20"/>
        </w:rPr>
      </w:pPr>
    </w:p>
    <w:p>
      <w:pPr>
        <w:pStyle w:val="nzSubsection"/>
      </w:pPr>
      <w:r>
        <w:tab/>
      </w:r>
      <w:r>
        <w:tab/>
        <w:t>section 230(1);</w:t>
      </w:r>
    </w:p>
    <w:p>
      <w:pPr>
        <w:pStyle w:val="BlankClose"/>
      </w:pPr>
    </w:p>
    <w:p>
      <w:pPr>
        <w:pStyle w:val="nzHeading5"/>
      </w:pPr>
      <w:r>
        <w:rPr>
          <w:rStyle w:val="CharSectno"/>
        </w:rPr>
        <w:t>91</w:t>
      </w:r>
      <w:r>
        <w:t>.</w:t>
      </w:r>
      <w:r>
        <w:tab/>
        <w:t>Section 230 amended</w:t>
      </w:r>
    </w:p>
    <w:p>
      <w:pPr>
        <w:pStyle w:val="nzSubsection"/>
      </w:pPr>
      <w:r>
        <w:tab/>
      </w:r>
      <w:r>
        <w:tab/>
        <w:t>In section 230(2) delete “Road Traffic Act Part III.” and insert:</w:t>
      </w:r>
    </w:p>
    <w:p>
      <w:pPr>
        <w:pStyle w:val="BlankOpen"/>
      </w:pPr>
    </w:p>
    <w:p>
      <w:pPr>
        <w:pStyle w:val="nzSubsection"/>
      </w:pPr>
      <w:r>
        <w:tab/>
      </w:r>
      <w:r>
        <w:tab/>
        <w:t>the Vehicles Act.</w:t>
      </w:r>
    </w:p>
    <w:p>
      <w:pPr>
        <w:pStyle w:val="BlankClose"/>
      </w:pPr>
    </w:p>
    <w:p>
      <w:pPr>
        <w:pStyle w:val="nzHeading5"/>
      </w:pPr>
      <w:r>
        <w:rPr>
          <w:rStyle w:val="CharSectno"/>
        </w:rPr>
        <w:t>92</w:t>
      </w:r>
      <w:r>
        <w:t>.</w:t>
      </w:r>
      <w:r>
        <w:tab/>
        <w:t>Section 240 amended</w:t>
      </w:r>
    </w:p>
    <w:p>
      <w:pPr>
        <w:pStyle w:val="nzSubsection"/>
      </w:pPr>
      <w:r>
        <w:tab/>
        <w:t>(1)</w:t>
      </w:r>
      <w:r>
        <w:tab/>
        <w:t>In section 240(1) delete “Road Traffic Act section 19(3).” and insert:</w:t>
      </w:r>
    </w:p>
    <w:p>
      <w:pPr>
        <w:pStyle w:val="BlankOpen"/>
      </w:pPr>
    </w:p>
    <w:p>
      <w:pPr>
        <w:pStyle w:val="nzSubsection"/>
      </w:pPr>
      <w:r>
        <w:tab/>
      </w:r>
      <w:r>
        <w:tab/>
        <w:t>Vehicles Act section 7(3).</w:t>
      </w:r>
    </w:p>
    <w:p>
      <w:pPr>
        <w:pStyle w:val="BlankClose"/>
      </w:pPr>
    </w:p>
    <w:p>
      <w:pPr>
        <w:pStyle w:val="nzNotesPerm"/>
      </w:pPr>
      <w:r>
        <w:tab/>
        <w:t>Note:</w:t>
      </w:r>
      <w:r>
        <w:tab/>
        <w:t>The heading to amended section 240 is to read:</w:t>
      </w:r>
    </w:p>
    <w:p>
      <w:pPr>
        <w:pStyle w:val="nzNotesPerm"/>
      </w:pPr>
      <w:r>
        <w:tab/>
      </w:r>
      <w:r>
        <w:tab/>
      </w:r>
      <w:r>
        <w:rPr>
          <w:b/>
        </w:rPr>
        <w:t>If no vehicle licence fee payable under Vehicles Act</w:t>
      </w:r>
    </w:p>
    <w:p>
      <w:pPr>
        <w:pStyle w:val="nzSubsection"/>
      </w:pPr>
      <w:r>
        <w:tab/>
        <w:t>(2)</w:t>
      </w:r>
      <w:r>
        <w:tab/>
        <w:t>In section 240(2) delete “Road Traffic Act section 19(3)” and insert:</w:t>
      </w:r>
    </w:p>
    <w:p>
      <w:pPr>
        <w:pStyle w:val="BlankOpen"/>
      </w:pPr>
    </w:p>
    <w:p>
      <w:pPr>
        <w:pStyle w:val="nzSubsection"/>
      </w:pPr>
      <w:r>
        <w:tab/>
      </w:r>
      <w:r>
        <w:tab/>
        <w:t>Vehicles Act section 7(3)</w:t>
      </w:r>
    </w:p>
    <w:p>
      <w:pPr>
        <w:pStyle w:val="BlankClose"/>
      </w:pPr>
    </w:p>
    <w:p>
      <w:pPr>
        <w:pStyle w:val="nzHeading5"/>
      </w:pPr>
      <w:r>
        <w:rPr>
          <w:rStyle w:val="CharSectno"/>
        </w:rPr>
        <w:t>93</w:t>
      </w:r>
      <w:r>
        <w:t>.</w:t>
      </w:r>
      <w:r>
        <w:tab/>
        <w:t>Section 243 amended</w:t>
      </w:r>
    </w:p>
    <w:p>
      <w:pPr>
        <w:pStyle w:val="nzSubsection"/>
      </w:pPr>
      <w:r>
        <w:tab/>
      </w:r>
      <w:r>
        <w:tab/>
        <w:t>In section 243(b) delete “Road Traffic Act” and insert:</w:t>
      </w:r>
    </w:p>
    <w:p>
      <w:pPr>
        <w:pStyle w:val="BlankOpen"/>
      </w:pPr>
    </w:p>
    <w:p>
      <w:pPr>
        <w:pStyle w:val="nzSubsection"/>
      </w:pPr>
      <w:r>
        <w:tab/>
      </w:r>
      <w:r>
        <w:tab/>
      </w:r>
      <w:r>
        <w:rPr>
          <w:i/>
        </w:rPr>
        <w:t>Road Traffic Act 1974</w:t>
      </w:r>
      <w:r>
        <w:t xml:space="preserve"> or the Vehicles Act</w:t>
      </w:r>
    </w:p>
    <w:p>
      <w:pPr>
        <w:pStyle w:val="BlankClose"/>
      </w:pPr>
    </w:p>
    <w:p>
      <w:pPr>
        <w:pStyle w:val="nzHeading5"/>
      </w:pPr>
      <w:r>
        <w:rPr>
          <w:rStyle w:val="CharSectno"/>
        </w:rPr>
        <w:t>94</w:t>
      </w:r>
      <w:r>
        <w:t>.</w:t>
      </w:r>
      <w:r>
        <w:tab/>
        <w:t>Section 244A amended</w:t>
      </w:r>
    </w:p>
    <w:p>
      <w:pPr>
        <w:pStyle w:val="nzSubsection"/>
      </w:pPr>
      <w:r>
        <w:tab/>
      </w:r>
      <w:r>
        <w:tab/>
        <w:t>In section 244A(5):</w:t>
      </w:r>
    </w:p>
    <w:p>
      <w:pPr>
        <w:pStyle w:val="nzIndenta"/>
      </w:pPr>
      <w:r>
        <w:tab/>
        <w:t>(a)</w:t>
      </w:r>
      <w:r>
        <w:tab/>
        <w:t>delete “Road Traffic” and insert:</w:t>
      </w:r>
    </w:p>
    <w:p>
      <w:pPr>
        <w:pStyle w:val="BlankOpen"/>
      </w:pPr>
    </w:p>
    <w:p>
      <w:pPr>
        <w:pStyle w:val="nzIndenta"/>
      </w:pPr>
      <w:r>
        <w:tab/>
      </w:r>
      <w:r>
        <w:tab/>
        <w:t>Vehicles</w:t>
      </w:r>
    </w:p>
    <w:p>
      <w:pPr>
        <w:pStyle w:val="BlankClose"/>
      </w:pPr>
    </w:p>
    <w:p>
      <w:pPr>
        <w:pStyle w:val="nzIndenta"/>
      </w:pPr>
      <w:r>
        <w:tab/>
        <w:t>(b)</w:t>
      </w:r>
      <w:r>
        <w:tab/>
        <w:t>delete “section 19(3)” and insert:</w:t>
      </w:r>
    </w:p>
    <w:p>
      <w:pPr>
        <w:pStyle w:val="BlankOpen"/>
      </w:pPr>
    </w:p>
    <w:p>
      <w:pPr>
        <w:pStyle w:val="nzIndenta"/>
      </w:pPr>
      <w:r>
        <w:tab/>
      </w:r>
      <w:r>
        <w:tab/>
        <w:t>regulations made under section 7(3)</w:t>
      </w:r>
    </w:p>
    <w:p>
      <w:pPr>
        <w:pStyle w:val="BlankClose"/>
      </w:pPr>
    </w:p>
    <w:p>
      <w:pPr>
        <w:pStyle w:val="nzHeading5"/>
      </w:pPr>
      <w:r>
        <w:rPr>
          <w:rStyle w:val="CharSectno"/>
        </w:rPr>
        <w:t>95</w:t>
      </w:r>
      <w:r>
        <w:t>.</w:t>
      </w:r>
      <w:r>
        <w:tab/>
        <w:t>Various references to “Road Traffic Act” amended</w:t>
      </w:r>
    </w:p>
    <w:p>
      <w:pPr>
        <w:pStyle w:val="nzSubsection"/>
        <w:keepNext/>
      </w:pPr>
      <w:r>
        <w:tab/>
      </w:r>
      <w:r>
        <w:tab/>
        <w:t>In the provisions listed in the Table delete “Road Traffic Act” (each occurrence) and insert:</w:t>
      </w:r>
    </w:p>
    <w:p>
      <w:pPr>
        <w:pStyle w:val="BlankOpen"/>
      </w:pPr>
    </w:p>
    <w:p>
      <w:pPr>
        <w:pStyle w:val="nzSubsection"/>
      </w:pPr>
      <w:r>
        <w:tab/>
      </w:r>
      <w:r>
        <w:tab/>
        <w:t>Vehicles Act</w:t>
      </w:r>
    </w:p>
    <w:p>
      <w:pPr>
        <w:pStyle w:val="BlankClose"/>
      </w:pPr>
    </w:p>
    <w:p>
      <w:pPr>
        <w:pStyle w:val="THeading"/>
        <w:rPr>
          <w:sz w:val="20"/>
        </w:rPr>
      </w:pPr>
      <w:r>
        <w:rPr>
          <w:sz w:val="20"/>
        </w:rPr>
        <w:t>Table</w:t>
      </w:r>
    </w:p>
    <w:tbl>
      <w:tblPr>
        <w:tblW w:w="0" w:type="auto"/>
        <w:jc w:val="center"/>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34"/>
        <w:gridCol w:w="1494"/>
      </w:tblGrid>
      <w:tr>
        <w:trPr>
          <w:cantSplit/>
          <w:jc w:val="center"/>
        </w:trPr>
        <w:tc>
          <w:tcPr>
            <w:tcW w:w="2934" w:type="dxa"/>
          </w:tcPr>
          <w:p>
            <w:pPr>
              <w:pStyle w:val="TableAm"/>
              <w:tabs>
                <w:tab w:val="clear" w:pos="567"/>
              </w:tabs>
              <w:rPr>
                <w:sz w:val="20"/>
              </w:rPr>
            </w:pPr>
            <w:r>
              <w:rPr>
                <w:sz w:val="20"/>
              </w:rPr>
              <w:t xml:space="preserve">s. 228 def. of </w:t>
            </w:r>
            <w:r>
              <w:rPr>
                <w:b/>
                <w:i/>
                <w:sz w:val="20"/>
              </w:rPr>
              <w:t>corresponding State law</w:t>
            </w:r>
          </w:p>
        </w:tc>
        <w:tc>
          <w:tcPr>
            <w:tcW w:w="1494" w:type="dxa"/>
          </w:tcPr>
          <w:p>
            <w:pPr>
              <w:pStyle w:val="TableAm"/>
              <w:tabs>
                <w:tab w:val="clear" w:pos="567"/>
              </w:tabs>
              <w:ind w:left="19"/>
              <w:rPr>
                <w:sz w:val="20"/>
              </w:rPr>
            </w:pPr>
            <w:r>
              <w:rPr>
                <w:sz w:val="20"/>
              </w:rPr>
              <w:t>s. 230(1), (3)</w:t>
            </w:r>
          </w:p>
        </w:tc>
      </w:tr>
      <w:tr>
        <w:trPr>
          <w:cantSplit/>
          <w:jc w:val="center"/>
        </w:trPr>
        <w:tc>
          <w:tcPr>
            <w:tcW w:w="2934" w:type="dxa"/>
          </w:tcPr>
          <w:p>
            <w:pPr>
              <w:pStyle w:val="TableAm"/>
              <w:tabs>
                <w:tab w:val="clear" w:pos="567"/>
              </w:tabs>
              <w:rPr>
                <w:sz w:val="20"/>
              </w:rPr>
            </w:pPr>
            <w:r>
              <w:rPr>
                <w:sz w:val="20"/>
              </w:rPr>
              <w:t>s. 235(a)</w:t>
            </w:r>
          </w:p>
        </w:tc>
        <w:tc>
          <w:tcPr>
            <w:tcW w:w="1494" w:type="dxa"/>
          </w:tcPr>
          <w:p>
            <w:pPr>
              <w:pStyle w:val="TableAm"/>
              <w:tabs>
                <w:tab w:val="clear" w:pos="567"/>
              </w:tabs>
              <w:ind w:left="19"/>
              <w:rPr>
                <w:sz w:val="20"/>
              </w:rPr>
            </w:pPr>
            <w:r>
              <w:rPr>
                <w:sz w:val="20"/>
              </w:rPr>
              <w:t>s. 242(1)(a) and (c)</w:t>
            </w:r>
          </w:p>
        </w:tc>
      </w:tr>
      <w:tr>
        <w:trPr>
          <w:cantSplit/>
          <w:jc w:val="center"/>
        </w:trPr>
        <w:tc>
          <w:tcPr>
            <w:tcW w:w="2934" w:type="dxa"/>
          </w:tcPr>
          <w:p>
            <w:pPr>
              <w:pStyle w:val="TableAm"/>
              <w:tabs>
                <w:tab w:val="clear" w:pos="567"/>
              </w:tabs>
              <w:rPr>
                <w:sz w:val="20"/>
              </w:rPr>
            </w:pPr>
            <w:r>
              <w:rPr>
                <w:sz w:val="20"/>
              </w:rPr>
              <w:t>s. 251(1), (2)</w:t>
            </w:r>
          </w:p>
        </w:tc>
        <w:tc>
          <w:tcPr>
            <w:tcW w:w="1494" w:type="dxa"/>
          </w:tcPr>
          <w:p>
            <w:pPr>
              <w:pStyle w:val="TableAm"/>
              <w:tabs>
                <w:tab w:val="clear" w:pos="567"/>
              </w:tabs>
              <w:ind w:left="19"/>
              <w:rPr>
                <w:sz w:val="20"/>
              </w:rPr>
            </w:pPr>
            <w:r>
              <w:rPr>
                <w:sz w:val="20"/>
              </w:rPr>
              <w:t>s. 252(1)</w:t>
            </w:r>
          </w:p>
        </w:tc>
      </w:tr>
    </w:tbl>
    <w:p>
      <w:pPr>
        <w:pStyle w:val="nzHeading5"/>
      </w:pPr>
      <w:r>
        <w:rPr>
          <w:rStyle w:val="CharSectno"/>
        </w:rPr>
        <w:t>96</w:t>
      </w:r>
      <w:r>
        <w:t>.</w:t>
      </w:r>
      <w:r>
        <w:tab/>
        <w:t>Various references to “Director General” amended</w:t>
      </w:r>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
        <w:spacing w:before="100"/>
        <w:rPr>
          <w:sz w:val="20"/>
        </w:rPr>
      </w:pPr>
      <w:r>
        <w:rPr>
          <w:sz w:val="20"/>
        </w:rPr>
        <w:t>Table</w:t>
      </w:r>
    </w:p>
    <w:tbl>
      <w:tblPr>
        <w:tblW w:w="0" w:type="auto"/>
        <w:jc w:val="center"/>
        <w:tblInd w:w="2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71"/>
        <w:gridCol w:w="1792"/>
      </w:tblGrid>
      <w:tr>
        <w:trPr>
          <w:cantSplit/>
          <w:jc w:val="center"/>
        </w:trPr>
        <w:tc>
          <w:tcPr>
            <w:tcW w:w="2671" w:type="dxa"/>
          </w:tcPr>
          <w:p>
            <w:pPr>
              <w:pStyle w:val="TableAm"/>
              <w:tabs>
                <w:tab w:val="clear" w:pos="567"/>
              </w:tabs>
              <w:rPr>
                <w:sz w:val="20"/>
              </w:rPr>
            </w:pPr>
            <w:r>
              <w:rPr>
                <w:sz w:val="20"/>
              </w:rPr>
              <w:t>s. 233(1)</w:t>
            </w:r>
          </w:p>
        </w:tc>
        <w:tc>
          <w:tcPr>
            <w:tcW w:w="1792" w:type="dxa"/>
          </w:tcPr>
          <w:p>
            <w:pPr>
              <w:pStyle w:val="TableAm"/>
              <w:ind w:left="54"/>
              <w:rPr>
                <w:sz w:val="20"/>
              </w:rPr>
            </w:pPr>
            <w:r>
              <w:rPr>
                <w:sz w:val="20"/>
              </w:rPr>
              <w:t>s. 234(2)</w:t>
            </w:r>
          </w:p>
        </w:tc>
      </w:tr>
      <w:tr>
        <w:trPr>
          <w:cantSplit/>
          <w:jc w:val="center"/>
        </w:trPr>
        <w:tc>
          <w:tcPr>
            <w:tcW w:w="2671" w:type="dxa"/>
          </w:tcPr>
          <w:p>
            <w:pPr>
              <w:pStyle w:val="TableAm"/>
              <w:tabs>
                <w:tab w:val="clear" w:pos="567"/>
              </w:tabs>
              <w:rPr>
                <w:sz w:val="20"/>
              </w:rPr>
            </w:pPr>
            <w:r>
              <w:rPr>
                <w:sz w:val="20"/>
              </w:rPr>
              <w:t>s. 235(a)</w:t>
            </w:r>
          </w:p>
        </w:tc>
        <w:tc>
          <w:tcPr>
            <w:tcW w:w="1792" w:type="dxa"/>
          </w:tcPr>
          <w:p>
            <w:pPr>
              <w:pStyle w:val="TableAm"/>
              <w:ind w:left="54"/>
              <w:rPr>
                <w:sz w:val="20"/>
              </w:rPr>
            </w:pPr>
            <w:r>
              <w:rPr>
                <w:sz w:val="20"/>
              </w:rPr>
              <w:t>s. 241</w:t>
            </w:r>
          </w:p>
        </w:tc>
      </w:tr>
      <w:tr>
        <w:trPr>
          <w:cantSplit/>
          <w:jc w:val="center"/>
        </w:trPr>
        <w:tc>
          <w:tcPr>
            <w:tcW w:w="2671" w:type="dxa"/>
          </w:tcPr>
          <w:p>
            <w:pPr>
              <w:pStyle w:val="TableAm"/>
              <w:tabs>
                <w:tab w:val="clear" w:pos="567"/>
              </w:tabs>
              <w:rPr>
                <w:sz w:val="20"/>
              </w:rPr>
            </w:pPr>
            <w:r>
              <w:rPr>
                <w:sz w:val="20"/>
              </w:rPr>
              <w:t>s. 252(1), (3)</w:t>
            </w:r>
          </w:p>
        </w:tc>
        <w:tc>
          <w:tcPr>
            <w:tcW w:w="1792" w:type="dxa"/>
          </w:tcPr>
          <w:p>
            <w:pPr>
              <w:pStyle w:val="TableAm"/>
              <w:ind w:left="54"/>
              <w:rPr>
                <w:sz w:val="20"/>
              </w:rPr>
            </w:pPr>
            <w:r>
              <w:rPr>
                <w:sz w:val="20"/>
              </w:rPr>
              <w:t>s. 253(1), (2), (3)</w:t>
            </w:r>
          </w:p>
        </w:tc>
      </w:tr>
      <w:tr>
        <w:trPr>
          <w:cantSplit/>
          <w:jc w:val="center"/>
        </w:trPr>
        <w:tc>
          <w:tcPr>
            <w:tcW w:w="2671" w:type="dxa"/>
          </w:tcPr>
          <w:p>
            <w:pPr>
              <w:pStyle w:val="TableAm"/>
              <w:tabs>
                <w:tab w:val="clear" w:pos="567"/>
              </w:tabs>
              <w:rPr>
                <w:sz w:val="20"/>
              </w:rPr>
            </w:pPr>
            <w:r>
              <w:rPr>
                <w:sz w:val="20"/>
              </w:rPr>
              <w:t>s. 255</w:t>
            </w:r>
          </w:p>
        </w:tc>
        <w:tc>
          <w:tcPr>
            <w:tcW w:w="1792" w:type="dxa"/>
          </w:tcPr>
          <w:p>
            <w:pPr>
              <w:pStyle w:val="TableAm"/>
              <w:rPr>
                <w:sz w:val="20"/>
              </w:rPr>
            </w:pPr>
          </w:p>
        </w:tc>
      </w:tr>
    </w:tbl>
    <w:p>
      <w:pPr>
        <w:pStyle w:val="nzNotesPerm"/>
      </w:pPr>
      <w:r>
        <w:tab/>
        <w:t>Note:</w:t>
      </w:r>
      <w:r>
        <w:tab/>
        <w:t>The heading to amended section 253 is to read:</w:t>
      </w:r>
    </w:p>
    <w:p>
      <w:pPr>
        <w:pStyle w:val="nzNotesPerm"/>
      </w:pPr>
      <w:r>
        <w:tab/>
      </w:r>
      <w:r>
        <w:tab/>
      </w:r>
      <w:r>
        <w:rPr>
          <w:b/>
        </w:rPr>
        <w:t>Functions of CEO and Commissioner</w:t>
      </w:r>
    </w:p>
    <w:p>
      <w:pPr>
        <w:pStyle w:val="nzNotesPerm"/>
      </w:pPr>
      <w:r>
        <w:tab/>
        <w:t>Note:</w:t>
      </w:r>
      <w:r>
        <w:tab/>
        <w:t>The heading to amended section 255 is to read:</w:t>
      </w:r>
    </w:p>
    <w:p>
      <w:pPr>
        <w:pStyle w:val="nzNotesPerm"/>
      </w:pPr>
      <w:r>
        <w:tab/>
      </w:r>
      <w:r>
        <w:tab/>
      </w:r>
      <w:r>
        <w:rPr>
          <w:b/>
        </w:rPr>
        <w:t>CEO’s duties</w:t>
      </w:r>
    </w:p>
    <w:p>
      <w:pPr>
        <w:pStyle w:val="BlankClose"/>
      </w:pPr>
    </w:p>
    <w:p/>
    <w:p>
      <w:pPr>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p>
      <w:pPr>
        <w:pStyle w:val="nHeading2"/>
        <w:rPr>
          <w:sz w:val="28"/>
        </w:rPr>
      </w:pPr>
      <w:bookmarkStart w:id="425" w:name="_Toc375130958"/>
      <w:r>
        <w:rPr>
          <w:sz w:val="28"/>
        </w:rPr>
        <w:t>Defined terms</w:t>
      </w:r>
      <w:bookmarkEnd w:id="4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6" w:name="DefinedTerms"/>
      <w:bookmarkEnd w:id="426"/>
      <w:r>
        <w:t>A</w:t>
      </w:r>
      <w:r>
        <w:tab/>
        <w:t>44(2)(a), 257(2)</w:t>
      </w:r>
    </w:p>
    <w:p>
      <w:pPr>
        <w:pStyle w:val="DefinedTerms"/>
      </w:pPr>
      <w:r>
        <w:t>accident insurance</w:t>
      </w:r>
      <w:r>
        <w:tab/>
        <w:t>206</w:t>
      </w:r>
    </w:p>
    <w:p>
      <w:pPr>
        <w:pStyle w:val="DefinedTerms"/>
      </w:pPr>
      <w:r>
        <w:t>acquirer</w:t>
      </w:r>
      <w:r>
        <w:tab/>
        <w:t>171(2), 175</w:t>
      </w:r>
    </w:p>
    <w:p>
      <w:pPr>
        <w:pStyle w:val="DefinedTerms"/>
      </w:pPr>
      <w:r>
        <w:t>acquiring person</w:t>
      </w:r>
      <w:r>
        <w:tab/>
        <w:t>167(1), 168(1)</w:t>
      </w:r>
    </w:p>
    <w:p>
      <w:pPr>
        <w:pStyle w:val="DefinedTerms"/>
      </w:pPr>
      <w:r>
        <w:t>acquisition</w:t>
      </w:r>
      <w:r>
        <w:tab/>
        <w:t>165</w:t>
      </w:r>
    </w:p>
    <w:p>
      <w:pPr>
        <w:pStyle w:val="DefinedTerms"/>
      </w:pPr>
      <w:r>
        <w:t>acquisition statement</w:t>
      </w:r>
      <w:r>
        <w:tab/>
        <w:t>199</w:t>
      </w:r>
    </w:p>
    <w:p>
      <w:pPr>
        <w:pStyle w:val="DefinedTerms"/>
      </w:pPr>
      <w:r>
        <w:t>additional insurance</w:t>
      </w:r>
      <w:r>
        <w:tab/>
        <w:t>210(2)(a)</w:t>
      </w:r>
    </w:p>
    <w:p>
      <w:pPr>
        <w:pStyle w:val="DefinedTerms"/>
      </w:pPr>
      <w:r>
        <w:t>affected entity</w:t>
      </w:r>
      <w:r>
        <w:tab/>
        <w:t>259(1)</w:t>
      </w:r>
    </w:p>
    <w:p>
      <w:pPr>
        <w:pStyle w:val="DefinedTerms"/>
      </w:pPr>
      <w:r>
        <w:t>aggregated transaction</w:t>
      </w:r>
      <w:r>
        <w:tab/>
        <w:t>147F(3)</w:t>
      </w:r>
    </w:p>
    <w:p>
      <w:pPr>
        <w:pStyle w:val="DefinedTerms"/>
      </w:pPr>
      <w:r>
        <w:t>agreement by instalments</w:t>
      </w:r>
      <w:r>
        <w:tab/>
        <w:t>33(1)</w:t>
      </w:r>
    </w:p>
    <w:p>
      <w:pPr>
        <w:pStyle w:val="DefinedTerms"/>
      </w:pPr>
      <w:r>
        <w:t>authorised trustee corporation</w:t>
      </w:r>
      <w:r>
        <w:tab/>
        <w:t>63</w:t>
      </w:r>
    </w:p>
    <w:p>
      <w:pPr>
        <w:pStyle w:val="DefinedTerms"/>
      </w:pPr>
      <w:r>
        <w:t>B</w:t>
      </w:r>
      <w:r>
        <w:tab/>
        <w:t>44(2)(a), 257(2)(a)</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49(1)(a)</w:t>
      </w:r>
    </w:p>
    <w:p>
      <w:pPr>
        <w:pStyle w:val="DefinedTerms"/>
      </w:pPr>
      <w:r>
        <w:t>call option</w:t>
      </w:r>
      <w:r>
        <w:tab/>
        <w:t>44(1), 177(1)</w:t>
      </w:r>
    </w:p>
    <w:p>
      <w:pPr>
        <w:pStyle w:val="DefinedTerms"/>
      </w:pPr>
      <w:r>
        <w:t>cancelled transaction</w:t>
      </w:r>
      <w:r>
        <w:tab/>
        <w:t>107(1)</w:t>
      </w:r>
    </w:p>
    <w:p>
      <w:pPr>
        <w:pStyle w:val="DefinedTerms"/>
      </w:pPr>
      <w:r>
        <w:t>caravan</w:t>
      </w:r>
      <w:r>
        <w:tab/>
        <w:t>228</w:t>
      </w:r>
    </w:p>
    <w:p>
      <w:pPr>
        <w:pStyle w:val="DefinedTerms"/>
      </w:pPr>
      <w:r>
        <w:t>caveat</w:t>
      </w:r>
      <w:r>
        <w:tab/>
        <w:t>278(1)</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125(2)(b)</w:t>
      </w:r>
    </w:p>
    <w:p>
      <w:pPr>
        <w:pStyle w:val="DefinedTerms"/>
      </w:pPr>
      <w:r>
        <w:t>circuit layout right</w:t>
      </w:r>
      <w:r>
        <w:tab/>
        <w:t>79</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pStyle w:val="DefinedTerms"/>
      </w:pPr>
      <w:r>
        <w:t>concessional rate</w:t>
      </w:r>
      <w:r>
        <w:tab/>
        <w:t>9</w:t>
      </w:r>
    </w:p>
    <w:p>
      <w:pPr>
        <w:pStyle w:val="DefinedTerms"/>
      </w:pPr>
      <w:r>
        <w:t>concessional transaction</w:t>
      </w:r>
      <w:r>
        <w:tab/>
        <w:t>147C(1), 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45(1)(b)(i), 178(3)(a)</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declaration of trust</w:t>
      </w:r>
      <w:r>
        <w:tab/>
        <w:t>9</w:t>
      </w:r>
    </w:p>
    <w:p>
      <w:pPr>
        <w:pStyle w:val="DefinedTerms"/>
      </w:pPr>
      <w:r>
        <w:t>dependant</w:t>
      </w:r>
      <w:r>
        <w:tab/>
        <w:t>127(1)</w:t>
      </w:r>
    </w:p>
    <w:p>
      <w:pPr>
        <w:pStyle w:val="DefinedTerms"/>
      </w:pPr>
      <w:r>
        <w:t>dependent transaction</w:t>
      </w:r>
      <w:r>
        <w:tab/>
        <w:t>274(1)</w:t>
      </w:r>
    </w:p>
    <w:p>
      <w:pPr>
        <w:pStyle w:val="DefinedTerms"/>
      </w:pPr>
      <w:r>
        <w:t>director</w:t>
      </w:r>
      <w:r>
        <w:tab/>
        <w:t>3</w:t>
      </w:r>
    </w:p>
    <w:p>
      <w:pPr>
        <w:pStyle w:val="DefinedTerms"/>
      </w:pPr>
      <w:r>
        <w:t>Director General</w:t>
      </w:r>
      <w:r>
        <w:tab/>
        <w:t>228</w:t>
      </w:r>
    </w:p>
    <w:p>
      <w:pPr>
        <w:pStyle w:val="DefinedTerms"/>
      </w:pPr>
      <w:r>
        <w:t>discretionary trust</w:t>
      </w:r>
      <w:r>
        <w:tab/>
        <w:t>3</w:t>
      </w:r>
    </w:p>
    <w:p>
      <w:pPr>
        <w:pStyle w:val="DefinedTerms"/>
      </w:pPr>
      <w:r>
        <w:t>disposition</w:t>
      </w:r>
      <w:r>
        <w:tab/>
        <w:t>9, 63</w:t>
      </w:r>
    </w:p>
    <w:p>
      <w:pPr>
        <w:pStyle w:val="DefinedTerms"/>
      </w:pPr>
      <w:r>
        <w:t>distributed value</w:t>
      </w:r>
      <w:r>
        <w:tab/>
        <w:t>194(4)(a) and (b)</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 (2) and (3)</w:t>
      </w:r>
    </w:p>
    <w:p>
      <w:pPr>
        <w:pStyle w:val="DefinedTerms"/>
      </w:pPr>
      <w:r>
        <w:t>earlier acquisition</w:t>
      </w:r>
      <w:r>
        <w:tab/>
        <w:t>189(4) and (6)</w:t>
      </w:r>
    </w:p>
    <w:p>
      <w:pPr>
        <w:pStyle w:val="DefinedTerms"/>
      </w:pPr>
      <w:r>
        <w:t>earlier instrument</w:t>
      </w:r>
      <w:r>
        <w:tab/>
        <w:t>Sch. 3 cl. 10(1)</w:t>
      </w:r>
    </w:p>
    <w:p>
      <w:pPr>
        <w:pStyle w:val="DefinedTerms"/>
      </w:pPr>
      <w:r>
        <w:t>eligible rollover fund</w:t>
      </w:r>
      <w:r>
        <w:tab/>
        <w:t>121</w:t>
      </w:r>
    </w:p>
    <w:p>
      <w:pPr>
        <w:pStyle w:val="DefinedTerms"/>
      </w:pPr>
      <w:r>
        <w:t>eligible transaction</w:t>
      </w:r>
      <w:r>
        <w:tab/>
        <w:t>147A(1), 147B</w:t>
      </w:r>
    </w:p>
    <w:p>
      <w:pPr>
        <w:pStyle w:val="DefinedTerms"/>
      </w:pPr>
      <w:r>
        <w:t>entitled</w:t>
      </w:r>
      <w:r>
        <w:tab/>
        <w:t>3</w:t>
      </w:r>
    </w:p>
    <w:p>
      <w:pPr>
        <w:pStyle w:val="DefinedTerms"/>
      </w:pPr>
      <w:r>
        <w:t>entitlement value</w:t>
      </w:r>
      <w:r>
        <w:tab/>
        <w:t>194(4)(a) and (b)</w:t>
      </w:r>
    </w:p>
    <w:p>
      <w:pPr>
        <w:pStyle w:val="DefinedTerms"/>
      </w:pPr>
      <w:r>
        <w:t>entity</w:t>
      </w:r>
      <w:r>
        <w:tab/>
        <w:t>9, 102(3)(b),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FHOG concessional transaction</w:t>
      </w:r>
      <w:r>
        <w:tab/>
        <w:t>141(1)</w:t>
      </w:r>
    </w:p>
    <w:p>
      <w:pPr>
        <w:pStyle w:val="DefinedTerms"/>
      </w:pPr>
      <w:r>
        <w:t>financial services licensee</w:t>
      </w:r>
      <w:r>
        <w:tab/>
        <w:t>206</w:t>
      </w:r>
    </w:p>
    <w:p>
      <w:pPr>
        <w:pStyle w:val="DefinedTerms"/>
      </w:pPr>
      <w:r>
        <w:t>first acquisition</w:t>
      </w:r>
      <w:r>
        <w:tab/>
        <w:t>174(1)(a)</w:t>
      </w:r>
    </w:p>
    <w:p>
      <w:pPr>
        <w:pStyle w:val="DefinedTerms"/>
      </w:pPr>
      <w:r>
        <w:t>first agreement</w:t>
      </w:r>
      <w:r>
        <w:tab/>
        <w:t>42(8)(a)</w:t>
      </w:r>
    </w:p>
    <w:p>
      <w:pPr>
        <w:pStyle w:val="DefinedTerms"/>
      </w:pPr>
      <w:r>
        <w:t>first business</w:t>
      </w:r>
      <w:r>
        <w:tab/>
        <w:t>81(5)(a)</w:t>
      </w:r>
    </w:p>
    <w:p>
      <w:pPr>
        <w:pStyle w:val="DefinedTerms"/>
      </w:pPr>
      <w:r>
        <w:t>first dutiable transaction</w:t>
      </w:r>
      <w:r>
        <w:tab/>
        <w:t>35, 47(a), 51(a)</w:t>
      </w:r>
    </w:p>
    <w:p>
      <w:pPr>
        <w:pStyle w:val="DefinedTerms"/>
      </w:pPr>
      <w:r>
        <w:t>first FHOG concessional transaction</w:t>
      </w:r>
      <w:r>
        <w:tab/>
        <w:t>141(1) and (2)</w:t>
      </w:r>
    </w:p>
    <w:p>
      <w:pPr>
        <w:pStyle w:val="DefinedTerms"/>
      </w:pPr>
      <w:r>
        <w:t>first transaction</w:t>
      </w:r>
      <w:r>
        <w:tab/>
        <w:t>104(a)</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FHOG concessional transaction</w:t>
      </w:r>
      <w:r>
        <w:tab/>
        <w:t>141(1)</w:t>
      </w:r>
    </w:p>
    <w:p>
      <w:pPr>
        <w:pStyle w:val="DefinedTerms"/>
      </w:pPr>
      <w:r>
        <w:t>general conditional agreement</w:t>
      </w:r>
      <w:r>
        <w:tab/>
        <w:t>9</w:t>
      </w:r>
    </w:p>
    <w:p>
      <w:pPr>
        <w:pStyle w:val="DefinedTerms"/>
      </w:pPr>
      <w:r>
        <w:t>general insurance</w:t>
      </w:r>
      <w:r>
        <w:tab/>
        <w:t>206, 209(1) and (2)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intermediary</w:t>
      </w:r>
      <w:r>
        <w:tab/>
        <w:t>206</w:t>
      </w:r>
    </w:p>
    <w:p>
      <w:pPr>
        <w:pStyle w:val="DefinedTerms"/>
      </w:pPr>
      <w:r>
        <w:t>interstate duty</w:t>
      </w:r>
      <w:r>
        <w:tab/>
        <w:t>206</w:t>
      </w:r>
    </w:p>
    <w:p>
      <w:pPr>
        <w:pStyle w:val="DefinedTerms"/>
      </w:pPr>
      <w:r>
        <w:t>intervening transactions</w:t>
      </w:r>
      <w:r>
        <w:tab/>
        <w:t>42(8)(b)</w:t>
      </w:r>
    </w:p>
    <w:p>
      <w:pPr>
        <w:pStyle w:val="DefinedTerms"/>
      </w:pPr>
      <w:r>
        <w:t>issue of title conditional agreement</w:t>
      </w:r>
      <w:r>
        <w:tab/>
        <w:t>9</w:t>
      </w:r>
    </w:p>
    <w:p>
      <w:pPr>
        <w:pStyle w:val="DefinedTerms"/>
      </w:pPr>
      <w:r>
        <w:t>land</w:t>
      </w:r>
      <w:r>
        <w:tab/>
        <w:t>3, 147F(1) and (3), 148</w:t>
      </w:r>
    </w:p>
    <w:p>
      <w:pPr>
        <w:pStyle w:val="DefinedTerms"/>
      </w:pPr>
      <w:r>
        <w:t>landholder</w:t>
      </w:r>
      <w:r>
        <w:tab/>
        <w:t>148</w:t>
      </w:r>
    </w:p>
    <w:p>
      <w:pPr>
        <w:pStyle w:val="DefinedTerms"/>
      </w:pPr>
      <w:r>
        <w:t>landholder duty</w:t>
      </w:r>
      <w:r>
        <w:tab/>
        <w:t>3</w:t>
      </w:r>
    </w:p>
    <w:p>
      <w:pPr>
        <w:pStyle w:val="DefinedTerms"/>
      </w:pPr>
      <w:r>
        <w:t>legal personal representative</w:t>
      </w:r>
      <w:r>
        <w:tab/>
        <w:t>127(1)</w:t>
      </w:r>
    </w:p>
    <w:p>
      <w:pPr>
        <w:pStyle w:val="DefinedTerms"/>
      </w:pPr>
      <w:r>
        <w:t>licence</w:t>
      </w:r>
      <w:r>
        <w:tab/>
        <w:t>228, 230(2) and (3)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and (5)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and (2)</w:t>
      </w:r>
    </w:p>
    <w:p>
      <w:pPr>
        <w:pStyle w:val="DefinedTerms"/>
      </w:pPr>
      <w:r>
        <w:t>new record</w:t>
      </w:r>
      <w:r>
        <w:tab/>
        <w:t>273(3)</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 (2) and (3)</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equipment</w:t>
      </w:r>
      <w:r>
        <w:tab/>
        <w:t>239(2)(b)</w:t>
      </w:r>
    </w:p>
    <w:p>
      <w:pPr>
        <w:pStyle w:val="DefinedTerms"/>
      </w:pPr>
      <w:r>
        <w:t>original transfer</w:t>
      </w:r>
      <w:r>
        <w:tab/>
        <w:t>120(1)(a)</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w:t>
      </w:r>
    </w:p>
    <w:p>
      <w:pPr>
        <w:pStyle w:val="DefinedTerms"/>
      </w:pPr>
      <w:r>
        <w:t>property</w:t>
      </w:r>
      <w:r>
        <w:tab/>
        <w:t>122(2)</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148, 201(1)(b)</w:t>
      </w:r>
    </w:p>
    <w:p>
      <w:pPr>
        <w:pStyle w:val="DefinedTerms"/>
      </w:pPr>
      <w:r>
        <w:t>related transaction</w:t>
      </w:r>
      <w:r>
        <w:tab/>
        <w:t>274(1)</w:t>
      </w:r>
    </w:p>
    <w:p>
      <w:pPr>
        <w:pStyle w:val="DefinedTerms"/>
      </w:pPr>
      <w:r>
        <w:t>relevant acquisition</w:t>
      </w:r>
      <w:r>
        <w:tab/>
        <w:t>148, 163, 164, Sch. 3 cl. 1(1)</w:t>
      </w:r>
    </w:p>
    <w:p>
      <w:pPr>
        <w:pStyle w:val="DefinedTerms"/>
      </w:pPr>
      <w:r>
        <w:t>relevant consolidation transaction</w:t>
      </w:r>
      <w:r>
        <w:tab/>
        <w:t>257(1), 259(2), (3) and (4)</w:t>
      </w:r>
    </w:p>
    <w:p>
      <w:pPr>
        <w:pStyle w:val="DefinedTerms"/>
      </w:pPr>
      <w:r>
        <w:t>relevant entity</w:t>
      </w:r>
      <w:r>
        <w:tab/>
        <w:t>126(1)</w:t>
      </w:r>
    </w:p>
    <w:p>
      <w:pPr>
        <w:pStyle w:val="DefinedTerms"/>
      </w:pPr>
      <w:r>
        <w:t>relevant interest</w:t>
      </w:r>
      <w:r>
        <w:tab/>
        <w:t>177(1)</w:t>
      </w:r>
    </w:p>
    <w:p>
      <w:pPr>
        <w:pStyle w:val="DefinedTerms"/>
      </w:pPr>
      <w:r>
        <w:t>relevant period</w:t>
      </w:r>
      <w:r>
        <w:tab/>
        <w:t>29(3), 147F(2) and (4), 193(1), 194(6), 201(2), Sch. 3 cl. 33</w:t>
      </w:r>
    </w:p>
    <w:p>
      <w:pPr>
        <w:pStyle w:val="DefinedTerms"/>
      </w:pPr>
      <w:r>
        <w:t>relevant person</w:t>
      </w:r>
      <w:r>
        <w:tab/>
        <w:t>154(2)</w:t>
      </w:r>
    </w:p>
    <w:p>
      <w:pPr>
        <w:pStyle w:val="DefinedTerms"/>
      </w:pPr>
      <w:r>
        <w:t>relevant reconstruction transaction</w:t>
      </w:r>
      <w:r>
        <w:tab/>
        <w:t>257(1), 260(1), (2), (3) and (4)</w:t>
      </w:r>
    </w:p>
    <w:p>
      <w:pPr>
        <w:pStyle w:val="DefinedTerms"/>
      </w:pPr>
      <w:r>
        <w:t>relevant transaction</w:t>
      </w:r>
      <w:r>
        <w:tab/>
        <w:t>257(1)</w:t>
      </w:r>
    </w:p>
    <w:p>
      <w:pPr>
        <w:pStyle w:val="DefinedTerms"/>
      </w:pPr>
      <w:r>
        <w:t>relevant transfer</w:t>
      </w:r>
      <w:r>
        <w:tab/>
        <w:t>125(1)</w:t>
      </w:r>
    </w:p>
    <w:p>
      <w:pPr>
        <w:pStyle w:val="DefinedTerms"/>
      </w:pPr>
      <w:r>
        <w:t>relinquishing person</w:t>
      </w:r>
      <w:r>
        <w:tab/>
        <w:t>167(1), 168(1)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 147A(1)</w:t>
      </w:r>
    </w:p>
    <w:p>
      <w:pPr>
        <w:pStyle w:val="DefinedTerms"/>
      </w:pPr>
      <w:r>
        <w:t>residential property</w:t>
      </w:r>
      <w:r>
        <w:tab/>
        <w:t>147A(1), 147D</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Road Traffic Act</w:t>
      </w:r>
      <w:r>
        <w:tab/>
        <w:t>228</w:t>
      </w:r>
    </w:p>
    <w:p>
      <w:pPr>
        <w:pStyle w:val="DefinedTerms"/>
      </w:pPr>
      <w:r>
        <w:t>scheme</w:t>
      </w:r>
      <w:r>
        <w:tab/>
        <w:t>267(1)</w:t>
      </w:r>
    </w:p>
    <w:p>
      <w:pPr>
        <w:pStyle w:val="DefinedTerms"/>
      </w:pPr>
      <w:r>
        <w:t>scheme property</w:t>
      </w:r>
      <w:r>
        <w:tab/>
        <w:t>9</w:t>
      </w:r>
    </w:p>
    <w:p>
      <w:pPr>
        <w:pStyle w:val="DefinedTerms"/>
      </w:pPr>
      <w:r>
        <w:t>second dutiable transaction</w:t>
      </w:r>
      <w:r>
        <w:tab/>
        <w:t>35, 47(b), 51(b)</w:t>
      </w:r>
    </w:p>
    <w:p>
      <w:pPr>
        <w:pStyle w:val="DefinedTerms"/>
      </w:pPr>
      <w:r>
        <w:t>section 270 decision</w:t>
      </w:r>
      <w:r>
        <w:tab/>
        <w:t>269(1)</w:t>
      </w:r>
    </w:p>
    <w:p>
      <w:pPr>
        <w:pStyle w:val="DefinedTerms"/>
      </w:pPr>
      <w:r>
        <w:t>security</w:t>
      </w:r>
      <w:r>
        <w:tab/>
        <w:t>257(1)</w:t>
      </w:r>
    </w:p>
    <w:p>
      <w:pPr>
        <w:pStyle w:val="DefinedTerms"/>
      </w:pPr>
      <w:r>
        <w:t>security holder</w:t>
      </w:r>
      <w:r>
        <w:tab/>
        <w:t>259(4)(a)</w:t>
      </w:r>
    </w:p>
    <w:p>
      <w:pPr>
        <w:pStyle w:val="DefinedTerms"/>
      </w:pPr>
      <w:r>
        <w:t>security interest</w:t>
      </w:r>
      <w:r>
        <w:tab/>
        <w:t>3</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5(3)(b)</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taxpayer</w:t>
      </w:r>
      <w:r>
        <w:tab/>
        <w:t>147A(1)</w:t>
      </w:r>
    </w:p>
    <w:p>
      <w:pPr>
        <w:pStyle w:val="DefinedTerms"/>
      </w:pPr>
      <w:r>
        <w:t>terminated on relevant grounds</w:t>
      </w:r>
      <w:r>
        <w:tab/>
        <w:t>9</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122(1), 173(1)(a)</w:t>
      </w:r>
    </w:p>
    <w:p>
      <w:pPr>
        <w:pStyle w:val="DefinedTerms"/>
      </w:pPr>
      <w:r>
        <w:t>transfers</w:t>
      </w:r>
      <w:r>
        <w:tab/>
        <w:t>42(8)(c)</w:t>
      </w:r>
    </w:p>
    <w:p>
      <w:pPr>
        <w:pStyle w:val="DefinedTerms"/>
      </w:pPr>
      <w:r>
        <w:t>trust acquisition</w:t>
      </w:r>
      <w:r>
        <w:tab/>
        <w:t>9</w:t>
      </w:r>
    </w:p>
    <w:p>
      <w:pPr>
        <w:pStyle w:val="DefinedTerms"/>
      </w:pPr>
      <w:r>
        <w:t>trust holding property</w:t>
      </w:r>
      <w:r>
        <w:tab/>
        <w:t>64</w:t>
      </w:r>
    </w:p>
    <w:p>
      <w:pPr>
        <w:pStyle w:val="DefinedTerms"/>
      </w:pPr>
      <w:r>
        <w:t>trust surrender</w:t>
      </w:r>
      <w:r>
        <w:tab/>
        <w:t>9</w:t>
      </w:r>
    </w:p>
    <w:p>
      <w:pPr>
        <w:pStyle w:val="DefinedTerms"/>
      </w:pPr>
      <w:r>
        <w:t>trustee</w:t>
      </w:r>
      <w:r>
        <w:tab/>
        <w:t>118(1), 122(1)</w:t>
      </w:r>
    </w:p>
    <w:p>
      <w:pPr>
        <w:pStyle w:val="DefinedTerms"/>
      </w:pPr>
      <w:r>
        <w:t>unencumbered value</w:t>
      </w:r>
      <w:r>
        <w:tab/>
        <w:t>9, 36(1), 148</w:t>
      </w:r>
    </w:p>
    <w:p>
      <w:pPr>
        <w:pStyle w:val="DefinedTerms"/>
      </w:pPr>
      <w:r>
        <w:t>unlisted corporation</w:t>
      </w:r>
      <w:r>
        <w:tab/>
        <w:t>63</w:t>
      </w:r>
    </w:p>
    <w:p>
      <w:pPr>
        <w:pStyle w:val="DefinedTerms"/>
        <w:sectPr>
          <w:headerReference w:type="even" r:id="rId47"/>
          <w:headerReference w:type="default" r:id="rId48"/>
          <w:headerReference w:type="first" r:id="rId49"/>
          <w:pgSz w:w="11906" w:h="16838" w:code="9"/>
          <w:pgMar w:top="2376" w:right="2405" w:bottom="3542" w:left="2405" w:header="706" w:footer="3380" w:gutter="0"/>
          <w:cols w:space="720"/>
          <w:noEndnote/>
          <w:docGrid w:linePitch="326"/>
        </w:sectPr>
      </w:pPr>
    </w:p>
    <w:p>
      <w:pPr>
        <w:pStyle w:val="DefinedTerms"/>
      </w:pPr>
      <w:r>
        <w:t>vehicle</w:t>
      </w:r>
      <w:r>
        <w:tab/>
        <w:t>228, 230(1)</w:t>
      </w:r>
    </w:p>
    <w:p>
      <w:pPr>
        <w:pStyle w:val="DefinedTerms"/>
      </w:pPr>
      <w:r>
        <w:t>vehicle licence duty</w:t>
      </w:r>
      <w:r>
        <w:tab/>
        <w:t>3</w:t>
      </w:r>
    </w:p>
    <w:p>
      <w:pPr>
        <w:pStyle w:val="DefinedTerms"/>
      </w:pPr>
      <w:r>
        <w:t>vehicle A</w:t>
      </w:r>
      <w:r>
        <w:tab/>
        <w:t>239(1)(a)</w:t>
      </w:r>
    </w:p>
    <w:p>
      <w:pPr>
        <w:pStyle w:val="DefinedTerms"/>
      </w:pPr>
      <w:r>
        <w:t>vehicle B</w:t>
      </w:r>
      <w:r>
        <w:tab/>
        <w:t>239(1)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
      <w:pPr>
        <w:sectPr>
          <w:headerReference w:type="even" r:id="rId50"/>
          <w:headerReference w:type="default" r:id="rId51"/>
          <w:headerReference w:type="first" r:id="rId52"/>
          <w:pgSz w:w="11906" w:h="16838" w:code="9"/>
          <w:pgMar w:top="2376" w:right="2405" w:bottom="3542" w:left="2405" w:header="706" w:footer="3380" w:gutter="0"/>
          <w:cols w:space="720"/>
          <w:noEndnote/>
          <w:docGrid w:linePitch="326"/>
        </w:sectPr>
      </w:pPr>
    </w:p>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Sep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Sep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Sep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286</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4">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6">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0">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1">
    <w:nsid w:val="7DEB7FFD"/>
    <w:multiLevelType w:val="multilevel"/>
    <w:tmpl w:val="B330E066"/>
    <w:lvl w:ilvl="0">
      <w:start w:val="1"/>
      <w:numFmt w:val="decimal"/>
      <w:pStyle w:val="DefinitionNumber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21"/>
  </w:num>
  <w:num w:numId="2">
    <w:abstractNumId w:val="21"/>
  </w:num>
  <w:num w:numId="3">
    <w:abstractNumId w:val="2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8"/>
  </w:num>
  <w:num w:numId="16">
    <w:abstractNumId w:val="21"/>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4"/>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8113115"/>
    <w:docVar w:name="WAFER_20131218113115" w:val="RemoveTocBookmarks,RemoveUnusedBookmarks,RemoveLanguageTags,UsedStyles,ResetPageSize,UpdateArrangement"/>
    <w:docVar w:name="WAFER_20131218113115_GUID" w:val="d55c374d-c3e6-470b-8af1-a49a812ff5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oleObject" Target="embeddings/oleObject4.bin"/><Relationship Id="rId39" Type="http://schemas.openxmlformats.org/officeDocument/2006/relationships/header" Target="header8.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header" Target="header6.xml"/><Relationship Id="rId42" Type="http://schemas.openxmlformats.org/officeDocument/2006/relationships/header" Target="header10.xml"/><Relationship Id="rId47" Type="http://schemas.openxmlformats.org/officeDocument/2006/relationships/header" Target="header15.xml"/><Relationship Id="rId50"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3.wmf"/><Relationship Id="rId33" Type="http://schemas.openxmlformats.org/officeDocument/2006/relationships/image" Target="media/image7.wmf"/><Relationship Id="rId38" Type="http://schemas.openxmlformats.org/officeDocument/2006/relationships/footer" Target="footer9.xml"/><Relationship Id="rId46"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5.wmf"/><Relationship Id="rId41" Type="http://schemas.openxmlformats.org/officeDocument/2006/relationships/image" Target="media/image8.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footer" Target="footer8.xml"/><Relationship Id="rId40" Type="http://schemas.openxmlformats.org/officeDocument/2006/relationships/header" Target="header9.xml"/><Relationship Id="rId45" Type="http://schemas.openxmlformats.org/officeDocument/2006/relationships/header" Target="header13.xm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2.bin"/><Relationship Id="rId28" Type="http://schemas.openxmlformats.org/officeDocument/2006/relationships/oleObject" Target="embeddings/oleObject5.bin"/><Relationship Id="rId36" Type="http://schemas.openxmlformats.org/officeDocument/2006/relationships/footer" Target="footer7.xml"/><Relationship Id="rId49"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6.wmf"/><Relationship Id="rId44" Type="http://schemas.openxmlformats.org/officeDocument/2006/relationships/header" Target="header12.xml"/><Relationship Id="rId52" Type="http://schemas.openxmlformats.org/officeDocument/2006/relationships/header" Target="header2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oleObject" Target="embeddings/oleObject1.bin"/><Relationship Id="rId27" Type="http://schemas.openxmlformats.org/officeDocument/2006/relationships/image" Target="media/image4.wmf"/><Relationship Id="rId30" Type="http://schemas.openxmlformats.org/officeDocument/2006/relationships/oleObject" Target="embeddings/oleObject6.bin"/><Relationship Id="rId35" Type="http://schemas.openxmlformats.org/officeDocument/2006/relationships/header" Target="header7.xml"/><Relationship Id="rId43" Type="http://schemas.openxmlformats.org/officeDocument/2006/relationships/header" Target="header11.xml"/><Relationship Id="rId48" Type="http://schemas.openxmlformats.org/officeDocument/2006/relationships/header" Target="header16.xml"/><Relationship Id="rId8" Type="http://schemas.openxmlformats.org/officeDocument/2006/relationships/endnotes" Target="endnotes.xml"/><Relationship Id="rId51"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C84604-CB7F-45D4-A4D1-3CF59BC1A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272</Pages>
  <Words>65398</Words>
  <Characters>317184</Characters>
  <Application>Microsoft Office Word</Application>
  <DocSecurity>0</DocSecurity>
  <Lines>8810</Lines>
  <Paragraphs>5240</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377342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2008 - 02-b0-02</dc:title>
  <dc:subject/>
  <dc:creator/>
  <cp:keywords/>
  <dc:description/>
  <cp:lastModifiedBy>svcMRProcess</cp:lastModifiedBy>
  <cp:revision>4</cp:revision>
  <cp:lastPrinted>2013-08-20T00:42:00Z</cp:lastPrinted>
  <dcterms:created xsi:type="dcterms:W3CDTF">2020-02-15T06:22:00Z</dcterms:created>
  <dcterms:modified xsi:type="dcterms:W3CDTF">2020-02-15T06:22:00Z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20130925</vt:lpwstr>
  </property>
  <property fmtid="{D5CDD505-2E9C-101B-9397-08002B2CF9AE}" pid="4" name="AsAtDate">
    <vt:lpwstr>25 Sep 2013</vt:lpwstr>
  </property>
  <property fmtid="{D5CDD505-2E9C-101B-9397-08002B2CF9AE}" pid="5" name="Suffix">
    <vt:lpwstr>02-b0-02</vt:lpwstr>
  </property>
  <property fmtid="{D5CDD505-2E9C-101B-9397-08002B2CF9AE}" pid="6" name="OwlsUID">
    <vt:i4>146657</vt:i4>
  </property>
  <property fmtid="{D5CDD505-2E9C-101B-9397-08002B2CF9AE}" pid="7" name="ReprintNo">
    <vt:lpwstr>2</vt:lpwstr>
  </property>
  <property fmtid="{D5CDD505-2E9C-101B-9397-08002B2CF9AE}" pid="8" name="ReprintedAsAt">
    <vt:filetime>2013-08-08T16:00:00Z</vt:filetime>
  </property>
  <property fmtid="{D5CDD505-2E9C-101B-9397-08002B2CF9AE}" pid="9" name="DocumentType">
    <vt:lpwstr>Act</vt:lpwstr>
  </property>
</Properties>
</file>