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Rates and Charges (Rebates and Deferments) Act 1992</w:t>
      </w:r>
      <w:r>
        <w:rPr>
          <w:sz w:val="48"/>
        </w:rP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4 October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Rates and Charges (Rebates and Deferments) Act 1992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Administration</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_Toc368652350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_Toc368652351 \h </w:instrText>
      </w:r>
      <w:r>
        <w:fldChar w:fldCharType="separate"/>
      </w:r>
      <w:r>
        <w:t>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Interpretation</w:t>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_Toc368652353 \h </w:instrText>
      </w:r>
      <w:r>
        <w:fldChar w:fldCharType="separate"/>
      </w:r>
      <w:r>
        <w:t>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Determinations having an interpretive effect</w:t>
      </w:r>
    </w:p>
    <w:p>
      <w:pPr>
        <w:pStyle w:val="TOC8"/>
        <w:rPr>
          <w:rFonts w:asciiTheme="minorHAnsi" w:eastAsiaTheme="minorEastAsia" w:hAnsiTheme="minorHAnsi" w:cstheme="minorBidi"/>
          <w:szCs w:val="22"/>
          <w:lang w:eastAsia="en-AU"/>
        </w:rPr>
      </w:pPr>
      <w:r>
        <w:t>5</w:t>
      </w:r>
      <w:r>
        <w:rPr>
          <w:snapToGrid w:val="0"/>
        </w:rPr>
        <w:t>.</w:t>
      </w:r>
      <w:r>
        <w:rPr>
          <w:snapToGrid w:val="0"/>
        </w:rPr>
        <w:tab/>
        <w:t>Eligibility as a senior</w:t>
      </w:r>
      <w:r>
        <w:tab/>
      </w:r>
      <w:r>
        <w:fldChar w:fldCharType="begin"/>
      </w:r>
      <w:r>
        <w:instrText xml:space="preserve"> PAGEREF _Toc368652355 \h </w:instrText>
      </w:r>
      <w:r>
        <w:fldChar w:fldCharType="separate"/>
      </w:r>
      <w:r>
        <w:t>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State concession cards for persons not otherwise eligible</w:t>
      </w:r>
      <w:r>
        <w:tab/>
      </w:r>
      <w:r>
        <w:fldChar w:fldCharType="begin"/>
      </w:r>
      <w:r>
        <w:instrText xml:space="preserve"> PAGEREF _Toc368652356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Entitlement of a person as regards land</w:t>
      </w:r>
      <w:r>
        <w:tab/>
      </w:r>
      <w:r>
        <w:fldChar w:fldCharType="begin"/>
      </w:r>
      <w:r>
        <w:instrText xml:space="preserve"> PAGEREF _Toc368652357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Administration</w:t>
      </w:r>
    </w:p>
    <w:p>
      <w:pPr>
        <w:pStyle w:val="TOC8"/>
        <w:rPr>
          <w:rFonts w:asciiTheme="minorHAnsi" w:eastAsiaTheme="minorEastAsia" w:hAnsiTheme="minorHAnsi" w:cstheme="minorBidi"/>
          <w:szCs w:val="22"/>
          <w:lang w:eastAsia="en-AU"/>
        </w:rPr>
      </w:pPr>
      <w:r>
        <w:t>8</w:t>
      </w:r>
      <w:r>
        <w:rPr>
          <w:snapToGrid w:val="0"/>
        </w:rPr>
        <w:t>.</w:t>
      </w:r>
      <w:r>
        <w:rPr>
          <w:snapToGrid w:val="0"/>
        </w:rPr>
        <w:tab/>
        <w:t>Purposes</w:t>
      </w:r>
      <w:r>
        <w:tab/>
      </w:r>
      <w:r>
        <w:fldChar w:fldCharType="begin"/>
      </w:r>
      <w:r>
        <w:instrText xml:space="preserve"> PAGEREF _Toc368652359 \h </w:instrText>
      </w:r>
      <w:r>
        <w:fldChar w:fldCharType="separate"/>
      </w:r>
      <w:r>
        <w:t>10</w:t>
      </w:r>
      <w:r>
        <w:fldChar w:fldCharType="end"/>
      </w:r>
    </w:p>
    <w:p>
      <w:pPr>
        <w:pStyle w:val="TOC8"/>
        <w:rPr>
          <w:rFonts w:asciiTheme="minorHAnsi" w:eastAsiaTheme="minorEastAsia" w:hAnsiTheme="minorHAnsi" w:cstheme="minorBidi"/>
          <w:szCs w:val="22"/>
          <w:lang w:eastAsia="en-AU"/>
        </w:rPr>
      </w:pPr>
      <w:r>
        <w:t>9.</w:t>
      </w:r>
      <w:r>
        <w:tab/>
        <w:t>Ministerial directions and procedural manuals</w:t>
      </w:r>
      <w:r>
        <w:tab/>
      </w:r>
      <w:r>
        <w:fldChar w:fldCharType="begin"/>
      </w:r>
      <w:r>
        <w:instrText xml:space="preserve"> PAGEREF _Toc368652360 \h </w:instrText>
      </w:r>
      <w:r>
        <w:fldChar w:fldCharType="separate"/>
      </w:r>
      <w:r>
        <w:t>10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Delegation of functions</w:t>
      </w:r>
      <w:r>
        <w:tab/>
      </w:r>
      <w:r>
        <w:fldChar w:fldCharType="begin"/>
      </w:r>
      <w:r>
        <w:instrText xml:space="preserve"> PAGEREF _Toc368652361 \h </w:instrText>
      </w:r>
      <w:r>
        <w:fldChar w:fldCharType="separate"/>
      </w:r>
      <w:r>
        <w:t>11</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Minister to have access to information</w:t>
      </w:r>
      <w:r>
        <w:tab/>
      </w:r>
      <w:r>
        <w:fldChar w:fldCharType="begin"/>
      </w:r>
      <w:r>
        <w:instrText xml:space="preserve"> PAGEREF _Toc368652362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Review of determinations</w:t>
      </w:r>
    </w:p>
    <w:p>
      <w:pPr>
        <w:pStyle w:val="TOC8"/>
        <w:rPr>
          <w:rFonts w:asciiTheme="minorHAnsi" w:eastAsiaTheme="minorEastAsia" w:hAnsiTheme="minorHAnsi" w:cstheme="minorBidi"/>
          <w:szCs w:val="22"/>
          <w:lang w:eastAsia="en-AU"/>
        </w:rPr>
      </w:pPr>
      <w:r>
        <w:t>12</w:t>
      </w:r>
      <w:r>
        <w:rPr>
          <w:snapToGrid w:val="0"/>
        </w:rPr>
        <w:t>.</w:t>
      </w:r>
      <w:r>
        <w:rPr>
          <w:snapToGrid w:val="0"/>
        </w:rPr>
        <w:tab/>
        <w:t>Determination may be referred for review</w:t>
      </w:r>
      <w:r>
        <w:tab/>
      </w:r>
      <w:r>
        <w:fldChar w:fldCharType="begin"/>
      </w:r>
      <w:r>
        <w:instrText xml:space="preserve"> PAGEREF _Toc368652364 \h </w:instrText>
      </w:r>
      <w:r>
        <w:fldChar w:fldCharType="separate"/>
      </w:r>
      <w:r>
        <w:t>13</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Investigation by authorised review officer</w:t>
      </w:r>
      <w:r>
        <w:tab/>
      </w:r>
      <w:r>
        <w:fldChar w:fldCharType="begin"/>
      </w:r>
      <w:r>
        <w:instrText xml:space="preserve"> PAGEREF _Toc368652365 \h </w:instrText>
      </w:r>
      <w:r>
        <w:fldChar w:fldCharType="separate"/>
      </w:r>
      <w:r>
        <w:t>14</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Effect of review or complaint</w:t>
      </w:r>
      <w:r>
        <w:tab/>
      </w:r>
      <w:r>
        <w:fldChar w:fldCharType="begin"/>
      </w:r>
      <w:r>
        <w:instrText xml:space="preserve"> PAGEREF _Toc368652366 \h </w:instrText>
      </w:r>
      <w:r>
        <w:fldChar w:fldCharType="separate"/>
      </w:r>
      <w:r>
        <w:t>15</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Compensation for errors</w:t>
      </w:r>
      <w:r>
        <w:tab/>
      </w:r>
      <w:r>
        <w:fldChar w:fldCharType="begin"/>
      </w:r>
      <w:r>
        <w:instrText xml:space="preserve"> PAGEREF _Toc368652367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lang w:eastAsia="en-AU"/>
        </w:rPr>
      </w:pPr>
      <w:r>
        <w:lastRenderedPageBreak/>
        <w:t>Division 6</w:t>
      </w:r>
      <w:r>
        <w:rPr>
          <w:snapToGrid w:val="0"/>
        </w:rPr>
        <w:t> — </w:t>
      </w:r>
      <w:r>
        <w:t>Reimbursement</w:t>
      </w:r>
    </w:p>
    <w:p>
      <w:pPr>
        <w:pStyle w:val="TOC8"/>
        <w:rPr>
          <w:rFonts w:asciiTheme="minorHAnsi" w:eastAsiaTheme="minorEastAsia" w:hAnsiTheme="minorHAnsi" w:cstheme="minorBidi"/>
          <w:szCs w:val="22"/>
          <w:lang w:eastAsia="en-AU"/>
        </w:rPr>
      </w:pPr>
      <w:r>
        <w:t>16</w:t>
      </w:r>
      <w:r>
        <w:rPr>
          <w:snapToGrid w:val="0"/>
        </w:rPr>
        <w:t>.</w:t>
      </w:r>
      <w:r>
        <w:rPr>
          <w:snapToGrid w:val="0"/>
        </w:rPr>
        <w:tab/>
        <w:t>Claims by administrative authorities</w:t>
      </w:r>
      <w:r>
        <w:tab/>
      </w:r>
      <w:r>
        <w:fldChar w:fldCharType="begin"/>
      </w:r>
      <w:r>
        <w:instrText xml:space="preserve"> PAGEREF _Toc368652369 \h </w:instrText>
      </w:r>
      <w:r>
        <w:fldChar w:fldCharType="separate"/>
      </w:r>
      <w:r>
        <w:t>17</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Payment of claims for reimbursement</w:t>
      </w:r>
      <w:r>
        <w:tab/>
      </w:r>
      <w:r>
        <w:fldChar w:fldCharType="begin"/>
      </w:r>
      <w:r>
        <w:instrText xml:space="preserve"> PAGEREF _Toc368652370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w:t>
      </w:r>
      <w:r>
        <w:rPr>
          <w:snapToGrid w:val="0"/>
        </w:rPr>
        <w:t> — </w:t>
      </w:r>
      <w:r>
        <w:t>Transitional provisions</w:t>
      </w:r>
    </w:p>
    <w:p>
      <w:pPr>
        <w:pStyle w:val="TOC8"/>
        <w:rPr>
          <w:rFonts w:asciiTheme="minorHAnsi" w:eastAsiaTheme="minorEastAsia" w:hAnsiTheme="minorHAnsi" w:cstheme="minorBidi"/>
          <w:szCs w:val="22"/>
          <w:lang w:eastAsia="en-AU"/>
        </w:rPr>
      </w:pPr>
      <w:r>
        <w:t>18</w:t>
      </w:r>
      <w:r>
        <w:rPr>
          <w:snapToGrid w:val="0"/>
        </w:rPr>
        <w:t>.</w:t>
      </w:r>
      <w:r>
        <w:rPr>
          <w:snapToGrid w:val="0"/>
        </w:rPr>
        <w:tab/>
        <w:t>Existing registrations</w:t>
      </w:r>
      <w:r>
        <w:tab/>
      </w:r>
      <w:r>
        <w:fldChar w:fldCharType="begin"/>
      </w:r>
      <w:r>
        <w:instrText xml:space="preserve"> PAGEREF _Toc368652372 \h </w:instrText>
      </w:r>
      <w:r>
        <w:fldChar w:fldCharType="separate"/>
      </w:r>
      <w:r>
        <w:t>19</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Continued deferment of past rates and charges</w:t>
      </w:r>
      <w:r>
        <w:tab/>
      </w:r>
      <w:r>
        <w:fldChar w:fldCharType="begin"/>
      </w:r>
      <w:r>
        <w:instrText xml:space="preserve"> PAGEREF _Toc368652373 \h </w:instrText>
      </w:r>
      <w:r>
        <w:fldChar w:fldCharType="separate"/>
      </w:r>
      <w:r>
        <w:t>19</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Rebates or deferments previously allowable to continue to have effect on future rates and charges</w:t>
      </w:r>
      <w:r>
        <w:tab/>
      </w:r>
      <w:r>
        <w:fldChar w:fldCharType="begin"/>
      </w:r>
      <w:r>
        <w:instrText xml:space="preserve"> PAGEREF _Toc368652374 \h </w:instrText>
      </w:r>
      <w:r>
        <w:fldChar w:fldCharType="separate"/>
      </w:r>
      <w:r>
        <w:t>20</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Transitional effect of existing registrations, rebates allowable, and continued deferment</w:t>
      </w:r>
      <w:r>
        <w:tab/>
      </w:r>
      <w:r>
        <w:fldChar w:fldCharType="begin"/>
      </w:r>
      <w:r>
        <w:instrText xml:space="preserve"> PAGEREF _Toc368652375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Eligibility and entitlement</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Eligibility</w:t>
      </w:r>
    </w:p>
    <w:p>
      <w:pPr>
        <w:pStyle w:val="TOC8"/>
        <w:rPr>
          <w:rFonts w:asciiTheme="minorHAnsi" w:eastAsiaTheme="minorEastAsia" w:hAnsiTheme="minorHAnsi" w:cstheme="minorBidi"/>
          <w:szCs w:val="22"/>
          <w:lang w:eastAsia="en-AU"/>
        </w:rPr>
      </w:pPr>
      <w:r>
        <w:t>22</w:t>
      </w:r>
      <w:r>
        <w:rPr>
          <w:snapToGrid w:val="0"/>
        </w:rPr>
        <w:t>.</w:t>
      </w:r>
      <w:r>
        <w:rPr>
          <w:snapToGrid w:val="0"/>
        </w:rPr>
        <w:tab/>
        <w:t>Seniors may apply for registration</w:t>
      </w:r>
      <w:r>
        <w:tab/>
      </w:r>
      <w:r>
        <w:fldChar w:fldCharType="begin"/>
      </w:r>
      <w:r>
        <w:instrText xml:space="preserve"> PAGEREF _Toc368652378 \h </w:instrText>
      </w:r>
      <w:r>
        <w:fldChar w:fldCharType="separate"/>
      </w:r>
      <w:r>
        <w:t>22</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Pensioners eligible to apply for registration</w:t>
      </w:r>
      <w:r>
        <w:tab/>
      </w:r>
      <w:r>
        <w:fldChar w:fldCharType="begin"/>
      </w:r>
      <w:r>
        <w:instrText xml:space="preserve"> PAGEREF _Toc368652379 \h </w:instrText>
      </w:r>
      <w:r>
        <w:fldChar w:fldCharType="separate"/>
      </w:r>
      <w:r>
        <w:t>22</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Other persons prescribed as eligible</w:t>
      </w:r>
      <w:r>
        <w:tab/>
      </w:r>
      <w:r>
        <w:fldChar w:fldCharType="begin"/>
      </w:r>
      <w:r>
        <w:instrText xml:space="preserve"> PAGEREF _Toc368652380 \h </w:instrText>
      </w:r>
      <w:r>
        <w:fldChar w:fldCharType="separate"/>
      </w:r>
      <w:r>
        <w:t>25</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Means tests</w:t>
      </w:r>
      <w:r>
        <w:tab/>
      </w:r>
      <w:r>
        <w:fldChar w:fldCharType="begin"/>
      </w:r>
      <w:r>
        <w:instrText xml:space="preserve"> PAGEREF _Toc368652381 \h </w:instrText>
      </w:r>
      <w:r>
        <w:fldChar w:fldCharType="separate"/>
      </w:r>
      <w:r>
        <w:t>26</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Evidence of eligibility, production of relevant card or authorisation</w:t>
      </w:r>
      <w:r>
        <w:tab/>
      </w:r>
      <w:r>
        <w:fldChar w:fldCharType="begin"/>
      </w:r>
      <w:r>
        <w:instrText xml:space="preserve"> PAGEREF _Toc368652382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Entitlement</w:t>
      </w:r>
    </w:p>
    <w:p>
      <w:pPr>
        <w:pStyle w:val="TOC8"/>
        <w:rPr>
          <w:rFonts w:asciiTheme="minorHAnsi" w:eastAsiaTheme="minorEastAsia" w:hAnsiTheme="minorHAnsi" w:cstheme="minorBidi"/>
          <w:szCs w:val="22"/>
          <w:lang w:eastAsia="en-AU"/>
        </w:rPr>
      </w:pPr>
      <w:r>
        <w:t>27</w:t>
      </w:r>
      <w:r>
        <w:rPr>
          <w:snapToGrid w:val="0"/>
        </w:rPr>
        <w:t>.</w:t>
      </w:r>
      <w:r>
        <w:rPr>
          <w:snapToGrid w:val="0"/>
        </w:rPr>
        <w:tab/>
        <w:t>Concept of land belonging to a person</w:t>
      </w:r>
      <w:r>
        <w:tab/>
      </w:r>
      <w:r>
        <w:fldChar w:fldCharType="begin"/>
      </w:r>
      <w:r>
        <w:instrText xml:space="preserve"> PAGEREF _Toc368652384 \h </w:instrText>
      </w:r>
      <w:r>
        <w:fldChar w:fldCharType="separate"/>
      </w:r>
      <w:r>
        <w:t>28</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Proportionate interests</w:t>
      </w:r>
      <w:r>
        <w:tab/>
      </w:r>
      <w:r>
        <w:fldChar w:fldCharType="begin"/>
      </w:r>
      <w:r>
        <w:instrText xml:space="preserve"> PAGEREF _Toc368652385 \h </w:instrText>
      </w:r>
      <w:r>
        <w:fldChar w:fldCharType="separate"/>
      </w:r>
      <w:r>
        <w:t>30</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Relevant interests</w:t>
      </w:r>
      <w:r>
        <w:tab/>
      </w:r>
      <w:r>
        <w:fldChar w:fldCharType="begin"/>
      </w:r>
      <w:r>
        <w:instrText xml:space="preserve"> PAGEREF _Toc368652386 \h </w:instrText>
      </w:r>
      <w:r>
        <w:fldChar w:fldCharType="separate"/>
      </w:r>
      <w:r>
        <w:t>32</w:t>
      </w:r>
      <w:r>
        <w:fldChar w:fldCharType="end"/>
      </w:r>
    </w:p>
    <w:p>
      <w:pPr>
        <w:pStyle w:val="TOC8"/>
        <w:rPr>
          <w:rFonts w:asciiTheme="minorHAnsi" w:eastAsiaTheme="minorEastAsia" w:hAnsiTheme="minorHAnsi" w:cstheme="minorBidi"/>
          <w:szCs w:val="22"/>
          <w:lang w:eastAsia="en-AU"/>
        </w:rPr>
      </w:pPr>
      <w:r>
        <w:t>29A.</w:t>
      </w:r>
      <w:r>
        <w:tab/>
        <w:t>Relevant interest — resident of retirement village</w:t>
      </w:r>
      <w:r>
        <w:tab/>
      </w:r>
      <w:r>
        <w:fldChar w:fldCharType="begin"/>
      </w:r>
      <w:r>
        <w:instrText xml:space="preserve"> PAGEREF _Toc368652387 \h </w:instrText>
      </w:r>
      <w:r>
        <w:fldChar w:fldCharType="separate"/>
      </w:r>
      <w:r>
        <w:t>33</w:t>
      </w:r>
      <w:r>
        <w:fldChar w:fldCharType="end"/>
      </w:r>
    </w:p>
    <w:p>
      <w:pPr>
        <w:pStyle w:val="TOC8"/>
        <w:rPr>
          <w:rFonts w:asciiTheme="minorHAnsi" w:eastAsiaTheme="minorEastAsia" w:hAnsiTheme="minorHAnsi" w:cstheme="minorBidi"/>
          <w:szCs w:val="22"/>
          <w:lang w:eastAsia="en-AU"/>
        </w:rPr>
      </w:pPr>
      <w:r>
        <w:t>29B.</w:t>
      </w:r>
      <w:r>
        <w:tab/>
        <w:t>Relevant interest — owner</w:t>
      </w:r>
      <w:r>
        <w:noBreakHyphen/>
        <w:t>occupier of caravan or park home</w:t>
      </w:r>
      <w:r>
        <w:tab/>
      </w:r>
      <w:r>
        <w:fldChar w:fldCharType="begin"/>
      </w:r>
      <w:r>
        <w:instrText xml:space="preserve"> PAGEREF _Toc368652388 \h </w:instrText>
      </w:r>
      <w:r>
        <w:fldChar w:fldCharType="separate"/>
      </w:r>
      <w:r>
        <w:t>35</w:t>
      </w:r>
      <w:r>
        <w:fldChar w:fldCharType="end"/>
      </w:r>
    </w:p>
    <w:p>
      <w:pPr>
        <w:pStyle w:val="TOC8"/>
        <w:rPr>
          <w:rFonts w:asciiTheme="minorHAnsi" w:eastAsiaTheme="minorEastAsia" w:hAnsiTheme="minorHAnsi" w:cstheme="minorBidi"/>
          <w:szCs w:val="22"/>
          <w:lang w:eastAsia="en-AU"/>
        </w:rPr>
      </w:pPr>
      <w:r>
        <w:t>29C.</w:t>
      </w:r>
      <w:r>
        <w:tab/>
        <w:t>Relevant interest — owner</w:t>
      </w:r>
      <w:r>
        <w:noBreakHyphen/>
        <w:t>occupier of relocatable home</w:t>
      </w:r>
      <w:r>
        <w:tab/>
      </w:r>
      <w:r>
        <w:fldChar w:fldCharType="begin"/>
      </w:r>
      <w:r>
        <w:instrText xml:space="preserve"> PAGEREF _Toc368652389 \h </w:instrText>
      </w:r>
      <w:r>
        <w:fldChar w:fldCharType="separate"/>
      </w:r>
      <w:r>
        <w:t>37</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Ordinary place of residence, not in actual occupation</w:t>
      </w:r>
      <w:r>
        <w:tab/>
      </w:r>
      <w:r>
        <w:fldChar w:fldCharType="begin"/>
      </w:r>
      <w:r>
        <w:instrText xml:space="preserve"> PAGEREF _Toc368652390 \h </w:instrText>
      </w:r>
      <w:r>
        <w:fldChar w:fldCharType="separate"/>
      </w:r>
      <w:r>
        <w:t>39</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Certain cases of former joint occupation</w:t>
      </w:r>
      <w:r>
        <w:tab/>
      </w:r>
      <w:r>
        <w:fldChar w:fldCharType="begin"/>
      </w:r>
      <w:r>
        <w:instrText xml:space="preserve"> PAGEREF _Toc368652391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The registration process</w:t>
      </w:r>
    </w:p>
    <w:p>
      <w:pPr>
        <w:pStyle w:val="TOC8"/>
        <w:rPr>
          <w:rFonts w:asciiTheme="minorHAnsi" w:eastAsiaTheme="minorEastAsia" w:hAnsiTheme="minorHAnsi" w:cstheme="minorBidi"/>
          <w:szCs w:val="22"/>
          <w:lang w:eastAsia="en-AU"/>
        </w:rPr>
      </w:pPr>
      <w:r>
        <w:t>32</w:t>
      </w:r>
      <w:r>
        <w:rPr>
          <w:snapToGrid w:val="0"/>
        </w:rPr>
        <w:t>.</w:t>
      </w:r>
      <w:r>
        <w:rPr>
          <w:snapToGrid w:val="0"/>
        </w:rPr>
        <w:tab/>
        <w:t>Registration</w:t>
      </w:r>
      <w:r>
        <w:tab/>
      </w:r>
      <w:r>
        <w:fldChar w:fldCharType="begin"/>
      </w:r>
      <w:r>
        <w:instrText xml:space="preserve"> PAGEREF _Toc368652393 \h </w:instrText>
      </w:r>
      <w:r>
        <w:fldChar w:fldCharType="separate"/>
      </w:r>
      <w:r>
        <w:t>41</w:t>
      </w:r>
      <w:r>
        <w:fldChar w:fldCharType="end"/>
      </w:r>
    </w:p>
    <w:p>
      <w:pPr>
        <w:pStyle w:val="TOC8"/>
        <w:rPr>
          <w:rFonts w:asciiTheme="minorHAnsi" w:eastAsiaTheme="minorEastAsia" w:hAnsiTheme="minorHAnsi" w:cstheme="minorBidi"/>
          <w:szCs w:val="22"/>
          <w:lang w:eastAsia="en-AU"/>
        </w:rPr>
      </w:pPr>
      <w:r>
        <w:t>32A.</w:t>
      </w:r>
      <w:r>
        <w:tab/>
        <w:t>Entitlement of surviving spouse or de facto partner</w:t>
      </w:r>
      <w:r>
        <w:tab/>
      </w:r>
      <w:r>
        <w:fldChar w:fldCharType="begin"/>
      </w:r>
      <w:r>
        <w:instrText xml:space="preserve"> PAGEREF _Toc368652394 \h </w:instrText>
      </w:r>
      <w:r>
        <w:fldChar w:fldCharType="separate"/>
      </w:r>
      <w:r>
        <w:t>44</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Effect of registration</w:t>
      </w:r>
      <w:r>
        <w:tab/>
      </w:r>
      <w:r>
        <w:fldChar w:fldCharType="begin"/>
      </w:r>
      <w:r>
        <w:instrText xml:space="preserve"> PAGEREF _Toc368652395 \h </w:instrText>
      </w:r>
      <w:r>
        <w:fldChar w:fldCharType="separate"/>
      </w:r>
      <w:r>
        <w:t>48</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Change in circumstances of registered person</w:t>
      </w:r>
      <w:r>
        <w:tab/>
      </w:r>
      <w:r>
        <w:fldChar w:fldCharType="begin"/>
      </w:r>
      <w:r>
        <w:instrText xml:space="preserve"> PAGEREF _Toc368652396 \h </w:instrText>
      </w:r>
      <w:r>
        <w:fldChar w:fldCharType="separate"/>
      </w:r>
      <w:r>
        <w:t>51</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Review of registration</w:t>
      </w:r>
      <w:r>
        <w:tab/>
      </w:r>
      <w:r>
        <w:fldChar w:fldCharType="begin"/>
      </w:r>
      <w:r>
        <w:instrText xml:space="preserve"> PAGEREF _Toc368652397 \h </w:instrText>
      </w:r>
      <w:r>
        <w:fldChar w:fldCharType="separate"/>
      </w:r>
      <w:r>
        <w:t>53</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Amendment or cancellation of registration</w:t>
      </w:r>
      <w:r>
        <w:tab/>
      </w:r>
      <w:r>
        <w:fldChar w:fldCharType="begin"/>
      </w:r>
      <w:r>
        <w:instrText xml:space="preserve"> PAGEREF _Toc368652398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Miscellaneous</w:t>
      </w:r>
    </w:p>
    <w:p>
      <w:pPr>
        <w:pStyle w:val="TOC8"/>
        <w:rPr>
          <w:rFonts w:asciiTheme="minorHAnsi" w:eastAsiaTheme="minorEastAsia" w:hAnsiTheme="minorHAnsi" w:cstheme="minorBidi"/>
          <w:szCs w:val="22"/>
          <w:lang w:eastAsia="en-AU"/>
        </w:rPr>
      </w:pPr>
      <w:r>
        <w:t>38</w:t>
      </w:r>
      <w:r>
        <w:rPr>
          <w:snapToGrid w:val="0"/>
        </w:rPr>
        <w:t>.</w:t>
      </w:r>
      <w:r>
        <w:rPr>
          <w:snapToGrid w:val="0"/>
        </w:rPr>
        <w:tab/>
        <w:t>Offences</w:t>
      </w:r>
      <w:r>
        <w:tab/>
      </w:r>
      <w:r>
        <w:fldChar w:fldCharType="begin"/>
      </w:r>
      <w:r>
        <w:instrText xml:space="preserve"> PAGEREF _Toc368652400 \h </w:instrText>
      </w:r>
      <w:r>
        <w:fldChar w:fldCharType="separate"/>
      </w:r>
      <w:r>
        <w:t>54</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Persons allowed rebate or deferment incorrectly</w:t>
      </w:r>
      <w:r>
        <w:tab/>
      </w:r>
      <w:r>
        <w:fldChar w:fldCharType="begin"/>
      </w:r>
      <w:r>
        <w:instrText xml:space="preserve"> PAGEREF _Toc368652401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Rebates</w:t>
      </w:r>
    </w:p>
    <w:p>
      <w:pPr>
        <w:pStyle w:val="TOC8"/>
        <w:rPr>
          <w:rFonts w:asciiTheme="minorHAnsi" w:eastAsiaTheme="minorEastAsia" w:hAnsiTheme="minorHAnsi" w:cstheme="minorBidi"/>
          <w:szCs w:val="22"/>
          <w:lang w:eastAsia="en-AU"/>
        </w:rPr>
      </w:pPr>
      <w:r>
        <w:t>40.</w:t>
      </w:r>
      <w:r>
        <w:tab/>
        <w:t>Rebates to registered persons</w:t>
      </w:r>
      <w:r>
        <w:tab/>
      </w:r>
      <w:r>
        <w:fldChar w:fldCharType="begin"/>
      </w:r>
      <w:r>
        <w:instrText xml:space="preserve"> PAGEREF _Toc368652403 \h </w:instrText>
      </w:r>
      <w:r>
        <w:fldChar w:fldCharType="separate"/>
      </w:r>
      <w:r>
        <w:t>57</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Effect of payment of rebated amount</w:t>
      </w:r>
      <w:r>
        <w:tab/>
      </w:r>
      <w:r>
        <w:fldChar w:fldCharType="begin"/>
      </w:r>
      <w:r>
        <w:instrText xml:space="preserve"> PAGEREF _Toc368652404 \h </w:instrText>
      </w:r>
      <w:r>
        <w:fldChar w:fldCharType="separate"/>
      </w:r>
      <w:r>
        <w:t>61</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Charges for periods preceding, or for improvements made or services provided subsequent to, registration</w:t>
      </w:r>
      <w:r>
        <w:tab/>
      </w:r>
      <w:r>
        <w:fldChar w:fldCharType="begin"/>
      </w:r>
      <w:r>
        <w:instrText xml:space="preserve"> PAGEREF _Toc368652405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Deferment</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Where charges may be deferred</w:t>
      </w:r>
    </w:p>
    <w:p>
      <w:pPr>
        <w:pStyle w:val="TOC8"/>
        <w:rPr>
          <w:rFonts w:asciiTheme="minorHAnsi" w:eastAsiaTheme="minorEastAsia" w:hAnsiTheme="minorHAnsi" w:cstheme="minorBidi"/>
          <w:szCs w:val="22"/>
          <w:lang w:eastAsia="en-AU"/>
        </w:rPr>
      </w:pPr>
      <w:r>
        <w:t>43</w:t>
      </w:r>
      <w:r>
        <w:rPr>
          <w:snapToGrid w:val="0"/>
        </w:rPr>
        <w:t>.</w:t>
      </w:r>
      <w:r>
        <w:rPr>
          <w:snapToGrid w:val="0"/>
        </w:rPr>
        <w:tab/>
        <w:t>Circumstances where deferment may be allowed</w:t>
      </w:r>
      <w:r>
        <w:tab/>
      </w:r>
      <w:r>
        <w:fldChar w:fldCharType="begin"/>
      </w:r>
      <w:r>
        <w:instrText xml:space="preserve"> PAGEREF _Toc368652408 \h </w:instrText>
      </w:r>
      <w:r>
        <w:fldChar w:fldCharType="separate"/>
      </w:r>
      <w:r>
        <w:t>64</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Deferred payment of rates by eligible pensioner</w:t>
      </w:r>
      <w:r>
        <w:tab/>
      </w:r>
      <w:r>
        <w:fldChar w:fldCharType="begin"/>
      </w:r>
      <w:r>
        <w:instrText xml:space="preserve"> PAGEREF _Toc368652409 \h </w:instrText>
      </w:r>
      <w:r>
        <w:fldChar w:fldCharType="separate"/>
      </w:r>
      <w:r>
        <w:t>65</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Where charges may remain deferred in favour of a spouse</w:t>
      </w:r>
      <w:r>
        <w:t xml:space="preserve"> or de facto partner</w:t>
      </w:r>
      <w:r>
        <w:tab/>
      </w:r>
      <w:r>
        <w:fldChar w:fldCharType="begin"/>
      </w:r>
      <w:r>
        <w:instrText xml:space="preserve"> PAGEREF _Toc368652410 \h </w:instrText>
      </w:r>
      <w:r>
        <w:fldChar w:fldCharType="separate"/>
      </w:r>
      <w:r>
        <w:t>67</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Continuing liability for payment of deferred charges to be a charge on the land</w:t>
      </w:r>
      <w:r>
        <w:tab/>
      </w:r>
      <w:r>
        <w:fldChar w:fldCharType="begin"/>
      </w:r>
      <w:r>
        <w:instrText xml:space="preserve"> PAGEREF _Toc368652411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Where charges may not be deferred</w:t>
      </w:r>
    </w:p>
    <w:p>
      <w:pPr>
        <w:pStyle w:val="TOC8"/>
        <w:rPr>
          <w:rFonts w:asciiTheme="minorHAnsi" w:eastAsiaTheme="minorEastAsia" w:hAnsiTheme="minorHAnsi" w:cstheme="minorBidi"/>
          <w:szCs w:val="22"/>
          <w:lang w:eastAsia="en-AU"/>
        </w:rPr>
      </w:pPr>
      <w:r>
        <w:t>47</w:t>
      </w:r>
      <w:r>
        <w:rPr>
          <w:snapToGrid w:val="0"/>
        </w:rPr>
        <w:t>.</w:t>
      </w:r>
      <w:r>
        <w:rPr>
          <w:snapToGrid w:val="0"/>
        </w:rPr>
        <w:tab/>
        <w:t>Charges likely not to be recoverable</w:t>
      </w:r>
      <w:r>
        <w:tab/>
      </w:r>
      <w:r>
        <w:fldChar w:fldCharType="begin"/>
      </w:r>
      <w:r>
        <w:instrText xml:space="preserve"> PAGEREF _Toc368652413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General</w:t>
      </w:r>
    </w:p>
    <w:p>
      <w:pPr>
        <w:pStyle w:val="TOC8"/>
        <w:rPr>
          <w:rFonts w:asciiTheme="minorHAnsi" w:eastAsiaTheme="minorEastAsia" w:hAnsiTheme="minorHAnsi" w:cstheme="minorBidi"/>
          <w:szCs w:val="22"/>
          <w:lang w:eastAsia="en-AU"/>
        </w:rPr>
      </w:pPr>
      <w:r>
        <w:t>48</w:t>
      </w:r>
      <w:r>
        <w:rPr>
          <w:snapToGrid w:val="0"/>
        </w:rPr>
        <w:t>.</w:t>
      </w:r>
      <w:r>
        <w:rPr>
          <w:snapToGrid w:val="0"/>
        </w:rPr>
        <w:tab/>
        <w:t>Registration of documents</w:t>
      </w:r>
      <w:r>
        <w:tab/>
      </w:r>
      <w:r>
        <w:fldChar w:fldCharType="begin"/>
      </w:r>
      <w:r>
        <w:instrText xml:space="preserve"> PAGEREF _Toc368652415 \h </w:instrText>
      </w:r>
      <w:r>
        <w:fldChar w:fldCharType="separate"/>
      </w:r>
      <w:r>
        <w:t>71</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 xml:space="preserve">Recovery of deferred charges not prevented by </w:t>
      </w:r>
      <w:r>
        <w:rPr>
          <w:i/>
          <w:snapToGrid w:val="0"/>
        </w:rPr>
        <w:t>Limitation Act 2005</w:t>
      </w:r>
      <w:r>
        <w:tab/>
      </w:r>
      <w:r>
        <w:fldChar w:fldCharType="begin"/>
      </w:r>
      <w:r>
        <w:instrText xml:space="preserve"> PAGEREF _Toc368652416 \h </w:instrText>
      </w:r>
      <w:r>
        <w:fldChar w:fldCharType="separate"/>
      </w:r>
      <w:r>
        <w:t>71</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Regulations</w:t>
      </w:r>
      <w:r>
        <w:tab/>
      </w:r>
      <w:r>
        <w:fldChar w:fldCharType="begin"/>
      </w:r>
      <w:r>
        <w:instrText xml:space="preserve"> PAGEREF _Toc368652417 \h </w:instrText>
      </w:r>
      <w:r>
        <w:fldChar w:fldCharType="separate"/>
      </w:r>
      <w:r>
        <w:t>71</w:t>
      </w:r>
      <w:r>
        <w:fldChar w:fldCharType="end"/>
      </w:r>
    </w:p>
    <w:p>
      <w:pPr>
        <w:pStyle w:val="TOC8"/>
        <w:rPr>
          <w:rFonts w:asciiTheme="minorHAnsi" w:eastAsiaTheme="minorEastAsia" w:hAnsiTheme="minorHAnsi" w:cstheme="minorBidi"/>
          <w:szCs w:val="22"/>
          <w:lang w:eastAsia="en-AU"/>
        </w:rPr>
      </w:pPr>
      <w:r>
        <w:t>53.</w:t>
      </w:r>
      <w:r>
        <w:tab/>
        <w:t>Transitional provisions</w:t>
      </w:r>
      <w:r>
        <w:tab/>
      </w:r>
      <w:r>
        <w:fldChar w:fldCharType="begin"/>
      </w:r>
      <w:r>
        <w:instrText xml:space="preserve"> PAGEREF _Toc368652418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Transitional provisions</w:t>
      </w:r>
    </w:p>
    <w:p>
      <w:pPr>
        <w:pStyle w:val="TOC4"/>
        <w:tabs>
          <w:tab w:val="right" w:leader="dot" w:pos="7086"/>
        </w:tabs>
        <w:rPr>
          <w:rFonts w:asciiTheme="minorHAnsi" w:eastAsiaTheme="minorEastAsia" w:hAnsiTheme="minorHAnsi" w:cstheme="minorBidi"/>
          <w:b w:val="0"/>
          <w:szCs w:val="22"/>
          <w:lang w:eastAsia="en-AU"/>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lang w:eastAsia="en-AU"/>
        </w:rPr>
      </w:pPr>
      <w:r>
        <w:t>1.</w:t>
      </w:r>
      <w:r>
        <w:tab/>
        <w:t>Application of section 40</w:t>
      </w:r>
      <w:r>
        <w:tab/>
      </w:r>
      <w:r>
        <w:fldChar w:fldCharType="begin"/>
      </w:r>
      <w:r>
        <w:instrText xml:space="preserve"> PAGEREF _Toc368652421 \h </w:instrText>
      </w:r>
      <w:r>
        <w:fldChar w:fldCharType="separate"/>
      </w:r>
      <w:r>
        <w:t>73</w:t>
      </w:r>
      <w:r>
        <w:fldChar w:fldCharType="end"/>
      </w:r>
    </w:p>
    <w:p>
      <w:pPr>
        <w:pStyle w:val="TOC2"/>
        <w:tabs>
          <w:tab w:val="right" w:leader="dot" w:pos="7086"/>
        </w:tabs>
        <w:spacing w:before="100" w:after="40"/>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_Toc368652423 \h </w:instrText>
      </w:r>
      <w:r>
        <w:fldChar w:fldCharType="separate"/>
      </w:r>
      <w:r>
        <w:t>74</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_Toc368652424 \h </w:instrText>
      </w:r>
      <w:r>
        <w:fldChar w:fldCharType="separate"/>
      </w:r>
      <w:r>
        <w:t>76</w:t>
      </w:r>
      <w:r>
        <w:fldChar w:fldCharType="end"/>
      </w:r>
    </w:p>
    <w:p>
      <w:pPr>
        <w:pStyle w:val="TOC2"/>
        <w:tabs>
          <w:tab w:val="right" w:leader="dot" w:pos="7086"/>
        </w:tabs>
        <w:spacing w:before="80" w:after="0"/>
        <w:rPr>
          <w:rFonts w:asciiTheme="minorHAnsi" w:eastAsiaTheme="minorEastAsia" w:hAnsiTheme="minorHAnsi" w:cstheme="minorBidi"/>
          <w:b w:val="0"/>
          <w:sz w:val="22"/>
          <w:szCs w:val="22"/>
          <w:lang w:eastAsia="en-AU"/>
        </w:rPr>
      </w:pPr>
      <w:r>
        <w:t>Defined terms</w:t>
      </w:r>
    </w:p>
    <w:p>
      <w:pPr>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4</w:t>
            </w:r>
            <w:r>
              <w:rPr>
                <w:b/>
                <w:snapToGrid w:val="0"/>
                <w:sz w:val="22"/>
              </w:rPr>
              <w:t xml:space="preserve"> October 2013</w:t>
            </w:r>
            <w:r>
              <w:rPr>
                <w:b/>
                <w:sz w:val="22"/>
              </w:rPr>
              <w:fldChar w:fldCharType="end"/>
            </w:r>
          </w:p>
        </w:tc>
      </w:tr>
    </w:tbl>
    <w:p>
      <w:pPr>
        <w:pStyle w:val="WA"/>
        <w:spacing w:before="120"/>
      </w:pPr>
      <w:r>
        <w:t>Western Australia</w:t>
      </w:r>
    </w:p>
    <w:p>
      <w:pPr>
        <w:pStyle w:val="NameofActReg"/>
        <w:spacing w:before="600" w:after="720"/>
      </w:pPr>
      <w:r>
        <w:t>Rates and Charges (Rebates and Deferments) Act 1992</w:t>
      </w:r>
    </w:p>
    <w:p>
      <w:pPr>
        <w:pStyle w:val="LongTitle"/>
        <w:rPr>
          <w:snapToGrid w:val="0"/>
        </w:rPr>
      </w:pPr>
      <w:r>
        <w:rPr>
          <w:snapToGrid w:val="0"/>
        </w:rPr>
        <w:t xml:space="preserve">An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rFonts w:ascii="Times" w:hAnsi="Times"/>
          <w:snapToGrid w:val="0"/>
          <w:vertAlign w:val="superscript"/>
        </w:rPr>
        <w:t> </w:t>
      </w:r>
      <w:r>
        <w:rPr>
          <w:rFonts w:ascii="Times" w:hAnsi="Times"/>
          <w:b w:val="0"/>
          <w:snapToGrid w:val="0"/>
          <w:vertAlign w:val="superscript"/>
        </w:rPr>
        <w:t>2</w:t>
      </w:r>
      <w:r>
        <w:rPr>
          <w:snapToGrid w:val="0"/>
        </w:rPr>
        <w:t xml:space="preserve"> and the </w:t>
      </w:r>
      <w:r>
        <w:rPr>
          <w:i/>
          <w:snapToGrid w:val="0"/>
        </w:rPr>
        <w:t>Seniors (Water Service Charges Rebates) Act 1990</w:t>
      </w:r>
      <w:r>
        <w:rPr>
          <w:rFonts w:ascii="Times" w:hAnsi="Times"/>
          <w:snapToGrid w:val="0"/>
          <w:vertAlign w:val="superscript"/>
        </w:rPr>
        <w:t> </w:t>
      </w:r>
      <w:r>
        <w:rPr>
          <w:rFonts w:ascii="Times" w:hAnsi="Times"/>
          <w:b w:val="0"/>
          <w:snapToGrid w:val="0"/>
          <w:vertAlign w:val="superscript"/>
        </w:rPr>
        <w:t>2</w:t>
      </w:r>
      <w:r>
        <w:rPr>
          <w:snapToGrid w:val="0"/>
        </w:rPr>
        <w:t xml:space="preserve">, to make consequential amendments to the </w:t>
      </w:r>
      <w:r>
        <w:rPr>
          <w:i/>
          <w:snapToGrid w:val="0"/>
        </w:rPr>
        <w:t>Local Government Act 1960</w:t>
      </w:r>
      <w:r>
        <w:rPr>
          <w:rFonts w:ascii="Times" w:hAnsi="Times"/>
          <w:snapToGrid w:val="0"/>
          <w:vertAlign w:val="superscript"/>
        </w:rPr>
        <w:t> </w:t>
      </w:r>
      <w:r>
        <w:rPr>
          <w:rFonts w:ascii="Times" w:hAnsi="Times"/>
          <w:b w:val="0"/>
          <w:snapToGrid w:val="0"/>
          <w:vertAlign w:val="superscript"/>
        </w:rPr>
        <w:t>3, 4</w:t>
      </w:r>
      <w:r>
        <w:rPr>
          <w:snapToGrid w:val="0"/>
        </w:rPr>
        <w:t xml:space="preserve"> and the </w:t>
      </w:r>
      <w:r>
        <w:rPr>
          <w:i/>
          <w:snapToGrid w:val="0"/>
        </w:rPr>
        <w:t>Soil and Land Conservation Act 1945</w:t>
      </w:r>
      <w:r>
        <w:rPr>
          <w:rFonts w:ascii="Times" w:hAnsi="Times"/>
          <w:b w:val="0"/>
          <w:snapToGrid w:val="0"/>
          <w:vertAlign w:val="superscript"/>
        </w:rPr>
        <w:t> 4</w:t>
      </w:r>
      <w:r>
        <w:rPr>
          <w:snapToGrid w:val="0"/>
        </w:rPr>
        <w:t>, and for related purposes.</w:t>
      </w:r>
    </w:p>
    <w:p>
      <w:pPr>
        <w:pStyle w:val="Heading2"/>
      </w:pPr>
      <w:bookmarkStart w:id="1" w:name="_Toc86554935"/>
      <w:bookmarkStart w:id="2" w:name="_Toc96997078"/>
      <w:bookmarkStart w:id="3" w:name="_Toc106163515"/>
      <w:bookmarkStart w:id="4" w:name="_Toc108838474"/>
      <w:bookmarkStart w:id="5" w:name="_Toc108843340"/>
      <w:bookmarkStart w:id="6" w:name="_Toc119983222"/>
      <w:bookmarkStart w:id="7" w:name="_Toc128477203"/>
      <w:bookmarkStart w:id="8" w:name="_Toc129078228"/>
      <w:bookmarkStart w:id="9" w:name="_Toc139360854"/>
      <w:bookmarkStart w:id="10" w:name="_Toc139707575"/>
      <w:bookmarkStart w:id="11" w:name="_Toc139864792"/>
      <w:bookmarkStart w:id="12" w:name="_Toc140046247"/>
      <w:bookmarkStart w:id="13" w:name="_Toc140046322"/>
      <w:bookmarkStart w:id="14" w:name="_Toc142809392"/>
      <w:bookmarkStart w:id="15" w:name="_Toc144087640"/>
      <w:bookmarkStart w:id="16" w:name="_Toc146515963"/>
      <w:bookmarkStart w:id="17" w:name="_Toc148504394"/>
      <w:bookmarkStart w:id="18" w:name="_Toc158003407"/>
      <w:bookmarkStart w:id="19" w:name="_Toc171223405"/>
      <w:bookmarkStart w:id="20" w:name="_Toc171229593"/>
      <w:bookmarkStart w:id="21" w:name="_Toc171319730"/>
      <w:bookmarkStart w:id="22" w:name="_Toc171320946"/>
      <w:bookmarkStart w:id="23" w:name="_Toc173660848"/>
      <w:bookmarkStart w:id="24" w:name="_Toc173729404"/>
      <w:bookmarkStart w:id="25" w:name="_Toc202511780"/>
      <w:bookmarkStart w:id="26" w:name="_Toc202516797"/>
      <w:bookmarkStart w:id="27" w:name="_Toc209602314"/>
      <w:bookmarkStart w:id="28" w:name="_Toc209839627"/>
      <w:bookmarkStart w:id="29" w:name="_Toc212537550"/>
      <w:bookmarkStart w:id="30" w:name="_Toc312057003"/>
      <w:bookmarkStart w:id="31" w:name="_Toc312057082"/>
      <w:bookmarkStart w:id="32" w:name="_Toc312059631"/>
      <w:bookmarkStart w:id="33" w:name="_Toc328465228"/>
      <w:bookmarkStart w:id="34" w:name="_Toc334444576"/>
      <w:bookmarkStart w:id="35" w:name="_Toc334706851"/>
      <w:bookmarkStart w:id="36" w:name="_Toc339638045"/>
      <w:bookmarkStart w:id="37" w:name="_Toc339638124"/>
      <w:bookmarkStart w:id="38" w:name="_Toc340650916"/>
      <w:bookmarkStart w:id="39" w:name="_Toc360454559"/>
      <w:bookmarkStart w:id="40" w:name="_Toc360541720"/>
      <w:bookmarkStart w:id="41" w:name="_Toc361730905"/>
      <w:bookmarkStart w:id="42" w:name="_Toc361731350"/>
      <w:bookmarkStart w:id="43" w:name="_Toc361743110"/>
      <w:bookmarkStart w:id="44" w:name="_Toc364845139"/>
      <w:bookmarkStart w:id="45" w:name="_Toc368652348"/>
      <w:r>
        <w:rPr>
          <w:rStyle w:val="CharPartNo"/>
        </w:rPr>
        <w:t>Part 1</w:t>
      </w:r>
      <w:r>
        <w:t> — </w:t>
      </w:r>
      <w:r>
        <w:rPr>
          <w:rStyle w:val="CharPartText"/>
        </w:rPr>
        <w:t>Administration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3"/>
        <w:spacing w:before="200"/>
      </w:pPr>
      <w:bookmarkStart w:id="46" w:name="_Toc86554936"/>
      <w:bookmarkStart w:id="47" w:name="_Toc96997079"/>
      <w:bookmarkStart w:id="48" w:name="_Toc106163516"/>
      <w:bookmarkStart w:id="49" w:name="_Toc108838475"/>
      <w:bookmarkStart w:id="50" w:name="_Toc108843341"/>
      <w:bookmarkStart w:id="51" w:name="_Toc119983223"/>
      <w:bookmarkStart w:id="52" w:name="_Toc128477204"/>
      <w:bookmarkStart w:id="53" w:name="_Toc129078229"/>
      <w:bookmarkStart w:id="54" w:name="_Toc139360855"/>
      <w:bookmarkStart w:id="55" w:name="_Toc139707576"/>
      <w:bookmarkStart w:id="56" w:name="_Toc139864793"/>
      <w:bookmarkStart w:id="57" w:name="_Toc140046248"/>
      <w:bookmarkStart w:id="58" w:name="_Toc140046323"/>
      <w:bookmarkStart w:id="59" w:name="_Toc142809393"/>
      <w:bookmarkStart w:id="60" w:name="_Toc144087641"/>
      <w:bookmarkStart w:id="61" w:name="_Toc146515964"/>
      <w:bookmarkStart w:id="62" w:name="_Toc148504395"/>
      <w:bookmarkStart w:id="63" w:name="_Toc158003408"/>
      <w:bookmarkStart w:id="64" w:name="_Toc171223406"/>
      <w:bookmarkStart w:id="65" w:name="_Toc171229594"/>
      <w:bookmarkStart w:id="66" w:name="_Toc171319731"/>
      <w:bookmarkStart w:id="67" w:name="_Toc171320947"/>
      <w:bookmarkStart w:id="68" w:name="_Toc173660849"/>
      <w:bookmarkStart w:id="69" w:name="_Toc173729405"/>
      <w:bookmarkStart w:id="70" w:name="_Toc202511781"/>
      <w:bookmarkStart w:id="71" w:name="_Toc202516798"/>
      <w:bookmarkStart w:id="72" w:name="_Toc209602315"/>
      <w:bookmarkStart w:id="73" w:name="_Toc209839628"/>
      <w:bookmarkStart w:id="74" w:name="_Toc212537551"/>
      <w:bookmarkStart w:id="75" w:name="_Toc312057004"/>
      <w:bookmarkStart w:id="76" w:name="_Toc312057083"/>
      <w:bookmarkStart w:id="77" w:name="_Toc312059632"/>
      <w:bookmarkStart w:id="78" w:name="_Toc328465229"/>
      <w:bookmarkStart w:id="79" w:name="_Toc334444577"/>
      <w:bookmarkStart w:id="80" w:name="_Toc334706852"/>
      <w:bookmarkStart w:id="81" w:name="_Toc339638046"/>
      <w:bookmarkStart w:id="82" w:name="_Toc339638125"/>
      <w:bookmarkStart w:id="83" w:name="_Toc340650917"/>
      <w:bookmarkStart w:id="84" w:name="_Toc360454560"/>
      <w:bookmarkStart w:id="85" w:name="_Toc360541721"/>
      <w:bookmarkStart w:id="86" w:name="_Toc361730906"/>
      <w:bookmarkStart w:id="87" w:name="_Toc361731351"/>
      <w:bookmarkStart w:id="88" w:name="_Toc361743111"/>
      <w:bookmarkStart w:id="89" w:name="_Toc364845140"/>
      <w:bookmarkStart w:id="90" w:name="_Toc368652349"/>
      <w:r>
        <w:rPr>
          <w:rStyle w:val="CharDivNo"/>
        </w:rPr>
        <w:t>Division 1</w:t>
      </w:r>
      <w:r>
        <w:rPr>
          <w:snapToGrid w:val="0"/>
        </w:rPr>
        <w:t> — </w:t>
      </w:r>
      <w:r>
        <w:rPr>
          <w:rStyle w:val="CharDivText"/>
        </w:rPr>
        <w:t>Preliminary</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spacing w:before="180"/>
        <w:rPr>
          <w:snapToGrid w:val="0"/>
        </w:rPr>
      </w:pPr>
      <w:bookmarkStart w:id="91" w:name="_Toc404133572"/>
      <w:bookmarkStart w:id="92" w:name="_Toc411910569"/>
      <w:bookmarkStart w:id="93" w:name="_Toc425059220"/>
      <w:bookmarkStart w:id="94" w:name="_Toc483724633"/>
      <w:bookmarkStart w:id="95" w:name="_Toc29092491"/>
      <w:bookmarkStart w:id="96" w:name="_Toc129078230"/>
      <w:bookmarkStart w:id="97" w:name="_Toc368652350"/>
      <w:r>
        <w:rPr>
          <w:rStyle w:val="CharSectno"/>
        </w:rPr>
        <w:t>1</w:t>
      </w:r>
      <w:r>
        <w:rPr>
          <w:snapToGrid w:val="0"/>
        </w:rPr>
        <w:t>.</w:t>
      </w:r>
      <w:r>
        <w:rPr>
          <w:snapToGrid w:val="0"/>
        </w:rPr>
        <w:tab/>
        <w:t>Short title</w:t>
      </w:r>
      <w:bookmarkEnd w:id="91"/>
      <w:bookmarkEnd w:id="92"/>
      <w:bookmarkEnd w:id="93"/>
      <w:bookmarkEnd w:id="94"/>
      <w:bookmarkEnd w:id="95"/>
      <w:bookmarkEnd w:id="96"/>
      <w:bookmarkEnd w:id="97"/>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spacing w:before="180"/>
        <w:rPr>
          <w:snapToGrid w:val="0"/>
        </w:rPr>
      </w:pPr>
      <w:bookmarkStart w:id="98" w:name="_Toc404133573"/>
      <w:bookmarkStart w:id="99" w:name="_Toc411910570"/>
      <w:bookmarkStart w:id="100" w:name="_Toc425059221"/>
      <w:bookmarkStart w:id="101" w:name="_Toc483724634"/>
      <w:bookmarkStart w:id="102" w:name="_Toc29092492"/>
      <w:bookmarkStart w:id="103" w:name="_Toc129078231"/>
      <w:bookmarkStart w:id="104" w:name="_Toc368652351"/>
      <w:r>
        <w:rPr>
          <w:rStyle w:val="CharSectno"/>
        </w:rPr>
        <w:t>2</w:t>
      </w:r>
      <w:r>
        <w:rPr>
          <w:snapToGrid w:val="0"/>
        </w:rPr>
        <w:t>.</w:t>
      </w:r>
      <w:r>
        <w:rPr>
          <w:snapToGrid w:val="0"/>
        </w:rPr>
        <w:tab/>
        <w:t>Commencement</w:t>
      </w:r>
      <w:bookmarkEnd w:id="98"/>
      <w:bookmarkEnd w:id="99"/>
      <w:bookmarkEnd w:id="100"/>
      <w:bookmarkEnd w:id="101"/>
      <w:bookmarkEnd w:id="102"/>
      <w:bookmarkEnd w:id="103"/>
      <w:bookmarkEnd w:id="104"/>
    </w:p>
    <w:p>
      <w:pPr>
        <w:pStyle w:val="Subsection"/>
        <w:spacing w:before="12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spacing w:before="200"/>
      </w:pPr>
      <w:bookmarkStart w:id="105" w:name="_Toc86554939"/>
      <w:bookmarkStart w:id="106" w:name="_Toc96997082"/>
      <w:bookmarkStart w:id="107" w:name="_Toc106163519"/>
      <w:bookmarkStart w:id="108" w:name="_Toc108838478"/>
      <w:bookmarkStart w:id="109" w:name="_Toc108843344"/>
      <w:bookmarkStart w:id="110" w:name="_Toc119983226"/>
      <w:bookmarkStart w:id="111" w:name="_Toc128477207"/>
      <w:bookmarkStart w:id="112" w:name="_Toc129078232"/>
      <w:bookmarkStart w:id="113" w:name="_Toc139360858"/>
      <w:bookmarkStart w:id="114" w:name="_Toc139707579"/>
      <w:bookmarkStart w:id="115" w:name="_Toc139864796"/>
      <w:bookmarkStart w:id="116" w:name="_Toc140046251"/>
      <w:bookmarkStart w:id="117" w:name="_Toc140046326"/>
      <w:bookmarkStart w:id="118" w:name="_Toc142809396"/>
      <w:bookmarkStart w:id="119" w:name="_Toc144087644"/>
      <w:bookmarkStart w:id="120" w:name="_Toc146515967"/>
      <w:bookmarkStart w:id="121" w:name="_Toc148504398"/>
      <w:bookmarkStart w:id="122" w:name="_Toc158003411"/>
      <w:bookmarkStart w:id="123" w:name="_Toc171223409"/>
      <w:bookmarkStart w:id="124" w:name="_Toc171229597"/>
      <w:bookmarkStart w:id="125" w:name="_Toc171319734"/>
      <w:bookmarkStart w:id="126" w:name="_Toc171320950"/>
      <w:bookmarkStart w:id="127" w:name="_Toc173660852"/>
      <w:bookmarkStart w:id="128" w:name="_Toc173729408"/>
      <w:bookmarkStart w:id="129" w:name="_Toc202511784"/>
      <w:bookmarkStart w:id="130" w:name="_Toc202516801"/>
      <w:bookmarkStart w:id="131" w:name="_Toc209602318"/>
      <w:bookmarkStart w:id="132" w:name="_Toc209839631"/>
      <w:bookmarkStart w:id="133" w:name="_Toc212537554"/>
      <w:bookmarkStart w:id="134" w:name="_Toc312057007"/>
      <w:bookmarkStart w:id="135" w:name="_Toc312057086"/>
      <w:bookmarkStart w:id="136" w:name="_Toc312059635"/>
      <w:bookmarkStart w:id="137" w:name="_Toc328465232"/>
      <w:bookmarkStart w:id="138" w:name="_Toc334444580"/>
      <w:bookmarkStart w:id="139" w:name="_Toc334706855"/>
      <w:bookmarkStart w:id="140" w:name="_Toc339638049"/>
      <w:bookmarkStart w:id="141" w:name="_Toc339638128"/>
      <w:bookmarkStart w:id="142" w:name="_Toc340650920"/>
      <w:bookmarkStart w:id="143" w:name="_Toc360454563"/>
      <w:bookmarkStart w:id="144" w:name="_Toc360541724"/>
      <w:bookmarkStart w:id="145" w:name="_Toc361730909"/>
      <w:bookmarkStart w:id="146" w:name="_Toc361731354"/>
      <w:bookmarkStart w:id="147" w:name="_Toc361743114"/>
      <w:bookmarkStart w:id="148" w:name="_Toc364845143"/>
      <w:bookmarkStart w:id="149" w:name="_Toc368652352"/>
      <w:r>
        <w:rPr>
          <w:rStyle w:val="CharDivNo"/>
        </w:rPr>
        <w:t>Division 2</w:t>
      </w:r>
      <w:r>
        <w:rPr>
          <w:snapToGrid w:val="0"/>
        </w:rPr>
        <w:t> — </w:t>
      </w:r>
      <w:r>
        <w:rPr>
          <w:rStyle w:val="CharDivText"/>
        </w:rPr>
        <w:t>Interpretation</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spacing w:before="180"/>
        <w:rPr>
          <w:snapToGrid w:val="0"/>
        </w:rPr>
      </w:pPr>
      <w:bookmarkStart w:id="150" w:name="_Toc404133574"/>
      <w:bookmarkStart w:id="151" w:name="_Toc411910571"/>
      <w:bookmarkStart w:id="152" w:name="_Toc425059222"/>
      <w:bookmarkStart w:id="153" w:name="_Toc483724635"/>
      <w:bookmarkStart w:id="154" w:name="_Toc29092493"/>
      <w:bookmarkStart w:id="155" w:name="_Toc129078233"/>
      <w:bookmarkStart w:id="156" w:name="_Toc368652353"/>
      <w:r>
        <w:rPr>
          <w:rStyle w:val="CharSectno"/>
        </w:rPr>
        <w:t>3</w:t>
      </w:r>
      <w:r>
        <w:rPr>
          <w:snapToGrid w:val="0"/>
        </w:rPr>
        <w:t>.</w:t>
      </w:r>
      <w:r>
        <w:rPr>
          <w:snapToGrid w:val="0"/>
        </w:rPr>
        <w:tab/>
      </w:r>
      <w:bookmarkEnd w:id="150"/>
      <w:bookmarkEnd w:id="151"/>
      <w:bookmarkEnd w:id="152"/>
      <w:bookmarkEnd w:id="153"/>
      <w:bookmarkEnd w:id="154"/>
      <w:bookmarkEnd w:id="155"/>
      <w:r>
        <w:rPr>
          <w:snapToGrid w:val="0"/>
        </w:rPr>
        <w:t>Terms used</w:t>
      </w:r>
      <w:bookmarkEnd w:id="156"/>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spacing w:before="60"/>
      </w:pPr>
      <w:r>
        <w:rPr>
          <w:b/>
        </w:rPr>
        <w:tab/>
      </w:r>
      <w:r>
        <w:rPr>
          <w:rStyle w:val="CharDefText"/>
        </w:rPr>
        <w:t>charged period</w:t>
      </w:r>
      <w:r>
        <w:t>, as regards any prescribed charge, means the year or part of a year for which that charge is to be or was made and has a meaning affected by section 40(2A);</w:t>
      </w:r>
    </w:p>
    <w:p>
      <w:pPr>
        <w:pStyle w:val="Defstart"/>
        <w:spacing w:before="60"/>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spacing w:before="60"/>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spacing w:before="60"/>
      </w:pPr>
      <w:r>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5</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 or</w:t>
      </w:r>
    </w:p>
    <w:p>
      <w:pPr>
        <w:pStyle w:val="Defpara"/>
      </w:pPr>
      <w:r>
        <w:tab/>
        <w:t>(ab)</w:t>
      </w:r>
      <w:r>
        <w:tab/>
        <w:t>a de facto partner of that person; or</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 or</w:t>
      </w:r>
    </w:p>
    <w:p>
      <w:pPr>
        <w:pStyle w:val="Defsubpara"/>
        <w:keepLines w:val="0"/>
        <w:rPr>
          <w:snapToGrid w:val="0"/>
        </w:rPr>
      </w:pPr>
      <w:r>
        <w:rPr>
          <w:snapToGrid w:val="0"/>
        </w:rPr>
        <w:tab/>
        <w:t>(ii)</w:t>
      </w:r>
      <w:r>
        <w:rPr>
          <w:snapToGrid w:val="0"/>
        </w:rPr>
        <w:tab/>
        <w:t>a pensioner concession card; or</w:t>
      </w:r>
    </w:p>
    <w:p>
      <w:pPr>
        <w:pStyle w:val="Defsubpara"/>
        <w:keepLines w:val="0"/>
        <w:rPr>
          <w:snapToGrid w:val="0"/>
        </w:rPr>
      </w:pPr>
      <w:r>
        <w:rPr>
          <w:snapToGrid w:val="0"/>
        </w:rPr>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r>
      <w:r>
        <w:tab/>
        <w:t>or</w:t>
      </w:r>
    </w:p>
    <w:p>
      <w:pPr>
        <w:pStyle w:val="Defpara"/>
      </w:pPr>
      <w:r>
        <w:tab/>
        <w:t>(b)</w:t>
      </w:r>
      <w:r>
        <w:tab/>
        <w:t>to apply for registration of an entitlement; or</w:t>
      </w:r>
    </w:p>
    <w:p>
      <w:pPr>
        <w:pStyle w:val="Defpara"/>
        <w:keepNext/>
        <w:keepLines/>
      </w:pPr>
      <w:r>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w:t>
      </w:r>
    </w:p>
    <w:p>
      <w:pPr>
        <w:pStyle w:val="Defstart"/>
      </w:pPr>
      <w:r>
        <w:rPr>
          <w:szCs w:val="24"/>
        </w:rPr>
        <w:tab/>
      </w:r>
      <w:r>
        <w:rPr>
          <w:rStyle w:val="CharDefText"/>
        </w:rPr>
        <w:t>final payment day</w:t>
      </w:r>
      <w:r>
        <w:t xml:space="preserve"> for a Water Corporation charge, in relation to a person, means</w:t>
      </w:r>
      <w:r>
        <w:rPr>
          <w:szCs w:val="24"/>
        </w:rPr>
        <w:t xml:space="preserve"> — </w:t>
      </w:r>
    </w:p>
    <w:p>
      <w:pPr>
        <w:pStyle w:val="Defpara"/>
      </w:pPr>
      <w:r>
        <w:tab/>
        <w:t>(a)</w:t>
      </w:r>
      <w:r>
        <w:tab/>
        <w:t>the 50</w:t>
      </w:r>
      <w:r>
        <w:rPr>
          <w:vertAlign w:val="superscript"/>
        </w:rPr>
        <w:t>th</w:t>
      </w:r>
      <w:r>
        <w:t xml:space="preserve"> day after the date of the notice requiring payment for that charge; or</w:t>
      </w:r>
    </w:p>
    <w:p>
      <w:pPr>
        <w:pStyle w:val="Defpara"/>
      </w:pPr>
      <w:r>
        <w:tab/>
        <w:t>(b)</w:t>
      </w:r>
      <w:r>
        <w:tab/>
        <w:t>a day, determined by the Water Corporation in relation to the person, that is after the day referred to in paragraph (a) but not more than 70 days after that day;</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 means test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 and</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keepNext/>
        <w:rPr>
          <w:b/>
        </w:rPr>
      </w:pPr>
      <w:r>
        <w:tab/>
        <w:t>(b)</w:t>
      </w:r>
      <w:r>
        <w:tab/>
        <w:t>where another test of the income or assets of any person is prescribed under section 25, that other test;</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keepNext/>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r>
      <w:r>
        <w:tab/>
        <w:t>or</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 or</w:t>
      </w:r>
    </w:p>
    <w:p>
      <w:pPr>
        <w:pStyle w:val="Defsubpara"/>
        <w:keepLines w:val="0"/>
      </w:pPr>
      <w:r>
        <w:tab/>
        <w:t>(ii)</w:t>
      </w:r>
      <w:r>
        <w:tab/>
        <w:t xml:space="preserve">the </w:t>
      </w:r>
      <w:r>
        <w:rPr>
          <w:i/>
        </w:rPr>
        <w:t>Water Agencies (Powers) Act 1984</w:t>
      </w:r>
      <w:r>
        <w:t>; or</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r>
      <w:r>
        <w:tab/>
        <w:t>or</w:t>
      </w:r>
    </w:p>
    <w:p>
      <w:pPr>
        <w:pStyle w:val="Defpara"/>
        <w:keepNext/>
      </w:pPr>
      <w:r>
        <w:tab/>
        <w:t>(c)</w:t>
      </w:r>
      <w:r>
        <w:tab/>
        <w:t>a charge by way of the emergency services levy; or</w:t>
      </w:r>
    </w:p>
    <w:p>
      <w:pPr>
        <w:pStyle w:val="Defpara"/>
      </w:pPr>
      <w:r>
        <w:tab/>
        <w:t>(da)</w:t>
      </w:r>
      <w:r>
        <w:tab/>
        <w:t xml:space="preserve">a charge, by way of a service charge, made under the </w:t>
      </w:r>
      <w:r>
        <w:rPr>
          <w:i/>
        </w:rPr>
        <w:t>Local Government Act 1995</w:t>
      </w:r>
      <w:r>
        <w:t xml:space="preserve"> section 6.38 in relation to the provision of underground electricity; or</w:t>
      </w:r>
    </w:p>
    <w:p>
      <w:pPr>
        <w:pStyle w:val="Defpara"/>
      </w:pPr>
      <w:r>
        <w:tab/>
        <w:t>(d)</w:t>
      </w:r>
      <w:r>
        <w:tab/>
        <w:t>a charge prescribed by regulations made under this Act;</w:t>
      </w:r>
    </w:p>
    <w:p>
      <w:pPr>
        <w:pStyle w:val="Defstart"/>
        <w:keepNex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tab/>
      </w:r>
      <w:r>
        <w:rPr>
          <w:rStyle w:val="CharDefText"/>
        </w:rPr>
        <w:t>senior’s card department</w:t>
      </w:r>
      <w:r>
        <w:t xml:space="preserve"> means the department of the Public Service that is administratively responsible for issuing and cancelling senior’s cards on behalf of the State;</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senior’s card department;</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r>
      <w:r>
        <w:rPr>
          <w:rStyle w:val="CharDefText"/>
        </w:rPr>
        <w:t>Water Board</w:t>
      </w:r>
      <w:r>
        <w:t xml:space="preserve"> means a Water Board constituted under the </w:t>
      </w:r>
      <w:r>
        <w:rPr>
          <w:i/>
        </w:rPr>
        <w:t>Water Boards Act 1904</w:t>
      </w:r>
      <w:r>
        <w:t>;</w:t>
      </w:r>
    </w:p>
    <w:p>
      <w:pPr>
        <w:pStyle w:val="Defstart"/>
      </w:pPr>
      <w:r>
        <w:rPr>
          <w:szCs w:val="24"/>
        </w:rPr>
        <w:tab/>
      </w:r>
      <w:r>
        <w:rPr>
          <w:rStyle w:val="CharDefText"/>
          <w:szCs w:val="24"/>
        </w:rPr>
        <w:t>Water Corporation</w:t>
      </w:r>
      <w:r>
        <w:t xml:space="preserve"> </w:t>
      </w:r>
      <w:r>
        <w:rPr>
          <w:szCs w:val="24"/>
        </w:rPr>
        <w:t xml:space="preserve">means the Water Corporation established by the </w:t>
      </w:r>
      <w:r>
        <w:rPr>
          <w:i/>
          <w:szCs w:val="24"/>
        </w:rPr>
        <w:t>Water Corporation Act 1995</w:t>
      </w:r>
      <w:r>
        <w:t xml:space="preserve"> section 4(1);</w:t>
      </w:r>
    </w:p>
    <w:p>
      <w:pPr>
        <w:pStyle w:val="Defstart"/>
      </w:pPr>
      <w:r>
        <w:tab/>
      </w:r>
      <w:r>
        <w:rPr>
          <w:rStyle w:val="CharDefText"/>
        </w:rPr>
        <w:t>Water Corporation charge</w:t>
      </w:r>
      <w:r>
        <w:t xml:space="preserve"> means a charge referred to in paragraph (b)(ii) of the definition of </w:t>
      </w:r>
      <w:r>
        <w:rPr>
          <w:b/>
          <w:i/>
        </w:rPr>
        <w:t>prescribed charge</w:t>
      </w:r>
      <w:r>
        <w:t>, made by the Water Corporation;</w:t>
      </w:r>
    </w:p>
    <w:p>
      <w:pPr>
        <w:pStyle w:val="Defstart"/>
      </w:pPr>
      <w:r>
        <w:rPr>
          <w:b/>
        </w:rPr>
        <w:tab/>
      </w:r>
      <w:r>
        <w:rPr>
          <w:rStyle w:val="CharDefText"/>
        </w:rPr>
        <w:t>year</w:t>
      </w:r>
      <w:r>
        <w:t xml:space="preserve"> means a rating year.</w:t>
      </w:r>
    </w:p>
    <w:p>
      <w:pPr>
        <w:pStyle w:val="Subsection"/>
        <w:spacing w:before="120"/>
      </w:pPr>
      <w:r>
        <w:tab/>
        <w:t>(1a)</w:t>
      </w:r>
      <w:r>
        <w:tab/>
        <w:t xml:space="preserve">The administrative authority for the emergency services levy that is the subject of an assessment notice under section 36J of the </w:t>
      </w:r>
      <w:r>
        <w:rPr>
          <w:i/>
        </w:rPr>
        <w:t>Fire and Emergency Services Act 1998</w:t>
      </w:r>
      <w:r>
        <w:t xml:space="preserve"> is the local government that serves the notice.</w:t>
      </w:r>
    </w:p>
    <w:p>
      <w:pPr>
        <w:pStyle w:val="Subsection"/>
        <w:spacing w:before="120"/>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keepLines w:val="0"/>
        <w:ind w:left="890" w:hanging="890"/>
      </w:pPr>
      <w:r>
        <w:tab/>
        <w:t xml:space="preserve">[Section 3 amended by No. 25 of 1993 s. 16; No. 73 of 1994 s. 4; No. 73 of 1995 s. 188; No. 14 of 1996 s. 4; No. 57 of 1997 s. 102(1); No. 22 of 1998 s. 14; No. 3 of 2001 s. 5; No. 42 of 2002 s. 31; No. 28 of 2003 s. 166; </w:t>
      </w:r>
      <w:r>
        <w:rPr>
          <w:spacing w:val="-6"/>
        </w:rPr>
        <w:t xml:space="preserve">No. 34 of 2004 </w:t>
      </w:r>
      <w:r>
        <w:t>Sch. 2 cl. 22; No. 9 of 2005 s. 4; No. 32 of 2006 s. 98; No. 13 of 2007 s. 8; No. 2 of 2012 s. 35; No. 22 of 2012 s. 135; No. 29 of 2012 s. 32; No. 4 of 2013 s. 4(1) and (2).]</w:t>
      </w:r>
    </w:p>
    <w:p>
      <w:pPr>
        <w:pStyle w:val="Heading3"/>
      </w:pPr>
      <w:bookmarkStart w:id="157" w:name="_Toc86554941"/>
      <w:bookmarkStart w:id="158" w:name="_Toc96997084"/>
      <w:bookmarkStart w:id="159" w:name="_Toc106163521"/>
      <w:bookmarkStart w:id="160" w:name="_Toc108838480"/>
      <w:bookmarkStart w:id="161" w:name="_Toc108843346"/>
      <w:bookmarkStart w:id="162" w:name="_Toc119983228"/>
      <w:bookmarkStart w:id="163" w:name="_Toc128477209"/>
      <w:bookmarkStart w:id="164" w:name="_Toc129078234"/>
      <w:bookmarkStart w:id="165" w:name="_Toc139360860"/>
      <w:bookmarkStart w:id="166" w:name="_Toc139707581"/>
      <w:bookmarkStart w:id="167" w:name="_Toc139864798"/>
      <w:bookmarkStart w:id="168" w:name="_Toc140046253"/>
      <w:bookmarkStart w:id="169" w:name="_Toc140046328"/>
      <w:bookmarkStart w:id="170" w:name="_Toc142809398"/>
      <w:bookmarkStart w:id="171" w:name="_Toc144087646"/>
      <w:bookmarkStart w:id="172" w:name="_Toc146515969"/>
      <w:bookmarkStart w:id="173" w:name="_Toc148504400"/>
      <w:bookmarkStart w:id="174" w:name="_Toc158003413"/>
      <w:bookmarkStart w:id="175" w:name="_Toc171223411"/>
      <w:bookmarkStart w:id="176" w:name="_Toc171229599"/>
      <w:bookmarkStart w:id="177" w:name="_Toc171319736"/>
      <w:bookmarkStart w:id="178" w:name="_Toc171320952"/>
      <w:bookmarkStart w:id="179" w:name="_Toc173660854"/>
      <w:bookmarkStart w:id="180" w:name="_Toc173729410"/>
      <w:bookmarkStart w:id="181" w:name="_Toc202511786"/>
      <w:bookmarkStart w:id="182" w:name="_Toc202516803"/>
      <w:bookmarkStart w:id="183" w:name="_Toc209602320"/>
      <w:bookmarkStart w:id="184" w:name="_Toc209839633"/>
      <w:bookmarkStart w:id="185" w:name="_Toc212537556"/>
      <w:bookmarkStart w:id="186" w:name="_Toc312057009"/>
      <w:bookmarkStart w:id="187" w:name="_Toc312057088"/>
      <w:bookmarkStart w:id="188" w:name="_Toc312059637"/>
      <w:bookmarkStart w:id="189" w:name="_Toc328465234"/>
      <w:bookmarkStart w:id="190" w:name="_Toc334444582"/>
      <w:bookmarkStart w:id="191" w:name="_Toc334706857"/>
      <w:bookmarkStart w:id="192" w:name="_Toc339638051"/>
      <w:bookmarkStart w:id="193" w:name="_Toc339638130"/>
      <w:bookmarkStart w:id="194" w:name="_Toc340650922"/>
      <w:bookmarkStart w:id="195" w:name="_Toc360454565"/>
      <w:bookmarkStart w:id="196" w:name="_Toc360541726"/>
      <w:bookmarkStart w:id="197" w:name="_Toc361730911"/>
      <w:bookmarkStart w:id="198" w:name="_Toc361731356"/>
      <w:bookmarkStart w:id="199" w:name="_Toc361743116"/>
      <w:bookmarkStart w:id="200" w:name="_Toc364845145"/>
      <w:bookmarkStart w:id="201" w:name="_Toc368652354"/>
      <w:r>
        <w:rPr>
          <w:rStyle w:val="CharDivNo"/>
        </w:rPr>
        <w:t>Division 3</w:t>
      </w:r>
      <w:r>
        <w:rPr>
          <w:snapToGrid w:val="0"/>
        </w:rPr>
        <w:t> — </w:t>
      </w:r>
      <w:r>
        <w:rPr>
          <w:rStyle w:val="CharDivText"/>
        </w:rPr>
        <w:t>Determinations having an interpretive effect</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Ednotesection"/>
        <w:spacing w:before="180"/>
      </w:pPr>
      <w:bookmarkStart w:id="202" w:name="_Toc404133576"/>
      <w:bookmarkStart w:id="203" w:name="_Toc411910573"/>
      <w:bookmarkStart w:id="204" w:name="_Toc425059224"/>
      <w:bookmarkStart w:id="205" w:name="_Toc483724637"/>
      <w:bookmarkStart w:id="206" w:name="_Toc29092495"/>
      <w:r>
        <w:t>[</w:t>
      </w:r>
      <w:r>
        <w:rPr>
          <w:b/>
        </w:rPr>
        <w:t>4.</w:t>
      </w:r>
      <w:r>
        <w:tab/>
        <w:t>Deleted by No. 28 of 2003 s. 167.]</w:t>
      </w:r>
    </w:p>
    <w:p>
      <w:pPr>
        <w:pStyle w:val="Heading5"/>
        <w:keepNext w:val="0"/>
        <w:keepLines w:val="0"/>
        <w:spacing w:before="180"/>
        <w:rPr>
          <w:snapToGrid w:val="0"/>
        </w:rPr>
      </w:pPr>
      <w:bookmarkStart w:id="207" w:name="_Toc129078235"/>
      <w:bookmarkStart w:id="208" w:name="_Toc368652355"/>
      <w:r>
        <w:rPr>
          <w:rStyle w:val="CharSectno"/>
        </w:rPr>
        <w:t>5</w:t>
      </w:r>
      <w:r>
        <w:rPr>
          <w:snapToGrid w:val="0"/>
        </w:rPr>
        <w:t>.</w:t>
      </w:r>
      <w:r>
        <w:rPr>
          <w:snapToGrid w:val="0"/>
        </w:rPr>
        <w:tab/>
        <w:t>Eligibility as a senior</w:t>
      </w:r>
      <w:bookmarkEnd w:id="202"/>
      <w:bookmarkEnd w:id="203"/>
      <w:bookmarkEnd w:id="204"/>
      <w:bookmarkEnd w:id="205"/>
      <w:bookmarkEnd w:id="206"/>
      <w:bookmarkEnd w:id="207"/>
      <w:bookmarkEnd w:id="208"/>
    </w:p>
    <w:p>
      <w:pPr>
        <w:pStyle w:val="Subsection"/>
        <w:widowControl w:val="0"/>
        <w:spacing w:before="120"/>
        <w:rPr>
          <w:snapToGrid w:val="0"/>
        </w:rPr>
      </w:pPr>
      <w:r>
        <w:rPr>
          <w:snapToGrid w:val="0"/>
        </w:rPr>
        <w:tab/>
      </w:r>
      <w:r>
        <w:rPr>
          <w:snapToGrid w:val="0"/>
        </w:rPr>
        <w:tab/>
        <w:t>For the purposes of this Act the conditions under which a person may hold a seniors’ card shall be such as are from time to time determined by the</w:t>
      </w:r>
      <w:r>
        <w:t xml:space="preserve"> chief executive officer of the senior’s card department.</w:t>
      </w:r>
    </w:p>
    <w:p>
      <w:pPr>
        <w:pStyle w:val="Footnotesection"/>
        <w:ind w:left="890" w:hanging="890"/>
      </w:pPr>
      <w:bookmarkStart w:id="209" w:name="_Toc404133577"/>
      <w:bookmarkStart w:id="210" w:name="_Toc411910574"/>
      <w:bookmarkStart w:id="211" w:name="_Toc425059225"/>
      <w:bookmarkStart w:id="212" w:name="_Toc483724638"/>
      <w:bookmarkStart w:id="213" w:name="_Toc29092496"/>
      <w:bookmarkStart w:id="214" w:name="_Toc129078236"/>
      <w:r>
        <w:tab/>
        <w:t>[Section 5 amended by No. 29 of 2012 s. 33.]</w:t>
      </w:r>
    </w:p>
    <w:p>
      <w:pPr>
        <w:pStyle w:val="Heading5"/>
        <w:spacing w:before="240"/>
        <w:rPr>
          <w:snapToGrid w:val="0"/>
        </w:rPr>
      </w:pPr>
      <w:bookmarkStart w:id="215" w:name="_Toc368652356"/>
      <w:r>
        <w:rPr>
          <w:rStyle w:val="CharSectno"/>
        </w:rPr>
        <w:t>6</w:t>
      </w:r>
      <w:r>
        <w:rPr>
          <w:snapToGrid w:val="0"/>
        </w:rPr>
        <w:t>.</w:t>
      </w:r>
      <w:r>
        <w:rPr>
          <w:snapToGrid w:val="0"/>
        </w:rPr>
        <w:tab/>
        <w:t>State concession cards for persons not otherwise eligible</w:t>
      </w:r>
      <w:bookmarkEnd w:id="209"/>
      <w:bookmarkEnd w:id="210"/>
      <w:bookmarkEnd w:id="211"/>
      <w:bookmarkEnd w:id="212"/>
      <w:bookmarkEnd w:id="213"/>
      <w:bookmarkEnd w:id="214"/>
      <w:bookmarkEnd w:id="215"/>
    </w:p>
    <w:p>
      <w:pPr>
        <w:pStyle w:val="Subsection"/>
        <w:spacing w:before="180"/>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spacing w:before="180"/>
        <w:rPr>
          <w:snapToGrid w:val="0"/>
        </w:rPr>
      </w:pPr>
      <w:r>
        <w:rPr>
          <w:snapToGrid w:val="0"/>
        </w:rPr>
        <w:tab/>
        <w:t>(2)</w:t>
      </w:r>
      <w:r>
        <w:rPr>
          <w:snapToGrid w:val="0"/>
        </w:rPr>
        <w:tab/>
        <w:t>On receipt of an application under subsection (1) and if the CEO determines that —</w:t>
      </w:r>
    </w:p>
    <w:p>
      <w:pPr>
        <w:pStyle w:val="Indenta"/>
        <w:rPr>
          <w:snapToGrid w:val="0"/>
        </w:rPr>
      </w:pPr>
      <w:r>
        <w:rPr>
          <w:snapToGrid w:val="0"/>
        </w:rPr>
        <w:tab/>
        <w:t>(a)</w:t>
      </w:r>
      <w:r>
        <w:rPr>
          <w:snapToGrid w:val="0"/>
        </w:rPr>
        <w:tab/>
        <w:t>a test as to the income and assets of that person; and</w:t>
      </w:r>
    </w:p>
    <w:p>
      <w:pPr>
        <w:pStyle w:val="Indenta"/>
        <w:keepNext/>
        <w:rPr>
          <w:snapToGrid w:val="0"/>
        </w:rPr>
      </w:pPr>
      <w:r>
        <w:rPr>
          <w:snapToGrid w:val="0"/>
        </w:rPr>
        <w:tab/>
        <w:t>(b)</w:t>
      </w:r>
      <w:r>
        <w:rPr>
          <w:snapToGrid w:val="0"/>
        </w:rPr>
        <w:tab/>
        <w:t>the conditions, circumstances or other facts relevant to the application otherwise,</w:t>
      </w:r>
    </w:p>
    <w:p>
      <w:pPr>
        <w:pStyle w:val="Subsection"/>
        <w:spacing w:before="180"/>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spacing w:before="180"/>
        <w:rPr>
          <w:snapToGrid w:val="0"/>
        </w:rPr>
      </w:pPr>
      <w:r>
        <w:rPr>
          <w:snapToGrid w:val="0"/>
        </w:rPr>
        <w:tab/>
        <w:t>(3)</w:t>
      </w:r>
      <w:r>
        <w:rPr>
          <w:snapToGrid w:val="0"/>
        </w:rPr>
        <w:tab/>
        <w:t xml:space="preserve">The CEO, on receiving relevant documentation issued by, or satisfactory written notification from, the Commonwealth Department of Veterans’ Affairs of the pension or allowance payable to that person, </w:t>
      </w:r>
      <w:r>
        <w:t xml:space="preserve">or that the person is entitled to be provided with treatment, </w:t>
      </w:r>
      <w:r>
        <w:rPr>
          <w:snapToGrid w:val="0"/>
        </w:rPr>
        <w:t>shall cause a State concession card to be issued —</w:t>
      </w:r>
    </w:p>
    <w:p>
      <w:pPr>
        <w:pStyle w:val="Indenta"/>
      </w:pPr>
      <w:r>
        <w:tab/>
        <w:t>(a)</w:t>
      </w:r>
      <w:r>
        <w:tab/>
        <w:t>to a person, valid for 5 years, if satisfied that —</w:t>
      </w:r>
    </w:p>
    <w:p>
      <w:pPr>
        <w:pStyle w:val="Indenti"/>
      </w:pPr>
      <w:r>
        <w:tab/>
        <w:t>(i)</w:t>
      </w:r>
      <w:r>
        <w:tab/>
        <w:t>the person is receiving a pension to which section 23(2) applies; or</w:t>
      </w:r>
    </w:p>
    <w:p>
      <w:pPr>
        <w:pStyle w:val="Indenti"/>
      </w:pPr>
      <w:r>
        <w:tab/>
        <w:t>(ii)</w:t>
      </w:r>
      <w:r>
        <w:tab/>
        <w:t>the person meets the criteria referred to in section 23(4A)(a); or</w:t>
      </w:r>
    </w:p>
    <w:p>
      <w:pPr>
        <w:pStyle w:val="Indenti"/>
      </w:pPr>
      <w:r>
        <w:tab/>
        <w:t>(iii)</w:t>
      </w:r>
      <w:r>
        <w:tab/>
        <w:t>the person is receiving the Special Rate Disability Pension referred to in section 23(4A)(b); or</w:t>
      </w:r>
    </w:p>
    <w:p>
      <w:pPr>
        <w:pStyle w:val="Indenti"/>
      </w:pPr>
      <w:r>
        <w:tab/>
        <w:t>(iv)</w:t>
      </w:r>
      <w:r>
        <w:tab/>
        <w:t>the person is entitled to be provided with the treatment referred to in section 23(4A)(c),</w:t>
      </w:r>
    </w:p>
    <w:p>
      <w:pPr>
        <w:pStyle w:val="Indenta"/>
      </w:pPr>
      <w:r>
        <w:tab/>
      </w:r>
      <w:r>
        <w:tab/>
        <w:t>regardless of the income or assets of that person; and</w:t>
      </w:r>
    </w:p>
    <w:p>
      <w:pPr>
        <w:pStyle w:val="Indenta"/>
        <w:rPr>
          <w:snapToGrid w:val="0"/>
        </w:rPr>
      </w:pPr>
      <w:r>
        <w:rPr>
          <w:snapToGrid w:val="0"/>
        </w:rPr>
        <w:tab/>
        <w:t>(b)</w:t>
      </w:r>
      <w:r>
        <w:rPr>
          <w:snapToGrid w:val="0"/>
        </w:rPr>
        <w:tab/>
        <w:t>to any other person, valid for one year, if satisfied that —</w:t>
      </w:r>
    </w:p>
    <w:p>
      <w:pPr>
        <w:pStyle w:val="Indenti"/>
        <w:rPr>
          <w:snapToGrid w:val="0"/>
        </w:rPr>
      </w:pPr>
      <w:r>
        <w:rPr>
          <w:snapToGrid w:val="0"/>
        </w:rPr>
        <w:tab/>
        <w:t>(i)</w:t>
      </w:r>
      <w:r>
        <w:rPr>
          <w:snapToGrid w:val="0"/>
        </w:rPr>
        <w:tab/>
        <w:t>the person has an income and assets that do not exceed the limits imposed by the means test; and</w:t>
      </w:r>
    </w:p>
    <w:p>
      <w:pPr>
        <w:pStyle w:val="Indenti"/>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ind w:left="890" w:hanging="890"/>
      </w:pPr>
      <w:r>
        <w:tab/>
        <w:t xml:space="preserve">[Section 6 amended by No. 25 of 1993 s. 17; No. 73 of 1994 s. 4; No. 57 of 1997 s. 102(2); </w:t>
      </w:r>
      <w:r>
        <w:rPr>
          <w:spacing w:val="-6"/>
        </w:rPr>
        <w:t>No. 34 of 2004</w:t>
      </w:r>
      <w:r>
        <w:t xml:space="preserve"> Sch. 2 cl. 22; No. 29 of 2012 s. 34.]</w:t>
      </w:r>
    </w:p>
    <w:p>
      <w:pPr>
        <w:pStyle w:val="Heading5"/>
        <w:spacing w:before="240"/>
        <w:rPr>
          <w:snapToGrid w:val="0"/>
        </w:rPr>
      </w:pPr>
      <w:bookmarkStart w:id="216" w:name="_Toc404133578"/>
      <w:bookmarkStart w:id="217" w:name="_Toc411910575"/>
      <w:bookmarkStart w:id="218" w:name="_Toc425059226"/>
      <w:bookmarkStart w:id="219" w:name="_Toc483724639"/>
      <w:bookmarkStart w:id="220" w:name="_Toc29092497"/>
      <w:bookmarkStart w:id="221" w:name="_Toc129078237"/>
      <w:bookmarkStart w:id="222" w:name="_Toc368652357"/>
      <w:r>
        <w:rPr>
          <w:rStyle w:val="CharSectno"/>
        </w:rPr>
        <w:t>7</w:t>
      </w:r>
      <w:r>
        <w:rPr>
          <w:snapToGrid w:val="0"/>
        </w:rPr>
        <w:t>.</w:t>
      </w:r>
      <w:r>
        <w:rPr>
          <w:snapToGrid w:val="0"/>
        </w:rPr>
        <w:tab/>
        <w:t>Entitlement of a person as regards land</w:t>
      </w:r>
      <w:bookmarkEnd w:id="216"/>
      <w:bookmarkEnd w:id="217"/>
      <w:bookmarkEnd w:id="218"/>
      <w:bookmarkEnd w:id="219"/>
      <w:bookmarkEnd w:id="220"/>
      <w:bookmarkEnd w:id="221"/>
      <w:bookmarkEnd w:id="222"/>
    </w:p>
    <w:p>
      <w:pPr>
        <w:pStyle w:val="Subsection"/>
        <w:spacing w:before="180"/>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keepNext/>
        <w:rPr>
          <w:snapToGrid w:val="0"/>
        </w:rPr>
      </w:pPr>
      <w:r>
        <w:rPr>
          <w:snapToGrid w:val="0"/>
        </w:rPr>
        <w:tab/>
        <w:t>(b)</w:t>
      </w:r>
      <w:r>
        <w:rPr>
          <w:snapToGrid w:val="0"/>
        </w:rPr>
        <w:tab/>
        <w:t>section 14(2),</w:t>
      </w:r>
    </w:p>
    <w:p>
      <w:pPr>
        <w:pStyle w:val="Subsection"/>
        <w:spacing w:before="180"/>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spacing w:before="180"/>
        <w:rPr>
          <w:snapToGrid w:val="0"/>
        </w:rPr>
      </w:pPr>
      <w:r>
        <w:rPr>
          <w:snapToGrid w:val="0"/>
        </w:rPr>
        <w:tab/>
        <w:t>(2)</w:t>
      </w:r>
      <w:r>
        <w:rPr>
          <w:snapToGrid w:val="0"/>
        </w:rPr>
        <w:tab/>
      </w:r>
      <w:r>
        <w:t>In relation to a prescribed charge that is not a Water Corporation charge, the</w:t>
      </w:r>
      <w:r>
        <w:rPr>
          <w:snapToGrid w:val="0"/>
        </w:rPr>
        <w:t xml:space="preserve"> determination as to the entitlement of a person made in accordance with section 32(5) shall have effect throughout the rating year in which the charged period occurs.</w:t>
      </w:r>
    </w:p>
    <w:p>
      <w:pPr>
        <w:pStyle w:val="Footnotesection"/>
        <w:spacing w:before="140"/>
        <w:ind w:left="890" w:hanging="890"/>
      </w:pPr>
      <w:r>
        <w:tab/>
        <w:t>[Section 7 amended by No. 25 of 1993 s. 4; No. 4 of 2013 s. 5.]</w:t>
      </w:r>
    </w:p>
    <w:p>
      <w:pPr>
        <w:pStyle w:val="Heading3"/>
      </w:pPr>
      <w:bookmarkStart w:id="223" w:name="_Toc86554945"/>
      <w:bookmarkStart w:id="224" w:name="_Toc96997088"/>
      <w:bookmarkStart w:id="225" w:name="_Toc106163525"/>
      <w:bookmarkStart w:id="226" w:name="_Toc108838484"/>
      <w:bookmarkStart w:id="227" w:name="_Toc108843350"/>
      <w:bookmarkStart w:id="228" w:name="_Toc119983232"/>
      <w:bookmarkStart w:id="229" w:name="_Toc128477213"/>
      <w:bookmarkStart w:id="230" w:name="_Toc129078238"/>
      <w:bookmarkStart w:id="231" w:name="_Toc139360864"/>
      <w:bookmarkStart w:id="232" w:name="_Toc139707585"/>
      <w:bookmarkStart w:id="233" w:name="_Toc139864802"/>
      <w:bookmarkStart w:id="234" w:name="_Toc140046257"/>
      <w:bookmarkStart w:id="235" w:name="_Toc140046332"/>
      <w:bookmarkStart w:id="236" w:name="_Toc142809402"/>
      <w:bookmarkStart w:id="237" w:name="_Toc144087650"/>
      <w:bookmarkStart w:id="238" w:name="_Toc146515973"/>
      <w:bookmarkStart w:id="239" w:name="_Toc148504404"/>
      <w:bookmarkStart w:id="240" w:name="_Toc158003417"/>
      <w:bookmarkStart w:id="241" w:name="_Toc171223415"/>
      <w:bookmarkStart w:id="242" w:name="_Toc171229603"/>
      <w:bookmarkStart w:id="243" w:name="_Toc171319740"/>
      <w:bookmarkStart w:id="244" w:name="_Toc171320956"/>
      <w:bookmarkStart w:id="245" w:name="_Toc173660858"/>
      <w:bookmarkStart w:id="246" w:name="_Toc173729414"/>
      <w:bookmarkStart w:id="247" w:name="_Toc202511790"/>
      <w:bookmarkStart w:id="248" w:name="_Toc202516807"/>
      <w:bookmarkStart w:id="249" w:name="_Toc209602324"/>
      <w:bookmarkStart w:id="250" w:name="_Toc209839637"/>
      <w:bookmarkStart w:id="251" w:name="_Toc212537560"/>
      <w:bookmarkStart w:id="252" w:name="_Toc312057013"/>
      <w:bookmarkStart w:id="253" w:name="_Toc312057092"/>
      <w:bookmarkStart w:id="254" w:name="_Toc312059641"/>
      <w:bookmarkStart w:id="255" w:name="_Toc328465238"/>
      <w:bookmarkStart w:id="256" w:name="_Toc334444586"/>
      <w:bookmarkStart w:id="257" w:name="_Toc334706861"/>
      <w:bookmarkStart w:id="258" w:name="_Toc339638055"/>
      <w:bookmarkStart w:id="259" w:name="_Toc339638134"/>
      <w:bookmarkStart w:id="260" w:name="_Toc340650926"/>
      <w:bookmarkStart w:id="261" w:name="_Toc360454569"/>
      <w:bookmarkStart w:id="262" w:name="_Toc360541730"/>
      <w:bookmarkStart w:id="263" w:name="_Toc361730915"/>
      <w:bookmarkStart w:id="264" w:name="_Toc361731360"/>
      <w:bookmarkStart w:id="265" w:name="_Toc361743120"/>
      <w:bookmarkStart w:id="266" w:name="_Toc364845149"/>
      <w:bookmarkStart w:id="267" w:name="_Toc368652358"/>
      <w:r>
        <w:rPr>
          <w:rStyle w:val="CharDivNo"/>
        </w:rPr>
        <w:t>Division 4</w:t>
      </w:r>
      <w:r>
        <w:rPr>
          <w:snapToGrid w:val="0"/>
        </w:rPr>
        <w:t> — </w:t>
      </w:r>
      <w:r>
        <w:rPr>
          <w:rStyle w:val="CharDivText"/>
        </w:rPr>
        <w:t>Administration</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spacing w:before="240"/>
        <w:rPr>
          <w:snapToGrid w:val="0"/>
        </w:rPr>
      </w:pPr>
      <w:bookmarkStart w:id="268" w:name="_Toc404133579"/>
      <w:bookmarkStart w:id="269" w:name="_Toc411910576"/>
      <w:bookmarkStart w:id="270" w:name="_Toc425059227"/>
      <w:bookmarkStart w:id="271" w:name="_Toc483724640"/>
      <w:bookmarkStart w:id="272" w:name="_Toc29092498"/>
      <w:bookmarkStart w:id="273" w:name="_Toc129078239"/>
      <w:bookmarkStart w:id="274" w:name="_Toc368652359"/>
      <w:r>
        <w:rPr>
          <w:rStyle w:val="CharSectno"/>
        </w:rPr>
        <w:t>8</w:t>
      </w:r>
      <w:r>
        <w:rPr>
          <w:snapToGrid w:val="0"/>
        </w:rPr>
        <w:t>.</w:t>
      </w:r>
      <w:r>
        <w:rPr>
          <w:snapToGrid w:val="0"/>
        </w:rPr>
        <w:tab/>
        <w:t>Purposes</w:t>
      </w:r>
      <w:bookmarkEnd w:id="268"/>
      <w:bookmarkEnd w:id="269"/>
      <w:bookmarkEnd w:id="270"/>
      <w:bookmarkEnd w:id="271"/>
      <w:bookmarkEnd w:id="272"/>
      <w:bookmarkEnd w:id="273"/>
      <w:bookmarkEnd w:id="274"/>
    </w:p>
    <w:p>
      <w:pPr>
        <w:pStyle w:val="Subsection"/>
        <w:spacing w:before="180"/>
        <w:rPr>
          <w:snapToGrid w:val="0"/>
        </w:rPr>
      </w:pPr>
      <w:r>
        <w:rPr>
          <w:snapToGrid w:val="0"/>
        </w:rPr>
        <w:tab/>
      </w:r>
      <w:r>
        <w:rPr>
          <w:snapToGrid w:val="0"/>
        </w:rPr>
        <w:tab/>
        <w:t>The purposes of this Act are —</w:t>
      </w:r>
    </w:p>
    <w:p>
      <w:pPr>
        <w:pStyle w:val="Indenta"/>
        <w:spacing w:before="100"/>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 and</w:t>
      </w:r>
    </w:p>
    <w:p>
      <w:pPr>
        <w:pStyle w:val="Indenti"/>
        <w:rPr>
          <w:snapToGrid w:val="0"/>
        </w:rPr>
      </w:pPr>
      <w:r>
        <w:rPr>
          <w:snapToGrid w:val="0"/>
        </w:rPr>
        <w:tab/>
        <w:t>(ii)</w:t>
      </w:r>
      <w:r>
        <w:rPr>
          <w:snapToGrid w:val="0"/>
        </w:rPr>
        <w:tab/>
        <w:t>the rebates allowable to seniors; and</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spacing w:before="100"/>
        <w:rPr>
          <w:snapToGrid w:val="0"/>
        </w:rPr>
      </w:pPr>
      <w:r>
        <w:rPr>
          <w:snapToGrid w:val="0"/>
        </w:rPr>
        <w:tab/>
      </w:r>
      <w:r>
        <w:rPr>
          <w:snapToGrid w:val="0"/>
        </w:rPr>
        <w:tab/>
        <w:t>may for the future be rationalised and inequities eliminated; and</w:t>
      </w:r>
    </w:p>
    <w:p>
      <w:pPr>
        <w:pStyle w:val="Indenta"/>
        <w:spacing w:before="100"/>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spacing w:before="100"/>
        <w:rPr>
          <w:snapToGrid w:val="0"/>
        </w:rPr>
      </w:pPr>
      <w:r>
        <w:rPr>
          <w:snapToGrid w:val="0"/>
        </w:rPr>
        <w:tab/>
      </w:r>
      <w:r>
        <w:rPr>
          <w:snapToGrid w:val="0"/>
        </w:rPr>
        <w:tab/>
        <w:t>are kept to a minimum.</w:t>
      </w:r>
    </w:p>
    <w:p>
      <w:pPr>
        <w:pStyle w:val="Footnotesection"/>
        <w:ind w:left="890" w:hanging="890"/>
      </w:pPr>
      <w:r>
        <w:tab/>
        <w:t>[Section 8 amended by No. 22 of 1998 s. 15.]</w:t>
      </w:r>
    </w:p>
    <w:p>
      <w:pPr>
        <w:pStyle w:val="Heading5"/>
        <w:spacing w:before="240"/>
      </w:pPr>
      <w:bookmarkStart w:id="275" w:name="_Toc425059228"/>
      <w:bookmarkStart w:id="276" w:name="_Toc483724641"/>
      <w:bookmarkStart w:id="277" w:name="_Toc29092499"/>
      <w:bookmarkStart w:id="278" w:name="_Toc129078240"/>
      <w:bookmarkStart w:id="279" w:name="_Toc368652360"/>
      <w:bookmarkStart w:id="280" w:name="_Toc404133581"/>
      <w:bookmarkStart w:id="281" w:name="_Toc411910578"/>
      <w:r>
        <w:rPr>
          <w:rStyle w:val="CharSectno"/>
        </w:rPr>
        <w:t>9</w:t>
      </w:r>
      <w:r>
        <w:t>.</w:t>
      </w:r>
      <w:r>
        <w:tab/>
        <w:t>Ministerial directions and procedural manuals</w:t>
      </w:r>
      <w:bookmarkEnd w:id="275"/>
      <w:bookmarkEnd w:id="276"/>
      <w:bookmarkEnd w:id="277"/>
      <w:bookmarkEnd w:id="278"/>
      <w:bookmarkEnd w:id="279"/>
    </w:p>
    <w:p>
      <w:pPr>
        <w:pStyle w:val="Subsection"/>
        <w:spacing w:before="180"/>
      </w:pPr>
      <w:r>
        <w:tab/>
        <w:t>(1)</w:t>
      </w:r>
      <w:r>
        <w:tab/>
        <w:t>The Minister may provide advice, make recommendations, or give written directions to administrative authorities as to the implementation of this Act.</w:t>
      </w:r>
    </w:p>
    <w:p>
      <w:pPr>
        <w:pStyle w:val="Subsection"/>
        <w:spacing w:before="180"/>
      </w:pPr>
      <w:r>
        <w:tab/>
        <w:t>(2)</w:t>
      </w:r>
      <w:r>
        <w:tab/>
        <w:t>The Minister may issue, and amend, a procedural manual for the guidance of administrative authorities as to the implementation of this Act.</w:t>
      </w:r>
    </w:p>
    <w:p>
      <w:pPr>
        <w:pStyle w:val="Subsection"/>
        <w:keepNext/>
        <w:spacing w:before="180"/>
      </w:pPr>
      <w:r>
        <w:tab/>
        <w:t>(3)</w:t>
      </w:r>
      <w:r>
        <w:tab/>
        <w:t>All employees, officers and members of an administrative authority must comply with a procedural manual.</w:t>
      </w:r>
    </w:p>
    <w:p>
      <w:pPr>
        <w:pStyle w:val="Subsection"/>
        <w:spacing w:before="180"/>
      </w:pPr>
      <w:r>
        <w:tab/>
        <w:t>(4)</w:t>
      </w:r>
      <w:r>
        <w:tab/>
        <w:t>The Minister may give written directions to an administrative authority with respect to the performance of its functions under this Act, either generally or as to a particular matter.</w:t>
      </w:r>
    </w:p>
    <w:p>
      <w:pPr>
        <w:pStyle w:val="Subsection"/>
        <w:spacing w:before="180"/>
      </w:pPr>
      <w:r>
        <w:tab/>
        <w:t>(5)</w:t>
      </w:r>
      <w:r>
        <w:tab/>
        <w:t>An administrative authority must comply with a direction given to it under subsection (4).</w:t>
      </w:r>
    </w:p>
    <w:p>
      <w:pPr>
        <w:pStyle w:val="Subsection"/>
        <w:spacing w:before="18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Sch. 1 cl. 146(1).]</w:t>
      </w:r>
    </w:p>
    <w:p>
      <w:pPr>
        <w:pStyle w:val="Heading5"/>
        <w:spacing w:before="240"/>
        <w:rPr>
          <w:snapToGrid w:val="0"/>
        </w:rPr>
      </w:pPr>
      <w:bookmarkStart w:id="282" w:name="_Toc425059229"/>
      <w:bookmarkStart w:id="283" w:name="_Toc483724642"/>
      <w:bookmarkStart w:id="284" w:name="_Toc29092500"/>
      <w:bookmarkStart w:id="285" w:name="_Toc129078241"/>
      <w:bookmarkStart w:id="286" w:name="_Toc368652361"/>
      <w:r>
        <w:rPr>
          <w:rStyle w:val="CharSectno"/>
        </w:rPr>
        <w:t>10</w:t>
      </w:r>
      <w:r>
        <w:rPr>
          <w:snapToGrid w:val="0"/>
        </w:rPr>
        <w:t>.</w:t>
      </w:r>
      <w:r>
        <w:rPr>
          <w:snapToGrid w:val="0"/>
        </w:rPr>
        <w:tab/>
        <w:t>Delegation of functions</w:t>
      </w:r>
      <w:bookmarkEnd w:id="280"/>
      <w:bookmarkEnd w:id="281"/>
      <w:bookmarkEnd w:id="282"/>
      <w:bookmarkEnd w:id="283"/>
      <w:bookmarkEnd w:id="284"/>
      <w:bookmarkEnd w:id="285"/>
      <w:bookmarkEnd w:id="286"/>
    </w:p>
    <w:p>
      <w:pPr>
        <w:pStyle w:val="Subsection"/>
        <w:spacing w:before="18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80"/>
        <w:rPr>
          <w:snapToGrid w:val="0"/>
        </w:rPr>
      </w:pPr>
      <w:r>
        <w:tab/>
        <w:t>(2)</w:t>
      </w:r>
      <w:r>
        <w:tab/>
        <w:t>A delegation may be made generally or as otherwise provided in the instrument of delegation.</w:t>
      </w:r>
    </w:p>
    <w:p>
      <w:pPr>
        <w:pStyle w:val="Subsection"/>
        <w:spacing w:before="18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ind w:left="890" w:hanging="890"/>
      </w:pPr>
      <w:r>
        <w:tab/>
        <w:t>[Section 10 amended by No. 22 of 1998 s. 17.]</w:t>
      </w:r>
    </w:p>
    <w:p>
      <w:pPr>
        <w:pStyle w:val="Heading5"/>
        <w:spacing w:before="180"/>
        <w:rPr>
          <w:snapToGrid w:val="0"/>
        </w:rPr>
      </w:pPr>
      <w:bookmarkStart w:id="287" w:name="_Toc404133582"/>
      <w:bookmarkStart w:id="288" w:name="_Toc411910579"/>
      <w:bookmarkStart w:id="289" w:name="_Toc425059230"/>
      <w:bookmarkStart w:id="290" w:name="_Toc483724643"/>
      <w:bookmarkStart w:id="291" w:name="_Toc29092501"/>
      <w:bookmarkStart w:id="292" w:name="_Toc129078242"/>
      <w:bookmarkStart w:id="293" w:name="_Toc368652362"/>
      <w:r>
        <w:rPr>
          <w:rStyle w:val="CharSectno"/>
        </w:rPr>
        <w:t>11</w:t>
      </w:r>
      <w:r>
        <w:rPr>
          <w:snapToGrid w:val="0"/>
        </w:rPr>
        <w:t>.</w:t>
      </w:r>
      <w:r>
        <w:rPr>
          <w:snapToGrid w:val="0"/>
        </w:rPr>
        <w:tab/>
        <w:t>Minister to have access to information</w:t>
      </w:r>
      <w:bookmarkEnd w:id="287"/>
      <w:bookmarkEnd w:id="288"/>
      <w:bookmarkEnd w:id="289"/>
      <w:bookmarkEnd w:id="290"/>
      <w:bookmarkEnd w:id="291"/>
      <w:bookmarkEnd w:id="292"/>
      <w:bookmarkEnd w:id="293"/>
    </w:p>
    <w:p>
      <w:pPr>
        <w:pStyle w:val="Subsection"/>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 and</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294" w:name="_Toc86554950"/>
      <w:bookmarkStart w:id="295" w:name="_Toc96997093"/>
      <w:bookmarkStart w:id="296" w:name="_Toc106163530"/>
      <w:bookmarkStart w:id="297" w:name="_Toc108838489"/>
      <w:bookmarkStart w:id="298" w:name="_Toc108843355"/>
      <w:bookmarkStart w:id="299" w:name="_Toc119983237"/>
      <w:bookmarkStart w:id="300" w:name="_Toc128477218"/>
      <w:bookmarkStart w:id="301" w:name="_Toc129078243"/>
      <w:bookmarkStart w:id="302" w:name="_Toc139360869"/>
      <w:bookmarkStart w:id="303" w:name="_Toc139707590"/>
      <w:bookmarkStart w:id="304" w:name="_Toc139864807"/>
      <w:bookmarkStart w:id="305" w:name="_Toc140046262"/>
      <w:bookmarkStart w:id="306" w:name="_Toc140046337"/>
      <w:bookmarkStart w:id="307" w:name="_Toc142809407"/>
      <w:bookmarkStart w:id="308" w:name="_Toc144087655"/>
      <w:bookmarkStart w:id="309" w:name="_Toc146515978"/>
      <w:bookmarkStart w:id="310" w:name="_Toc148504409"/>
      <w:bookmarkStart w:id="311" w:name="_Toc158003422"/>
      <w:bookmarkStart w:id="312" w:name="_Toc171223420"/>
      <w:bookmarkStart w:id="313" w:name="_Toc171229608"/>
      <w:bookmarkStart w:id="314" w:name="_Toc171319745"/>
      <w:bookmarkStart w:id="315" w:name="_Toc171320961"/>
      <w:bookmarkStart w:id="316" w:name="_Toc173660863"/>
      <w:bookmarkStart w:id="317" w:name="_Toc173729419"/>
      <w:bookmarkStart w:id="318" w:name="_Toc202511795"/>
      <w:bookmarkStart w:id="319" w:name="_Toc202516812"/>
      <w:bookmarkStart w:id="320" w:name="_Toc209602329"/>
      <w:bookmarkStart w:id="321" w:name="_Toc209839642"/>
      <w:bookmarkStart w:id="322" w:name="_Toc212537565"/>
      <w:bookmarkStart w:id="323" w:name="_Toc312057018"/>
      <w:bookmarkStart w:id="324" w:name="_Toc312057097"/>
      <w:bookmarkStart w:id="325" w:name="_Toc312059646"/>
      <w:bookmarkStart w:id="326" w:name="_Toc328465243"/>
      <w:bookmarkStart w:id="327" w:name="_Toc334444591"/>
      <w:bookmarkStart w:id="328" w:name="_Toc334706866"/>
      <w:bookmarkStart w:id="329" w:name="_Toc339638060"/>
      <w:bookmarkStart w:id="330" w:name="_Toc339638139"/>
      <w:bookmarkStart w:id="331" w:name="_Toc340650931"/>
      <w:bookmarkStart w:id="332" w:name="_Toc360454574"/>
      <w:bookmarkStart w:id="333" w:name="_Toc360541735"/>
      <w:bookmarkStart w:id="334" w:name="_Toc361730920"/>
      <w:bookmarkStart w:id="335" w:name="_Toc361731365"/>
      <w:bookmarkStart w:id="336" w:name="_Toc361743125"/>
      <w:bookmarkStart w:id="337" w:name="_Toc364845154"/>
      <w:bookmarkStart w:id="338" w:name="_Toc368652363"/>
      <w:r>
        <w:rPr>
          <w:rStyle w:val="CharDivNo"/>
        </w:rPr>
        <w:t>Division 5</w:t>
      </w:r>
      <w:r>
        <w:rPr>
          <w:snapToGrid w:val="0"/>
        </w:rPr>
        <w:t> — </w:t>
      </w:r>
      <w:r>
        <w:rPr>
          <w:rStyle w:val="CharDivText"/>
        </w:rPr>
        <w:t>Review of determinations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rPr>
          <w:snapToGrid w:val="0"/>
        </w:rPr>
      </w:pPr>
      <w:bookmarkStart w:id="339" w:name="_Toc404133583"/>
      <w:bookmarkStart w:id="340" w:name="_Toc411910580"/>
      <w:bookmarkStart w:id="341" w:name="_Toc425059231"/>
      <w:bookmarkStart w:id="342" w:name="_Toc483724644"/>
      <w:bookmarkStart w:id="343" w:name="_Toc29092502"/>
      <w:bookmarkStart w:id="344" w:name="_Toc129078244"/>
      <w:bookmarkStart w:id="345" w:name="_Toc368652364"/>
      <w:r>
        <w:rPr>
          <w:rStyle w:val="CharSectno"/>
        </w:rPr>
        <w:t>12</w:t>
      </w:r>
      <w:r>
        <w:rPr>
          <w:snapToGrid w:val="0"/>
        </w:rPr>
        <w:t>.</w:t>
      </w:r>
      <w:r>
        <w:rPr>
          <w:snapToGrid w:val="0"/>
        </w:rPr>
        <w:tab/>
        <w:t>Determination may be referred for review</w:t>
      </w:r>
      <w:bookmarkEnd w:id="339"/>
      <w:bookmarkEnd w:id="340"/>
      <w:bookmarkEnd w:id="341"/>
      <w:bookmarkEnd w:id="342"/>
      <w:bookmarkEnd w:id="343"/>
      <w:bookmarkEnd w:id="344"/>
      <w:bookmarkEnd w:id="345"/>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 or</w:t>
      </w:r>
    </w:p>
    <w:p>
      <w:pPr>
        <w:pStyle w:val="Indenta"/>
        <w:rPr>
          <w:snapToGrid w:val="0"/>
        </w:rPr>
      </w:pPr>
      <w:r>
        <w:rPr>
          <w:snapToGrid w:val="0"/>
        </w:rPr>
        <w:tab/>
        <w:t>(b)</w:t>
      </w:r>
      <w:r>
        <w:rPr>
          <w:snapToGrid w:val="0"/>
        </w:rPr>
        <w:tab/>
        <w:t>as to a change in conditions, circumstances or facts, under section 21; or</w:t>
      </w:r>
    </w:p>
    <w:p>
      <w:pPr>
        <w:pStyle w:val="Indenta"/>
        <w:rPr>
          <w:snapToGrid w:val="0"/>
        </w:rPr>
      </w:pPr>
      <w:r>
        <w:rPr>
          <w:snapToGrid w:val="0"/>
        </w:rPr>
        <w:tab/>
        <w:t>(c)</w:t>
      </w:r>
      <w:r>
        <w:rPr>
          <w:snapToGrid w:val="0"/>
        </w:rPr>
        <w:tab/>
        <w:t>to amend or cancel any registration, under section 37; or</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346" w:name="_Toc404133584"/>
      <w:bookmarkStart w:id="347" w:name="_Toc411910581"/>
      <w:bookmarkStart w:id="348" w:name="_Toc425059232"/>
      <w:bookmarkStart w:id="349" w:name="_Toc483724645"/>
      <w:bookmarkStart w:id="350" w:name="_Toc29092503"/>
      <w:bookmarkStart w:id="351" w:name="_Toc129078245"/>
      <w:bookmarkStart w:id="352" w:name="_Toc368652365"/>
      <w:r>
        <w:rPr>
          <w:rStyle w:val="CharSectno"/>
        </w:rPr>
        <w:t>13</w:t>
      </w:r>
      <w:r>
        <w:rPr>
          <w:snapToGrid w:val="0"/>
        </w:rPr>
        <w:t>.</w:t>
      </w:r>
      <w:r>
        <w:rPr>
          <w:snapToGrid w:val="0"/>
        </w:rPr>
        <w:tab/>
        <w:t>Investigation by authorised review officer</w:t>
      </w:r>
      <w:bookmarkEnd w:id="346"/>
      <w:bookmarkEnd w:id="347"/>
      <w:bookmarkEnd w:id="348"/>
      <w:bookmarkEnd w:id="349"/>
      <w:bookmarkEnd w:id="350"/>
      <w:bookmarkEnd w:id="351"/>
      <w:bookmarkEnd w:id="352"/>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 or</w:t>
      </w:r>
    </w:p>
    <w:p>
      <w:pPr>
        <w:pStyle w:val="Indenta"/>
        <w:rPr>
          <w:snapToGrid w:val="0"/>
        </w:rPr>
      </w:pPr>
      <w:r>
        <w:rPr>
          <w:snapToGrid w:val="0"/>
        </w:rPr>
        <w:tab/>
        <w:t>(b)</w:t>
      </w:r>
      <w:r>
        <w:rPr>
          <w:snapToGrid w:val="0"/>
        </w:rPr>
        <w:tab/>
        <w:t>vary the determination; or</w:t>
      </w:r>
    </w:p>
    <w:p>
      <w:pPr>
        <w:pStyle w:val="Indenta"/>
        <w:keepNext/>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 and</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353" w:name="_Toc404133585"/>
      <w:bookmarkStart w:id="354" w:name="_Toc411910582"/>
      <w:bookmarkStart w:id="355" w:name="_Toc425059233"/>
      <w:bookmarkStart w:id="356" w:name="_Toc483724646"/>
      <w:bookmarkStart w:id="357" w:name="_Toc29092504"/>
      <w:bookmarkStart w:id="358" w:name="_Toc129078246"/>
      <w:bookmarkStart w:id="359" w:name="_Toc368652366"/>
      <w:r>
        <w:rPr>
          <w:rStyle w:val="CharSectno"/>
        </w:rPr>
        <w:t>14</w:t>
      </w:r>
      <w:r>
        <w:rPr>
          <w:snapToGrid w:val="0"/>
        </w:rPr>
        <w:t>.</w:t>
      </w:r>
      <w:r>
        <w:rPr>
          <w:snapToGrid w:val="0"/>
        </w:rPr>
        <w:tab/>
        <w:t>Effect of review or complaint</w:t>
      </w:r>
      <w:bookmarkEnd w:id="353"/>
      <w:bookmarkEnd w:id="354"/>
      <w:bookmarkEnd w:id="355"/>
      <w:bookmarkEnd w:id="356"/>
      <w:bookmarkEnd w:id="357"/>
      <w:bookmarkEnd w:id="358"/>
      <w:bookmarkEnd w:id="359"/>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keepNext/>
        <w:rPr>
          <w:snapToGrid w:val="0"/>
        </w:rPr>
      </w:pPr>
      <w:r>
        <w:rPr>
          <w:snapToGrid w:val="0"/>
        </w:rPr>
        <w:tab/>
        <w:t>(3)</w:t>
      </w:r>
      <w:r>
        <w:rPr>
          <w:snapToGrid w:val="0"/>
        </w:rPr>
        <w:tab/>
        <w:t>Where —</w:t>
      </w:r>
    </w:p>
    <w:p>
      <w:pPr>
        <w:pStyle w:val="Indenta"/>
        <w:keepNext/>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360" w:name="_Toc404133586"/>
      <w:bookmarkStart w:id="361" w:name="_Toc411910583"/>
      <w:bookmarkStart w:id="362" w:name="_Toc425059234"/>
      <w:bookmarkStart w:id="363" w:name="_Toc483724647"/>
      <w:bookmarkStart w:id="364" w:name="_Toc29092505"/>
      <w:bookmarkStart w:id="365" w:name="_Toc129078247"/>
      <w:bookmarkStart w:id="366" w:name="_Toc368652367"/>
      <w:r>
        <w:rPr>
          <w:rStyle w:val="CharSectno"/>
        </w:rPr>
        <w:t>15</w:t>
      </w:r>
      <w:r>
        <w:rPr>
          <w:snapToGrid w:val="0"/>
        </w:rPr>
        <w:t>.</w:t>
      </w:r>
      <w:r>
        <w:rPr>
          <w:snapToGrid w:val="0"/>
        </w:rPr>
        <w:tab/>
        <w:t>Compensation for errors</w:t>
      </w:r>
      <w:bookmarkEnd w:id="360"/>
      <w:bookmarkEnd w:id="361"/>
      <w:bookmarkEnd w:id="362"/>
      <w:bookmarkEnd w:id="363"/>
      <w:bookmarkEnd w:id="364"/>
      <w:bookmarkEnd w:id="365"/>
      <w:bookmarkEnd w:id="366"/>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keepNext/>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Sch. 1 cl. 146(2); No. 31 of 2008 s. 35.]</w:t>
      </w:r>
    </w:p>
    <w:p>
      <w:pPr>
        <w:pStyle w:val="Heading3"/>
      </w:pPr>
      <w:bookmarkStart w:id="367" w:name="_Toc86554955"/>
      <w:bookmarkStart w:id="368" w:name="_Toc96997098"/>
      <w:bookmarkStart w:id="369" w:name="_Toc106163535"/>
      <w:bookmarkStart w:id="370" w:name="_Toc108838494"/>
      <w:bookmarkStart w:id="371" w:name="_Toc108843360"/>
      <w:bookmarkStart w:id="372" w:name="_Toc119983242"/>
      <w:bookmarkStart w:id="373" w:name="_Toc128477223"/>
      <w:bookmarkStart w:id="374" w:name="_Toc129078248"/>
      <w:bookmarkStart w:id="375" w:name="_Toc139360874"/>
      <w:bookmarkStart w:id="376" w:name="_Toc139707595"/>
      <w:bookmarkStart w:id="377" w:name="_Toc139864812"/>
      <w:bookmarkStart w:id="378" w:name="_Toc140046267"/>
      <w:bookmarkStart w:id="379" w:name="_Toc140046342"/>
      <w:bookmarkStart w:id="380" w:name="_Toc142809412"/>
      <w:bookmarkStart w:id="381" w:name="_Toc144087660"/>
      <w:bookmarkStart w:id="382" w:name="_Toc146515983"/>
      <w:bookmarkStart w:id="383" w:name="_Toc148504414"/>
      <w:bookmarkStart w:id="384" w:name="_Toc158003427"/>
      <w:bookmarkStart w:id="385" w:name="_Toc171223425"/>
      <w:bookmarkStart w:id="386" w:name="_Toc171229613"/>
      <w:bookmarkStart w:id="387" w:name="_Toc171319750"/>
      <w:bookmarkStart w:id="388" w:name="_Toc171320966"/>
      <w:bookmarkStart w:id="389" w:name="_Toc173660868"/>
      <w:bookmarkStart w:id="390" w:name="_Toc173729424"/>
      <w:bookmarkStart w:id="391" w:name="_Toc202511800"/>
      <w:bookmarkStart w:id="392" w:name="_Toc202516817"/>
      <w:bookmarkStart w:id="393" w:name="_Toc209602334"/>
      <w:bookmarkStart w:id="394" w:name="_Toc209839647"/>
      <w:bookmarkStart w:id="395" w:name="_Toc212537570"/>
      <w:bookmarkStart w:id="396" w:name="_Toc312057023"/>
      <w:bookmarkStart w:id="397" w:name="_Toc312057102"/>
      <w:bookmarkStart w:id="398" w:name="_Toc312059651"/>
      <w:bookmarkStart w:id="399" w:name="_Toc328465248"/>
      <w:bookmarkStart w:id="400" w:name="_Toc334444596"/>
      <w:bookmarkStart w:id="401" w:name="_Toc334706871"/>
      <w:bookmarkStart w:id="402" w:name="_Toc339638065"/>
      <w:bookmarkStart w:id="403" w:name="_Toc339638144"/>
      <w:bookmarkStart w:id="404" w:name="_Toc340650936"/>
      <w:bookmarkStart w:id="405" w:name="_Toc360454579"/>
      <w:bookmarkStart w:id="406" w:name="_Toc360541740"/>
      <w:bookmarkStart w:id="407" w:name="_Toc361730925"/>
      <w:bookmarkStart w:id="408" w:name="_Toc361731370"/>
      <w:bookmarkStart w:id="409" w:name="_Toc361743130"/>
      <w:bookmarkStart w:id="410" w:name="_Toc364845159"/>
      <w:bookmarkStart w:id="411" w:name="_Toc368652368"/>
      <w:r>
        <w:rPr>
          <w:rStyle w:val="CharDivNo"/>
        </w:rPr>
        <w:t>Division 6</w:t>
      </w:r>
      <w:r>
        <w:rPr>
          <w:snapToGrid w:val="0"/>
        </w:rPr>
        <w:t> — </w:t>
      </w:r>
      <w:r>
        <w:rPr>
          <w:rStyle w:val="CharDivText"/>
        </w:rPr>
        <w:t>Reimbursement</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rPr>
          <w:snapToGrid w:val="0"/>
        </w:rPr>
      </w:pPr>
      <w:bookmarkStart w:id="412" w:name="_Toc404133587"/>
      <w:bookmarkStart w:id="413" w:name="_Toc411910584"/>
      <w:bookmarkStart w:id="414" w:name="_Toc425059235"/>
      <w:bookmarkStart w:id="415" w:name="_Toc483724648"/>
      <w:bookmarkStart w:id="416" w:name="_Toc29092506"/>
      <w:bookmarkStart w:id="417" w:name="_Toc129078249"/>
      <w:bookmarkStart w:id="418" w:name="_Toc368652369"/>
      <w:r>
        <w:rPr>
          <w:rStyle w:val="CharSectno"/>
        </w:rPr>
        <w:t>16</w:t>
      </w:r>
      <w:r>
        <w:rPr>
          <w:snapToGrid w:val="0"/>
        </w:rPr>
        <w:t>.</w:t>
      </w:r>
      <w:r>
        <w:rPr>
          <w:snapToGrid w:val="0"/>
        </w:rPr>
        <w:tab/>
        <w:t>Claims by administrative authorities</w:t>
      </w:r>
      <w:bookmarkEnd w:id="412"/>
      <w:bookmarkEnd w:id="413"/>
      <w:bookmarkEnd w:id="414"/>
      <w:bookmarkEnd w:id="415"/>
      <w:bookmarkEnd w:id="416"/>
      <w:bookmarkEnd w:id="417"/>
      <w:bookmarkEnd w:id="418"/>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 and</w:t>
      </w:r>
    </w:p>
    <w:p>
      <w:pPr>
        <w:pStyle w:val="Indenti"/>
        <w:rPr>
          <w:snapToGrid w:val="0"/>
        </w:rPr>
      </w:pPr>
      <w:r>
        <w:rPr>
          <w:snapToGrid w:val="0"/>
        </w:rPr>
        <w:tab/>
        <w:t>(ii)</w:t>
      </w:r>
      <w:r>
        <w:rPr>
          <w:snapToGrid w:val="0"/>
        </w:rPr>
        <w:tab/>
        <w:t>the format in which data is to be provided; and</w:t>
      </w:r>
    </w:p>
    <w:p>
      <w:pPr>
        <w:pStyle w:val="Indenti"/>
        <w:rPr>
          <w:snapToGrid w:val="0"/>
        </w:rPr>
      </w:pPr>
      <w:r>
        <w:rPr>
          <w:snapToGrid w:val="0"/>
        </w:rPr>
        <w:tab/>
        <w:t>(iii)</w:t>
      </w:r>
      <w:r>
        <w:rPr>
          <w:snapToGrid w:val="0"/>
        </w:rPr>
        <w:tab/>
        <w:t>the relevant periods; and</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 188; No. 14 of 1996 s. 4; No. 22 of 1998 s. 20.]</w:t>
      </w:r>
    </w:p>
    <w:p>
      <w:pPr>
        <w:pStyle w:val="Heading5"/>
        <w:rPr>
          <w:snapToGrid w:val="0"/>
        </w:rPr>
      </w:pPr>
      <w:bookmarkStart w:id="419" w:name="_Toc404133588"/>
      <w:bookmarkStart w:id="420" w:name="_Toc411910585"/>
      <w:bookmarkStart w:id="421" w:name="_Toc425059236"/>
      <w:bookmarkStart w:id="422" w:name="_Toc483724649"/>
      <w:bookmarkStart w:id="423" w:name="_Toc29092507"/>
      <w:bookmarkStart w:id="424" w:name="_Toc129078250"/>
      <w:bookmarkStart w:id="425" w:name="_Toc368652370"/>
      <w:r>
        <w:rPr>
          <w:rStyle w:val="CharSectno"/>
        </w:rPr>
        <w:t>17</w:t>
      </w:r>
      <w:r>
        <w:rPr>
          <w:snapToGrid w:val="0"/>
        </w:rPr>
        <w:t>.</w:t>
      </w:r>
      <w:r>
        <w:rPr>
          <w:snapToGrid w:val="0"/>
        </w:rPr>
        <w:tab/>
        <w:t>Payment of claims for reimbursement</w:t>
      </w:r>
      <w:bookmarkEnd w:id="419"/>
      <w:bookmarkEnd w:id="420"/>
      <w:bookmarkEnd w:id="421"/>
      <w:bookmarkEnd w:id="422"/>
      <w:bookmarkEnd w:id="423"/>
      <w:bookmarkEnd w:id="424"/>
      <w:bookmarkEnd w:id="425"/>
    </w:p>
    <w:p>
      <w:pPr>
        <w:pStyle w:val="Subsection"/>
        <w:spacing w:before="120"/>
      </w:pPr>
      <w:r>
        <w:tab/>
        <w:t>(1)</w:t>
      </w:r>
      <w:r>
        <w:tab/>
        <w:t>If the Minister is satisfied that a claim for reimbursement under section 16(2) or (4) of the amount of a rebate is validly made, the Minister is to reimburse the amount.</w:t>
      </w:r>
    </w:p>
    <w:p>
      <w:pPr>
        <w:pStyle w:val="Subsection"/>
        <w:spacing w:before="12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spacing w:before="120"/>
      </w:pPr>
      <w:r>
        <w:tab/>
        <w:t>(1b)</w:t>
      </w:r>
      <w:r>
        <w:tab/>
        <w:t>If an amount —</w:t>
      </w:r>
    </w:p>
    <w:p>
      <w:pPr>
        <w:pStyle w:val="Indenta"/>
        <w:spacing w:before="60"/>
      </w:pPr>
      <w:r>
        <w:tab/>
        <w:t>(a)</w:t>
      </w:r>
      <w:r>
        <w:tab/>
        <w:t>to be reimbursed to a local government under subsection (1); or</w:t>
      </w:r>
    </w:p>
    <w:p>
      <w:pPr>
        <w:pStyle w:val="Indenta"/>
        <w:spacing w:before="60"/>
      </w:pPr>
      <w:r>
        <w:tab/>
        <w:t>(b)</w:t>
      </w:r>
      <w:r>
        <w:tab/>
        <w:t>to be paid to a local government under subsection (1a),</w:t>
      </w:r>
    </w:p>
    <w:p>
      <w:pPr>
        <w:pStyle w:val="Subsection"/>
        <w:spacing w:before="100"/>
      </w:pPr>
      <w:r>
        <w:tab/>
      </w:r>
      <w:r>
        <w:tab/>
        <w:t xml:space="preserve">relates to the emergency services levy, the Minister is to reimburse or pay the amount to the FES Commissioner as defined in the </w:t>
      </w:r>
      <w:r>
        <w:rPr>
          <w:i/>
        </w:rPr>
        <w:t>Fire and Emergency Services Act 1998</w:t>
      </w:r>
      <w:r>
        <w:t xml:space="preserve"> section 3.</w:t>
      </w:r>
    </w:p>
    <w:p>
      <w:pPr>
        <w:pStyle w:val="Subsection"/>
        <w:spacing w:before="100"/>
      </w:pPr>
      <w:r>
        <w:tab/>
        <w:t>(1c)</w:t>
      </w:r>
      <w:r>
        <w:tab/>
        <w:t xml:space="preserve">Subsection (1b) does not apply to an amount to be reimbursed or paid to a local government in respect of which there is in force an ESL agreement entered into under section 36ZJ of the </w:t>
      </w:r>
      <w:r>
        <w:rPr>
          <w:i/>
        </w:rPr>
        <w:t>Fire and Emergency Services Act 1998</w:t>
      </w:r>
      <w:r>
        <w:t>.</w:t>
      </w:r>
    </w:p>
    <w:p>
      <w:pPr>
        <w:pStyle w:val="Subsection"/>
        <w:spacing w:before="10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6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6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spacing w:before="60"/>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 No. 22 of 2012 s. 136.]</w:t>
      </w:r>
    </w:p>
    <w:p>
      <w:pPr>
        <w:pStyle w:val="Heading3"/>
      </w:pPr>
      <w:bookmarkStart w:id="426" w:name="_Toc86554958"/>
      <w:bookmarkStart w:id="427" w:name="_Toc96997101"/>
      <w:bookmarkStart w:id="428" w:name="_Toc106163538"/>
      <w:bookmarkStart w:id="429" w:name="_Toc108838497"/>
      <w:bookmarkStart w:id="430" w:name="_Toc108843363"/>
      <w:bookmarkStart w:id="431" w:name="_Toc119983245"/>
      <w:bookmarkStart w:id="432" w:name="_Toc128477226"/>
      <w:bookmarkStart w:id="433" w:name="_Toc129078251"/>
      <w:bookmarkStart w:id="434" w:name="_Toc139360877"/>
      <w:bookmarkStart w:id="435" w:name="_Toc139707598"/>
      <w:bookmarkStart w:id="436" w:name="_Toc139864815"/>
      <w:bookmarkStart w:id="437" w:name="_Toc140046270"/>
      <w:bookmarkStart w:id="438" w:name="_Toc140046345"/>
      <w:bookmarkStart w:id="439" w:name="_Toc142809415"/>
      <w:bookmarkStart w:id="440" w:name="_Toc144087663"/>
      <w:bookmarkStart w:id="441" w:name="_Toc146515986"/>
      <w:bookmarkStart w:id="442" w:name="_Toc148504417"/>
      <w:bookmarkStart w:id="443" w:name="_Toc158003430"/>
      <w:bookmarkStart w:id="444" w:name="_Toc171223428"/>
      <w:bookmarkStart w:id="445" w:name="_Toc171229616"/>
      <w:bookmarkStart w:id="446" w:name="_Toc171319753"/>
      <w:bookmarkStart w:id="447" w:name="_Toc171320969"/>
      <w:bookmarkStart w:id="448" w:name="_Toc173660871"/>
      <w:bookmarkStart w:id="449" w:name="_Toc173729427"/>
      <w:bookmarkStart w:id="450" w:name="_Toc202511803"/>
      <w:bookmarkStart w:id="451" w:name="_Toc202516820"/>
      <w:bookmarkStart w:id="452" w:name="_Toc209602337"/>
      <w:bookmarkStart w:id="453" w:name="_Toc209839650"/>
      <w:bookmarkStart w:id="454" w:name="_Toc212537573"/>
      <w:bookmarkStart w:id="455" w:name="_Toc312057026"/>
      <w:bookmarkStart w:id="456" w:name="_Toc312057105"/>
      <w:bookmarkStart w:id="457" w:name="_Toc312059654"/>
      <w:bookmarkStart w:id="458" w:name="_Toc328465251"/>
      <w:bookmarkStart w:id="459" w:name="_Toc334444599"/>
      <w:bookmarkStart w:id="460" w:name="_Toc334706874"/>
      <w:bookmarkStart w:id="461" w:name="_Toc339638068"/>
      <w:bookmarkStart w:id="462" w:name="_Toc339638147"/>
      <w:bookmarkStart w:id="463" w:name="_Toc340650939"/>
      <w:bookmarkStart w:id="464" w:name="_Toc360454582"/>
      <w:bookmarkStart w:id="465" w:name="_Toc360541743"/>
      <w:bookmarkStart w:id="466" w:name="_Toc361730928"/>
      <w:bookmarkStart w:id="467" w:name="_Toc361731373"/>
      <w:bookmarkStart w:id="468" w:name="_Toc361743133"/>
      <w:bookmarkStart w:id="469" w:name="_Toc364845162"/>
      <w:bookmarkStart w:id="470" w:name="_Toc368652371"/>
      <w:r>
        <w:rPr>
          <w:rStyle w:val="CharDivNo"/>
        </w:rPr>
        <w:t>Division 7</w:t>
      </w:r>
      <w:r>
        <w:rPr>
          <w:snapToGrid w:val="0"/>
        </w:rPr>
        <w:t> — </w:t>
      </w:r>
      <w:r>
        <w:rPr>
          <w:rStyle w:val="CharDivText"/>
        </w:rPr>
        <w:t>Transitional provisions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rPr>
          <w:snapToGrid w:val="0"/>
        </w:rPr>
      </w:pPr>
      <w:bookmarkStart w:id="471" w:name="_Toc404133589"/>
      <w:bookmarkStart w:id="472" w:name="_Toc411910586"/>
      <w:bookmarkStart w:id="473" w:name="_Toc425059237"/>
      <w:bookmarkStart w:id="474" w:name="_Toc483724650"/>
      <w:bookmarkStart w:id="475" w:name="_Toc29092508"/>
      <w:bookmarkStart w:id="476" w:name="_Toc129078252"/>
      <w:bookmarkStart w:id="477" w:name="_Toc368652372"/>
      <w:r>
        <w:rPr>
          <w:rStyle w:val="CharSectno"/>
        </w:rPr>
        <w:t>18</w:t>
      </w:r>
      <w:r>
        <w:rPr>
          <w:snapToGrid w:val="0"/>
        </w:rPr>
        <w:t>.</w:t>
      </w:r>
      <w:r>
        <w:rPr>
          <w:snapToGrid w:val="0"/>
        </w:rPr>
        <w:tab/>
        <w:t>Existing registrations</w:t>
      </w:r>
      <w:bookmarkEnd w:id="471"/>
      <w:bookmarkEnd w:id="472"/>
      <w:bookmarkEnd w:id="473"/>
      <w:bookmarkEnd w:id="474"/>
      <w:bookmarkEnd w:id="475"/>
      <w:bookmarkEnd w:id="476"/>
      <w:bookmarkEnd w:id="477"/>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478" w:name="_Toc404133590"/>
      <w:bookmarkStart w:id="479" w:name="_Toc411910587"/>
      <w:bookmarkStart w:id="480" w:name="_Toc425059238"/>
      <w:bookmarkStart w:id="481" w:name="_Toc483724651"/>
      <w:bookmarkStart w:id="482" w:name="_Toc29092509"/>
      <w:bookmarkStart w:id="483" w:name="_Toc129078253"/>
      <w:bookmarkStart w:id="484" w:name="_Toc368652373"/>
      <w:r>
        <w:rPr>
          <w:rStyle w:val="CharSectno"/>
        </w:rPr>
        <w:t>19</w:t>
      </w:r>
      <w:r>
        <w:rPr>
          <w:snapToGrid w:val="0"/>
        </w:rPr>
        <w:t>.</w:t>
      </w:r>
      <w:r>
        <w:rPr>
          <w:snapToGrid w:val="0"/>
        </w:rPr>
        <w:tab/>
        <w:t>Continued deferment of past rates and charges</w:t>
      </w:r>
      <w:bookmarkEnd w:id="478"/>
      <w:bookmarkEnd w:id="479"/>
      <w:bookmarkEnd w:id="480"/>
      <w:bookmarkEnd w:id="481"/>
      <w:bookmarkEnd w:id="482"/>
      <w:bookmarkEnd w:id="483"/>
      <w:bookmarkEnd w:id="484"/>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Deferments) Act 1966</w:t>
      </w:r>
      <w:r>
        <w:rPr>
          <w:snapToGrid w:val="0"/>
        </w:rPr>
        <w:t> </w:t>
      </w:r>
      <w:r>
        <w:rPr>
          <w:snapToGrid w:val="0"/>
          <w:vertAlign w:val="superscript"/>
        </w:rPr>
        <w:t>5</w:t>
      </w:r>
      <w:r>
        <w:rPr>
          <w:snapToGrid w:val="0"/>
        </w:rPr>
        <w:t xml:space="preserve"> allowed to defer payment of any rates; or</w:t>
      </w:r>
    </w:p>
    <w:p>
      <w:pPr>
        <w:pStyle w:val="Indenta"/>
        <w:keepNext/>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485" w:name="_Toc404133591"/>
      <w:bookmarkStart w:id="486" w:name="_Toc411910588"/>
      <w:bookmarkStart w:id="487" w:name="_Toc425059239"/>
      <w:bookmarkStart w:id="488" w:name="_Toc483724652"/>
      <w:bookmarkStart w:id="489" w:name="_Toc29092510"/>
      <w:bookmarkStart w:id="490" w:name="_Toc129078254"/>
      <w:bookmarkStart w:id="491" w:name="_Toc368652374"/>
      <w:r>
        <w:rPr>
          <w:rStyle w:val="CharSectno"/>
        </w:rPr>
        <w:t>20</w:t>
      </w:r>
      <w:r>
        <w:rPr>
          <w:snapToGrid w:val="0"/>
        </w:rPr>
        <w:t>.</w:t>
      </w:r>
      <w:r>
        <w:rPr>
          <w:snapToGrid w:val="0"/>
        </w:rPr>
        <w:tab/>
        <w:t>Rebates or deferments previously allowable to continue to have effect on future rates and charges</w:t>
      </w:r>
      <w:bookmarkEnd w:id="485"/>
      <w:bookmarkEnd w:id="486"/>
      <w:bookmarkEnd w:id="487"/>
      <w:bookmarkEnd w:id="488"/>
      <w:bookmarkEnd w:id="489"/>
      <w:bookmarkEnd w:id="490"/>
      <w:bookmarkEnd w:id="491"/>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492" w:name="_Toc404133592"/>
      <w:bookmarkStart w:id="493" w:name="_Toc411910589"/>
      <w:bookmarkStart w:id="494" w:name="_Toc425059240"/>
      <w:bookmarkStart w:id="495" w:name="_Toc483724653"/>
      <w:bookmarkStart w:id="496" w:name="_Toc29092511"/>
      <w:bookmarkStart w:id="497" w:name="_Toc129078255"/>
      <w:bookmarkStart w:id="498" w:name="_Toc368652375"/>
      <w:r>
        <w:rPr>
          <w:rStyle w:val="CharSectno"/>
        </w:rPr>
        <w:t>21</w:t>
      </w:r>
      <w:r>
        <w:rPr>
          <w:snapToGrid w:val="0"/>
        </w:rPr>
        <w:t>.</w:t>
      </w:r>
      <w:r>
        <w:rPr>
          <w:snapToGrid w:val="0"/>
        </w:rPr>
        <w:tab/>
        <w:t>Transitional effect of existing registrations, rebates allowable, and continued deferment</w:t>
      </w:r>
      <w:bookmarkEnd w:id="492"/>
      <w:bookmarkEnd w:id="493"/>
      <w:bookmarkEnd w:id="494"/>
      <w:bookmarkEnd w:id="495"/>
      <w:bookmarkEnd w:id="496"/>
      <w:bookmarkEnd w:id="497"/>
      <w:bookmarkEnd w:id="498"/>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499" w:name="_Toc86554963"/>
      <w:bookmarkStart w:id="500" w:name="_Toc96997106"/>
      <w:bookmarkStart w:id="501" w:name="_Toc106163543"/>
      <w:bookmarkStart w:id="502" w:name="_Toc108838502"/>
      <w:bookmarkStart w:id="503" w:name="_Toc108843368"/>
      <w:bookmarkStart w:id="504" w:name="_Toc119983250"/>
      <w:bookmarkStart w:id="505" w:name="_Toc128477231"/>
      <w:bookmarkStart w:id="506" w:name="_Toc129078256"/>
      <w:bookmarkStart w:id="507" w:name="_Toc139360882"/>
      <w:bookmarkStart w:id="508" w:name="_Toc139707603"/>
      <w:bookmarkStart w:id="509" w:name="_Toc139864820"/>
      <w:bookmarkStart w:id="510" w:name="_Toc140046275"/>
      <w:bookmarkStart w:id="511" w:name="_Toc140046350"/>
      <w:bookmarkStart w:id="512" w:name="_Toc142809420"/>
      <w:bookmarkStart w:id="513" w:name="_Toc144087668"/>
      <w:bookmarkStart w:id="514" w:name="_Toc146515991"/>
      <w:bookmarkStart w:id="515" w:name="_Toc148504422"/>
      <w:bookmarkStart w:id="516" w:name="_Toc158003435"/>
      <w:bookmarkStart w:id="517" w:name="_Toc171223433"/>
      <w:bookmarkStart w:id="518" w:name="_Toc171229621"/>
      <w:bookmarkStart w:id="519" w:name="_Toc171319758"/>
      <w:bookmarkStart w:id="520" w:name="_Toc171320974"/>
      <w:bookmarkStart w:id="521" w:name="_Toc173660876"/>
      <w:bookmarkStart w:id="522" w:name="_Toc173729432"/>
      <w:bookmarkStart w:id="523" w:name="_Toc202511808"/>
      <w:bookmarkStart w:id="524" w:name="_Toc202516825"/>
      <w:bookmarkStart w:id="525" w:name="_Toc209602342"/>
      <w:bookmarkStart w:id="526" w:name="_Toc209839655"/>
      <w:bookmarkStart w:id="527" w:name="_Toc212537578"/>
      <w:bookmarkStart w:id="528" w:name="_Toc312057031"/>
      <w:bookmarkStart w:id="529" w:name="_Toc312057110"/>
      <w:bookmarkStart w:id="530" w:name="_Toc312059659"/>
      <w:bookmarkStart w:id="531" w:name="_Toc328465256"/>
      <w:bookmarkStart w:id="532" w:name="_Toc334444604"/>
      <w:bookmarkStart w:id="533" w:name="_Toc334706879"/>
      <w:bookmarkStart w:id="534" w:name="_Toc339638073"/>
      <w:bookmarkStart w:id="535" w:name="_Toc339638152"/>
      <w:bookmarkStart w:id="536" w:name="_Toc340650944"/>
      <w:bookmarkStart w:id="537" w:name="_Toc360454587"/>
      <w:bookmarkStart w:id="538" w:name="_Toc360541748"/>
      <w:bookmarkStart w:id="539" w:name="_Toc361730933"/>
      <w:bookmarkStart w:id="540" w:name="_Toc361731378"/>
      <w:bookmarkStart w:id="541" w:name="_Toc361743138"/>
      <w:bookmarkStart w:id="542" w:name="_Toc364845167"/>
      <w:bookmarkStart w:id="543" w:name="_Toc368652376"/>
      <w:r>
        <w:rPr>
          <w:rStyle w:val="CharPartNo"/>
        </w:rPr>
        <w:t>Part 2</w:t>
      </w:r>
      <w:r>
        <w:t> — </w:t>
      </w:r>
      <w:r>
        <w:rPr>
          <w:rStyle w:val="CharPartText"/>
        </w:rPr>
        <w:t>Eligibility and entitlement</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3"/>
        <w:spacing w:before="200"/>
      </w:pPr>
      <w:bookmarkStart w:id="544" w:name="_Toc86554964"/>
      <w:bookmarkStart w:id="545" w:name="_Toc96997107"/>
      <w:bookmarkStart w:id="546" w:name="_Toc106163544"/>
      <w:bookmarkStart w:id="547" w:name="_Toc108838503"/>
      <w:bookmarkStart w:id="548" w:name="_Toc108843369"/>
      <w:bookmarkStart w:id="549" w:name="_Toc119983251"/>
      <w:bookmarkStart w:id="550" w:name="_Toc128477232"/>
      <w:bookmarkStart w:id="551" w:name="_Toc129078257"/>
      <w:bookmarkStart w:id="552" w:name="_Toc139360883"/>
      <w:bookmarkStart w:id="553" w:name="_Toc139707604"/>
      <w:bookmarkStart w:id="554" w:name="_Toc139864821"/>
      <w:bookmarkStart w:id="555" w:name="_Toc140046276"/>
      <w:bookmarkStart w:id="556" w:name="_Toc140046351"/>
      <w:bookmarkStart w:id="557" w:name="_Toc142809421"/>
      <w:bookmarkStart w:id="558" w:name="_Toc144087669"/>
      <w:bookmarkStart w:id="559" w:name="_Toc146515992"/>
      <w:bookmarkStart w:id="560" w:name="_Toc148504423"/>
      <w:bookmarkStart w:id="561" w:name="_Toc158003436"/>
      <w:bookmarkStart w:id="562" w:name="_Toc171223434"/>
      <w:bookmarkStart w:id="563" w:name="_Toc171229622"/>
      <w:bookmarkStart w:id="564" w:name="_Toc171319759"/>
      <w:bookmarkStart w:id="565" w:name="_Toc171320975"/>
      <w:bookmarkStart w:id="566" w:name="_Toc173660877"/>
      <w:bookmarkStart w:id="567" w:name="_Toc173729433"/>
      <w:bookmarkStart w:id="568" w:name="_Toc202511809"/>
      <w:bookmarkStart w:id="569" w:name="_Toc202516826"/>
      <w:bookmarkStart w:id="570" w:name="_Toc209602343"/>
      <w:bookmarkStart w:id="571" w:name="_Toc209839656"/>
      <w:bookmarkStart w:id="572" w:name="_Toc212537579"/>
      <w:bookmarkStart w:id="573" w:name="_Toc312057032"/>
      <w:bookmarkStart w:id="574" w:name="_Toc312057111"/>
      <w:bookmarkStart w:id="575" w:name="_Toc312059660"/>
      <w:bookmarkStart w:id="576" w:name="_Toc328465257"/>
      <w:bookmarkStart w:id="577" w:name="_Toc334444605"/>
      <w:bookmarkStart w:id="578" w:name="_Toc334706880"/>
      <w:bookmarkStart w:id="579" w:name="_Toc339638074"/>
      <w:bookmarkStart w:id="580" w:name="_Toc339638153"/>
      <w:bookmarkStart w:id="581" w:name="_Toc340650945"/>
      <w:bookmarkStart w:id="582" w:name="_Toc360454588"/>
      <w:bookmarkStart w:id="583" w:name="_Toc360541749"/>
      <w:bookmarkStart w:id="584" w:name="_Toc361730934"/>
      <w:bookmarkStart w:id="585" w:name="_Toc361731379"/>
      <w:bookmarkStart w:id="586" w:name="_Toc361743139"/>
      <w:bookmarkStart w:id="587" w:name="_Toc364845168"/>
      <w:bookmarkStart w:id="588" w:name="_Toc368652377"/>
      <w:r>
        <w:rPr>
          <w:rStyle w:val="CharDivNo"/>
        </w:rPr>
        <w:t>Division 1</w:t>
      </w:r>
      <w:r>
        <w:rPr>
          <w:snapToGrid w:val="0"/>
        </w:rPr>
        <w:t> — </w:t>
      </w:r>
      <w:r>
        <w:rPr>
          <w:rStyle w:val="CharDivText"/>
        </w:rPr>
        <w:t>Eligibility</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spacing w:before="180"/>
        <w:rPr>
          <w:snapToGrid w:val="0"/>
        </w:rPr>
      </w:pPr>
      <w:bookmarkStart w:id="589" w:name="_Toc404133593"/>
      <w:bookmarkStart w:id="590" w:name="_Toc411910590"/>
      <w:bookmarkStart w:id="591" w:name="_Toc425059241"/>
      <w:bookmarkStart w:id="592" w:name="_Toc483724654"/>
      <w:bookmarkStart w:id="593" w:name="_Toc29092512"/>
      <w:bookmarkStart w:id="594" w:name="_Toc129078258"/>
      <w:bookmarkStart w:id="595" w:name="_Toc368652378"/>
      <w:r>
        <w:rPr>
          <w:rStyle w:val="CharSectno"/>
        </w:rPr>
        <w:t>22</w:t>
      </w:r>
      <w:r>
        <w:rPr>
          <w:snapToGrid w:val="0"/>
        </w:rPr>
        <w:t>.</w:t>
      </w:r>
      <w:r>
        <w:rPr>
          <w:snapToGrid w:val="0"/>
        </w:rPr>
        <w:tab/>
        <w:t>Seniors may apply for registration</w:t>
      </w:r>
      <w:bookmarkEnd w:id="589"/>
      <w:bookmarkEnd w:id="590"/>
      <w:bookmarkEnd w:id="591"/>
      <w:bookmarkEnd w:id="592"/>
      <w:bookmarkEnd w:id="593"/>
      <w:bookmarkEnd w:id="594"/>
      <w:bookmarkEnd w:id="595"/>
    </w:p>
    <w:p>
      <w:pPr>
        <w:pStyle w:val="Subsection"/>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596" w:name="_Toc404133594"/>
      <w:bookmarkStart w:id="597" w:name="_Toc411910591"/>
      <w:bookmarkStart w:id="598" w:name="_Toc425059242"/>
      <w:bookmarkStart w:id="599" w:name="_Toc483724655"/>
      <w:bookmarkStart w:id="600" w:name="_Toc29092513"/>
      <w:bookmarkStart w:id="601" w:name="_Toc129078259"/>
      <w:bookmarkStart w:id="602" w:name="_Toc368652379"/>
      <w:r>
        <w:rPr>
          <w:rStyle w:val="CharSectno"/>
        </w:rPr>
        <w:t>23</w:t>
      </w:r>
      <w:r>
        <w:rPr>
          <w:snapToGrid w:val="0"/>
        </w:rPr>
        <w:t>.</w:t>
      </w:r>
      <w:r>
        <w:rPr>
          <w:snapToGrid w:val="0"/>
        </w:rPr>
        <w:tab/>
        <w:t>Pensioners eligible to apply for registration</w:t>
      </w:r>
      <w:bookmarkEnd w:id="596"/>
      <w:bookmarkEnd w:id="597"/>
      <w:bookmarkEnd w:id="598"/>
      <w:bookmarkEnd w:id="599"/>
      <w:bookmarkEnd w:id="600"/>
      <w:bookmarkEnd w:id="601"/>
      <w:bookmarkEnd w:id="602"/>
    </w:p>
    <w:p>
      <w:pPr>
        <w:pStyle w:val="Subsection"/>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 or</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 or</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pPr>
      <w:r>
        <w:tab/>
        <w:t>(4A)</w:t>
      </w:r>
      <w:r>
        <w:tab/>
        <w:t xml:space="preserve">Subject to this Act, a person is eligible to apply to the administrative authority to have their entitlement in relation to any land registered if a prescribed charge is payable on that land, on sufficient evidence of eligibility being accepted by the administrative authority under section 26, so long as under the </w:t>
      </w:r>
      <w:r>
        <w:rPr>
          <w:i/>
        </w:rPr>
        <w:t xml:space="preserve">Military Rehabilitation and Compensation Act 2004 </w:t>
      </w:r>
      <w:r>
        <w:t>(Commonwealth) that person —</w:t>
      </w:r>
    </w:p>
    <w:p>
      <w:pPr>
        <w:pStyle w:val="Indenta"/>
      </w:pPr>
      <w:r>
        <w:tab/>
        <w:t>(a)</w:t>
      </w:r>
      <w:r>
        <w:tab/>
        <w:t>meets the criteria listed in section 199(1) of that Act; or</w:t>
      </w:r>
    </w:p>
    <w:p>
      <w:pPr>
        <w:pStyle w:val="Indenta"/>
      </w:pPr>
      <w:r>
        <w:tab/>
        <w:t>(b)</w:t>
      </w:r>
      <w:r>
        <w:tab/>
        <w:t>is receiving a Special Rate Disability Pension under Chapter 4 Part 6 of that Act instead of compensation worked out under Chapter 4 Part 4 Division 2 of that Act; or</w:t>
      </w:r>
    </w:p>
    <w:p>
      <w:pPr>
        <w:pStyle w:val="Indenta"/>
      </w:pPr>
      <w:r>
        <w:tab/>
        <w:t>(c)</w:t>
      </w:r>
      <w:r>
        <w:tab/>
        <w:t>under section 284 of that Act, is entitled to be provided with treatment under Chapter 6 Part 3 of that Act,</w:t>
      </w:r>
    </w:p>
    <w:p>
      <w:pPr>
        <w:pStyle w:val="Subsection"/>
      </w:pPr>
      <w:r>
        <w:tab/>
      </w:r>
      <w:r>
        <w:tab/>
        <w:t>regardless of the income or assets of that person.</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keepNext/>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by No. 25 of 1993 s. 5 and 18; No. 3 of 2001 s. 6; No. 9 of 2005 s. 7; No. 31 of 2006 s. 32; No. 13 of 2007 s. 9; No. 30 of 2008 s. 22; No. 29 of 2012 s. 35.]</w:t>
      </w:r>
    </w:p>
    <w:p>
      <w:pPr>
        <w:pStyle w:val="Heading5"/>
        <w:rPr>
          <w:snapToGrid w:val="0"/>
        </w:rPr>
      </w:pPr>
      <w:bookmarkStart w:id="603" w:name="_Toc404133595"/>
      <w:bookmarkStart w:id="604" w:name="_Toc411910592"/>
      <w:bookmarkStart w:id="605" w:name="_Toc425059243"/>
      <w:bookmarkStart w:id="606" w:name="_Toc483724656"/>
      <w:bookmarkStart w:id="607" w:name="_Toc29092514"/>
      <w:bookmarkStart w:id="608" w:name="_Toc129078260"/>
      <w:bookmarkStart w:id="609" w:name="_Toc368652380"/>
      <w:r>
        <w:rPr>
          <w:rStyle w:val="CharSectno"/>
        </w:rPr>
        <w:t>24</w:t>
      </w:r>
      <w:r>
        <w:rPr>
          <w:snapToGrid w:val="0"/>
        </w:rPr>
        <w:t>.</w:t>
      </w:r>
      <w:r>
        <w:rPr>
          <w:snapToGrid w:val="0"/>
        </w:rPr>
        <w:tab/>
        <w:t>Other persons prescribed as eligible</w:t>
      </w:r>
      <w:bookmarkEnd w:id="603"/>
      <w:bookmarkEnd w:id="604"/>
      <w:bookmarkEnd w:id="605"/>
      <w:bookmarkEnd w:id="606"/>
      <w:bookmarkEnd w:id="607"/>
      <w:bookmarkEnd w:id="608"/>
      <w:bookmarkEnd w:id="609"/>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610" w:name="_Toc404133596"/>
      <w:bookmarkStart w:id="611" w:name="_Toc411910593"/>
      <w:bookmarkStart w:id="612" w:name="_Toc425059244"/>
      <w:bookmarkStart w:id="613" w:name="_Toc483724657"/>
      <w:bookmarkStart w:id="614" w:name="_Toc29092515"/>
      <w:bookmarkStart w:id="615" w:name="_Toc129078261"/>
      <w:bookmarkStart w:id="616" w:name="_Toc368652381"/>
      <w:r>
        <w:rPr>
          <w:rStyle w:val="CharSectno"/>
        </w:rPr>
        <w:t>25</w:t>
      </w:r>
      <w:r>
        <w:rPr>
          <w:snapToGrid w:val="0"/>
        </w:rPr>
        <w:t>.</w:t>
      </w:r>
      <w:r>
        <w:rPr>
          <w:snapToGrid w:val="0"/>
        </w:rPr>
        <w:tab/>
        <w:t>Means tests</w:t>
      </w:r>
      <w:bookmarkEnd w:id="610"/>
      <w:bookmarkEnd w:id="611"/>
      <w:bookmarkEnd w:id="612"/>
      <w:bookmarkEnd w:id="613"/>
      <w:bookmarkEnd w:id="614"/>
      <w:bookmarkEnd w:id="615"/>
      <w:bookmarkEnd w:id="616"/>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 xml:space="preserve">the tests applicable to that pension or allowance referred to in paragraph (a) of the interpretation of the </w:t>
      </w:r>
      <w:r>
        <w:rPr>
          <w:b/>
          <w:i/>
          <w:snapToGrid w:val="0"/>
        </w:rPr>
        <w:t>pension means test</w:t>
      </w:r>
      <w:r>
        <w:rPr>
          <w:snapToGrid w:val="0"/>
        </w:rPr>
        <w:t xml:space="preserve">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617" w:name="_Toc404133597"/>
      <w:bookmarkStart w:id="618" w:name="_Toc411910594"/>
      <w:bookmarkStart w:id="619" w:name="_Toc425059245"/>
      <w:bookmarkStart w:id="620" w:name="_Toc483724658"/>
      <w:bookmarkStart w:id="621" w:name="_Toc29092516"/>
      <w:bookmarkStart w:id="622" w:name="_Toc129078262"/>
      <w:bookmarkStart w:id="623" w:name="_Toc368652382"/>
      <w:r>
        <w:rPr>
          <w:rStyle w:val="CharSectno"/>
        </w:rPr>
        <w:t>26</w:t>
      </w:r>
      <w:r>
        <w:rPr>
          <w:snapToGrid w:val="0"/>
        </w:rPr>
        <w:t>.</w:t>
      </w:r>
      <w:r>
        <w:rPr>
          <w:snapToGrid w:val="0"/>
        </w:rPr>
        <w:tab/>
        <w:t>Evidence of eligibility, production of relevant card or authorisation</w:t>
      </w:r>
      <w:bookmarkEnd w:id="617"/>
      <w:bookmarkEnd w:id="618"/>
      <w:bookmarkEnd w:id="619"/>
      <w:bookmarkEnd w:id="620"/>
      <w:bookmarkEnd w:id="621"/>
      <w:bookmarkEnd w:id="622"/>
      <w:bookmarkEnd w:id="623"/>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 or</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 or</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 xml:space="preserve">the person is a person to whom section 23(2), </w:t>
      </w:r>
      <w:r>
        <w:t xml:space="preserve">23(3), 23(4A) </w:t>
      </w:r>
      <w:r>
        <w:rPr>
          <w:snapToGrid w:val="0"/>
        </w:rPr>
        <w:t>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 or</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 No. 29 of 2012 s. 36.]</w:t>
      </w:r>
    </w:p>
    <w:p>
      <w:pPr>
        <w:pStyle w:val="Heading3"/>
      </w:pPr>
      <w:bookmarkStart w:id="624" w:name="_Toc86554970"/>
      <w:bookmarkStart w:id="625" w:name="_Toc96997113"/>
      <w:bookmarkStart w:id="626" w:name="_Toc106163550"/>
      <w:bookmarkStart w:id="627" w:name="_Toc108838509"/>
      <w:bookmarkStart w:id="628" w:name="_Toc108843375"/>
      <w:bookmarkStart w:id="629" w:name="_Toc119983257"/>
      <w:bookmarkStart w:id="630" w:name="_Toc128477238"/>
      <w:bookmarkStart w:id="631" w:name="_Toc129078263"/>
      <w:bookmarkStart w:id="632" w:name="_Toc139360889"/>
      <w:bookmarkStart w:id="633" w:name="_Toc139707610"/>
      <w:bookmarkStart w:id="634" w:name="_Toc139864827"/>
      <w:bookmarkStart w:id="635" w:name="_Toc140046282"/>
      <w:bookmarkStart w:id="636" w:name="_Toc140046357"/>
      <w:bookmarkStart w:id="637" w:name="_Toc142809427"/>
      <w:bookmarkStart w:id="638" w:name="_Toc144087675"/>
      <w:bookmarkStart w:id="639" w:name="_Toc146515998"/>
      <w:bookmarkStart w:id="640" w:name="_Toc148504429"/>
      <w:bookmarkStart w:id="641" w:name="_Toc158003442"/>
      <w:bookmarkStart w:id="642" w:name="_Toc171223440"/>
      <w:bookmarkStart w:id="643" w:name="_Toc171229628"/>
      <w:bookmarkStart w:id="644" w:name="_Toc171319765"/>
      <w:bookmarkStart w:id="645" w:name="_Toc171320981"/>
      <w:bookmarkStart w:id="646" w:name="_Toc173660883"/>
      <w:bookmarkStart w:id="647" w:name="_Toc173729439"/>
      <w:bookmarkStart w:id="648" w:name="_Toc202511815"/>
      <w:bookmarkStart w:id="649" w:name="_Toc202516832"/>
      <w:bookmarkStart w:id="650" w:name="_Toc209602349"/>
      <w:bookmarkStart w:id="651" w:name="_Toc209839662"/>
      <w:bookmarkStart w:id="652" w:name="_Toc212537585"/>
      <w:bookmarkStart w:id="653" w:name="_Toc312057038"/>
      <w:bookmarkStart w:id="654" w:name="_Toc312057117"/>
      <w:bookmarkStart w:id="655" w:name="_Toc312059666"/>
      <w:bookmarkStart w:id="656" w:name="_Toc328465263"/>
      <w:bookmarkStart w:id="657" w:name="_Toc334444611"/>
      <w:bookmarkStart w:id="658" w:name="_Toc334706886"/>
      <w:bookmarkStart w:id="659" w:name="_Toc339638080"/>
      <w:bookmarkStart w:id="660" w:name="_Toc339638159"/>
      <w:bookmarkStart w:id="661" w:name="_Toc340650951"/>
      <w:bookmarkStart w:id="662" w:name="_Toc360454594"/>
      <w:bookmarkStart w:id="663" w:name="_Toc360541755"/>
      <w:bookmarkStart w:id="664" w:name="_Toc361730940"/>
      <w:bookmarkStart w:id="665" w:name="_Toc361731385"/>
      <w:bookmarkStart w:id="666" w:name="_Toc361743145"/>
      <w:bookmarkStart w:id="667" w:name="_Toc364845174"/>
      <w:bookmarkStart w:id="668" w:name="_Toc368652383"/>
      <w:r>
        <w:rPr>
          <w:rStyle w:val="CharDivNo"/>
        </w:rPr>
        <w:t>Division 2</w:t>
      </w:r>
      <w:r>
        <w:rPr>
          <w:snapToGrid w:val="0"/>
        </w:rPr>
        <w:t> — </w:t>
      </w:r>
      <w:r>
        <w:rPr>
          <w:rStyle w:val="CharDivText"/>
        </w:rPr>
        <w:t>Entitlement</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rPr>
          <w:snapToGrid w:val="0"/>
        </w:rPr>
      </w:pPr>
      <w:bookmarkStart w:id="669" w:name="_Toc404133598"/>
      <w:bookmarkStart w:id="670" w:name="_Toc411910595"/>
      <w:bookmarkStart w:id="671" w:name="_Toc425059246"/>
      <w:bookmarkStart w:id="672" w:name="_Toc483724659"/>
      <w:bookmarkStart w:id="673" w:name="_Toc29092517"/>
      <w:bookmarkStart w:id="674" w:name="_Toc129078264"/>
      <w:bookmarkStart w:id="675" w:name="_Toc368652384"/>
      <w:r>
        <w:rPr>
          <w:rStyle w:val="CharSectno"/>
        </w:rPr>
        <w:t>27</w:t>
      </w:r>
      <w:r>
        <w:rPr>
          <w:snapToGrid w:val="0"/>
        </w:rPr>
        <w:t>.</w:t>
      </w:r>
      <w:r>
        <w:rPr>
          <w:snapToGrid w:val="0"/>
        </w:rPr>
        <w:tab/>
        <w:t>Concept of land belonging to a person</w:t>
      </w:r>
      <w:bookmarkEnd w:id="669"/>
      <w:bookmarkEnd w:id="670"/>
      <w:bookmarkEnd w:id="671"/>
      <w:bookmarkEnd w:id="672"/>
      <w:bookmarkEnd w:id="673"/>
      <w:bookmarkEnd w:id="674"/>
      <w:bookmarkEnd w:id="675"/>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676" w:name="_Toc404133599"/>
      <w:bookmarkStart w:id="677" w:name="_Toc411910596"/>
      <w:bookmarkStart w:id="678" w:name="_Toc425059247"/>
      <w:bookmarkStart w:id="679" w:name="_Toc483724660"/>
      <w:bookmarkStart w:id="680" w:name="_Toc29092518"/>
      <w:bookmarkStart w:id="681" w:name="_Toc129078265"/>
      <w:bookmarkStart w:id="682" w:name="_Toc368652385"/>
      <w:r>
        <w:rPr>
          <w:rStyle w:val="CharSectno"/>
        </w:rPr>
        <w:t>28</w:t>
      </w:r>
      <w:r>
        <w:rPr>
          <w:snapToGrid w:val="0"/>
        </w:rPr>
        <w:t>.</w:t>
      </w:r>
      <w:r>
        <w:rPr>
          <w:snapToGrid w:val="0"/>
        </w:rPr>
        <w:tab/>
        <w:t>Proportionate interests</w:t>
      </w:r>
      <w:bookmarkEnd w:id="676"/>
      <w:bookmarkEnd w:id="677"/>
      <w:bookmarkEnd w:id="678"/>
      <w:bookmarkEnd w:id="679"/>
      <w:bookmarkEnd w:id="680"/>
      <w:bookmarkEnd w:id="681"/>
      <w:bookmarkEnd w:id="682"/>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keepLines/>
        <w:spacing w:before="120"/>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spacing w:before="80"/>
        <w:ind w:left="890" w:hanging="890"/>
      </w:pPr>
      <w:r>
        <w:tab/>
        <w:t>[Section 28 amended by No. 25 of 1993 s. 7; No. 3 of 2001 s. 8; No. 28 of 2003 s. 169; No. 9 of 2005 s. 10.]</w:t>
      </w:r>
    </w:p>
    <w:p>
      <w:pPr>
        <w:pStyle w:val="Heading5"/>
        <w:spacing w:before="180"/>
        <w:rPr>
          <w:snapToGrid w:val="0"/>
        </w:rPr>
      </w:pPr>
      <w:bookmarkStart w:id="683" w:name="_Toc404133600"/>
      <w:bookmarkStart w:id="684" w:name="_Toc411910597"/>
      <w:bookmarkStart w:id="685" w:name="_Toc425059248"/>
      <w:bookmarkStart w:id="686" w:name="_Toc483724661"/>
      <w:bookmarkStart w:id="687" w:name="_Toc29092519"/>
      <w:bookmarkStart w:id="688" w:name="_Toc129078266"/>
      <w:bookmarkStart w:id="689" w:name="_Toc368652386"/>
      <w:r>
        <w:rPr>
          <w:rStyle w:val="CharSectno"/>
        </w:rPr>
        <w:t>29</w:t>
      </w:r>
      <w:r>
        <w:rPr>
          <w:snapToGrid w:val="0"/>
        </w:rPr>
        <w:t>.</w:t>
      </w:r>
      <w:r>
        <w:rPr>
          <w:snapToGrid w:val="0"/>
        </w:rPr>
        <w:tab/>
        <w:t>Relevant interests</w:t>
      </w:r>
      <w:bookmarkEnd w:id="683"/>
      <w:bookmarkEnd w:id="684"/>
      <w:bookmarkEnd w:id="685"/>
      <w:bookmarkEnd w:id="686"/>
      <w:bookmarkEnd w:id="687"/>
      <w:bookmarkEnd w:id="688"/>
      <w:bookmarkEnd w:id="689"/>
    </w:p>
    <w:p>
      <w:pPr>
        <w:pStyle w:val="Subsection"/>
        <w:keepNext/>
        <w:spacing w:before="120"/>
        <w:rPr>
          <w:snapToGrid w:val="0"/>
        </w:rPr>
      </w:pPr>
      <w:r>
        <w:rPr>
          <w:snapToGrid w:val="0"/>
        </w:rPr>
        <w:tab/>
        <w:t>(1)</w:t>
      </w:r>
      <w:r>
        <w:rPr>
          <w:snapToGrid w:val="0"/>
        </w:rPr>
        <w:tab/>
        <w:t>Where an eligible person —</w:t>
      </w:r>
    </w:p>
    <w:p>
      <w:pPr>
        <w:pStyle w:val="Indenta"/>
        <w:spacing w:before="60"/>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 or</w:t>
      </w:r>
    </w:p>
    <w:p>
      <w:pPr>
        <w:pStyle w:val="Indenta"/>
        <w:spacing w:before="60"/>
        <w:rPr>
          <w:snapToGrid w:val="0"/>
        </w:rPr>
      </w:pPr>
      <w:r>
        <w:rPr>
          <w:snapToGrid w:val="0"/>
        </w:rPr>
        <w:tab/>
        <w:t>(b)</w:t>
      </w:r>
      <w:r>
        <w:rPr>
          <w:snapToGrid w:val="0"/>
        </w:rPr>
        <w:tab/>
        <w:t>occupies land on which the person is and remains liable to pay prescribed charges, if that occupation occurs —</w:t>
      </w:r>
    </w:p>
    <w:p>
      <w:pPr>
        <w:pStyle w:val="Indenti"/>
        <w:spacing w:before="60"/>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spacing w:before="60"/>
        <w:rPr>
          <w:snapToGrid w:val="0"/>
        </w:rPr>
      </w:pPr>
      <w:r>
        <w:rPr>
          <w:snapToGrid w:val="0"/>
        </w:rPr>
        <w:tab/>
        <w:t>(ii)</w:t>
      </w:r>
      <w:r>
        <w:rPr>
          <w:snapToGrid w:val="0"/>
        </w:rPr>
        <w:tab/>
        <w:t>by reason that the eligible person, under that distribution —</w:t>
      </w:r>
    </w:p>
    <w:p>
      <w:pPr>
        <w:pStyle w:val="IndentI0"/>
        <w:spacing w:before="60"/>
        <w:rPr>
          <w:snapToGrid w:val="0"/>
        </w:rPr>
      </w:pPr>
      <w:r>
        <w:rPr>
          <w:snapToGrid w:val="0"/>
        </w:rPr>
        <w:tab/>
        <w:t>(A)</w:t>
      </w:r>
      <w:r>
        <w:rPr>
          <w:snapToGrid w:val="0"/>
        </w:rPr>
        <w:tab/>
        <w:t>as a beneficiary, has a prospective entitlement to the fee simple in that land; or</w:t>
      </w:r>
    </w:p>
    <w:p>
      <w:pPr>
        <w:pStyle w:val="IndentI0"/>
        <w:spacing w:before="60"/>
        <w:rPr>
          <w:snapToGrid w:val="0"/>
        </w:rPr>
      </w:pPr>
      <w:r>
        <w:rPr>
          <w:snapToGrid w:val="0"/>
        </w:rPr>
        <w:tab/>
        <w:t>(B)</w:t>
      </w:r>
      <w:r>
        <w:rPr>
          <w:snapToGrid w:val="0"/>
        </w:rPr>
        <w:tab/>
        <w:t>is a life tenant, on whom is conferred the right to occupy the land; or</w:t>
      </w:r>
    </w:p>
    <w:p>
      <w:pPr>
        <w:pStyle w:val="IndentI0"/>
        <w:spacing w:before="60"/>
        <w:rPr>
          <w:snapToGrid w:val="0"/>
        </w:rPr>
      </w:pPr>
      <w:r>
        <w:tab/>
        <w:t>(C)</w:t>
      </w:r>
      <w:r>
        <w:tab/>
        <w:t>is entitled under the will of the deceased to occupy the land;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 or</w:t>
      </w:r>
    </w:p>
    <w:p>
      <w:pPr>
        <w:pStyle w:val="Indenta"/>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rPr>
          <w:snapToGrid w:val="0"/>
        </w:rPr>
      </w:pPr>
      <w:r>
        <w:rPr>
          <w:snapToGrid w:val="0"/>
        </w:rPr>
        <w:tab/>
        <w:t>(i)</w:t>
      </w:r>
      <w:r>
        <w:rPr>
          <w:snapToGrid w:val="0"/>
        </w:rPr>
        <w:tab/>
        <w:t>before the coming into operation of this Act; or</w:t>
      </w:r>
    </w:p>
    <w:p>
      <w:pPr>
        <w:pStyle w:val="Indenti"/>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spacing w:before="180"/>
        <w:rPr>
          <w:snapToGrid w:val="0"/>
        </w:rPr>
      </w:pPr>
      <w:r>
        <w:rPr>
          <w:snapToGrid w:val="0"/>
        </w:rPr>
        <w:tab/>
      </w:r>
      <w:r>
        <w:rPr>
          <w:snapToGrid w:val="0"/>
        </w:rPr>
        <w:tab/>
        <w:t>that person has an interest in the land which is to be taken to be relevant for the purposes of this Act.</w:t>
      </w:r>
    </w:p>
    <w:p>
      <w:pPr>
        <w:pStyle w:val="Subsection"/>
        <w:spacing w:before="180"/>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keepLines w:val="0"/>
        <w:spacing w:before="280"/>
      </w:pPr>
      <w:bookmarkStart w:id="690" w:name="_Toc129078267"/>
      <w:bookmarkStart w:id="691" w:name="_Toc368652387"/>
      <w:bookmarkStart w:id="692" w:name="_Toc404133601"/>
      <w:bookmarkStart w:id="693" w:name="_Toc411910598"/>
      <w:bookmarkStart w:id="694" w:name="_Toc425059249"/>
      <w:bookmarkStart w:id="695" w:name="_Toc483724662"/>
      <w:bookmarkStart w:id="696" w:name="_Toc29092520"/>
      <w:r>
        <w:rPr>
          <w:rStyle w:val="CharSectno"/>
        </w:rPr>
        <w:t>29A</w:t>
      </w:r>
      <w:r>
        <w:t>.</w:t>
      </w:r>
      <w:r>
        <w:tab/>
        <w:t>Relevant interest — resident of retirement village</w:t>
      </w:r>
      <w:bookmarkEnd w:id="690"/>
      <w:bookmarkEnd w:id="691"/>
    </w:p>
    <w:p>
      <w:pPr>
        <w:pStyle w:val="Subsection"/>
        <w:keepLines/>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r>
        <w:t>.</w:t>
      </w:r>
    </w:p>
    <w:p>
      <w:pPr>
        <w:pStyle w:val="Subsection"/>
        <w:spacing w:before="180"/>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spacing w:before="180"/>
      </w:pPr>
      <w:r>
        <w:tab/>
      </w:r>
      <w:r>
        <w:tab/>
        <w:t>that person has an interest in the land which is to be taken to be relevant for the purposes of this Act.</w:t>
      </w:r>
    </w:p>
    <w:p>
      <w:pPr>
        <w:pStyle w:val="Subsection"/>
        <w:spacing w:before="180"/>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spacing w:before="180"/>
      </w:pPr>
      <w:r>
        <w:tab/>
        <w:t>(4)</w:t>
      </w:r>
      <w:r>
        <w:tab/>
        <w:t>A prescribed charge arrangement may form part of a residence contract.</w:t>
      </w:r>
    </w:p>
    <w:p>
      <w:pPr>
        <w:pStyle w:val="Subsection"/>
        <w:keepNext/>
        <w:spacing w:before="180"/>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spacing w:before="260"/>
      </w:pPr>
      <w:bookmarkStart w:id="697" w:name="_Toc129078268"/>
      <w:bookmarkStart w:id="698" w:name="_Toc368652388"/>
      <w:r>
        <w:rPr>
          <w:rStyle w:val="CharSectno"/>
        </w:rPr>
        <w:t>29B</w:t>
      </w:r>
      <w:r>
        <w:t>.</w:t>
      </w:r>
      <w:r>
        <w:tab/>
        <w:t>Relevant interest — owner</w:t>
      </w:r>
      <w:r>
        <w:noBreakHyphen/>
        <w:t>occupier of caravan or park home</w:t>
      </w:r>
      <w:bookmarkEnd w:id="697"/>
      <w:bookmarkEnd w:id="698"/>
    </w:p>
    <w:p>
      <w:pPr>
        <w:pStyle w:val="Subsection"/>
        <w:spacing w:before="200"/>
      </w:pPr>
      <w:r>
        <w:tab/>
        <w:t>(1)</w:t>
      </w:r>
      <w:r>
        <w:tab/>
        <w:t>In this section —</w:t>
      </w:r>
    </w:p>
    <w:p>
      <w:pPr>
        <w:pStyle w:val="Defstart"/>
        <w:spacing w:before="100"/>
      </w:pPr>
      <w:r>
        <w:rPr>
          <w:b/>
        </w:rPr>
        <w:tab/>
      </w:r>
      <w:r>
        <w:rPr>
          <w:rStyle w:val="CharDefText"/>
        </w:rPr>
        <w:t>caravan</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rPr>
          <w:b/>
        </w:rPr>
        <w:tab/>
      </w:r>
      <w:r>
        <w:rPr>
          <w:rStyle w:val="CharDefText"/>
        </w:rPr>
        <w:t>caravan park</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tab/>
      </w:r>
      <w:r>
        <w:rPr>
          <w:rStyle w:val="CharDefText"/>
        </w:rPr>
        <w:t>lessor</w:t>
      </w:r>
      <w:r>
        <w:t xml:space="preserve">, in relation to land, has the meaning given in the </w:t>
      </w:r>
      <w:r>
        <w:rPr>
          <w:i/>
        </w:rPr>
        <w:t>Residential Tenancies Act 1987</w:t>
      </w:r>
      <w:r>
        <w:t xml:space="preserve"> section 3;</w:t>
      </w:r>
    </w:p>
    <w:p>
      <w:pPr>
        <w:pStyle w:val="Defstart"/>
        <w:spacing w:before="100"/>
      </w:pPr>
      <w:r>
        <w:rPr>
          <w:b/>
        </w:rPr>
        <w:tab/>
      </w:r>
      <w:r>
        <w:rPr>
          <w:rStyle w:val="CharDefText"/>
        </w:rPr>
        <w:t>park home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spacing w:before="100"/>
      </w:pPr>
      <w:r>
        <w:rPr>
          <w:b/>
        </w:rPr>
        <w:tab/>
      </w:r>
      <w:r>
        <w:rPr>
          <w:rStyle w:val="CharDefText"/>
        </w:rPr>
        <w:t>residential tenancy agreement</w:t>
      </w:r>
      <w:r>
        <w:t xml:space="preserve"> has the meaning given to that term in the </w:t>
      </w:r>
      <w:r>
        <w:rPr>
          <w:i/>
        </w:rPr>
        <w:t>Residential Tenancies Act 1987</w:t>
      </w:r>
      <w:r>
        <w:t>;</w:t>
      </w:r>
    </w:p>
    <w:p>
      <w:pPr>
        <w:pStyle w:val="Defstart"/>
        <w:spacing w:before="100"/>
      </w:pPr>
      <w:r>
        <w:rPr>
          <w:b/>
        </w:rPr>
        <w:tab/>
      </w:r>
      <w:r>
        <w:rPr>
          <w:rStyle w:val="CharDefText"/>
        </w:rPr>
        <w:t>site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Subsection"/>
        <w:keepNext/>
        <w:spacing w:before="200"/>
      </w:pPr>
      <w:r>
        <w:tab/>
        <w:t>(2)</w:t>
      </w:r>
      <w:r>
        <w:tab/>
        <w:t>Where an eligible person who occupies a site on land in a caravan park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spacing w:before="200"/>
      </w:pPr>
      <w:r>
        <w:tab/>
      </w:r>
      <w:r>
        <w:tab/>
        <w:t>that person has an interest in the land which is to be taken to be relevant for the purposes of this Act.</w:t>
      </w:r>
    </w:p>
    <w:p>
      <w:pPr>
        <w:pStyle w:val="Subsection"/>
        <w:spacing w:before="200"/>
      </w:pPr>
      <w:r>
        <w:tab/>
        <w:t>(3)</w:t>
      </w:r>
      <w:r>
        <w:tab/>
        <w:t>An eligible person enters into a prescribed charge arrangement for the purposes of this section if the person enters into a written contract, agreement, scheme, deed or other written arrangement with the lessor of land in a caravan park to pay, either directly or indirectly, a prescribed charge on the land occupied by the person as an owner</w:t>
      </w:r>
      <w:r>
        <w:noBreakHyphen/>
        <w:t>occupier.</w:t>
      </w:r>
    </w:p>
    <w:p>
      <w:pPr>
        <w:pStyle w:val="Subsection"/>
        <w:spacing w:before="200"/>
      </w:pPr>
      <w:r>
        <w:tab/>
        <w:t>(4)</w:t>
      </w:r>
      <w:r>
        <w:tab/>
        <w:t>An eligible person is taken to have entered into a prescribed charge arrangement for the purposes of this section if the eligible person —</w:t>
      </w:r>
    </w:p>
    <w:p>
      <w:pPr>
        <w:pStyle w:val="Indenta"/>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200"/>
      </w:pPr>
      <w:r>
        <w:tab/>
        <w:t>(5)</w:t>
      </w:r>
      <w:r>
        <w:tab/>
        <w:t>An eligible person occupies a site as an owner</w:t>
      </w:r>
      <w:r>
        <w:noBreakHyphen/>
        <w:t>occupier for the purposes of this section if —</w:t>
      </w:r>
    </w:p>
    <w:p>
      <w:pPr>
        <w:pStyle w:val="Indenta"/>
        <w:spacing w:before="100"/>
      </w:pPr>
      <w:r>
        <w:tab/>
        <w:t>(a)</w:t>
      </w:r>
      <w:r>
        <w:tab/>
        <w:t>the eligible person —</w:t>
      </w:r>
    </w:p>
    <w:p>
      <w:pPr>
        <w:pStyle w:val="Indenti"/>
        <w:spacing w:before="100"/>
      </w:pPr>
      <w:r>
        <w:tab/>
        <w:t>(i)</w:t>
      </w:r>
      <w:r>
        <w:tab/>
        <w:t>is the owner of a caravan or park home situated on the site in a caravan park; and</w:t>
      </w:r>
    </w:p>
    <w:p>
      <w:pPr>
        <w:pStyle w:val="Indenti"/>
        <w:spacing w:before="100"/>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the eligible person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60"/>
      </w:pPr>
      <w:r>
        <w:tab/>
        <w:t>(ii)</w:t>
      </w:r>
      <w:r>
        <w:tab/>
        <w:t>resides with that person, or was residing with that deceased person at the time of his or her death.</w:t>
      </w:r>
    </w:p>
    <w:p>
      <w:pPr>
        <w:pStyle w:val="Footnotesection"/>
        <w:keepLines w:val="0"/>
        <w:ind w:left="890" w:hanging="890"/>
      </w:pPr>
      <w:r>
        <w:tab/>
        <w:t>[Section 29B inserted by No. 9 of 2005 s. 11; amended by No. 60 of 2011 s. 104.]</w:t>
      </w:r>
    </w:p>
    <w:p>
      <w:pPr>
        <w:pStyle w:val="Heading5"/>
        <w:spacing w:before="240"/>
      </w:pPr>
      <w:bookmarkStart w:id="699" w:name="_Toc173660250"/>
      <w:bookmarkStart w:id="700" w:name="_Toc368652389"/>
      <w:bookmarkStart w:id="701" w:name="_Toc129078269"/>
      <w:r>
        <w:rPr>
          <w:rStyle w:val="CharSectno"/>
        </w:rPr>
        <w:t>29C</w:t>
      </w:r>
      <w:r>
        <w:t>.</w:t>
      </w:r>
      <w:r>
        <w:tab/>
        <w:t>Relevant interest — owner</w:t>
      </w:r>
      <w:r>
        <w:noBreakHyphen/>
        <w:t>occupier of relocatable home</w:t>
      </w:r>
      <w:bookmarkEnd w:id="699"/>
      <w:bookmarkEnd w:id="700"/>
      <w:r>
        <w:t xml:space="preserve"> </w:t>
      </w:r>
    </w:p>
    <w:p>
      <w:pPr>
        <w:pStyle w:val="Subsection"/>
        <w:spacing w:before="180"/>
      </w:pPr>
      <w:r>
        <w:tab/>
        <w:t>(1)</w:t>
      </w:r>
      <w:r>
        <w:tab/>
        <w:t xml:space="preserve">In this section — </w:t>
      </w:r>
    </w:p>
    <w:p>
      <w:pPr>
        <w:pStyle w:val="Defstart"/>
        <w:spacing w:before="100"/>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spacing w:before="100"/>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spacing w:before="180"/>
      </w:pPr>
      <w:r>
        <w:tab/>
        <w:t>(2)</w:t>
      </w:r>
      <w:r>
        <w:tab/>
        <w:t xml:space="preserve">Where an eligible person who occupies a site on land in a residential park — </w:t>
      </w:r>
    </w:p>
    <w:p>
      <w:pPr>
        <w:pStyle w:val="Indenta"/>
        <w:spacing w:before="100"/>
      </w:pPr>
      <w:r>
        <w:tab/>
        <w:t>(a)</w:t>
      </w:r>
      <w:r>
        <w:tab/>
        <w:t>has entered into a prescribed charge arrangement described in subsection (3) in relation to the land or is taken to have entered into such an arrangement under subsection (4); and</w:t>
      </w:r>
    </w:p>
    <w:p>
      <w:pPr>
        <w:pStyle w:val="Indenta"/>
        <w:spacing w:before="100"/>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spacing w:before="180"/>
      </w:pPr>
      <w:r>
        <w:tab/>
        <w:t>(4)</w:t>
      </w:r>
      <w:r>
        <w:tab/>
        <w:t xml:space="preserve">An eligible person is taken to have entered into a prescribed charge arrangement for the purposes of this section if the eligible person — </w:t>
      </w:r>
    </w:p>
    <w:p>
      <w:pPr>
        <w:pStyle w:val="Indenta"/>
        <w:widowControl w:val="0"/>
        <w:spacing w:before="100"/>
      </w:pPr>
      <w:r>
        <w:tab/>
        <w:t>(a)</w:t>
      </w:r>
      <w:r>
        <w:tab/>
        <w:t>was the spouse or de facto partner of a deceased eligible person who had entered into a prescribed charge arrangement; and</w:t>
      </w:r>
    </w:p>
    <w:p>
      <w:pPr>
        <w:pStyle w:val="Indenta"/>
        <w:spacing w:before="100"/>
      </w:pPr>
      <w:r>
        <w:tab/>
        <w:t>(b)</w:t>
      </w:r>
      <w:r>
        <w:tab/>
        <w:t>was residing with the deceased eligible person at the time of his or her death.</w:t>
      </w:r>
    </w:p>
    <w:p>
      <w:pPr>
        <w:pStyle w:val="Subsection"/>
        <w:spacing w:before="180"/>
      </w:pPr>
      <w:r>
        <w:tab/>
        <w:t>(5)</w:t>
      </w:r>
      <w:r>
        <w:tab/>
        <w:t>An eligible person occupies a site as an owner</w:t>
      </w:r>
      <w:r>
        <w:noBreakHyphen/>
        <w:t xml:space="preserve">occupier for the purposes of this section if — </w:t>
      </w:r>
    </w:p>
    <w:p>
      <w:pPr>
        <w:pStyle w:val="Indenta"/>
        <w:spacing w:before="100"/>
      </w:pPr>
      <w:r>
        <w:tab/>
        <w:t>(a)</w:t>
      </w:r>
      <w:r>
        <w:tab/>
        <w:t xml:space="preserve">the eligible person — </w:t>
      </w:r>
    </w:p>
    <w:p>
      <w:pPr>
        <w:pStyle w:val="Indenti"/>
        <w:spacing w:before="100"/>
      </w:pPr>
      <w:r>
        <w:tab/>
        <w:t>(i)</w:t>
      </w:r>
      <w:r>
        <w:tab/>
        <w:t>is the owner of a relocatable home situated on the site in a residential park; and</w:t>
      </w:r>
    </w:p>
    <w:p>
      <w:pPr>
        <w:pStyle w:val="Indenti"/>
        <w:spacing w:before="100"/>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spacing w:before="100"/>
      </w:pPr>
      <w:r>
        <w:tab/>
      </w:r>
      <w:r>
        <w:tab/>
        <w:t>or</w:t>
      </w:r>
    </w:p>
    <w:p>
      <w:pPr>
        <w:pStyle w:val="Indenta"/>
        <w:keepNext/>
        <w:spacing w:before="100"/>
      </w:pPr>
      <w:r>
        <w:tab/>
        <w:t>(b)</w:t>
      </w:r>
      <w:r>
        <w:tab/>
        <w:t xml:space="preserve">the eligible person — </w:t>
      </w:r>
    </w:p>
    <w:p>
      <w:pPr>
        <w:pStyle w:val="Indenti"/>
        <w:spacing w:before="100"/>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spacing w:before="100"/>
      </w:pPr>
      <w:r>
        <w:tab/>
        <w:t>(ii)</w:t>
      </w:r>
      <w:r>
        <w:tab/>
        <w:t>resides with that person or was residing with that deceased person at the time of his or her death.</w:t>
      </w:r>
    </w:p>
    <w:p>
      <w:pPr>
        <w:pStyle w:val="Footnotesection"/>
        <w:spacing w:before="140"/>
        <w:ind w:left="890" w:hanging="890"/>
      </w:pPr>
      <w:r>
        <w:tab/>
        <w:t>[Section 29C inserted by No. 32 of 2006 s. 98.]</w:t>
      </w:r>
    </w:p>
    <w:p>
      <w:pPr>
        <w:pStyle w:val="Heading5"/>
        <w:spacing w:before="240"/>
        <w:rPr>
          <w:snapToGrid w:val="0"/>
        </w:rPr>
      </w:pPr>
      <w:bookmarkStart w:id="702" w:name="_Toc368652390"/>
      <w:r>
        <w:rPr>
          <w:rStyle w:val="CharSectno"/>
        </w:rPr>
        <w:t>30</w:t>
      </w:r>
      <w:r>
        <w:rPr>
          <w:snapToGrid w:val="0"/>
        </w:rPr>
        <w:t>.</w:t>
      </w:r>
      <w:r>
        <w:rPr>
          <w:snapToGrid w:val="0"/>
        </w:rPr>
        <w:tab/>
        <w:t>Ordinary place of residence, not in actual occupation</w:t>
      </w:r>
      <w:bookmarkEnd w:id="692"/>
      <w:bookmarkEnd w:id="693"/>
      <w:bookmarkEnd w:id="694"/>
      <w:bookmarkEnd w:id="695"/>
      <w:bookmarkEnd w:id="696"/>
      <w:bookmarkEnd w:id="701"/>
      <w:bookmarkEnd w:id="702"/>
    </w:p>
    <w:p>
      <w:pPr>
        <w:pStyle w:val="Subsection"/>
        <w:spacing w:before="180"/>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 and</w:t>
      </w:r>
    </w:p>
    <w:p>
      <w:pPr>
        <w:pStyle w:val="Indenta"/>
        <w:rPr>
          <w:snapToGrid w:val="0"/>
        </w:rPr>
      </w:pPr>
      <w:r>
        <w:rPr>
          <w:snapToGrid w:val="0"/>
        </w:rPr>
        <w:tab/>
        <w:t>(b)</w:t>
      </w:r>
      <w:r>
        <w:rPr>
          <w:snapToGrid w:val="0"/>
        </w:rPr>
        <w:tab/>
        <w:t>furniture, household goods or personal effects of that person remain in the residence;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 or</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1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spacing w:before="180"/>
      </w:pPr>
      <w:bookmarkStart w:id="703" w:name="_Toc404133602"/>
      <w:bookmarkStart w:id="704" w:name="_Toc411910599"/>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keepNext/>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spacing w:before="180"/>
        <w:rPr>
          <w:snapToGrid w:val="0"/>
        </w:rPr>
      </w:pPr>
      <w:bookmarkStart w:id="705" w:name="_Toc425059250"/>
      <w:bookmarkStart w:id="706" w:name="_Toc483724663"/>
      <w:bookmarkStart w:id="707" w:name="_Toc29092521"/>
      <w:bookmarkStart w:id="708" w:name="_Toc129078270"/>
      <w:bookmarkStart w:id="709" w:name="_Toc368652391"/>
      <w:r>
        <w:rPr>
          <w:rStyle w:val="CharSectno"/>
        </w:rPr>
        <w:t>31</w:t>
      </w:r>
      <w:r>
        <w:rPr>
          <w:snapToGrid w:val="0"/>
        </w:rPr>
        <w:t>.</w:t>
      </w:r>
      <w:r>
        <w:rPr>
          <w:snapToGrid w:val="0"/>
        </w:rPr>
        <w:tab/>
        <w:t>Certain cases of former joint occupation</w:t>
      </w:r>
      <w:bookmarkEnd w:id="703"/>
      <w:bookmarkEnd w:id="704"/>
      <w:bookmarkEnd w:id="705"/>
      <w:bookmarkEnd w:id="706"/>
      <w:bookmarkEnd w:id="707"/>
      <w:bookmarkEnd w:id="708"/>
      <w:bookmarkEnd w:id="709"/>
    </w:p>
    <w:p>
      <w:pPr>
        <w:pStyle w:val="Subsection"/>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keepNext/>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 or</w:t>
      </w:r>
    </w:p>
    <w:p>
      <w:pPr>
        <w:pStyle w:val="Indenti"/>
      </w:pPr>
      <w:r>
        <w:tab/>
        <w:t>(ii)</w:t>
      </w:r>
      <w:r>
        <w:tab/>
        <w:t>of the Family Court of Western Australia; or</w:t>
      </w:r>
    </w:p>
    <w:p>
      <w:pPr>
        <w:pStyle w:val="Indenti"/>
        <w:keepNext/>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 or</w:t>
      </w:r>
    </w:p>
    <w:p>
      <w:pPr>
        <w:pStyle w:val="Indenta"/>
      </w:pPr>
      <w:r>
        <w:tab/>
        <w:t>(aa)</w:t>
      </w:r>
      <w:r>
        <w:tab/>
        <w:t>where —</w:t>
      </w:r>
    </w:p>
    <w:p>
      <w:pPr>
        <w:pStyle w:val="Indenti"/>
        <w:spacing w:before="60"/>
      </w:pPr>
      <w:r>
        <w:tab/>
        <w:t>(i)</w:t>
      </w:r>
      <w:r>
        <w:tab/>
        <w:t xml:space="preserve">a financial agreement made under section 90B, 90C or 90D of the </w:t>
      </w:r>
      <w:r>
        <w:rPr>
          <w:i/>
        </w:rPr>
        <w:t>Family Law Act 1975</w:t>
      </w:r>
      <w:r>
        <w:t xml:space="preserve"> of the Commonwealth; or</w:t>
      </w:r>
    </w:p>
    <w:p>
      <w:pPr>
        <w:pStyle w:val="Indenti"/>
        <w:spacing w:before="60"/>
      </w:pPr>
      <w:r>
        <w:tab/>
        <w:t>(ii)</w:t>
      </w:r>
      <w:r>
        <w:tab/>
        <w:t xml:space="preserve">a financial agreement made under section 205ZN, 205ZO or 205ZP of the </w:t>
      </w:r>
      <w:r>
        <w:rPr>
          <w:i/>
        </w:rPr>
        <w:t>Family Court Act 1997</w:t>
      </w:r>
      <w:r>
        <w:t>; or</w:t>
      </w:r>
    </w:p>
    <w:p>
      <w:pPr>
        <w:pStyle w:val="Indenti"/>
        <w:spacing w:before="60"/>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spacing w:before="40"/>
        <w:ind w:left="890" w:hanging="890"/>
      </w:pPr>
      <w:r>
        <w:tab/>
        <w:t>[Section 31 amended by No. 25 of 1993 s. 9; No. 3 of 2001 s. 9; No. 28 of 2003 s. 170; No. 9 of 2005 s. 12.]</w:t>
      </w:r>
    </w:p>
    <w:p>
      <w:pPr>
        <w:pStyle w:val="Heading3"/>
      </w:pPr>
      <w:bookmarkStart w:id="710" w:name="_Toc86554976"/>
      <w:bookmarkStart w:id="711" w:name="_Toc96997119"/>
      <w:bookmarkStart w:id="712" w:name="_Toc106163556"/>
      <w:bookmarkStart w:id="713" w:name="_Toc108838517"/>
      <w:bookmarkStart w:id="714" w:name="_Toc108843383"/>
      <w:bookmarkStart w:id="715" w:name="_Toc119983265"/>
      <w:bookmarkStart w:id="716" w:name="_Toc128477246"/>
      <w:bookmarkStart w:id="717" w:name="_Toc129078271"/>
      <w:bookmarkStart w:id="718" w:name="_Toc139360897"/>
      <w:bookmarkStart w:id="719" w:name="_Toc139707618"/>
      <w:bookmarkStart w:id="720" w:name="_Toc139864835"/>
      <w:bookmarkStart w:id="721" w:name="_Toc140046290"/>
      <w:bookmarkStart w:id="722" w:name="_Toc140046365"/>
      <w:bookmarkStart w:id="723" w:name="_Toc142809435"/>
      <w:bookmarkStart w:id="724" w:name="_Toc144087683"/>
      <w:bookmarkStart w:id="725" w:name="_Toc146516006"/>
      <w:bookmarkStart w:id="726" w:name="_Toc148504437"/>
      <w:bookmarkStart w:id="727" w:name="_Toc158003450"/>
      <w:bookmarkStart w:id="728" w:name="_Toc171223448"/>
      <w:bookmarkStart w:id="729" w:name="_Toc171229636"/>
      <w:bookmarkStart w:id="730" w:name="_Toc171319773"/>
      <w:bookmarkStart w:id="731" w:name="_Toc171320989"/>
      <w:bookmarkStart w:id="732" w:name="_Toc173660892"/>
      <w:bookmarkStart w:id="733" w:name="_Toc173729448"/>
      <w:bookmarkStart w:id="734" w:name="_Toc202511824"/>
      <w:bookmarkStart w:id="735" w:name="_Toc202516841"/>
      <w:bookmarkStart w:id="736" w:name="_Toc209602358"/>
      <w:bookmarkStart w:id="737" w:name="_Toc209839671"/>
      <w:bookmarkStart w:id="738" w:name="_Toc212537594"/>
      <w:bookmarkStart w:id="739" w:name="_Toc312057047"/>
      <w:bookmarkStart w:id="740" w:name="_Toc312057126"/>
      <w:bookmarkStart w:id="741" w:name="_Toc312059675"/>
      <w:bookmarkStart w:id="742" w:name="_Toc328465272"/>
      <w:bookmarkStart w:id="743" w:name="_Toc334444620"/>
      <w:bookmarkStart w:id="744" w:name="_Toc334706895"/>
      <w:bookmarkStart w:id="745" w:name="_Toc339638089"/>
      <w:bookmarkStart w:id="746" w:name="_Toc339638168"/>
      <w:bookmarkStart w:id="747" w:name="_Toc340650960"/>
      <w:bookmarkStart w:id="748" w:name="_Toc360454603"/>
      <w:bookmarkStart w:id="749" w:name="_Toc360541764"/>
      <w:bookmarkStart w:id="750" w:name="_Toc361730949"/>
      <w:bookmarkStart w:id="751" w:name="_Toc361731394"/>
      <w:bookmarkStart w:id="752" w:name="_Toc361743154"/>
      <w:bookmarkStart w:id="753" w:name="_Toc364845183"/>
      <w:bookmarkStart w:id="754" w:name="_Toc368652392"/>
      <w:r>
        <w:rPr>
          <w:rStyle w:val="CharDivNo"/>
        </w:rPr>
        <w:t>Division 3</w:t>
      </w:r>
      <w:r>
        <w:rPr>
          <w:snapToGrid w:val="0"/>
        </w:rPr>
        <w:t> — </w:t>
      </w:r>
      <w:r>
        <w:rPr>
          <w:rStyle w:val="CharDivText"/>
        </w:rPr>
        <w:t>The registration process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rPr>
          <w:snapToGrid w:val="0"/>
        </w:rPr>
      </w:pPr>
      <w:bookmarkStart w:id="755" w:name="_Toc404133603"/>
      <w:bookmarkStart w:id="756" w:name="_Toc411910600"/>
      <w:bookmarkStart w:id="757" w:name="_Toc425059251"/>
      <w:bookmarkStart w:id="758" w:name="_Toc483724664"/>
      <w:bookmarkStart w:id="759" w:name="_Toc29092522"/>
      <w:bookmarkStart w:id="760" w:name="_Toc129078272"/>
      <w:bookmarkStart w:id="761" w:name="_Toc368652393"/>
      <w:r>
        <w:rPr>
          <w:rStyle w:val="CharSectno"/>
        </w:rPr>
        <w:t>32</w:t>
      </w:r>
      <w:r>
        <w:rPr>
          <w:snapToGrid w:val="0"/>
        </w:rPr>
        <w:t>.</w:t>
      </w:r>
      <w:r>
        <w:rPr>
          <w:snapToGrid w:val="0"/>
        </w:rPr>
        <w:tab/>
        <w:t>Registration</w:t>
      </w:r>
      <w:bookmarkEnd w:id="755"/>
      <w:bookmarkEnd w:id="756"/>
      <w:bookmarkEnd w:id="757"/>
      <w:bookmarkEnd w:id="758"/>
      <w:bookmarkEnd w:id="759"/>
      <w:bookmarkEnd w:id="760"/>
      <w:bookmarkEnd w:id="761"/>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keepNext/>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keepNext/>
        <w:rPr>
          <w:snapToGrid w:val="0"/>
        </w:rPr>
      </w:pPr>
      <w:r>
        <w:rPr>
          <w:snapToGrid w:val="0"/>
        </w:rPr>
        <w:tab/>
        <w:t>(b)</w:t>
      </w:r>
      <w:r>
        <w:rPr>
          <w:snapToGrid w:val="0"/>
        </w:rPr>
        <w:tab/>
        <w:t>being satisfied —</w:t>
      </w:r>
    </w:p>
    <w:p>
      <w:pPr>
        <w:pStyle w:val="Indenti"/>
        <w:spacing w:before="60"/>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w:t>
      </w:r>
    </w:p>
    <w:p>
      <w:pPr>
        <w:pStyle w:val="Indenta"/>
      </w:pPr>
      <w:r>
        <w:tab/>
        <w:t>(a)</w:t>
      </w:r>
      <w:r>
        <w:tab/>
        <w:t>in the case of a Water Corporation charge — the day on which the application is made; or</w:t>
      </w:r>
    </w:p>
    <w:p>
      <w:pPr>
        <w:pStyle w:val="Indenta"/>
      </w:pPr>
      <w:r>
        <w:tab/>
        <w:t>(b)</w:t>
      </w:r>
      <w:r>
        <w:tab/>
        <w:t>in the case of any other prescribed charge — the commencement of the rating year.</w:t>
      </w:r>
    </w:p>
    <w:p>
      <w:pPr>
        <w:pStyle w:val="Subsection"/>
      </w:pPr>
      <w:r>
        <w:tab/>
        <w:t>(6A)</w:t>
      </w:r>
      <w:r>
        <w:tab/>
        <w:t>If, in the case of a Water Corporation charge, the Water Corporation registers the entitlement of the applicant, the registration has effect on and from the day on which the application was made.</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 No. 4 of 2013 s. 6.]</w:t>
      </w:r>
    </w:p>
    <w:p>
      <w:pPr>
        <w:pStyle w:val="Heading5"/>
        <w:spacing w:before="180"/>
      </w:pPr>
      <w:bookmarkStart w:id="762" w:name="_Toc170881309"/>
      <w:bookmarkStart w:id="763" w:name="_Toc171221483"/>
      <w:bookmarkStart w:id="764" w:name="_Toc368652394"/>
      <w:bookmarkStart w:id="765" w:name="_Toc404133604"/>
      <w:bookmarkStart w:id="766" w:name="_Toc411910601"/>
      <w:bookmarkStart w:id="767" w:name="_Toc425059252"/>
      <w:bookmarkStart w:id="768" w:name="_Toc483724665"/>
      <w:bookmarkStart w:id="769" w:name="_Toc29092523"/>
      <w:bookmarkStart w:id="770" w:name="_Toc129078273"/>
      <w:r>
        <w:rPr>
          <w:rStyle w:val="CharSectno"/>
        </w:rPr>
        <w:t>32A</w:t>
      </w:r>
      <w:r>
        <w:t>.</w:t>
      </w:r>
      <w:r>
        <w:tab/>
        <w:t>Entitlement of surviving spouse or de facto partner</w:t>
      </w:r>
      <w:bookmarkEnd w:id="762"/>
      <w:bookmarkEnd w:id="763"/>
      <w:bookmarkEnd w:id="764"/>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 or (4A)(b).</w:t>
      </w:r>
    </w:p>
    <w:p>
      <w:pPr>
        <w:pStyle w:val="Subsection"/>
      </w:pPr>
      <w:r>
        <w:tab/>
        <w:t>(2A)</w:t>
      </w:r>
      <w:r>
        <w:tab/>
        <w:t>Subsection (2) applies in relation to prescribed charges that are not Water Corporation charges.</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keepLines/>
      </w:pPr>
      <w:r>
        <w:tab/>
        <w:t>(iii)</w:t>
      </w:r>
      <w:r>
        <w:tab/>
        <w:t>is occupied by the surviving partner in the circumstances described in section 29(1)(b)(ii);</w:t>
      </w:r>
    </w:p>
    <w:p>
      <w:pPr>
        <w:pStyle w:val="Indenta"/>
        <w:keepNext/>
        <w:keepLines/>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spacing w:before="120"/>
      </w:pPr>
      <w:r>
        <w:tab/>
      </w:r>
      <w:r>
        <w:tab/>
        <w:t>the surviving partner is taken to have had a registered entitlement at the commencement of period 1, or periods 1 and 2, as the case requires, and is to be treated accordingly for the purposes of this Act.</w:t>
      </w:r>
    </w:p>
    <w:p>
      <w:pPr>
        <w:pStyle w:val="Subsection"/>
        <w:keepNext/>
        <w:spacing w:before="120"/>
      </w:pPr>
      <w:r>
        <w:tab/>
        <w:t>(3)</w:t>
      </w:r>
      <w:r>
        <w:tab/>
        <w:t xml:space="preserve">If — </w:t>
      </w:r>
    </w:p>
    <w:p>
      <w:pPr>
        <w:pStyle w:val="Indenta"/>
      </w:pPr>
      <w:r>
        <w:tab/>
        <w:t>(a)</w:t>
      </w:r>
      <w:r>
        <w:tab/>
        <w:t>subsection (2)(a) and (b) apply in relation to a deceased partner and the surviving partner</w:t>
      </w:r>
      <w:r>
        <w:rPr>
          <w:bCs/>
        </w:rPr>
        <w:t>; and</w:t>
      </w:r>
    </w:p>
    <w:p>
      <w:pPr>
        <w:pStyle w:val="Indenta"/>
        <w:keepNext/>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pPr>
      <w:r>
        <w:tab/>
        <w:t>(ii)</w:t>
      </w:r>
      <w:r>
        <w:tab/>
        <w:t>was eligible under this Act to apply to the administrative authority to have an entitlement in respect of that land registered at the commencement of each of those charged periods;</w:t>
      </w:r>
    </w:p>
    <w:p>
      <w:pPr>
        <w:pStyle w:val="Indenta"/>
        <w:spacing w:before="0"/>
      </w:pPr>
      <w:r>
        <w:tab/>
      </w:r>
      <w:r>
        <w:tab/>
        <w:t>and</w:t>
      </w:r>
    </w:p>
    <w:p>
      <w:pPr>
        <w:pStyle w:val="Indenta"/>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pPr>
      <w:r>
        <w:tab/>
        <w:t>(4A)</w:t>
      </w:r>
      <w:r>
        <w:tab/>
        <w:t xml:space="preserve">Subsection (4B) applies in relation to Water Corporation charges 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keepNext/>
      </w:pPr>
      <w:r>
        <w:tab/>
        <w:t>(iii)</w:t>
      </w:r>
      <w:r>
        <w:tab/>
        <w:t>is occupied by the surviving partner in the circumstances described in section 29(1)(b)(ii);</w:t>
      </w:r>
    </w:p>
    <w:p>
      <w:pPr>
        <w:pStyle w:val="Indenta"/>
      </w:pPr>
      <w:r>
        <w:tab/>
      </w:r>
      <w:r>
        <w:tab/>
        <w:t>and</w:t>
      </w:r>
    </w:p>
    <w:p>
      <w:pPr>
        <w:pStyle w:val="Indenta"/>
      </w:pPr>
      <w:r>
        <w:tab/>
        <w:t>(c)</w:t>
      </w:r>
      <w:r>
        <w:tab/>
        <w:t xml:space="preserve">following the death of the spouse or de facto partner the surviving partner became liable for the payment of a Water Corporation charge in respect of that land (the </w:t>
      </w:r>
      <w:r>
        <w:rPr>
          <w:rStyle w:val="CharDefText"/>
        </w:rPr>
        <w:t>first payment</w:t>
      </w:r>
      <w:r>
        <w:t>); and</w:t>
      </w:r>
    </w:p>
    <w:p>
      <w:pPr>
        <w:pStyle w:val="Indenta"/>
      </w:pPr>
      <w:r>
        <w:tab/>
        <w:t>(d)</w:t>
      </w:r>
      <w:r>
        <w:tab/>
        <w:t>at the time that the surviving partner became liable for the first payment he or she was eligible under this Act to apply to the Water Corporation to have an entitlement in respect of that land registered; and</w:t>
      </w:r>
    </w:p>
    <w:p>
      <w:pPr>
        <w:pStyle w:val="Indenta"/>
      </w:pPr>
      <w:r>
        <w:tab/>
        <w:t>(e)</w:t>
      </w:r>
      <w:r>
        <w:tab/>
        <w:t>upon application by the surviving partner an entitlement in respect of that land is registered within 2 years of the death of the spouse or de facto partner.</w:t>
      </w:r>
    </w:p>
    <w:p>
      <w:pPr>
        <w:pStyle w:val="Subsection"/>
      </w:pPr>
      <w:r>
        <w:tab/>
        <w:t>(4B)</w:t>
      </w:r>
      <w:r>
        <w:tab/>
        <w:t xml:space="preserve">The surviving partner is taken to have had a registered entitlement on and from the day on which he or she became liable for the first payment until the earlier of — </w:t>
      </w:r>
    </w:p>
    <w:p>
      <w:pPr>
        <w:pStyle w:val="Indenta"/>
      </w:pPr>
      <w:r>
        <w:tab/>
        <w:t>(a)</w:t>
      </w:r>
      <w:r>
        <w:tab/>
        <w:t>the day before the day on which the entitlement in respect of that land is registered; or</w:t>
      </w:r>
    </w:p>
    <w:p>
      <w:pPr>
        <w:pStyle w:val="Indenta"/>
      </w:pPr>
      <w:r>
        <w:tab/>
        <w:t>(b)</w:t>
      </w:r>
      <w:r>
        <w:tab/>
        <w:t>the day before the first day (after he or she became liable for the first payment) on which he or she ceased to be eligible to have the entitlement registered,</w:t>
      </w:r>
    </w:p>
    <w:p>
      <w:pPr>
        <w:pStyle w:val="Subsection"/>
      </w:pPr>
      <w:r>
        <w:tab/>
      </w:r>
      <w:r>
        <w:tab/>
        <w:t>and is to be treated accordingly for the purposes of this Act.</w:t>
      </w:r>
    </w:p>
    <w:p>
      <w:pPr>
        <w:pStyle w:val="Subsection"/>
      </w:pPr>
      <w:r>
        <w:tab/>
        <w:t>(4C)</w:t>
      </w:r>
      <w:r>
        <w:tab/>
        <w:t xml:space="preserve">If — </w:t>
      </w:r>
    </w:p>
    <w:p>
      <w:pPr>
        <w:pStyle w:val="Indenta"/>
      </w:pPr>
      <w:r>
        <w:tab/>
        <w:t>(a)</w:t>
      </w:r>
      <w:r>
        <w:tab/>
        <w:t>subsection (4A)(a)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was liable for the payment of a Water Corporation charge in respect of the surviving partner’s land for more than 2 years after the death of the spouse or de facto partner; and</w:t>
      </w:r>
    </w:p>
    <w:p>
      <w:pPr>
        <w:pStyle w:val="Indenti"/>
      </w:pPr>
      <w:r>
        <w:tab/>
        <w:t>(ii)</w:t>
      </w:r>
      <w:r>
        <w:tab/>
        <w:t>was eligible under this Act to apply to the Water Corporation to have an entitlement in respect of that land registered for more than 2 years after the death of the spouse or de facto partner;</w:t>
      </w:r>
    </w:p>
    <w:p>
      <w:pPr>
        <w:pStyle w:val="Indenta"/>
      </w:pPr>
      <w:r>
        <w:tab/>
      </w:r>
      <w:r>
        <w:tab/>
        <w:t>and</w:t>
      </w:r>
    </w:p>
    <w:p>
      <w:pPr>
        <w:pStyle w:val="Indenta"/>
      </w:pPr>
      <w:r>
        <w:tab/>
        <w:t>(c)</w:t>
      </w:r>
      <w:r>
        <w:tab/>
        <w:t>the Minister is satisfied that, because of exceptional circumstances, an entitlement in respect of the surviving partner’s land was not registered within the 2 years referred to in subsection (4A)(e),</w:t>
      </w:r>
    </w:p>
    <w:p>
      <w:pPr>
        <w:pStyle w:val="Subsection"/>
        <w:spacing w:before="180"/>
      </w:pPr>
      <w:r>
        <w:tab/>
      </w:r>
      <w:r>
        <w:tab/>
        <w:t>the Minister may declare that the surviving partner is taken to have had a registered entitlement in respect of the surviving partner’s land for the period specified in the declaration.</w:t>
      </w:r>
    </w:p>
    <w:p>
      <w:pPr>
        <w:pStyle w:val="Subsection"/>
        <w:spacing w:before="180"/>
      </w:pPr>
      <w:r>
        <w:tab/>
        <w:t>(4)</w:t>
      </w:r>
      <w:r>
        <w:tab/>
        <w:t>A declaration under subsection (3) or (4C) has effect according to its terms and the surviving partner is to be treated accordingly for the purposes of this Act.</w:t>
      </w:r>
    </w:p>
    <w:p>
      <w:pPr>
        <w:pStyle w:val="Subsection"/>
        <w:spacing w:before="180"/>
      </w:pPr>
      <w:r>
        <w:tab/>
        <w:t>(5)</w:t>
      </w:r>
      <w:r>
        <w:tab/>
        <w:t>A surviving partner who, under subsection (2) or (3),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ind w:left="890" w:hanging="890"/>
      </w:pPr>
      <w:r>
        <w:tab/>
        <w:t>[Section 32A inserted by No. 13 of 2007 s. 5; amended by No. 4 of 2013 s. 7.]</w:t>
      </w:r>
    </w:p>
    <w:p>
      <w:pPr>
        <w:pStyle w:val="Heading5"/>
        <w:spacing w:before="240"/>
        <w:rPr>
          <w:snapToGrid w:val="0"/>
        </w:rPr>
      </w:pPr>
      <w:bookmarkStart w:id="771" w:name="_Toc368652395"/>
      <w:r>
        <w:rPr>
          <w:rStyle w:val="CharSectno"/>
        </w:rPr>
        <w:t>33</w:t>
      </w:r>
      <w:r>
        <w:rPr>
          <w:snapToGrid w:val="0"/>
        </w:rPr>
        <w:t>.</w:t>
      </w:r>
      <w:r>
        <w:rPr>
          <w:snapToGrid w:val="0"/>
        </w:rPr>
        <w:tab/>
        <w:t>Effect of registration</w:t>
      </w:r>
      <w:bookmarkEnd w:id="765"/>
      <w:bookmarkEnd w:id="766"/>
      <w:bookmarkEnd w:id="767"/>
      <w:bookmarkEnd w:id="768"/>
      <w:bookmarkEnd w:id="769"/>
      <w:bookmarkEnd w:id="770"/>
      <w:bookmarkEnd w:id="771"/>
    </w:p>
    <w:p>
      <w:pPr>
        <w:pStyle w:val="Subsection"/>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rPr>
          <w:snapToGrid w:val="0"/>
        </w:rPr>
      </w:pPr>
      <w:r>
        <w:rPr>
          <w:snapToGrid w:val="0"/>
        </w:rPr>
        <w:tab/>
        <w:t>(a)</w:t>
      </w:r>
      <w:r>
        <w:rPr>
          <w:snapToGrid w:val="0"/>
        </w:rPr>
        <w:tab/>
        <w:t>to pay a rebated amount; or</w:t>
      </w:r>
    </w:p>
    <w:p>
      <w:pPr>
        <w:pStyle w:val="Indenta"/>
        <w:rPr>
          <w:snapToGrid w:val="0"/>
        </w:rPr>
      </w:pPr>
      <w:r>
        <w:rPr>
          <w:snapToGrid w:val="0"/>
        </w:rPr>
        <w:tab/>
        <w:t>(b)</w:t>
      </w:r>
      <w:r>
        <w:rPr>
          <w:snapToGrid w:val="0"/>
        </w:rPr>
        <w:tab/>
        <w:t>to defer payment,</w:t>
      </w:r>
    </w:p>
    <w:p>
      <w:pPr>
        <w:pStyle w:val="Subsection"/>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rPr>
          <w:snapToGrid w:val="0"/>
        </w:rPr>
      </w:pPr>
      <w:r>
        <w:rPr>
          <w:snapToGrid w:val="0"/>
        </w:rPr>
        <w:tab/>
        <w:t>(2)</w:t>
      </w:r>
      <w:r>
        <w:rPr>
          <w:snapToGrid w:val="0"/>
        </w:rPr>
        <w:tab/>
        <w:t xml:space="preserve">Where in relation to any charged period an entitlement to land is </w:t>
      </w:r>
      <w:r>
        <w:t xml:space="preserve">registered in respect of a prescribed charge that is not a Water Corporation charge, </w:t>
      </w:r>
      <w:r>
        <w:rPr>
          <w:snapToGrid w:val="0"/>
        </w:rPr>
        <w:t>effect shall be given by the administrative authority to any rebate or deferment allowable for that charged period as though the entitlement remained that of the registered person, notwithstanding that during the charged period —</w:t>
      </w:r>
    </w:p>
    <w:p>
      <w:pPr>
        <w:pStyle w:val="Indenta"/>
        <w:spacing w:before="100"/>
        <w:rPr>
          <w:snapToGrid w:val="0"/>
        </w:rPr>
      </w:pPr>
      <w:r>
        <w:rPr>
          <w:snapToGrid w:val="0"/>
        </w:rPr>
        <w:tab/>
        <w:t>(a)</w:t>
      </w:r>
      <w:r>
        <w:rPr>
          <w:snapToGrid w:val="0"/>
        </w:rPr>
        <w:tab/>
        <w:t>the registered person dies, or ceases to be an eligible person; or</w:t>
      </w:r>
    </w:p>
    <w:p>
      <w:pPr>
        <w:pStyle w:val="Indenta"/>
        <w:spacing w:before="100"/>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spacing w:before="180"/>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 No. 4 of 2013 s. 8.]</w:t>
      </w:r>
    </w:p>
    <w:p>
      <w:pPr>
        <w:pStyle w:val="Ednotesection"/>
        <w:spacing w:before="240"/>
        <w:rPr>
          <w:snapToGrid/>
        </w:rPr>
      </w:pPr>
      <w:bookmarkStart w:id="772" w:name="_Toc404133606"/>
      <w:bookmarkStart w:id="773" w:name="_Toc411910603"/>
      <w:bookmarkStart w:id="774" w:name="_Toc425059254"/>
      <w:bookmarkStart w:id="775" w:name="_Toc483724667"/>
      <w:r>
        <w:rPr>
          <w:snapToGrid/>
        </w:rPr>
        <w:t>[</w:t>
      </w:r>
      <w:r>
        <w:rPr>
          <w:b/>
          <w:snapToGrid/>
        </w:rPr>
        <w:t>34.</w:t>
      </w:r>
      <w:r>
        <w:rPr>
          <w:snapToGrid/>
        </w:rPr>
        <w:tab/>
        <w:t>Deleted by No. 3 of 2001 s. 12.]</w:t>
      </w:r>
    </w:p>
    <w:p>
      <w:pPr>
        <w:pStyle w:val="Heading5"/>
        <w:spacing w:before="240"/>
        <w:rPr>
          <w:snapToGrid w:val="0"/>
        </w:rPr>
      </w:pPr>
      <w:bookmarkStart w:id="776" w:name="_Toc29092524"/>
      <w:bookmarkStart w:id="777" w:name="_Toc129078274"/>
      <w:bookmarkStart w:id="778" w:name="_Toc368652396"/>
      <w:r>
        <w:rPr>
          <w:rStyle w:val="CharSectno"/>
        </w:rPr>
        <w:t>35</w:t>
      </w:r>
      <w:r>
        <w:rPr>
          <w:snapToGrid w:val="0"/>
        </w:rPr>
        <w:t>.</w:t>
      </w:r>
      <w:r>
        <w:rPr>
          <w:snapToGrid w:val="0"/>
        </w:rPr>
        <w:tab/>
        <w:t>Change in circumstances of registered person</w:t>
      </w:r>
      <w:bookmarkEnd w:id="772"/>
      <w:bookmarkEnd w:id="773"/>
      <w:bookmarkEnd w:id="774"/>
      <w:bookmarkEnd w:id="775"/>
      <w:bookmarkEnd w:id="776"/>
      <w:bookmarkEnd w:id="777"/>
      <w:bookmarkEnd w:id="778"/>
    </w:p>
    <w:p>
      <w:pPr>
        <w:pStyle w:val="Subsection"/>
        <w:spacing w:before="200"/>
        <w:rPr>
          <w:snapToGrid w:val="0"/>
        </w:rPr>
      </w:pPr>
      <w:r>
        <w:rPr>
          <w:snapToGrid w:val="0"/>
        </w:rPr>
        <w:tab/>
        <w:t>(1)</w:t>
      </w:r>
      <w:r>
        <w:rPr>
          <w:snapToGrid w:val="0"/>
        </w:rPr>
        <w:tab/>
        <w:t>Where the entitlement of a person as regards any land is registered, if —</w:t>
      </w:r>
    </w:p>
    <w:p>
      <w:pPr>
        <w:pStyle w:val="Indenta"/>
        <w:spacing w:before="100"/>
        <w:rPr>
          <w:snapToGrid w:val="0"/>
        </w:rPr>
      </w:pPr>
      <w:r>
        <w:rPr>
          <w:snapToGrid w:val="0"/>
        </w:rPr>
        <w:tab/>
        <w:t>(a)</w:t>
      </w:r>
      <w:r>
        <w:rPr>
          <w:snapToGrid w:val="0"/>
        </w:rPr>
        <w:tab/>
        <w:t>the person ceases —</w:t>
      </w:r>
    </w:p>
    <w:p>
      <w:pPr>
        <w:pStyle w:val="Indenti"/>
        <w:spacing w:before="100"/>
        <w:rPr>
          <w:snapToGrid w:val="0"/>
        </w:rPr>
      </w:pPr>
      <w:r>
        <w:rPr>
          <w:snapToGrid w:val="0"/>
        </w:rPr>
        <w:tab/>
        <w:t>(i)</w:t>
      </w:r>
      <w:r>
        <w:rPr>
          <w:snapToGrid w:val="0"/>
        </w:rPr>
        <w:tab/>
        <w:t>to hold a seniors’ card; or</w:t>
      </w:r>
    </w:p>
    <w:p>
      <w:pPr>
        <w:pStyle w:val="Indenti"/>
        <w:spacing w:before="100"/>
        <w:rPr>
          <w:snapToGrid w:val="0"/>
        </w:rPr>
      </w:pPr>
      <w:r>
        <w:rPr>
          <w:snapToGrid w:val="0"/>
        </w:rPr>
        <w:tab/>
        <w:t>(ii)</w:t>
      </w:r>
      <w:r>
        <w:rPr>
          <w:snapToGrid w:val="0"/>
        </w:rPr>
        <w:tab/>
        <w:t>to be an eligible pensioner; or</w:t>
      </w:r>
    </w:p>
    <w:p>
      <w:pPr>
        <w:pStyle w:val="Indenti"/>
        <w:spacing w:before="100"/>
        <w:rPr>
          <w:snapToGrid w:val="0"/>
        </w:rPr>
      </w:pPr>
      <w:r>
        <w:rPr>
          <w:snapToGrid w:val="0"/>
        </w:rPr>
        <w:tab/>
        <w:t>(iii)</w:t>
      </w:r>
      <w:r>
        <w:rPr>
          <w:snapToGrid w:val="0"/>
        </w:rPr>
        <w:tab/>
        <w:t>to occupy the land as their ordinary place of residence;</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spacing w:before="100"/>
        <w:rPr>
          <w:snapToGrid w:val="0"/>
        </w:rPr>
      </w:pPr>
      <w:r>
        <w:rPr>
          <w:snapToGrid w:val="0"/>
        </w:rPr>
        <w:tab/>
        <w:t>(c)</w:t>
      </w:r>
      <w:r>
        <w:rPr>
          <w:snapToGrid w:val="0"/>
        </w:rPr>
        <w:tab/>
        <w:t>the land no longer belongs to that person,</w:t>
      </w:r>
    </w:p>
    <w:p>
      <w:pPr>
        <w:pStyle w:val="Subsection"/>
        <w:spacing w:before="18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8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 and</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spacing w:before="180"/>
      </w:pPr>
      <w:r>
        <w:tab/>
        <w:t>(2a)</w:t>
      </w:r>
      <w:r>
        <w:tab/>
        <w:t>Subsection (2) does not apply in relation to land registered for a person on the basis of eligibility under section 23(5).</w:t>
      </w:r>
    </w:p>
    <w:p>
      <w:pPr>
        <w:pStyle w:val="Subsection"/>
        <w:keepLines/>
        <w:spacing w:before="180"/>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779" w:name="_Toc404133607"/>
      <w:bookmarkStart w:id="780" w:name="_Toc411910604"/>
      <w:bookmarkStart w:id="781" w:name="_Toc425059255"/>
      <w:bookmarkStart w:id="782" w:name="_Toc483724668"/>
      <w:bookmarkStart w:id="783" w:name="_Toc29092525"/>
      <w:bookmarkStart w:id="784" w:name="_Toc129078275"/>
      <w:bookmarkStart w:id="785" w:name="_Toc368652397"/>
      <w:r>
        <w:rPr>
          <w:rStyle w:val="CharSectno"/>
        </w:rPr>
        <w:t>36</w:t>
      </w:r>
      <w:r>
        <w:rPr>
          <w:snapToGrid w:val="0"/>
        </w:rPr>
        <w:t>.</w:t>
      </w:r>
      <w:r>
        <w:rPr>
          <w:snapToGrid w:val="0"/>
        </w:rPr>
        <w:tab/>
        <w:t>Review of registration</w:t>
      </w:r>
      <w:bookmarkEnd w:id="779"/>
      <w:bookmarkEnd w:id="780"/>
      <w:bookmarkEnd w:id="781"/>
      <w:bookmarkEnd w:id="782"/>
      <w:bookmarkEnd w:id="783"/>
      <w:bookmarkEnd w:id="784"/>
      <w:bookmarkEnd w:id="785"/>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786" w:name="_Toc404133608"/>
      <w:bookmarkStart w:id="787" w:name="_Toc411910605"/>
      <w:bookmarkStart w:id="788" w:name="_Toc425059256"/>
      <w:bookmarkStart w:id="789" w:name="_Toc483724669"/>
      <w:bookmarkStart w:id="790" w:name="_Toc29092526"/>
      <w:bookmarkStart w:id="791" w:name="_Toc129078276"/>
      <w:bookmarkStart w:id="792" w:name="_Toc368652398"/>
      <w:r>
        <w:rPr>
          <w:rStyle w:val="CharSectno"/>
        </w:rPr>
        <w:t>37</w:t>
      </w:r>
      <w:r>
        <w:rPr>
          <w:snapToGrid w:val="0"/>
        </w:rPr>
        <w:t>.</w:t>
      </w:r>
      <w:r>
        <w:rPr>
          <w:snapToGrid w:val="0"/>
        </w:rPr>
        <w:tab/>
        <w:t>Amendment or cancellation of registration</w:t>
      </w:r>
      <w:bookmarkEnd w:id="786"/>
      <w:bookmarkEnd w:id="787"/>
      <w:bookmarkEnd w:id="788"/>
      <w:bookmarkEnd w:id="789"/>
      <w:bookmarkEnd w:id="790"/>
      <w:bookmarkEnd w:id="791"/>
      <w:bookmarkEnd w:id="792"/>
    </w:p>
    <w:p>
      <w:pPr>
        <w:pStyle w:val="Subsection"/>
        <w:spacing w:before="180"/>
        <w:rPr>
          <w:snapToGrid w:val="0"/>
        </w:rPr>
      </w:pPr>
      <w:r>
        <w:rPr>
          <w:snapToGrid w:val="0"/>
        </w:rPr>
        <w:tab/>
        <w:t>(1)</w:t>
      </w:r>
      <w:r>
        <w:rPr>
          <w:snapToGrid w:val="0"/>
        </w:rPr>
        <w:tab/>
        <w:t>An administrative authority —</w:t>
      </w:r>
    </w:p>
    <w:p>
      <w:pPr>
        <w:pStyle w:val="Indenta"/>
        <w:spacing w:before="100"/>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 or</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spacing w:before="180"/>
      </w:pPr>
      <w:r>
        <w:tab/>
      </w:r>
      <w:r>
        <w:tab/>
        <w:t xml:space="preserve">determine to amend or cancel the registration, as the case requires, with effect from — </w:t>
      </w:r>
    </w:p>
    <w:p>
      <w:pPr>
        <w:pStyle w:val="Indenta"/>
      </w:pPr>
      <w:r>
        <w:tab/>
        <w:t>(c)</w:t>
      </w:r>
      <w:r>
        <w:tab/>
        <w:t>in the case of a Water Corporation charge — the day on which the change in the person’s circumstances occurred; or</w:t>
      </w:r>
    </w:p>
    <w:p>
      <w:pPr>
        <w:pStyle w:val="Indenta"/>
      </w:pPr>
      <w:r>
        <w:tab/>
        <w:t>(d)</w:t>
      </w:r>
      <w:r>
        <w:tab/>
        <w:t>in the case of any other prescribed charge — the commencement of the rating year following the determination.</w:t>
      </w:r>
    </w:p>
    <w:p>
      <w:pPr>
        <w:pStyle w:val="Subsection"/>
        <w:spacing w:before="180"/>
        <w:rPr>
          <w:snapToGrid w:val="0"/>
        </w:rPr>
      </w:pPr>
      <w:r>
        <w:rPr>
          <w:snapToGrid w:val="0"/>
        </w:rPr>
        <w:tab/>
        <w:t>(2)</w:t>
      </w:r>
      <w:r>
        <w:rPr>
          <w:snapToGrid w:val="0"/>
        </w:rPr>
        <w:tab/>
      </w:r>
      <w:r>
        <w:t xml:space="preserve">An administrative authority, other than the Water Corporation, </w:t>
      </w:r>
      <w:r>
        <w:rPr>
          <w:snapToGrid w:val="0"/>
        </w:rPr>
        <w:t xml:space="preserve">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spacing w:before="180"/>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 No. 4 of 2013 s. 9.]</w:t>
      </w:r>
    </w:p>
    <w:p>
      <w:pPr>
        <w:pStyle w:val="Heading3"/>
      </w:pPr>
      <w:bookmarkStart w:id="793" w:name="_Toc86554982"/>
      <w:bookmarkStart w:id="794" w:name="_Toc96997125"/>
      <w:bookmarkStart w:id="795" w:name="_Toc106163562"/>
      <w:bookmarkStart w:id="796" w:name="_Toc108838523"/>
      <w:bookmarkStart w:id="797" w:name="_Toc108843389"/>
      <w:bookmarkStart w:id="798" w:name="_Toc119983271"/>
      <w:bookmarkStart w:id="799" w:name="_Toc128477252"/>
      <w:bookmarkStart w:id="800" w:name="_Toc129078277"/>
      <w:bookmarkStart w:id="801" w:name="_Toc139360903"/>
      <w:bookmarkStart w:id="802" w:name="_Toc139707624"/>
      <w:bookmarkStart w:id="803" w:name="_Toc139864841"/>
      <w:bookmarkStart w:id="804" w:name="_Toc140046296"/>
      <w:bookmarkStart w:id="805" w:name="_Toc140046371"/>
      <w:bookmarkStart w:id="806" w:name="_Toc142809441"/>
      <w:bookmarkStart w:id="807" w:name="_Toc144087689"/>
      <w:bookmarkStart w:id="808" w:name="_Toc146516012"/>
      <w:bookmarkStart w:id="809" w:name="_Toc148504443"/>
      <w:bookmarkStart w:id="810" w:name="_Toc158003456"/>
      <w:bookmarkStart w:id="811" w:name="_Toc171223455"/>
      <w:bookmarkStart w:id="812" w:name="_Toc171229643"/>
      <w:bookmarkStart w:id="813" w:name="_Toc171319780"/>
      <w:bookmarkStart w:id="814" w:name="_Toc171320996"/>
      <w:bookmarkStart w:id="815" w:name="_Toc173660899"/>
      <w:bookmarkStart w:id="816" w:name="_Toc173729455"/>
      <w:bookmarkStart w:id="817" w:name="_Toc202511831"/>
      <w:bookmarkStart w:id="818" w:name="_Toc202516848"/>
      <w:bookmarkStart w:id="819" w:name="_Toc209602365"/>
      <w:bookmarkStart w:id="820" w:name="_Toc209839678"/>
      <w:bookmarkStart w:id="821" w:name="_Toc212537601"/>
      <w:bookmarkStart w:id="822" w:name="_Toc312057054"/>
      <w:bookmarkStart w:id="823" w:name="_Toc312057133"/>
      <w:bookmarkStart w:id="824" w:name="_Toc312059682"/>
      <w:bookmarkStart w:id="825" w:name="_Toc328465279"/>
      <w:bookmarkStart w:id="826" w:name="_Toc334444627"/>
      <w:bookmarkStart w:id="827" w:name="_Toc334706902"/>
      <w:bookmarkStart w:id="828" w:name="_Toc339638096"/>
      <w:bookmarkStart w:id="829" w:name="_Toc339638175"/>
      <w:bookmarkStart w:id="830" w:name="_Toc340650967"/>
      <w:bookmarkStart w:id="831" w:name="_Toc360454610"/>
      <w:bookmarkStart w:id="832" w:name="_Toc360541771"/>
      <w:bookmarkStart w:id="833" w:name="_Toc361730956"/>
      <w:bookmarkStart w:id="834" w:name="_Toc361731401"/>
      <w:bookmarkStart w:id="835" w:name="_Toc361743161"/>
      <w:bookmarkStart w:id="836" w:name="_Toc364845190"/>
      <w:bookmarkStart w:id="837" w:name="_Toc368652399"/>
      <w:r>
        <w:rPr>
          <w:rStyle w:val="CharDivNo"/>
        </w:rPr>
        <w:t>Division 4</w:t>
      </w:r>
      <w:r>
        <w:rPr>
          <w:snapToGrid w:val="0"/>
        </w:rPr>
        <w:t> — </w:t>
      </w:r>
      <w:r>
        <w:rPr>
          <w:rStyle w:val="CharDivText"/>
        </w:rPr>
        <w:t>Miscellaneous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Heading5"/>
        <w:rPr>
          <w:snapToGrid w:val="0"/>
        </w:rPr>
      </w:pPr>
      <w:bookmarkStart w:id="838" w:name="_Toc404133609"/>
      <w:bookmarkStart w:id="839" w:name="_Toc411910606"/>
      <w:bookmarkStart w:id="840" w:name="_Toc425059257"/>
      <w:bookmarkStart w:id="841" w:name="_Toc483724670"/>
      <w:bookmarkStart w:id="842" w:name="_Toc29092527"/>
      <w:bookmarkStart w:id="843" w:name="_Toc129078278"/>
      <w:bookmarkStart w:id="844" w:name="_Toc368652400"/>
      <w:r>
        <w:rPr>
          <w:rStyle w:val="CharSectno"/>
        </w:rPr>
        <w:t>38</w:t>
      </w:r>
      <w:r>
        <w:rPr>
          <w:snapToGrid w:val="0"/>
        </w:rPr>
        <w:t>.</w:t>
      </w:r>
      <w:r>
        <w:rPr>
          <w:snapToGrid w:val="0"/>
        </w:rPr>
        <w:tab/>
        <w:t>Offences</w:t>
      </w:r>
      <w:bookmarkEnd w:id="838"/>
      <w:bookmarkEnd w:id="839"/>
      <w:bookmarkEnd w:id="840"/>
      <w:bookmarkEnd w:id="841"/>
      <w:bookmarkEnd w:id="842"/>
      <w:bookmarkEnd w:id="843"/>
      <w:bookmarkEnd w:id="844"/>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 or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845" w:name="_Toc404133610"/>
      <w:bookmarkStart w:id="846" w:name="_Toc411910607"/>
      <w:bookmarkStart w:id="847" w:name="_Toc425059258"/>
      <w:bookmarkStart w:id="848" w:name="_Toc483724671"/>
      <w:bookmarkStart w:id="849" w:name="_Toc29092528"/>
      <w:bookmarkStart w:id="850" w:name="_Toc129078279"/>
      <w:bookmarkStart w:id="851" w:name="_Toc368652401"/>
      <w:r>
        <w:rPr>
          <w:rStyle w:val="CharSectno"/>
        </w:rPr>
        <w:t>39</w:t>
      </w:r>
      <w:r>
        <w:rPr>
          <w:snapToGrid w:val="0"/>
        </w:rPr>
        <w:t>.</w:t>
      </w:r>
      <w:r>
        <w:rPr>
          <w:snapToGrid w:val="0"/>
        </w:rPr>
        <w:tab/>
        <w:t>Persons allowed rebate or deferment incorrectly</w:t>
      </w:r>
      <w:bookmarkEnd w:id="845"/>
      <w:bookmarkEnd w:id="846"/>
      <w:bookmarkEnd w:id="847"/>
      <w:bookmarkEnd w:id="848"/>
      <w:bookmarkEnd w:id="849"/>
      <w:bookmarkEnd w:id="850"/>
      <w:bookmarkEnd w:id="851"/>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rPr>
          <w:snapToGrid w:val="0"/>
        </w:rPr>
      </w:pPr>
      <w:r>
        <w:rPr>
          <w:snapToGrid w:val="0"/>
        </w:rPr>
        <w:tab/>
        <w:t>(a)</w:t>
      </w:r>
      <w:r>
        <w:rPr>
          <w:snapToGrid w:val="0"/>
        </w:rPr>
        <w:tab/>
        <w:t>the rebate purportedly allowed is of no effect; and</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is liable to any penalty in respect of arrears of that prescribed charge that may apply apart from this Act; and</w:t>
      </w:r>
    </w:p>
    <w:p>
      <w:pPr>
        <w:pStyle w:val="Indenta"/>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keepNext/>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 and</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852" w:name="_Toc86554985"/>
      <w:bookmarkStart w:id="853" w:name="_Toc96997128"/>
      <w:bookmarkStart w:id="854" w:name="_Toc106163565"/>
      <w:bookmarkStart w:id="855" w:name="_Toc108838526"/>
      <w:bookmarkStart w:id="856" w:name="_Toc108843392"/>
      <w:bookmarkStart w:id="857" w:name="_Toc119983274"/>
      <w:bookmarkStart w:id="858" w:name="_Toc128477255"/>
      <w:bookmarkStart w:id="859" w:name="_Toc129078280"/>
      <w:bookmarkStart w:id="860" w:name="_Toc139360906"/>
      <w:bookmarkStart w:id="861" w:name="_Toc139707627"/>
      <w:bookmarkStart w:id="862" w:name="_Toc139864844"/>
      <w:bookmarkStart w:id="863" w:name="_Toc140046299"/>
      <w:bookmarkStart w:id="864" w:name="_Toc140046374"/>
      <w:bookmarkStart w:id="865" w:name="_Toc142809444"/>
      <w:bookmarkStart w:id="866" w:name="_Toc144087692"/>
      <w:bookmarkStart w:id="867" w:name="_Toc146516015"/>
      <w:bookmarkStart w:id="868" w:name="_Toc148504446"/>
      <w:bookmarkStart w:id="869" w:name="_Toc158003459"/>
      <w:bookmarkStart w:id="870" w:name="_Toc171223458"/>
      <w:bookmarkStart w:id="871" w:name="_Toc171229646"/>
      <w:bookmarkStart w:id="872" w:name="_Toc171319783"/>
      <w:bookmarkStart w:id="873" w:name="_Toc171320999"/>
      <w:bookmarkStart w:id="874" w:name="_Toc173660902"/>
      <w:bookmarkStart w:id="875" w:name="_Toc173729458"/>
      <w:bookmarkStart w:id="876" w:name="_Toc202511834"/>
      <w:bookmarkStart w:id="877" w:name="_Toc202516851"/>
      <w:bookmarkStart w:id="878" w:name="_Toc209602368"/>
      <w:bookmarkStart w:id="879" w:name="_Toc209839681"/>
      <w:bookmarkStart w:id="880" w:name="_Toc212537604"/>
      <w:bookmarkStart w:id="881" w:name="_Toc312057057"/>
      <w:bookmarkStart w:id="882" w:name="_Toc312057136"/>
      <w:bookmarkStart w:id="883" w:name="_Toc312059685"/>
      <w:bookmarkStart w:id="884" w:name="_Toc328465282"/>
      <w:bookmarkStart w:id="885" w:name="_Toc334444630"/>
      <w:bookmarkStart w:id="886" w:name="_Toc334706905"/>
      <w:bookmarkStart w:id="887" w:name="_Toc339638099"/>
      <w:bookmarkStart w:id="888" w:name="_Toc339638178"/>
      <w:bookmarkStart w:id="889" w:name="_Toc340650970"/>
      <w:bookmarkStart w:id="890" w:name="_Toc360454613"/>
      <w:bookmarkStart w:id="891" w:name="_Toc360541774"/>
      <w:bookmarkStart w:id="892" w:name="_Toc361730959"/>
      <w:bookmarkStart w:id="893" w:name="_Toc361731404"/>
      <w:bookmarkStart w:id="894" w:name="_Toc361743164"/>
      <w:bookmarkStart w:id="895" w:name="_Toc364845193"/>
      <w:bookmarkStart w:id="896" w:name="_Toc368652402"/>
      <w:r>
        <w:rPr>
          <w:rStyle w:val="CharPartNo"/>
        </w:rPr>
        <w:t>Part 3</w:t>
      </w:r>
      <w:r>
        <w:rPr>
          <w:rStyle w:val="CharDivNo"/>
        </w:rPr>
        <w:t> </w:t>
      </w:r>
      <w:r>
        <w:t>—</w:t>
      </w:r>
      <w:r>
        <w:rPr>
          <w:rStyle w:val="CharDivText"/>
        </w:rPr>
        <w:t> </w:t>
      </w:r>
      <w:r>
        <w:rPr>
          <w:rStyle w:val="CharPartText"/>
        </w:rPr>
        <w:t>Rebates</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Heading5"/>
      </w:pPr>
      <w:bookmarkStart w:id="897" w:name="_Toc29092529"/>
      <w:bookmarkStart w:id="898" w:name="_Toc129078281"/>
      <w:bookmarkStart w:id="899" w:name="_Toc368652403"/>
      <w:bookmarkStart w:id="900" w:name="_Toc404133612"/>
      <w:bookmarkStart w:id="901" w:name="_Toc411910609"/>
      <w:bookmarkStart w:id="902" w:name="_Toc425059260"/>
      <w:bookmarkStart w:id="903" w:name="_Toc483724673"/>
      <w:r>
        <w:rPr>
          <w:rStyle w:val="CharSectno"/>
        </w:rPr>
        <w:t>40</w:t>
      </w:r>
      <w:r>
        <w:t>.</w:t>
      </w:r>
      <w:r>
        <w:tab/>
        <w:t>Rebates to registered persons</w:t>
      </w:r>
      <w:bookmarkEnd w:id="897"/>
      <w:bookmarkEnd w:id="898"/>
      <w:bookmarkEnd w:id="899"/>
    </w:p>
    <w:p>
      <w:pPr>
        <w:pStyle w:val="Subsection"/>
      </w:pPr>
      <w:r>
        <w:tab/>
        <w:t>(1A)</w:t>
      </w:r>
      <w:r>
        <w:tab/>
        <w:t>A reference in this section to the liability of a person for the payment of a rebated amount of a prescribed charge includes, in respect of a prescribed charge that is apportioned under section 28, a reference to the liability of a person for the proportion of the prescribed charge that relates to the extent of the entitlement of the person.</w:t>
      </w:r>
    </w:p>
    <w:p>
      <w:pPr>
        <w:pStyle w:val="Subsection"/>
      </w:pPr>
      <w:r>
        <w:tab/>
        <w:t>(1)</w:t>
      </w:r>
      <w:r>
        <w:tab/>
        <w:t>This section applies to a person who —</w:t>
      </w:r>
    </w:p>
    <w:p>
      <w:pPr>
        <w:pStyle w:val="Indenta"/>
      </w:pPr>
      <w:r>
        <w:tab/>
        <w:t>(a)</w:t>
      </w:r>
      <w:r>
        <w:tab/>
        <w:t>is liable for the payment of a prescribed charge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pPr>
        <w:pStyle w:val="Subsection"/>
      </w:pPr>
      <w:r>
        <w:tab/>
        <w:t>(2)</w:t>
      </w:r>
      <w:r>
        <w:tab/>
        <w:t xml:space="preserve">The liability of a person to whom this section applies for payment of a prescribed charge may, subject to this Act, be satisfied by the payment of a rebated amount — </w:t>
      </w:r>
    </w:p>
    <w:p>
      <w:pPr>
        <w:pStyle w:val="Indenta"/>
      </w:pPr>
      <w:r>
        <w:tab/>
        <w:t>(a)</w:t>
      </w:r>
      <w:r>
        <w:tab/>
        <w:t>in the case of a Water Corporation charge — by the final payment day or, if that person has been allowed an extended period under subsection (3A), before the end of that period; or</w:t>
      </w:r>
    </w:p>
    <w:p>
      <w:pPr>
        <w:pStyle w:val="Indenta"/>
      </w:pPr>
      <w:r>
        <w:tab/>
        <w:t>(b)</w:t>
      </w:r>
      <w:r>
        <w:tab/>
        <w:t>in the case of any other prescribed charge —before the end of the charged period or, if that person has been allowed an extended period under subsection (3A), before the end of that period.</w:t>
      </w:r>
    </w:p>
    <w:p>
      <w:pPr>
        <w:pStyle w:val="Subsection"/>
      </w:pPr>
      <w:r>
        <w:tab/>
        <w:t>(3A)</w:t>
      </w:r>
      <w:r>
        <w:tab/>
        <w:t xml:space="preserve">If the Minister is satisfied that a person to whom this section applies has, because of exceptional circumstances, failed to pay the rebated amount by — </w:t>
      </w:r>
    </w:p>
    <w:p>
      <w:pPr>
        <w:pStyle w:val="Indenta"/>
      </w:pPr>
      <w:r>
        <w:tab/>
        <w:t>(a)</w:t>
      </w:r>
      <w:r>
        <w:tab/>
        <w:t>in the case of a Water Corporation charge — the final payment day; or</w:t>
      </w:r>
    </w:p>
    <w:p>
      <w:pPr>
        <w:pStyle w:val="Indenta"/>
      </w:pPr>
      <w:r>
        <w:tab/>
        <w:t>(b)</w:t>
      </w:r>
      <w:r>
        <w:tab/>
        <w:t>in the case of any other prescribed charge — the end of the charged period,</w:t>
      </w:r>
    </w:p>
    <w:p>
      <w:pPr>
        <w:pStyle w:val="Subsection"/>
      </w:pPr>
      <w:r>
        <w:tab/>
      </w:r>
      <w:r>
        <w:tab/>
        <w:t>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w:t>
      </w:r>
      <w:r>
        <w:rPr>
          <w:snapToGrid w:val="0"/>
        </w:rPr>
        <w:tab/>
        <w:t>is the portion of the prescribed charge calculated under subsection </w:t>
      </w:r>
      <w:r>
        <w:t>(9) in respect of an eligible senior; and</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w:t>
      </w:r>
      <w:r>
        <w:rPr>
          <w:snapToGrid w:val="0"/>
        </w:rPr>
        <w:tab/>
        <w:t>is the portion of the prescribed charge calculated under subsection </w:t>
      </w:r>
      <w:r>
        <w:t>(9) in respect of an eligible pensioner; and</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 and</w:t>
      </w:r>
    </w:p>
    <w:p>
      <w:pPr>
        <w:pStyle w:val="Indenta"/>
        <w:rPr>
          <w:snapToGrid w:val="0"/>
        </w:rPr>
      </w:pPr>
      <w:r>
        <w:rPr>
          <w:i/>
          <w:snapToGrid w:val="0"/>
        </w:rPr>
        <w:tab/>
        <w:t>PCS</w:t>
      </w:r>
      <w:r>
        <w:rPr>
          <w:snapToGrid w:val="0"/>
        </w:rPr>
        <w:tab/>
        <w:t>is the portion of the prescribed charge calculated under subsection </w:t>
      </w:r>
      <w:r>
        <w:t>(9) in respect of an eligible senior; and</w:t>
      </w:r>
    </w:p>
    <w:p>
      <w:pPr>
        <w:pStyle w:val="Indenta"/>
        <w:rPr>
          <w:snapToGrid w:val="0"/>
        </w:rPr>
      </w:pPr>
      <w:r>
        <w:rPr>
          <w:i/>
          <w:snapToGrid w:val="0"/>
        </w:rPr>
        <w:tab/>
        <w:t>PCP</w:t>
      </w:r>
      <w:r>
        <w:rPr>
          <w:snapToGrid w:val="0"/>
        </w:rPr>
        <w:tab/>
        <w:t>is the portion of the prescribed charge calculated under subsection </w:t>
      </w:r>
      <w:r>
        <w:t>(9) in respect of an eligible pensioner; and</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spacing w:before="120"/>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spacing w:before="120"/>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or underground electricity — 50% of the prescribed charge concerned;</w:t>
      </w:r>
    </w:p>
    <w:p>
      <w:pPr>
        <w:pStyle w:val="Indenta"/>
      </w:pPr>
      <w:r>
        <w:tab/>
        <w:t>(c)</w:t>
      </w:r>
      <w:r>
        <w:tab/>
        <w:t>for an eligible senior, on any prescribed charge for the provision of underground electricity — 25% of the prescribed charge concerned, up to such limit as is prescribed;</w:t>
      </w:r>
    </w:p>
    <w:p>
      <w:pPr>
        <w:pStyle w:val="Indenta"/>
      </w:pPr>
      <w:r>
        <w:tab/>
        <w:t>(d)</w:t>
      </w:r>
      <w:r>
        <w:tab/>
        <w:t>on any other prescribed charge — </w:t>
      </w:r>
    </w:p>
    <w:p>
      <w:pPr>
        <w:pStyle w:val="Indenti"/>
      </w:pPr>
      <w:r>
        <w:tab/>
        <w:t>(i)</w:t>
      </w:r>
      <w:r>
        <w:tab/>
        <w:t>for an eligible senior — the prescribed percentage of the charge, up to such limit as is prescribed;</w:t>
      </w:r>
    </w:p>
    <w:p>
      <w:pPr>
        <w:pStyle w:val="Indenti"/>
      </w:pPr>
      <w:r>
        <w:tab/>
        <w:t>(ii)</w:t>
      </w:r>
      <w:r>
        <w:tab/>
        <w:t>for an eligible pensioner — the prescribed percentage of the charge.</w:t>
      </w:r>
    </w:p>
    <w:p>
      <w:pPr>
        <w:pStyle w:val="Footnotesection"/>
        <w:keepLines w:val="0"/>
        <w:spacing w:before="80"/>
        <w:ind w:left="890" w:hanging="890"/>
      </w:pPr>
      <w:r>
        <w:tab/>
        <w:t>[Section 40 inserted by No. 3 of 2001 s. 13(1); amended by No. 42 of 2002 s. 34; No. 13 of 2007 s. 10; No. 2 of 2012 s. 36; No. 4 of 2013 s. 10.]</w:t>
      </w:r>
    </w:p>
    <w:p>
      <w:pPr>
        <w:pStyle w:val="Heading5"/>
        <w:rPr>
          <w:snapToGrid w:val="0"/>
        </w:rPr>
      </w:pPr>
      <w:bookmarkStart w:id="904" w:name="_Toc29092530"/>
      <w:bookmarkStart w:id="905" w:name="_Toc129078282"/>
      <w:bookmarkStart w:id="906" w:name="_Toc368652404"/>
      <w:r>
        <w:rPr>
          <w:rStyle w:val="CharSectno"/>
        </w:rPr>
        <w:t>41</w:t>
      </w:r>
      <w:r>
        <w:rPr>
          <w:snapToGrid w:val="0"/>
        </w:rPr>
        <w:t>.</w:t>
      </w:r>
      <w:r>
        <w:rPr>
          <w:snapToGrid w:val="0"/>
        </w:rPr>
        <w:tab/>
        <w:t>Effect of payment of rebated amount</w:t>
      </w:r>
      <w:bookmarkEnd w:id="900"/>
      <w:bookmarkEnd w:id="901"/>
      <w:bookmarkEnd w:id="902"/>
      <w:bookmarkEnd w:id="903"/>
      <w:bookmarkEnd w:id="904"/>
      <w:bookmarkEnd w:id="905"/>
      <w:bookmarkEnd w:id="906"/>
    </w:p>
    <w:p>
      <w:pPr>
        <w:pStyle w:val="Subsection"/>
      </w:pPr>
      <w:r>
        <w:tab/>
        <w:t>(1)</w:t>
      </w:r>
      <w:r>
        <w:tab/>
        <w:t>A reference in this section to a rebated amount in relation to a person includes, in respect of a rebated amount that is apportioned in accordance with section 28, a reference to the proportion of the rebated amount that relates to the extent of the entitlement of the person.</w:t>
      </w:r>
    </w:p>
    <w:p>
      <w:pPr>
        <w:pStyle w:val="Subsection"/>
        <w:keepNext/>
        <w:rPr>
          <w:snapToGrid w:val="0"/>
        </w:rPr>
      </w:pPr>
      <w:r>
        <w:tab/>
        <w:t>(2)</w:t>
      </w:r>
      <w:r>
        <w:tab/>
        <w:t>If the rebated amount of a prescribed charge that is not a Water Corporation charge</w:t>
      </w:r>
      <w:r>
        <w:rPr>
          <w:snapToGrid w:val="0"/>
        </w:rPr>
        <w:t xml:space="preserve"> is paid by or on behalf of a registered person</w:t>
      </w:r>
      <w:r>
        <w:t xml:space="preserve"> before the end of the charged period or, if that person has been allowed an extended period under section 40(3A),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Subsection"/>
      </w:pPr>
      <w:r>
        <w:tab/>
        <w:t>(3)</w:t>
      </w:r>
      <w:r>
        <w:tab/>
        <w:t>If the rebated amount of a Water Corporation charge is paid by or on behalf of a registered person by the final payment day or, if that person has been allowed an extended period under section 40(3A), before the end of that period then, subject to this Act —</w:t>
      </w:r>
    </w:p>
    <w:p>
      <w:pPr>
        <w:pStyle w:val="Indenta"/>
      </w:pPr>
      <w:r>
        <w:tab/>
        <w:t>(a)</w:t>
      </w:r>
      <w:r>
        <w:tab/>
        <w:t>the person is not liable to pay any further amount for the prescribed charge; and</w:t>
      </w:r>
    </w:p>
    <w:p>
      <w:pPr>
        <w:pStyle w:val="Indenta"/>
      </w:pPr>
      <w:r>
        <w:tab/>
        <w:t>(b)</w:t>
      </w:r>
      <w:r>
        <w:tab/>
        <w:t>the Water Corporation has no further claim against the person for the prescribed charge.</w:t>
      </w:r>
    </w:p>
    <w:p>
      <w:pPr>
        <w:pStyle w:val="Footnotesection"/>
      </w:pPr>
      <w:r>
        <w:tab/>
        <w:t>[Section 41 amended by No. 25 of 1993 s. 14; No. 13 of 2007 s. 11; No. 4 of 2013 s. 11.]</w:t>
      </w:r>
    </w:p>
    <w:p>
      <w:pPr>
        <w:pStyle w:val="Heading5"/>
        <w:rPr>
          <w:snapToGrid w:val="0"/>
        </w:rPr>
      </w:pPr>
      <w:bookmarkStart w:id="907" w:name="_Toc404133613"/>
      <w:bookmarkStart w:id="908" w:name="_Toc411910610"/>
      <w:bookmarkStart w:id="909" w:name="_Toc425059261"/>
      <w:bookmarkStart w:id="910" w:name="_Toc483724674"/>
      <w:bookmarkStart w:id="911" w:name="_Toc29092531"/>
      <w:bookmarkStart w:id="912" w:name="_Toc129078283"/>
      <w:bookmarkStart w:id="913" w:name="_Toc368652405"/>
      <w:r>
        <w:rPr>
          <w:rStyle w:val="CharSectno"/>
        </w:rPr>
        <w:t>42</w:t>
      </w:r>
      <w:r>
        <w:rPr>
          <w:snapToGrid w:val="0"/>
        </w:rPr>
        <w:t>.</w:t>
      </w:r>
      <w:r>
        <w:rPr>
          <w:snapToGrid w:val="0"/>
        </w:rPr>
        <w:tab/>
        <w:t>Charges for periods preceding, or for improvements made or services provided subsequent to, registration</w:t>
      </w:r>
      <w:bookmarkEnd w:id="907"/>
      <w:bookmarkEnd w:id="908"/>
      <w:bookmarkEnd w:id="909"/>
      <w:bookmarkEnd w:id="910"/>
      <w:bookmarkEnd w:id="911"/>
      <w:bookmarkEnd w:id="912"/>
      <w:bookmarkEnd w:id="913"/>
    </w:p>
    <w:p>
      <w:pPr>
        <w:pStyle w:val="Subsection"/>
        <w:rPr>
          <w:snapToGrid w:val="0"/>
        </w:rPr>
      </w:pPr>
      <w:r>
        <w:rPr>
          <w:snapToGrid w:val="0"/>
        </w:rPr>
        <w:tab/>
        <w:t>(1)</w:t>
      </w:r>
      <w:r>
        <w:rPr>
          <w:snapToGrid w:val="0"/>
        </w:rPr>
        <w:tab/>
        <w:t xml:space="preserve">If an administrative authority </w:t>
      </w:r>
      <w:r>
        <w:t>other than the Water Corporation</w:t>
      </w:r>
      <w:r>
        <w:rPr>
          <w:snapToGrid w:val="0"/>
        </w:rPr>
        <w:t xml:space="preserve">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 and</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pPr>
      <w:r>
        <w:tab/>
        <w:t>(2A)</w:t>
      </w:r>
      <w:r>
        <w:tab/>
        <w:t xml:space="preserve">If — </w:t>
      </w:r>
    </w:p>
    <w:p>
      <w:pPr>
        <w:pStyle w:val="Indenta"/>
      </w:pPr>
      <w:r>
        <w:tab/>
        <w:t>(a)</w:t>
      </w:r>
      <w:r>
        <w:tab/>
        <w:t xml:space="preserve">the Water Corporation makes a prescribed charge in respect of a period (the </w:t>
      </w:r>
      <w:r>
        <w:rPr>
          <w:rStyle w:val="CharDefText"/>
        </w:rPr>
        <w:t>relevant period</w:t>
      </w:r>
      <w:r>
        <w:t>), some of which precedes the date of issue of the notice requiring payment of the prescribed charge; and</w:t>
      </w:r>
    </w:p>
    <w:p>
      <w:pPr>
        <w:pStyle w:val="Indenta"/>
      </w:pPr>
      <w:r>
        <w:tab/>
        <w:t>(b)</w:t>
      </w:r>
      <w:r>
        <w:tab/>
        <w:t>the relevant period is longer than the standard charged period for a charge of that kind; and</w:t>
      </w:r>
    </w:p>
    <w:p>
      <w:pPr>
        <w:pStyle w:val="Indenta"/>
      </w:pPr>
      <w:r>
        <w:tab/>
        <w:t>(c)</w:t>
      </w:r>
      <w:r>
        <w:tab/>
        <w:t>an entitlement, of the person liable for the charge, as regards the land is registered after the date of issue of the notice and before the final payment day,</w:t>
      </w:r>
    </w:p>
    <w:p>
      <w:pPr>
        <w:pStyle w:val="Subsection"/>
      </w:pPr>
      <w:r>
        <w:tab/>
      </w:r>
      <w:r>
        <w:tab/>
        <w:t>the person may, subject to subsection (2), be allowed a rebate on the prescribed charge, for any part of the relevant period during which the person was both liable to pay the charge and entitled to apply for the registration of an entitlement as regards the land.</w:t>
      </w:r>
    </w:p>
    <w:p>
      <w:pPr>
        <w:pStyle w:val="Subsection"/>
        <w:spacing w:before="120"/>
        <w:rPr>
          <w:snapToGrid w:val="0"/>
        </w:rPr>
      </w:pPr>
      <w:r>
        <w:rPr>
          <w:snapToGrid w:val="0"/>
        </w:rPr>
        <w:tab/>
        <w:t>(2)</w:t>
      </w:r>
      <w:r>
        <w:rPr>
          <w:snapToGrid w:val="0"/>
        </w:rPr>
        <w:tab/>
        <w:t xml:space="preserve">A rebate may be allowed under subsection (1) </w:t>
      </w:r>
      <w:r>
        <w:t xml:space="preserve">or (2A) </w:t>
      </w:r>
      <w:r>
        <w:rPr>
          <w:snapToGrid w:val="0"/>
        </w:rPr>
        <w:t>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spacing w:before="120"/>
      </w:pPr>
      <w:r>
        <w:tab/>
        <w:t>(3A)</w:t>
      </w:r>
      <w:r>
        <w:tab/>
        <w:t>If a rebate is allowed under this section, the administrative authority must, when necessary, refund, or give credit for, the amount of the rebate.</w:t>
      </w:r>
    </w:p>
    <w:p>
      <w:pPr>
        <w:pStyle w:val="Subsection"/>
        <w:spacing w:before="120"/>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spacing w:before="100"/>
        <w:ind w:left="890" w:hanging="890"/>
      </w:pPr>
      <w:r>
        <w:tab/>
        <w:t>[Section 42 amended by No. 3 of 2001 s. 14; No. 42 of 2002 s. 35; No. 4 of 2013 s. 12.]</w:t>
      </w:r>
    </w:p>
    <w:p>
      <w:pPr>
        <w:pStyle w:val="Heading2"/>
      </w:pPr>
      <w:bookmarkStart w:id="914" w:name="_Toc86554989"/>
      <w:bookmarkStart w:id="915" w:name="_Toc96997132"/>
      <w:bookmarkStart w:id="916" w:name="_Toc106163569"/>
      <w:bookmarkStart w:id="917" w:name="_Toc108838530"/>
      <w:bookmarkStart w:id="918" w:name="_Toc108843396"/>
      <w:bookmarkStart w:id="919" w:name="_Toc119983278"/>
      <w:bookmarkStart w:id="920" w:name="_Toc128477259"/>
      <w:bookmarkStart w:id="921" w:name="_Toc129078284"/>
      <w:bookmarkStart w:id="922" w:name="_Toc139360910"/>
      <w:bookmarkStart w:id="923" w:name="_Toc139707631"/>
      <w:bookmarkStart w:id="924" w:name="_Toc139864848"/>
      <w:bookmarkStart w:id="925" w:name="_Toc140046303"/>
      <w:bookmarkStart w:id="926" w:name="_Toc140046378"/>
      <w:bookmarkStart w:id="927" w:name="_Toc142809448"/>
      <w:bookmarkStart w:id="928" w:name="_Toc144087696"/>
      <w:bookmarkStart w:id="929" w:name="_Toc146516019"/>
      <w:bookmarkStart w:id="930" w:name="_Toc148504450"/>
      <w:bookmarkStart w:id="931" w:name="_Toc158003463"/>
      <w:bookmarkStart w:id="932" w:name="_Toc171223462"/>
      <w:bookmarkStart w:id="933" w:name="_Toc171229650"/>
      <w:bookmarkStart w:id="934" w:name="_Toc171319787"/>
      <w:bookmarkStart w:id="935" w:name="_Toc171321003"/>
      <w:bookmarkStart w:id="936" w:name="_Toc173660906"/>
      <w:bookmarkStart w:id="937" w:name="_Toc173729462"/>
      <w:bookmarkStart w:id="938" w:name="_Toc202511838"/>
      <w:bookmarkStart w:id="939" w:name="_Toc202516855"/>
      <w:bookmarkStart w:id="940" w:name="_Toc209602372"/>
      <w:bookmarkStart w:id="941" w:name="_Toc209839685"/>
      <w:bookmarkStart w:id="942" w:name="_Toc212537608"/>
      <w:bookmarkStart w:id="943" w:name="_Toc312057061"/>
      <w:bookmarkStart w:id="944" w:name="_Toc312057140"/>
      <w:bookmarkStart w:id="945" w:name="_Toc312059689"/>
      <w:bookmarkStart w:id="946" w:name="_Toc328465286"/>
      <w:bookmarkStart w:id="947" w:name="_Toc334444634"/>
      <w:bookmarkStart w:id="948" w:name="_Toc334706909"/>
      <w:bookmarkStart w:id="949" w:name="_Toc339638103"/>
      <w:bookmarkStart w:id="950" w:name="_Toc339638182"/>
      <w:bookmarkStart w:id="951" w:name="_Toc340650974"/>
      <w:bookmarkStart w:id="952" w:name="_Toc360454617"/>
      <w:bookmarkStart w:id="953" w:name="_Toc360541778"/>
      <w:bookmarkStart w:id="954" w:name="_Toc361730963"/>
      <w:bookmarkStart w:id="955" w:name="_Toc361731408"/>
      <w:bookmarkStart w:id="956" w:name="_Toc361743168"/>
      <w:bookmarkStart w:id="957" w:name="_Toc364845197"/>
      <w:bookmarkStart w:id="958" w:name="_Toc368652406"/>
      <w:r>
        <w:rPr>
          <w:rStyle w:val="CharPartNo"/>
        </w:rPr>
        <w:t>Part 4</w:t>
      </w:r>
      <w:r>
        <w:t> — </w:t>
      </w:r>
      <w:r>
        <w:rPr>
          <w:rStyle w:val="CharPartText"/>
        </w:rPr>
        <w:t>Deferment</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Heading3"/>
      </w:pPr>
      <w:bookmarkStart w:id="959" w:name="_Toc86554990"/>
      <w:bookmarkStart w:id="960" w:name="_Toc96997133"/>
      <w:bookmarkStart w:id="961" w:name="_Toc106163570"/>
      <w:bookmarkStart w:id="962" w:name="_Toc108838531"/>
      <w:bookmarkStart w:id="963" w:name="_Toc108843397"/>
      <w:bookmarkStart w:id="964" w:name="_Toc119983279"/>
      <w:bookmarkStart w:id="965" w:name="_Toc128477260"/>
      <w:bookmarkStart w:id="966" w:name="_Toc129078285"/>
      <w:bookmarkStart w:id="967" w:name="_Toc139360911"/>
      <w:bookmarkStart w:id="968" w:name="_Toc139707632"/>
      <w:bookmarkStart w:id="969" w:name="_Toc139864849"/>
      <w:bookmarkStart w:id="970" w:name="_Toc140046304"/>
      <w:bookmarkStart w:id="971" w:name="_Toc140046379"/>
      <w:bookmarkStart w:id="972" w:name="_Toc142809449"/>
      <w:bookmarkStart w:id="973" w:name="_Toc144087697"/>
      <w:bookmarkStart w:id="974" w:name="_Toc146516020"/>
      <w:bookmarkStart w:id="975" w:name="_Toc148504451"/>
      <w:bookmarkStart w:id="976" w:name="_Toc158003464"/>
      <w:bookmarkStart w:id="977" w:name="_Toc171223463"/>
      <w:bookmarkStart w:id="978" w:name="_Toc171229651"/>
      <w:bookmarkStart w:id="979" w:name="_Toc171319788"/>
      <w:bookmarkStart w:id="980" w:name="_Toc171321004"/>
      <w:bookmarkStart w:id="981" w:name="_Toc173660907"/>
      <w:bookmarkStart w:id="982" w:name="_Toc173729463"/>
      <w:bookmarkStart w:id="983" w:name="_Toc202511839"/>
      <w:bookmarkStart w:id="984" w:name="_Toc202516856"/>
      <w:bookmarkStart w:id="985" w:name="_Toc209602373"/>
      <w:bookmarkStart w:id="986" w:name="_Toc209839686"/>
      <w:bookmarkStart w:id="987" w:name="_Toc212537609"/>
      <w:bookmarkStart w:id="988" w:name="_Toc312057062"/>
      <w:bookmarkStart w:id="989" w:name="_Toc312057141"/>
      <w:bookmarkStart w:id="990" w:name="_Toc312059690"/>
      <w:bookmarkStart w:id="991" w:name="_Toc328465287"/>
      <w:bookmarkStart w:id="992" w:name="_Toc334444635"/>
      <w:bookmarkStart w:id="993" w:name="_Toc334706910"/>
      <w:bookmarkStart w:id="994" w:name="_Toc339638104"/>
      <w:bookmarkStart w:id="995" w:name="_Toc339638183"/>
      <w:bookmarkStart w:id="996" w:name="_Toc340650975"/>
      <w:bookmarkStart w:id="997" w:name="_Toc360454618"/>
      <w:bookmarkStart w:id="998" w:name="_Toc360541779"/>
      <w:bookmarkStart w:id="999" w:name="_Toc361730964"/>
      <w:bookmarkStart w:id="1000" w:name="_Toc361731409"/>
      <w:bookmarkStart w:id="1001" w:name="_Toc361743169"/>
      <w:bookmarkStart w:id="1002" w:name="_Toc364845198"/>
      <w:bookmarkStart w:id="1003" w:name="_Toc368652407"/>
      <w:r>
        <w:rPr>
          <w:rStyle w:val="CharDivNo"/>
        </w:rPr>
        <w:t>Division 1</w:t>
      </w:r>
      <w:r>
        <w:rPr>
          <w:snapToGrid w:val="0"/>
        </w:rPr>
        <w:t> — </w:t>
      </w:r>
      <w:r>
        <w:rPr>
          <w:rStyle w:val="CharDivText"/>
        </w:rPr>
        <w:t>Where charges may be deferred</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Heading5"/>
        <w:rPr>
          <w:snapToGrid w:val="0"/>
        </w:rPr>
      </w:pPr>
      <w:bookmarkStart w:id="1004" w:name="_Toc404133614"/>
      <w:bookmarkStart w:id="1005" w:name="_Toc411910611"/>
      <w:bookmarkStart w:id="1006" w:name="_Toc425059262"/>
      <w:bookmarkStart w:id="1007" w:name="_Toc483724675"/>
      <w:bookmarkStart w:id="1008" w:name="_Toc29092532"/>
      <w:bookmarkStart w:id="1009" w:name="_Toc129078286"/>
      <w:bookmarkStart w:id="1010" w:name="_Toc368652408"/>
      <w:r>
        <w:rPr>
          <w:rStyle w:val="CharSectno"/>
        </w:rPr>
        <w:t>43</w:t>
      </w:r>
      <w:r>
        <w:rPr>
          <w:snapToGrid w:val="0"/>
        </w:rPr>
        <w:t>.</w:t>
      </w:r>
      <w:r>
        <w:rPr>
          <w:snapToGrid w:val="0"/>
        </w:rPr>
        <w:tab/>
        <w:t>Circumstances where deferment may be allowed</w:t>
      </w:r>
      <w:bookmarkEnd w:id="1004"/>
      <w:bookmarkEnd w:id="1005"/>
      <w:bookmarkEnd w:id="1006"/>
      <w:bookmarkEnd w:id="1007"/>
      <w:bookmarkEnd w:id="1008"/>
      <w:bookmarkEnd w:id="1009"/>
      <w:bookmarkEnd w:id="1010"/>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 and</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1011" w:name="_Toc404133615"/>
      <w:bookmarkStart w:id="1012" w:name="_Toc411910612"/>
      <w:bookmarkStart w:id="1013" w:name="_Toc425059263"/>
      <w:bookmarkStart w:id="1014" w:name="_Toc483724676"/>
      <w:bookmarkStart w:id="1015" w:name="_Toc29092533"/>
      <w:bookmarkStart w:id="1016" w:name="_Toc129078287"/>
      <w:bookmarkStart w:id="1017" w:name="_Toc368652409"/>
      <w:r>
        <w:rPr>
          <w:rStyle w:val="CharSectno"/>
        </w:rPr>
        <w:t>44</w:t>
      </w:r>
      <w:r>
        <w:rPr>
          <w:snapToGrid w:val="0"/>
        </w:rPr>
        <w:t>.</w:t>
      </w:r>
      <w:r>
        <w:rPr>
          <w:snapToGrid w:val="0"/>
        </w:rPr>
        <w:tab/>
        <w:t>Deferred payment of rates by eligible pensioner</w:t>
      </w:r>
      <w:bookmarkEnd w:id="1011"/>
      <w:bookmarkEnd w:id="1012"/>
      <w:bookmarkEnd w:id="1013"/>
      <w:bookmarkEnd w:id="1014"/>
      <w:bookmarkEnd w:id="1015"/>
      <w:bookmarkEnd w:id="1016"/>
      <w:bookmarkEnd w:id="1017"/>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w:t>
      </w:r>
      <w:r>
        <w:t xml:space="preserve">by the day determined in accordance with subsection (2A)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pPr>
      <w:r>
        <w:tab/>
        <w:t>(2A)</w:t>
      </w:r>
      <w:r>
        <w:tab/>
        <w:t>For the purposes of subsection (1) the day is —</w:t>
      </w:r>
    </w:p>
    <w:p>
      <w:pPr>
        <w:pStyle w:val="Indenta"/>
      </w:pPr>
      <w:r>
        <w:tab/>
        <w:t>(a)</w:t>
      </w:r>
      <w:r>
        <w:tab/>
        <w:t>if paragraphs (b) or (c) do not apply —</w:t>
      </w:r>
    </w:p>
    <w:p>
      <w:pPr>
        <w:pStyle w:val="Indenti"/>
      </w:pPr>
      <w:r>
        <w:tab/>
        <w:t>(i)</w:t>
      </w:r>
      <w:r>
        <w:tab/>
        <w:t>if the charge is a Water Corporation charge — the final payment day; or</w:t>
      </w:r>
    </w:p>
    <w:p>
      <w:pPr>
        <w:pStyle w:val="Indenti"/>
      </w:pPr>
      <w:r>
        <w:tab/>
        <w:t>(ii)</w:t>
      </w:r>
      <w:r>
        <w:tab/>
        <w:t>if the charge is not a Water Corporation charge — the last day of the charged period;</w:t>
      </w:r>
    </w:p>
    <w:p>
      <w:pPr>
        <w:pStyle w:val="Indenta"/>
      </w:pPr>
      <w:r>
        <w:tab/>
      </w:r>
      <w:r>
        <w:tab/>
        <w:t>or</w:t>
      </w:r>
    </w:p>
    <w:p>
      <w:pPr>
        <w:pStyle w:val="Indenta"/>
      </w:pPr>
      <w:r>
        <w:tab/>
        <w:t>(b)</w:t>
      </w:r>
      <w:r>
        <w:tab/>
        <w:t>if the person has been allowed an extended period under section 40(3A) — the last day of that period; or</w:t>
      </w:r>
    </w:p>
    <w:p>
      <w:pPr>
        <w:pStyle w:val="Indenta"/>
      </w:pPr>
      <w:r>
        <w:tab/>
        <w:t>(c)</w:t>
      </w:r>
      <w:r>
        <w:tab/>
        <w:t>if a period has been specified under section 42(2) — the last day of that period.</w:t>
      </w:r>
    </w:p>
    <w:p>
      <w:pPr>
        <w:pStyle w:val="Subsection"/>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 or</w:t>
      </w:r>
    </w:p>
    <w:p>
      <w:pPr>
        <w:pStyle w:val="Indenta"/>
        <w:rPr>
          <w:snapToGrid w:val="0"/>
        </w:rPr>
      </w:pPr>
      <w:r>
        <w:rPr>
          <w:snapToGrid w:val="0"/>
        </w:rPr>
        <w:tab/>
        <w:t>(b)</w:t>
      </w:r>
      <w:r>
        <w:rPr>
          <w:snapToGrid w:val="0"/>
        </w:rPr>
        <w:tab/>
        <w:t>ceases to be a person entitled to the land; or</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 or</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spacing w:before="180"/>
        <w:rPr>
          <w:snapToGrid w:val="0"/>
        </w:rPr>
      </w:pPr>
      <w:r>
        <w:rPr>
          <w:snapToGrid w:val="0"/>
        </w:rPr>
        <w:tab/>
      </w:r>
      <w:r>
        <w:rPr>
          <w:snapToGrid w:val="0"/>
        </w:rPr>
        <w:tab/>
        <w:t>whichever happens first.</w:t>
      </w:r>
    </w:p>
    <w:p>
      <w:pPr>
        <w:pStyle w:val="Subsection"/>
        <w:spacing w:before="180"/>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1018" w:name="_Toc404133616"/>
      <w:bookmarkStart w:id="1019" w:name="_Toc411910613"/>
      <w:bookmarkStart w:id="1020" w:name="_Toc425059264"/>
      <w:bookmarkStart w:id="1021" w:name="_Toc483724677"/>
      <w:bookmarkStart w:id="1022" w:name="_Toc29092534"/>
      <w:r>
        <w:tab/>
        <w:t>[Section 44 amended by No. 28 of 2003 s. 172; No. 13 of 2007 s. 12; No. 4 of 2013 s. 13.]</w:t>
      </w:r>
    </w:p>
    <w:p>
      <w:pPr>
        <w:pStyle w:val="Heading5"/>
        <w:spacing w:before="240"/>
        <w:rPr>
          <w:snapToGrid w:val="0"/>
        </w:rPr>
      </w:pPr>
      <w:bookmarkStart w:id="1023" w:name="_Toc129078288"/>
      <w:bookmarkStart w:id="1024" w:name="_Toc368652410"/>
      <w:r>
        <w:rPr>
          <w:rStyle w:val="CharSectno"/>
        </w:rPr>
        <w:t>45</w:t>
      </w:r>
      <w:r>
        <w:rPr>
          <w:snapToGrid w:val="0"/>
        </w:rPr>
        <w:t>.</w:t>
      </w:r>
      <w:r>
        <w:rPr>
          <w:snapToGrid w:val="0"/>
        </w:rPr>
        <w:tab/>
        <w:t>Where charges may remain deferred in favour of a spouse</w:t>
      </w:r>
      <w:bookmarkEnd w:id="1018"/>
      <w:bookmarkEnd w:id="1019"/>
      <w:bookmarkEnd w:id="1020"/>
      <w:bookmarkEnd w:id="1021"/>
      <w:bookmarkEnd w:id="1022"/>
      <w:r>
        <w:t xml:space="preserve"> or de facto partner</w:t>
      </w:r>
      <w:bookmarkEnd w:id="1023"/>
      <w:bookmarkEnd w:id="1024"/>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keepNext/>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 or</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1025" w:name="_Toc404133617"/>
      <w:bookmarkStart w:id="1026" w:name="_Toc411910614"/>
      <w:bookmarkStart w:id="1027" w:name="_Toc425059265"/>
      <w:bookmarkStart w:id="1028" w:name="_Toc483724678"/>
      <w:bookmarkStart w:id="1029" w:name="_Toc29092535"/>
      <w:r>
        <w:tab/>
        <w:t>[Section 45 amended by No. 28 of 2003 s. 173.]</w:t>
      </w:r>
    </w:p>
    <w:p>
      <w:pPr>
        <w:pStyle w:val="Heading5"/>
        <w:rPr>
          <w:snapToGrid w:val="0"/>
        </w:rPr>
      </w:pPr>
      <w:bookmarkStart w:id="1030" w:name="_Toc129078289"/>
      <w:bookmarkStart w:id="1031" w:name="_Toc368652411"/>
      <w:r>
        <w:rPr>
          <w:rStyle w:val="CharSectno"/>
        </w:rPr>
        <w:t>46</w:t>
      </w:r>
      <w:r>
        <w:rPr>
          <w:snapToGrid w:val="0"/>
        </w:rPr>
        <w:t>.</w:t>
      </w:r>
      <w:r>
        <w:rPr>
          <w:snapToGrid w:val="0"/>
        </w:rPr>
        <w:tab/>
        <w:t>Continuing liability for payment of deferred charges to be a charge on the land</w:t>
      </w:r>
      <w:bookmarkEnd w:id="1025"/>
      <w:bookmarkEnd w:id="1026"/>
      <w:bookmarkEnd w:id="1027"/>
      <w:bookmarkEnd w:id="1028"/>
      <w:bookmarkEnd w:id="1029"/>
      <w:bookmarkEnd w:id="1030"/>
      <w:bookmarkEnd w:id="1031"/>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6</w:t>
      </w:r>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ind w:left="890" w:hanging="890"/>
      </w:pPr>
      <w:r>
        <w:tab/>
        <w:t>[Section 46 amended by No. 28 of 2006 s. 432.]</w:t>
      </w:r>
    </w:p>
    <w:p>
      <w:pPr>
        <w:pStyle w:val="Heading3"/>
      </w:pPr>
      <w:bookmarkStart w:id="1032" w:name="_Toc86554995"/>
      <w:bookmarkStart w:id="1033" w:name="_Toc96997138"/>
      <w:bookmarkStart w:id="1034" w:name="_Toc106163575"/>
      <w:bookmarkStart w:id="1035" w:name="_Toc108838536"/>
      <w:bookmarkStart w:id="1036" w:name="_Toc108843402"/>
      <w:bookmarkStart w:id="1037" w:name="_Toc119983284"/>
      <w:bookmarkStart w:id="1038" w:name="_Toc128477265"/>
      <w:bookmarkStart w:id="1039" w:name="_Toc129078290"/>
      <w:bookmarkStart w:id="1040" w:name="_Toc139360916"/>
      <w:bookmarkStart w:id="1041" w:name="_Toc139707637"/>
      <w:bookmarkStart w:id="1042" w:name="_Toc139864854"/>
      <w:bookmarkStart w:id="1043" w:name="_Toc140046309"/>
      <w:bookmarkStart w:id="1044" w:name="_Toc140046384"/>
      <w:bookmarkStart w:id="1045" w:name="_Toc142809454"/>
      <w:bookmarkStart w:id="1046" w:name="_Toc144087702"/>
      <w:bookmarkStart w:id="1047" w:name="_Toc146516025"/>
      <w:bookmarkStart w:id="1048" w:name="_Toc148504456"/>
      <w:bookmarkStart w:id="1049" w:name="_Toc158003469"/>
      <w:bookmarkStart w:id="1050" w:name="_Toc171223468"/>
      <w:bookmarkStart w:id="1051" w:name="_Toc171229656"/>
      <w:bookmarkStart w:id="1052" w:name="_Toc171319793"/>
      <w:bookmarkStart w:id="1053" w:name="_Toc171321009"/>
      <w:bookmarkStart w:id="1054" w:name="_Toc173660912"/>
      <w:bookmarkStart w:id="1055" w:name="_Toc173729468"/>
      <w:bookmarkStart w:id="1056" w:name="_Toc202511844"/>
      <w:bookmarkStart w:id="1057" w:name="_Toc202516861"/>
      <w:bookmarkStart w:id="1058" w:name="_Toc209602378"/>
      <w:bookmarkStart w:id="1059" w:name="_Toc209839691"/>
      <w:bookmarkStart w:id="1060" w:name="_Toc212537614"/>
      <w:bookmarkStart w:id="1061" w:name="_Toc312057067"/>
      <w:bookmarkStart w:id="1062" w:name="_Toc312057146"/>
      <w:bookmarkStart w:id="1063" w:name="_Toc312059695"/>
      <w:bookmarkStart w:id="1064" w:name="_Toc328465292"/>
      <w:bookmarkStart w:id="1065" w:name="_Toc334444640"/>
      <w:bookmarkStart w:id="1066" w:name="_Toc334706915"/>
      <w:bookmarkStart w:id="1067" w:name="_Toc339638109"/>
      <w:bookmarkStart w:id="1068" w:name="_Toc339638188"/>
      <w:bookmarkStart w:id="1069" w:name="_Toc340650980"/>
      <w:bookmarkStart w:id="1070" w:name="_Toc360454623"/>
      <w:bookmarkStart w:id="1071" w:name="_Toc360541784"/>
      <w:bookmarkStart w:id="1072" w:name="_Toc361730969"/>
      <w:bookmarkStart w:id="1073" w:name="_Toc361731414"/>
      <w:bookmarkStart w:id="1074" w:name="_Toc361743174"/>
      <w:bookmarkStart w:id="1075" w:name="_Toc364845203"/>
      <w:bookmarkStart w:id="1076" w:name="_Toc368652412"/>
      <w:r>
        <w:rPr>
          <w:rStyle w:val="CharDivNo"/>
        </w:rPr>
        <w:t>Division 2</w:t>
      </w:r>
      <w:r>
        <w:rPr>
          <w:snapToGrid w:val="0"/>
        </w:rPr>
        <w:t> — </w:t>
      </w:r>
      <w:r>
        <w:rPr>
          <w:rStyle w:val="CharDivText"/>
        </w:rPr>
        <w:t>Where charges may not be deferred</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Heading5"/>
        <w:spacing w:before="180"/>
        <w:rPr>
          <w:snapToGrid w:val="0"/>
        </w:rPr>
      </w:pPr>
      <w:bookmarkStart w:id="1077" w:name="_Toc404133618"/>
      <w:bookmarkStart w:id="1078" w:name="_Toc411910615"/>
      <w:bookmarkStart w:id="1079" w:name="_Toc425059266"/>
      <w:bookmarkStart w:id="1080" w:name="_Toc483724679"/>
      <w:bookmarkStart w:id="1081" w:name="_Toc29092536"/>
      <w:bookmarkStart w:id="1082" w:name="_Toc129078291"/>
      <w:bookmarkStart w:id="1083" w:name="_Toc368652413"/>
      <w:r>
        <w:rPr>
          <w:rStyle w:val="CharSectno"/>
        </w:rPr>
        <w:t>47</w:t>
      </w:r>
      <w:r>
        <w:rPr>
          <w:snapToGrid w:val="0"/>
        </w:rPr>
        <w:t>.</w:t>
      </w:r>
      <w:r>
        <w:rPr>
          <w:snapToGrid w:val="0"/>
        </w:rPr>
        <w:tab/>
        <w:t>Charges likely not to be recoverable</w:t>
      </w:r>
      <w:bookmarkEnd w:id="1077"/>
      <w:bookmarkEnd w:id="1078"/>
      <w:bookmarkEnd w:id="1079"/>
      <w:bookmarkEnd w:id="1080"/>
      <w:bookmarkEnd w:id="1081"/>
      <w:bookmarkEnd w:id="1082"/>
      <w:bookmarkEnd w:id="1083"/>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5</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1084" w:name="_Toc86554997"/>
      <w:bookmarkStart w:id="1085" w:name="_Toc96997140"/>
      <w:bookmarkStart w:id="1086" w:name="_Toc106163577"/>
      <w:bookmarkStart w:id="1087" w:name="_Toc108838538"/>
      <w:bookmarkStart w:id="1088" w:name="_Toc108843404"/>
      <w:bookmarkStart w:id="1089" w:name="_Toc119983286"/>
      <w:bookmarkStart w:id="1090" w:name="_Toc128477267"/>
      <w:bookmarkStart w:id="1091" w:name="_Toc129078292"/>
      <w:bookmarkStart w:id="1092" w:name="_Toc139360918"/>
      <w:bookmarkStart w:id="1093" w:name="_Toc139707639"/>
      <w:bookmarkStart w:id="1094" w:name="_Toc139864856"/>
      <w:bookmarkStart w:id="1095" w:name="_Toc140046311"/>
      <w:bookmarkStart w:id="1096" w:name="_Toc140046386"/>
      <w:bookmarkStart w:id="1097" w:name="_Toc142809456"/>
      <w:bookmarkStart w:id="1098" w:name="_Toc144087704"/>
      <w:bookmarkStart w:id="1099" w:name="_Toc146516027"/>
      <w:bookmarkStart w:id="1100" w:name="_Toc148504458"/>
      <w:bookmarkStart w:id="1101" w:name="_Toc158003471"/>
      <w:bookmarkStart w:id="1102" w:name="_Toc171223470"/>
      <w:bookmarkStart w:id="1103" w:name="_Toc171229658"/>
      <w:bookmarkStart w:id="1104" w:name="_Toc171319795"/>
      <w:bookmarkStart w:id="1105" w:name="_Toc171321011"/>
      <w:bookmarkStart w:id="1106" w:name="_Toc173660914"/>
      <w:bookmarkStart w:id="1107" w:name="_Toc173729470"/>
      <w:bookmarkStart w:id="1108" w:name="_Toc202511846"/>
      <w:bookmarkStart w:id="1109" w:name="_Toc202516863"/>
      <w:bookmarkStart w:id="1110" w:name="_Toc209602380"/>
      <w:bookmarkStart w:id="1111" w:name="_Toc209839693"/>
      <w:bookmarkStart w:id="1112" w:name="_Toc212537616"/>
      <w:bookmarkStart w:id="1113" w:name="_Toc312057069"/>
      <w:bookmarkStart w:id="1114" w:name="_Toc312057148"/>
      <w:bookmarkStart w:id="1115" w:name="_Toc312059697"/>
      <w:bookmarkStart w:id="1116" w:name="_Toc328465294"/>
      <w:bookmarkStart w:id="1117" w:name="_Toc334444642"/>
      <w:bookmarkStart w:id="1118" w:name="_Toc334706917"/>
      <w:bookmarkStart w:id="1119" w:name="_Toc339638111"/>
      <w:bookmarkStart w:id="1120" w:name="_Toc339638190"/>
      <w:bookmarkStart w:id="1121" w:name="_Toc340650982"/>
      <w:bookmarkStart w:id="1122" w:name="_Toc360454625"/>
      <w:bookmarkStart w:id="1123" w:name="_Toc360541786"/>
      <w:bookmarkStart w:id="1124" w:name="_Toc361730971"/>
      <w:bookmarkStart w:id="1125" w:name="_Toc361731416"/>
      <w:bookmarkStart w:id="1126" w:name="_Toc361743176"/>
      <w:bookmarkStart w:id="1127" w:name="_Toc364845205"/>
      <w:bookmarkStart w:id="1128" w:name="_Toc368652414"/>
      <w:r>
        <w:rPr>
          <w:rStyle w:val="CharPartNo"/>
        </w:rPr>
        <w:t>Part 5</w:t>
      </w:r>
      <w:r>
        <w:rPr>
          <w:rStyle w:val="CharDivNo"/>
        </w:rPr>
        <w:t> </w:t>
      </w:r>
      <w:r>
        <w:t>—</w:t>
      </w:r>
      <w:r>
        <w:rPr>
          <w:rStyle w:val="CharDivText"/>
        </w:rPr>
        <w:t> </w:t>
      </w:r>
      <w:r>
        <w:rPr>
          <w:rStyle w:val="CharPartText"/>
        </w:rPr>
        <w:t>General</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Heading5"/>
        <w:rPr>
          <w:snapToGrid w:val="0"/>
        </w:rPr>
      </w:pPr>
      <w:bookmarkStart w:id="1129" w:name="_Toc404133619"/>
      <w:bookmarkStart w:id="1130" w:name="_Toc411910616"/>
      <w:bookmarkStart w:id="1131" w:name="_Toc425059267"/>
      <w:bookmarkStart w:id="1132" w:name="_Toc483724680"/>
      <w:bookmarkStart w:id="1133" w:name="_Toc29092537"/>
      <w:bookmarkStart w:id="1134" w:name="_Toc129078293"/>
      <w:bookmarkStart w:id="1135" w:name="_Toc368652415"/>
      <w:r>
        <w:rPr>
          <w:rStyle w:val="CharSectno"/>
        </w:rPr>
        <w:t>48</w:t>
      </w:r>
      <w:r>
        <w:rPr>
          <w:snapToGrid w:val="0"/>
        </w:rPr>
        <w:t>.</w:t>
      </w:r>
      <w:r>
        <w:rPr>
          <w:snapToGrid w:val="0"/>
        </w:rPr>
        <w:tab/>
        <w:t>Registration of documents</w:t>
      </w:r>
      <w:bookmarkEnd w:id="1129"/>
      <w:bookmarkEnd w:id="1130"/>
      <w:bookmarkEnd w:id="1131"/>
      <w:bookmarkEnd w:id="1132"/>
      <w:bookmarkEnd w:id="1133"/>
      <w:bookmarkEnd w:id="1134"/>
      <w:bookmarkEnd w:id="1135"/>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spacing w:before="180"/>
        <w:rPr>
          <w:snapToGrid w:val="0"/>
        </w:rPr>
      </w:pPr>
      <w:bookmarkStart w:id="1136" w:name="_Toc404133620"/>
      <w:bookmarkStart w:id="1137" w:name="_Toc411910617"/>
      <w:bookmarkStart w:id="1138" w:name="_Toc425059268"/>
      <w:bookmarkStart w:id="1139" w:name="_Toc483724681"/>
      <w:bookmarkStart w:id="1140" w:name="_Toc29092538"/>
      <w:bookmarkStart w:id="1141" w:name="_Toc129078294"/>
      <w:bookmarkStart w:id="1142" w:name="_Toc368652416"/>
      <w:r>
        <w:rPr>
          <w:rStyle w:val="CharSectno"/>
        </w:rPr>
        <w:t>49</w:t>
      </w:r>
      <w:r>
        <w:rPr>
          <w:snapToGrid w:val="0"/>
        </w:rPr>
        <w:t>.</w:t>
      </w:r>
      <w:r>
        <w:rPr>
          <w:snapToGrid w:val="0"/>
        </w:rPr>
        <w:tab/>
        <w:t xml:space="preserve">Recovery of deferred charges not prevented by </w:t>
      </w:r>
      <w:r>
        <w:rPr>
          <w:i/>
          <w:snapToGrid w:val="0"/>
        </w:rPr>
        <w:t>Limitation Act </w:t>
      </w:r>
      <w:bookmarkEnd w:id="1136"/>
      <w:bookmarkEnd w:id="1137"/>
      <w:bookmarkEnd w:id="1138"/>
      <w:bookmarkEnd w:id="1139"/>
      <w:bookmarkEnd w:id="1140"/>
      <w:bookmarkEnd w:id="1141"/>
      <w:r>
        <w:rPr>
          <w:i/>
          <w:snapToGrid w:val="0"/>
        </w:rPr>
        <w:t>2005</w:t>
      </w:r>
      <w:bookmarkEnd w:id="1142"/>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spacing w:before="180"/>
        <w:rPr>
          <w:snapToGrid w:val="0"/>
        </w:rPr>
      </w:pPr>
      <w:bookmarkStart w:id="1143" w:name="_Toc404133621"/>
      <w:bookmarkStart w:id="1144" w:name="_Toc411910618"/>
      <w:bookmarkStart w:id="1145" w:name="_Toc425059269"/>
      <w:bookmarkStart w:id="1146" w:name="_Toc483724682"/>
      <w:bookmarkStart w:id="1147" w:name="_Toc29092539"/>
      <w:bookmarkStart w:id="1148" w:name="_Toc129078295"/>
      <w:bookmarkStart w:id="1149" w:name="_Toc368652417"/>
      <w:r>
        <w:rPr>
          <w:rStyle w:val="CharSectno"/>
        </w:rPr>
        <w:t>50</w:t>
      </w:r>
      <w:r>
        <w:rPr>
          <w:snapToGrid w:val="0"/>
        </w:rPr>
        <w:t>.</w:t>
      </w:r>
      <w:r>
        <w:rPr>
          <w:snapToGrid w:val="0"/>
        </w:rPr>
        <w:tab/>
        <w:t>Regulations</w:t>
      </w:r>
      <w:bookmarkEnd w:id="1143"/>
      <w:bookmarkEnd w:id="1144"/>
      <w:bookmarkEnd w:id="1145"/>
      <w:bookmarkEnd w:id="1146"/>
      <w:bookmarkEnd w:id="1147"/>
      <w:bookmarkEnd w:id="1148"/>
      <w:bookmarkEnd w:id="114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ection"/>
        <w:ind w:left="890" w:hanging="890"/>
      </w:pPr>
      <w:r>
        <w:t>[</w:t>
      </w:r>
      <w:r>
        <w:rPr>
          <w:b/>
        </w:rPr>
        <w:t>51.</w:t>
      </w:r>
      <w:r>
        <w:tab/>
        <w:t>Omitted under the Reprints Act 1984 s. 7(4)(f).]</w:t>
      </w:r>
    </w:p>
    <w:p>
      <w:pPr>
        <w:pStyle w:val="Ednotesection"/>
        <w:ind w:left="890" w:hanging="890"/>
      </w:pPr>
      <w:r>
        <w:t>[</w:t>
      </w:r>
      <w:r>
        <w:rPr>
          <w:b/>
        </w:rPr>
        <w:t>52.</w:t>
      </w:r>
      <w:r>
        <w:tab/>
        <w:t>Omitted under the Reprints Act 1984 s. 7(4)(e).]</w:t>
      </w:r>
    </w:p>
    <w:p>
      <w:pPr>
        <w:pStyle w:val="Heading5"/>
      </w:pPr>
      <w:bookmarkStart w:id="1150" w:name="_Toc135547981"/>
      <w:bookmarkStart w:id="1151" w:name="_Toc139791566"/>
      <w:bookmarkStart w:id="1152" w:name="_Toc139791874"/>
      <w:bookmarkStart w:id="1153" w:name="_Toc368652418"/>
      <w:r>
        <w:rPr>
          <w:rStyle w:val="CharSectno"/>
        </w:rPr>
        <w:t>53</w:t>
      </w:r>
      <w:r>
        <w:t>.</w:t>
      </w:r>
      <w:r>
        <w:tab/>
        <w:t>Transitional provisions</w:t>
      </w:r>
      <w:bookmarkEnd w:id="1150"/>
      <w:bookmarkEnd w:id="1151"/>
      <w:bookmarkEnd w:id="1152"/>
      <w:bookmarkEnd w:id="1153"/>
    </w:p>
    <w:p>
      <w:pPr>
        <w:pStyle w:val="Subsection"/>
      </w:pPr>
      <w:r>
        <w:tab/>
      </w:r>
      <w:r>
        <w:tab/>
        <w:t>Schedule 1 contains transitional provisions relating to amendments made to this Act.</w:t>
      </w:r>
    </w:p>
    <w:p>
      <w:pPr>
        <w:pStyle w:val="Footnotesection"/>
      </w:pPr>
      <w:r>
        <w:tab/>
        <w:t>[Section 53 inserted by No. 31 of 2006 s. 38.]</w:t>
      </w:r>
      <w:bookmarkStart w:id="1154" w:name="_Toc134264180"/>
      <w:bookmarkStart w:id="1155" w:name="_Toc134324019"/>
      <w:bookmarkStart w:id="1156" w:name="_Toc134324888"/>
      <w:bookmarkStart w:id="1157" w:name="_Toc134324965"/>
      <w:bookmarkStart w:id="1158" w:name="_Toc134325452"/>
      <w:bookmarkStart w:id="1159" w:name="_Toc134331846"/>
      <w:bookmarkStart w:id="1160" w:name="_Toc134331998"/>
      <w:bookmarkStart w:id="1161" w:name="_Toc134412443"/>
      <w:bookmarkStart w:id="1162" w:name="_Toc134412659"/>
      <w:bookmarkStart w:id="1163" w:name="_Toc134412917"/>
      <w:bookmarkStart w:id="1164" w:name="_Toc134413091"/>
      <w:bookmarkStart w:id="1165" w:name="_Toc134429762"/>
      <w:bookmarkStart w:id="1166" w:name="_Toc134430039"/>
      <w:bookmarkStart w:id="1167" w:name="_Toc134430112"/>
      <w:bookmarkStart w:id="1168" w:name="_Toc134434234"/>
      <w:bookmarkStart w:id="1169" w:name="_Toc134434357"/>
      <w:bookmarkStart w:id="1170" w:name="_Toc134438021"/>
      <w:bookmarkStart w:id="1171" w:name="_Toc134501639"/>
      <w:bookmarkStart w:id="1172" w:name="_Toc134504203"/>
      <w:bookmarkStart w:id="1173" w:name="_Toc134504277"/>
      <w:bookmarkStart w:id="1174" w:name="_Toc134506293"/>
      <w:bookmarkStart w:id="1175" w:name="_Toc134506776"/>
      <w:bookmarkStart w:id="1176" w:name="_Toc134507301"/>
      <w:bookmarkStart w:id="1177" w:name="_Toc134508366"/>
      <w:bookmarkStart w:id="1178" w:name="_Toc134508471"/>
      <w:bookmarkStart w:id="1179" w:name="_Toc134508630"/>
      <w:bookmarkStart w:id="1180" w:name="_Toc134509000"/>
      <w:bookmarkStart w:id="1181" w:name="_Toc134522391"/>
      <w:bookmarkStart w:id="1182" w:name="_Toc134583594"/>
      <w:bookmarkStart w:id="1183" w:name="_Toc134583992"/>
      <w:bookmarkStart w:id="1184" w:name="_Toc134603391"/>
      <w:bookmarkStart w:id="1185" w:name="_Toc134608522"/>
      <w:bookmarkStart w:id="1186" w:name="_Toc134608863"/>
      <w:bookmarkStart w:id="1187" w:name="_Toc134609107"/>
      <w:bookmarkStart w:id="1188" w:name="_Toc135026430"/>
      <w:bookmarkStart w:id="1189" w:name="_Toc135040960"/>
      <w:bookmarkStart w:id="1190" w:name="_Toc135041166"/>
      <w:bookmarkStart w:id="1191" w:name="_Toc135041418"/>
      <w:bookmarkStart w:id="1192" w:name="_Toc135101658"/>
      <w:bookmarkStart w:id="1193" w:name="_Toc135101763"/>
      <w:bookmarkStart w:id="1194" w:name="_Toc135472356"/>
      <w:bookmarkStart w:id="1195" w:name="_Toc135544048"/>
      <w:bookmarkStart w:id="1196" w:name="_Toc135547983"/>
      <w:bookmarkStart w:id="1197" w:name="_Toc139791568"/>
      <w:bookmarkStart w:id="1198" w:name="_Toc139791876"/>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Pr>
      <w:bookmarkStart w:id="1199" w:name="_Toc142809463"/>
      <w:bookmarkStart w:id="1200" w:name="_Toc144087711"/>
      <w:bookmarkStart w:id="1201" w:name="_Toc146516033"/>
      <w:bookmarkStart w:id="1202" w:name="_Toc148504464"/>
      <w:bookmarkStart w:id="1203" w:name="_Toc158003477"/>
      <w:bookmarkStart w:id="1204" w:name="_Toc171223476"/>
      <w:bookmarkStart w:id="1205" w:name="_Toc171229664"/>
      <w:bookmarkStart w:id="1206" w:name="_Toc171319801"/>
      <w:bookmarkStart w:id="1207" w:name="_Toc171321017"/>
      <w:bookmarkStart w:id="1208" w:name="_Toc173660920"/>
      <w:bookmarkStart w:id="1209" w:name="_Toc173729476"/>
      <w:bookmarkStart w:id="1210" w:name="_Toc202511852"/>
      <w:bookmarkStart w:id="1211" w:name="_Toc202516869"/>
      <w:bookmarkStart w:id="1212" w:name="_Toc209602386"/>
      <w:bookmarkStart w:id="1213" w:name="_Toc209839699"/>
      <w:bookmarkStart w:id="1214" w:name="_Toc212537622"/>
      <w:bookmarkStart w:id="1215" w:name="_Toc312057075"/>
      <w:bookmarkStart w:id="1216" w:name="_Toc312057154"/>
      <w:bookmarkStart w:id="1217" w:name="_Toc312059703"/>
      <w:bookmarkStart w:id="1218" w:name="_Toc328465300"/>
      <w:bookmarkStart w:id="1219" w:name="_Toc334444648"/>
      <w:bookmarkStart w:id="1220" w:name="_Toc334706923"/>
      <w:bookmarkStart w:id="1221" w:name="_Toc339638117"/>
      <w:bookmarkStart w:id="1222" w:name="_Toc339638196"/>
      <w:bookmarkStart w:id="1223" w:name="_Toc340650988"/>
      <w:bookmarkStart w:id="1224" w:name="_Toc360454631"/>
      <w:bookmarkStart w:id="1225" w:name="_Toc360541792"/>
      <w:bookmarkStart w:id="1226" w:name="_Toc361730977"/>
      <w:bookmarkStart w:id="1227" w:name="_Toc361731422"/>
      <w:bookmarkStart w:id="1228" w:name="_Toc361743182"/>
      <w:bookmarkStart w:id="1229" w:name="_Toc364845211"/>
      <w:bookmarkStart w:id="1230" w:name="_Toc368652419"/>
      <w:r>
        <w:rPr>
          <w:rStyle w:val="CharSchNo"/>
        </w:rPr>
        <w:t>Schedule 1</w:t>
      </w:r>
      <w:r>
        <w:t> — </w:t>
      </w:r>
      <w:r>
        <w:rPr>
          <w:rStyle w:val="CharSchText"/>
        </w:rPr>
        <w:t>Transitional provisions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yShoulderClause"/>
      </w:pPr>
      <w:r>
        <w:t>[s. 53]</w:t>
      </w:r>
    </w:p>
    <w:p>
      <w:pPr>
        <w:pStyle w:val="yFootnoteheading"/>
      </w:pPr>
      <w:r>
        <w:tab/>
        <w:t>[Heading inserted by No. 31 of 2006 s. 39.]</w:t>
      </w:r>
    </w:p>
    <w:p>
      <w:pPr>
        <w:pStyle w:val="yHeading3"/>
        <w:outlineLvl w:val="9"/>
      </w:pPr>
      <w:bookmarkStart w:id="1231" w:name="_Toc134331847"/>
      <w:bookmarkStart w:id="1232" w:name="_Toc134331999"/>
      <w:bookmarkStart w:id="1233" w:name="_Toc134412444"/>
      <w:bookmarkStart w:id="1234" w:name="_Toc134412660"/>
      <w:bookmarkStart w:id="1235" w:name="_Toc134412918"/>
      <w:bookmarkStart w:id="1236" w:name="_Toc134413092"/>
      <w:bookmarkStart w:id="1237" w:name="_Toc134429763"/>
      <w:bookmarkStart w:id="1238" w:name="_Toc134430040"/>
      <w:bookmarkStart w:id="1239" w:name="_Toc134430113"/>
      <w:bookmarkStart w:id="1240" w:name="_Toc134434235"/>
      <w:bookmarkStart w:id="1241" w:name="_Toc134434358"/>
      <w:bookmarkStart w:id="1242" w:name="_Toc134438022"/>
      <w:bookmarkStart w:id="1243" w:name="_Toc134501640"/>
      <w:bookmarkStart w:id="1244" w:name="_Toc134504204"/>
      <w:bookmarkStart w:id="1245" w:name="_Toc134504278"/>
      <w:bookmarkStart w:id="1246" w:name="_Toc134506294"/>
      <w:bookmarkStart w:id="1247" w:name="_Toc134506777"/>
      <w:bookmarkStart w:id="1248" w:name="_Toc134507302"/>
      <w:bookmarkStart w:id="1249" w:name="_Toc134508367"/>
      <w:bookmarkStart w:id="1250" w:name="_Toc134508472"/>
      <w:bookmarkStart w:id="1251" w:name="_Toc134508631"/>
      <w:bookmarkStart w:id="1252" w:name="_Toc134509001"/>
      <w:bookmarkStart w:id="1253" w:name="_Toc134522392"/>
      <w:bookmarkStart w:id="1254" w:name="_Toc134583595"/>
      <w:bookmarkStart w:id="1255" w:name="_Toc134583993"/>
      <w:bookmarkStart w:id="1256" w:name="_Toc134603392"/>
      <w:bookmarkStart w:id="1257" w:name="_Toc134608523"/>
      <w:bookmarkStart w:id="1258" w:name="_Toc134608864"/>
      <w:bookmarkStart w:id="1259" w:name="_Toc134609108"/>
      <w:bookmarkStart w:id="1260" w:name="_Toc135026431"/>
      <w:bookmarkStart w:id="1261" w:name="_Toc135040961"/>
      <w:bookmarkStart w:id="1262" w:name="_Toc135041167"/>
      <w:bookmarkStart w:id="1263" w:name="_Toc135041419"/>
      <w:bookmarkStart w:id="1264" w:name="_Toc135101659"/>
      <w:bookmarkStart w:id="1265" w:name="_Toc135101764"/>
      <w:bookmarkStart w:id="1266" w:name="_Toc135472357"/>
      <w:bookmarkStart w:id="1267" w:name="_Toc135544049"/>
      <w:bookmarkStart w:id="1268" w:name="_Toc135547984"/>
      <w:bookmarkStart w:id="1269" w:name="_Toc139791569"/>
      <w:bookmarkStart w:id="1270" w:name="_Toc139791877"/>
      <w:bookmarkStart w:id="1271" w:name="_Toc139864863"/>
      <w:bookmarkStart w:id="1272" w:name="_Toc140046318"/>
      <w:bookmarkStart w:id="1273" w:name="_Toc140046393"/>
      <w:bookmarkStart w:id="1274" w:name="_Toc142809464"/>
      <w:bookmarkStart w:id="1275" w:name="_Toc144087712"/>
      <w:bookmarkStart w:id="1276" w:name="_Toc146516034"/>
      <w:bookmarkStart w:id="1277" w:name="_Toc148504465"/>
      <w:bookmarkStart w:id="1278" w:name="_Toc158003478"/>
      <w:bookmarkStart w:id="1279" w:name="_Toc171223477"/>
      <w:bookmarkStart w:id="1280" w:name="_Toc171229665"/>
      <w:bookmarkStart w:id="1281" w:name="_Toc171319802"/>
      <w:bookmarkStart w:id="1282" w:name="_Toc171321018"/>
      <w:bookmarkStart w:id="1283" w:name="_Toc173660921"/>
      <w:bookmarkStart w:id="1284" w:name="_Toc173729477"/>
      <w:bookmarkStart w:id="1285" w:name="_Toc202511853"/>
      <w:bookmarkStart w:id="1286" w:name="_Toc202516870"/>
      <w:bookmarkStart w:id="1287" w:name="_Toc209602387"/>
      <w:bookmarkStart w:id="1288" w:name="_Toc209839700"/>
      <w:bookmarkStart w:id="1289" w:name="_Toc212537623"/>
      <w:bookmarkStart w:id="1290" w:name="_Toc312057076"/>
      <w:bookmarkStart w:id="1291" w:name="_Toc312057155"/>
      <w:bookmarkStart w:id="1292" w:name="_Toc312059704"/>
      <w:bookmarkStart w:id="1293" w:name="_Toc328465301"/>
      <w:bookmarkStart w:id="1294" w:name="_Toc334444649"/>
      <w:bookmarkStart w:id="1295" w:name="_Toc334706924"/>
      <w:bookmarkStart w:id="1296" w:name="_Toc339638118"/>
      <w:bookmarkStart w:id="1297" w:name="_Toc339638197"/>
      <w:bookmarkStart w:id="1298" w:name="_Toc340650989"/>
      <w:bookmarkStart w:id="1299" w:name="_Toc360454632"/>
      <w:bookmarkStart w:id="1300" w:name="_Toc360541793"/>
      <w:bookmarkStart w:id="1301" w:name="_Toc361730978"/>
      <w:bookmarkStart w:id="1302" w:name="_Toc361731423"/>
      <w:bookmarkStart w:id="1303" w:name="_Toc361743183"/>
      <w:bookmarkStart w:id="1304" w:name="_Toc364845212"/>
      <w:bookmarkStart w:id="1305" w:name="_Toc368652420"/>
      <w:r>
        <w:rPr>
          <w:rStyle w:val="CharSDivNo"/>
        </w:rPr>
        <w:t>Division 1</w:t>
      </w:r>
      <w:r>
        <w:rPr>
          <w:b w:val="0"/>
        </w:rPr>
        <w:t> — </w:t>
      </w:r>
      <w:r>
        <w:rPr>
          <w:rStyle w:val="CharSDivText"/>
        </w:rPr>
        <w:t xml:space="preserve">Provision for </w:t>
      </w:r>
      <w:r>
        <w:rPr>
          <w:rStyle w:val="CharSDivText"/>
          <w:i/>
        </w:rPr>
        <w:t>Revenue Laws Amendment Act 2006</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yFootnoteheading"/>
      </w:pPr>
      <w:r>
        <w:tab/>
        <w:t>[Heading inserted by No. 31 of 2006 s. 39.]</w:t>
      </w:r>
    </w:p>
    <w:p>
      <w:pPr>
        <w:pStyle w:val="yHeading5"/>
        <w:outlineLvl w:val="9"/>
      </w:pPr>
      <w:bookmarkStart w:id="1306" w:name="_Toc135547985"/>
      <w:bookmarkStart w:id="1307" w:name="_Toc139791570"/>
      <w:bookmarkStart w:id="1308" w:name="_Toc139791878"/>
      <w:bookmarkStart w:id="1309" w:name="_Toc368652421"/>
      <w:r>
        <w:rPr>
          <w:rStyle w:val="CharSClsNo"/>
        </w:rPr>
        <w:t>1</w:t>
      </w:r>
      <w:r>
        <w:t>.</w:t>
      </w:r>
      <w:r>
        <w:rPr>
          <w:b w:val="0"/>
        </w:rPr>
        <w:tab/>
      </w:r>
      <w:r>
        <w:t>Application of section 40</w:t>
      </w:r>
      <w:bookmarkEnd w:id="1306"/>
      <w:bookmarkEnd w:id="1307"/>
      <w:bookmarkEnd w:id="1308"/>
      <w:bookmarkEnd w:id="1309"/>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pStyle w:val="CentredBaseLine"/>
        <w:jc w:val="center"/>
      </w:pPr>
      <w:bookmarkStart w:id="1310" w:name="_Toc86555003"/>
      <w:bookmarkStart w:id="1311" w:name="_Toc96997146"/>
      <w:bookmarkStart w:id="1312" w:name="_Toc106163583"/>
      <w:bookmarkStart w:id="1313" w:name="_Toc108838544"/>
      <w:bookmarkStart w:id="1314" w:name="_Toc108843410"/>
      <w:bookmarkStart w:id="1315" w:name="_Toc119983292"/>
      <w:bookmarkStart w:id="1316" w:name="_Toc128477273"/>
      <w:bookmarkStart w:id="1317" w:name="_Toc129078298"/>
      <w:bookmarkStart w:id="1318" w:name="_Toc139360924"/>
      <w:bookmarkStart w:id="1319" w:name="_Toc139707645"/>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pPr>
      <w:bookmarkStart w:id="1320" w:name="_Toc139864865"/>
      <w:bookmarkStart w:id="1321" w:name="_Toc140046320"/>
      <w:bookmarkStart w:id="1322" w:name="_Toc140046395"/>
      <w:bookmarkStart w:id="1323" w:name="_Toc142809466"/>
      <w:bookmarkStart w:id="1324" w:name="_Toc144087714"/>
      <w:bookmarkStart w:id="1325" w:name="_Toc146516036"/>
      <w:bookmarkStart w:id="1326" w:name="_Toc148504467"/>
      <w:bookmarkStart w:id="1327" w:name="_Toc158003480"/>
      <w:bookmarkStart w:id="1328" w:name="_Toc171223479"/>
      <w:bookmarkStart w:id="1329" w:name="_Toc171229667"/>
      <w:bookmarkStart w:id="1330" w:name="_Toc171319804"/>
      <w:bookmarkStart w:id="1331" w:name="_Toc171321020"/>
      <w:bookmarkStart w:id="1332" w:name="_Toc173660923"/>
      <w:bookmarkStart w:id="1333" w:name="_Toc173729479"/>
      <w:bookmarkStart w:id="1334" w:name="_Toc202511855"/>
      <w:bookmarkStart w:id="1335" w:name="_Toc202516872"/>
      <w:bookmarkStart w:id="1336" w:name="_Toc209602389"/>
      <w:bookmarkStart w:id="1337" w:name="_Toc209839702"/>
      <w:bookmarkStart w:id="1338" w:name="_Toc212537625"/>
      <w:bookmarkStart w:id="1339" w:name="_Toc312057078"/>
      <w:bookmarkStart w:id="1340" w:name="_Toc312057157"/>
      <w:bookmarkStart w:id="1341" w:name="_Toc312059706"/>
      <w:bookmarkStart w:id="1342" w:name="_Toc328465303"/>
      <w:bookmarkStart w:id="1343" w:name="_Toc334444651"/>
      <w:bookmarkStart w:id="1344" w:name="_Toc334706926"/>
      <w:bookmarkStart w:id="1345" w:name="_Toc339638120"/>
      <w:bookmarkStart w:id="1346" w:name="_Toc339638199"/>
      <w:bookmarkStart w:id="1347" w:name="_Toc340650991"/>
      <w:bookmarkStart w:id="1348" w:name="_Toc360454634"/>
      <w:bookmarkStart w:id="1349" w:name="_Toc360541795"/>
      <w:bookmarkStart w:id="1350" w:name="_Toc361730980"/>
      <w:bookmarkStart w:id="1351" w:name="_Toc361731425"/>
      <w:bookmarkStart w:id="1352" w:name="_Toc361743185"/>
      <w:bookmarkStart w:id="1353" w:name="_Toc364845214"/>
      <w:bookmarkStart w:id="1354" w:name="_Toc368652422"/>
      <w:r>
        <w:t>Notes</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4 October 2013</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Rates and Charges (Rebates and Deferments) Act 1992</w:t>
      </w:r>
      <w:r>
        <w:rPr>
          <w:i/>
          <w:snapToGrid w:val="0"/>
        </w:rPr>
        <w:fldChar w:fldCharType="end"/>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355" w:name="_Toc368652423"/>
      <w:r>
        <w:rPr>
          <w:snapToGrid w:val="0"/>
        </w:rPr>
        <w:t>Compilation table</w:t>
      </w:r>
      <w:bookmarkEnd w:id="1355"/>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4"/>
        <w:gridCol w:w="2551"/>
        <w:gridCol w:w="7"/>
      </w:tblGrid>
      <w:tr>
        <w:trPr>
          <w:cantSplit/>
          <w:tblHeader/>
        </w:trPr>
        <w:tc>
          <w:tcPr>
            <w:tcW w:w="2273"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5" w:type="dxa"/>
          <w:cantSplit/>
        </w:trPr>
        <w:tc>
          <w:tcPr>
            <w:tcW w:w="2268" w:type="dxa"/>
          </w:tcPr>
          <w:p>
            <w:pPr>
              <w:pStyle w:val="nTable"/>
              <w:spacing w:after="40"/>
              <w:ind w:right="113"/>
              <w:rPr>
                <w:sz w:val="19"/>
              </w:rPr>
            </w:pPr>
            <w:r>
              <w:rPr>
                <w:i/>
                <w:sz w:val="19"/>
              </w:rPr>
              <w:t>Rates and Charges (Rebates and Deferments) Act 1992</w:t>
            </w:r>
          </w:p>
        </w:tc>
        <w:tc>
          <w:tcPr>
            <w:tcW w:w="1136" w:type="dxa"/>
          </w:tcPr>
          <w:p>
            <w:pPr>
              <w:pStyle w:val="nTable"/>
              <w:spacing w:after="40"/>
              <w:rPr>
                <w:sz w:val="19"/>
              </w:rPr>
            </w:pPr>
            <w:r>
              <w:rPr>
                <w:sz w:val="19"/>
              </w:rPr>
              <w:t>31 of 1992</w:t>
            </w:r>
          </w:p>
        </w:tc>
        <w:tc>
          <w:tcPr>
            <w:tcW w:w="1134" w:type="dxa"/>
          </w:tcPr>
          <w:p>
            <w:pPr>
              <w:pStyle w:val="nTable"/>
              <w:spacing w:after="40"/>
              <w:rPr>
                <w:sz w:val="19"/>
              </w:rPr>
            </w:pPr>
            <w:r>
              <w:rPr>
                <w:sz w:val="19"/>
              </w:rPr>
              <w:t>19 Jun 1992</w:t>
            </w:r>
          </w:p>
        </w:tc>
        <w:tc>
          <w:tcPr>
            <w:tcW w:w="2551" w:type="dxa"/>
          </w:tcPr>
          <w:p>
            <w:pPr>
              <w:pStyle w:val="nTable"/>
              <w:spacing w:after="40"/>
              <w:rPr>
                <w:sz w:val="19"/>
              </w:rPr>
            </w:pPr>
            <w:r>
              <w:rPr>
                <w:sz w:val="19"/>
              </w:rPr>
              <w:t>s. 1 and 2: 19 Jun 1992;</w:t>
            </w:r>
            <w:r>
              <w:rPr>
                <w:sz w:val="19"/>
              </w:rPr>
              <w:br/>
              <w:t xml:space="preserve">Act other than s. 1 and 2: 1 Jul 1992 (see s. 2 and </w:t>
            </w:r>
            <w:r>
              <w:rPr>
                <w:i/>
                <w:sz w:val="19"/>
              </w:rPr>
              <w:t>Gazette</w:t>
            </w:r>
            <w:r>
              <w:rPr>
                <w:sz w:val="19"/>
              </w:rPr>
              <w:t xml:space="preserve"> 26 Jun 1992 p. 2643)</w:t>
            </w:r>
          </w:p>
        </w:tc>
      </w:tr>
      <w:tr>
        <w:trPr>
          <w:gridAfter w:val="1"/>
          <w:wAfter w:w="5" w:type="dxa"/>
          <w:cantSplit/>
        </w:trPr>
        <w:tc>
          <w:tcPr>
            <w:tcW w:w="2268" w:type="dxa"/>
          </w:tcPr>
          <w:p>
            <w:pPr>
              <w:pStyle w:val="nTable"/>
              <w:tabs>
                <w:tab w:val="left" w:pos="893"/>
              </w:tabs>
              <w:spacing w:after="40"/>
              <w:ind w:right="113"/>
              <w:rPr>
                <w:sz w:val="19"/>
              </w:rPr>
            </w:pPr>
            <w:r>
              <w:rPr>
                <w:i/>
                <w:sz w:val="19"/>
              </w:rPr>
              <w:t>Rates and Charges (Rebates and Deferments) Amendment Act 1993</w:t>
            </w:r>
          </w:p>
        </w:tc>
        <w:tc>
          <w:tcPr>
            <w:tcW w:w="1136" w:type="dxa"/>
          </w:tcPr>
          <w:p>
            <w:pPr>
              <w:pStyle w:val="nTable"/>
              <w:spacing w:after="40"/>
              <w:rPr>
                <w:sz w:val="19"/>
              </w:rPr>
            </w:pPr>
            <w:r>
              <w:rPr>
                <w:sz w:val="19"/>
              </w:rPr>
              <w:t>25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Pt. 1 and 2: 1 Jul 1993 (see s. 2(1));</w:t>
            </w:r>
            <w:r>
              <w:rPr>
                <w:sz w:val="19"/>
              </w:rPr>
              <w:br/>
              <w:t xml:space="preserve">Pt. 3: 1 Jan 1994 (see s. 2(2) and </w:t>
            </w:r>
            <w:r>
              <w:rPr>
                <w:i/>
                <w:sz w:val="19"/>
              </w:rPr>
              <w:t>Gazette</w:t>
            </w:r>
            <w:r>
              <w:rPr>
                <w:sz w:val="19"/>
              </w:rPr>
              <w:t xml:space="preserve"> 31 Dec 1993 p. 6862)</w:t>
            </w:r>
          </w:p>
        </w:tc>
      </w:tr>
      <w:tr>
        <w:trPr>
          <w:gridAfter w:val="1"/>
          <w:wAfter w:w="5" w:type="dxa"/>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6"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gridAfter w:val="1"/>
          <w:wAfter w:w="5" w:type="dxa"/>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5" w:type="dxa"/>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6"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 xml:space="preserve">1 Jul 1996 (see s. 2) </w:t>
            </w:r>
          </w:p>
        </w:tc>
      </w:tr>
      <w:tr>
        <w:trPr>
          <w:gridAfter w:val="1"/>
          <w:wAfter w:w="5" w:type="dxa"/>
          <w:cantSplit/>
        </w:trPr>
        <w:tc>
          <w:tcPr>
            <w:tcW w:w="2268" w:type="dxa"/>
          </w:tcPr>
          <w:p>
            <w:pPr>
              <w:pStyle w:val="nTable"/>
              <w:spacing w:after="40"/>
              <w:ind w:right="113"/>
              <w:rPr>
                <w:sz w:val="19"/>
              </w:rPr>
            </w:pPr>
            <w:r>
              <w:rPr>
                <w:i/>
                <w:sz w:val="19"/>
              </w:rPr>
              <w:t>Statutes (Repeals and Minor Amendments) Act 1997</w:t>
            </w:r>
            <w:r>
              <w:rPr>
                <w:sz w:val="19"/>
              </w:rPr>
              <w:t xml:space="preserve"> s. 102</w:t>
            </w:r>
          </w:p>
        </w:tc>
        <w:tc>
          <w:tcPr>
            <w:tcW w:w="1136"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5" w:type="dxa"/>
          <w:cantSplit/>
        </w:trPr>
        <w:tc>
          <w:tcPr>
            <w:tcW w:w="2268"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7</w:t>
            </w:r>
          </w:p>
        </w:tc>
        <w:tc>
          <w:tcPr>
            <w:tcW w:w="1136"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1 Jul 1998 (see s. 2(1))</w:t>
            </w:r>
          </w:p>
        </w:tc>
      </w:tr>
      <w:tr>
        <w:trPr>
          <w:gridAfter w:val="1"/>
          <w:wAfter w:w="7" w:type="dxa"/>
          <w:cantSplit/>
        </w:trPr>
        <w:tc>
          <w:tcPr>
            <w:tcW w:w="7087" w:type="dxa"/>
            <w:gridSpan w:val="4"/>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gridAfter w:val="1"/>
          <w:wAfter w:w="5" w:type="dxa"/>
          <w:cantSplit/>
        </w:trPr>
        <w:tc>
          <w:tcPr>
            <w:tcW w:w="2268"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8, 9</w:t>
            </w:r>
          </w:p>
        </w:tc>
        <w:tc>
          <w:tcPr>
            <w:tcW w:w="1136" w:type="dxa"/>
          </w:tcPr>
          <w:p>
            <w:pPr>
              <w:pStyle w:val="nTable"/>
              <w:spacing w:after="40"/>
              <w:rPr>
                <w:sz w:val="19"/>
              </w:rPr>
            </w:pPr>
            <w:r>
              <w:rPr>
                <w:sz w:val="19"/>
              </w:rPr>
              <w:t>3 of 2001</w:t>
            </w:r>
          </w:p>
        </w:tc>
        <w:tc>
          <w:tcPr>
            <w:tcW w:w="1134" w:type="dxa"/>
          </w:tcPr>
          <w:p>
            <w:pPr>
              <w:pStyle w:val="nTable"/>
              <w:spacing w:after="40"/>
              <w:rPr>
                <w:sz w:val="19"/>
              </w:rPr>
            </w:pPr>
            <w:r>
              <w:rPr>
                <w:sz w:val="19"/>
              </w:rPr>
              <w:t>26 Jun 2001</w:t>
            </w:r>
          </w:p>
        </w:tc>
        <w:tc>
          <w:tcPr>
            <w:tcW w:w="2551" w:type="dxa"/>
          </w:tcPr>
          <w:p>
            <w:pPr>
              <w:pStyle w:val="nTable"/>
              <w:spacing w:after="40"/>
              <w:rPr>
                <w:sz w:val="19"/>
              </w:rPr>
            </w:pPr>
            <w:r>
              <w:rPr>
                <w:sz w:val="19"/>
              </w:rPr>
              <w:t>1 Jul 2001 (see s. 2(2))</w:t>
            </w:r>
          </w:p>
        </w:tc>
      </w:tr>
      <w:tr>
        <w:trPr>
          <w:gridAfter w:val="1"/>
          <w:wAfter w:w="5" w:type="dxa"/>
          <w:cantSplit/>
        </w:trPr>
        <w:tc>
          <w:tcPr>
            <w:tcW w:w="2268"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10</w:t>
            </w:r>
          </w:p>
        </w:tc>
        <w:tc>
          <w:tcPr>
            <w:tcW w:w="1136" w:type="dxa"/>
          </w:tcPr>
          <w:p>
            <w:pPr>
              <w:pStyle w:val="nTable"/>
              <w:spacing w:after="40"/>
              <w:rPr>
                <w:sz w:val="19"/>
              </w:rPr>
            </w:pPr>
            <w:r>
              <w:rPr>
                <w:sz w:val="19"/>
              </w:rPr>
              <w:t>42 of 2002</w:t>
            </w:r>
          </w:p>
        </w:tc>
        <w:tc>
          <w:tcPr>
            <w:tcW w:w="1134" w:type="dxa"/>
          </w:tcPr>
          <w:p>
            <w:pPr>
              <w:pStyle w:val="nTable"/>
              <w:spacing w:after="40"/>
              <w:rPr>
                <w:sz w:val="19"/>
              </w:rPr>
            </w:pPr>
            <w:r>
              <w:rPr>
                <w:sz w:val="19"/>
              </w:rPr>
              <w:t>11 Dec 2002</w:t>
            </w:r>
          </w:p>
        </w:tc>
        <w:tc>
          <w:tcPr>
            <w:tcW w:w="2551"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gridAfter w:val="1"/>
          <w:wAfter w:w="5" w:type="dxa"/>
          <w:cantSplit/>
        </w:trPr>
        <w:tc>
          <w:tcPr>
            <w:tcW w:w="2268" w:type="dxa"/>
          </w:tcPr>
          <w:p>
            <w:pPr>
              <w:pStyle w:val="nTable"/>
              <w:spacing w:after="40"/>
              <w:ind w:right="113"/>
              <w:rPr>
                <w:sz w:val="19"/>
              </w:rPr>
            </w:pPr>
            <w:r>
              <w:rPr>
                <w:i/>
                <w:sz w:val="19"/>
              </w:rPr>
              <w:t>Acts Amendment (Equality of Status) Act 2003</w:t>
            </w:r>
            <w:r>
              <w:rPr>
                <w:sz w:val="19"/>
              </w:rPr>
              <w:t xml:space="preserve"> Pt. 50</w:t>
            </w:r>
          </w:p>
        </w:tc>
        <w:tc>
          <w:tcPr>
            <w:tcW w:w="1136"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gridAfter w:val="1"/>
          <w:wAfter w:w="5" w:type="dxa"/>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22</w:t>
            </w:r>
          </w:p>
        </w:tc>
        <w:tc>
          <w:tcPr>
            <w:tcW w:w="1136"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After w:val="1"/>
          <w:wAfter w:w="5" w:type="dxa"/>
          <w:cantSplit/>
        </w:trPr>
        <w:tc>
          <w:tcPr>
            <w:tcW w:w="2268"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6"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5" w:type="dxa"/>
          <w:cantSplit/>
        </w:trPr>
        <w:tc>
          <w:tcPr>
            <w:tcW w:w="2268"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11</w:t>
            </w:r>
          </w:p>
        </w:tc>
        <w:tc>
          <w:tcPr>
            <w:tcW w:w="1136" w:type="dxa"/>
          </w:tcPr>
          <w:p>
            <w:pPr>
              <w:pStyle w:val="nTable"/>
              <w:spacing w:after="40"/>
              <w:rPr>
                <w:snapToGrid w:val="0"/>
                <w:sz w:val="19"/>
                <w:lang w:val="en-US"/>
              </w:rPr>
            </w:pPr>
            <w:r>
              <w:rPr>
                <w:snapToGrid w:val="0"/>
                <w:sz w:val="19"/>
                <w:lang w:val="en-US"/>
              </w:rPr>
              <w:t>9 of 2005</w:t>
            </w:r>
          </w:p>
        </w:tc>
        <w:tc>
          <w:tcPr>
            <w:tcW w:w="1134" w:type="dxa"/>
          </w:tcPr>
          <w:p>
            <w:pPr>
              <w:pStyle w:val="nTable"/>
              <w:spacing w:after="40"/>
              <w:rPr>
                <w:sz w:val="19"/>
              </w:rPr>
            </w:pPr>
            <w:r>
              <w:rPr>
                <w:sz w:val="19"/>
              </w:rPr>
              <w:t>7 Jul 2005</w:t>
            </w:r>
          </w:p>
        </w:tc>
        <w:tc>
          <w:tcPr>
            <w:tcW w:w="2551" w:type="dxa"/>
          </w:tcPr>
          <w:p>
            <w:pPr>
              <w:pStyle w:val="nTable"/>
              <w:spacing w:after="40"/>
              <w:rPr>
                <w:snapToGrid w:val="0"/>
                <w:sz w:val="19"/>
                <w:lang w:val="en-US"/>
              </w:rPr>
            </w:pPr>
            <w:r>
              <w:rPr>
                <w:snapToGrid w:val="0"/>
                <w:sz w:val="19"/>
                <w:lang w:val="en-US"/>
              </w:rPr>
              <w:t>s. 4(2), 11, 14(1) and (2) and 15: 1 Jul 2005 (see s. 2(3));</w:t>
            </w:r>
            <w:r>
              <w:rPr>
                <w:snapToGrid w:val="0"/>
                <w:sz w:val="19"/>
                <w:lang w:val="en-US"/>
              </w:rPr>
              <w:br/>
              <w:t>Act other than s. 4(2), 11, 14(1) and (2) and 15: 7 Jul 2005 (see s. 2(1))</w:t>
            </w:r>
          </w:p>
        </w:tc>
      </w:tr>
      <w:tr>
        <w:trPr>
          <w:gridAfter w:val="1"/>
          <w:wAfter w:w="5" w:type="dxa"/>
        </w:trP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6"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2(1))</w:t>
            </w:r>
          </w:p>
        </w:tc>
      </w:tr>
      <w:tr>
        <w:trPr>
          <w:gridAfter w:val="1"/>
          <w:wAfter w:w="5" w:type="dxa"/>
        </w:trPr>
        <w:tc>
          <w:tcPr>
            <w:tcW w:w="226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6"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After w:val="1"/>
          <w:wAfter w:w="5" w:type="dxa"/>
        </w:trPr>
        <w:tc>
          <w:tcPr>
            <w:tcW w:w="2268"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tcPr>
          <w:p>
            <w:pPr>
              <w:pStyle w:val="nTable"/>
              <w:spacing w:after="40"/>
              <w:rPr>
                <w:sz w:val="19"/>
              </w:rPr>
            </w:pPr>
            <w:r>
              <w:rPr>
                <w:sz w:val="19"/>
              </w:rPr>
              <w:t>31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1 Jul 2006 (see s. 2(5))</w:t>
            </w:r>
          </w:p>
        </w:tc>
      </w:tr>
      <w:tr>
        <w:trPr>
          <w:gridAfter w:val="1"/>
          <w:wAfter w:w="5" w:type="dxa"/>
        </w:trPr>
        <w:tc>
          <w:tcPr>
            <w:tcW w:w="2268" w:type="dxa"/>
          </w:tcPr>
          <w:p>
            <w:pPr>
              <w:pStyle w:val="nTable"/>
              <w:spacing w:after="40"/>
              <w:rPr>
                <w:i/>
                <w:noProof/>
                <w:snapToGrid w:val="0"/>
                <w:sz w:val="19"/>
              </w:rPr>
            </w:pPr>
            <w:r>
              <w:rPr>
                <w:i/>
                <w:noProof/>
                <w:snapToGrid w:val="0"/>
                <w:sz w:val="19"/>
              </w:rPr>
              <w:t>Residential Parks (Long</w:t>
            </w:r>
            <w:r>
              <w:rPr>
                <w:i/>
                <w:noProof/>
                <w:snapToGrid w:val="0"/>
                <w:sz w:val="19"/>
              </w:rPr>
              <w:noBreakHyphen/>
              <w:t>stay Tenants) Act 2006 </w:t>
            </w:r>
            <w:r>
              <w:rPr>
                <w:noProof/>
                <w:snapToGrid w:val="0"/>
                <w:sz w:val="19"/>
              </w:rPr>
              <w:t>s. 98</w:t>
            </w:r>
          </w:p>
        </w:tc>
        <w:tc>
          <w:tcPr>
            <w:tcW w:w="1136" w:type="dxa"/>
          </w:tcPr>
          <w:p>
            <w:pPr>
              <w:pStyle w:val="nTable"/>
              <w:spacing w:after="40"/>
              <w:rPr>
                <w:sz w:val="19"/>
              </w:rPr>
            </w:pPr>
            <w:r>
              <w:rPr>
                <w:snapToGrid w:val="0"/>
                <w:sz w:val="19"/>
                <w:lang w:val="en-US"/>
              </w:rPr>
              <w:t>32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z w:val="19"/>
              </w:rPr>
            </w:pPr>
            <w:r>
              <w:rPr>
                <w:sz w:val="19"/>
              </w:rPr>
              <w:t xml:space="preserve">3 Aug 2007 (see s. 2 and </w:t>
            </w:r>
            <w:r>
              <w:rPr>
                <w:i/>
                <w:iCs/>
                <w:sz w:val="19"/>
              </w:rPr>
              <w:t>Gazette</w:t>
            </w:r>
            <w:r>
              <w:rPr>
                <w:sz w:val="19"/>
              </w:rPr>
              <w:t xml:space="preserve"> 1 Aug 2007 p. 3835)</w:t>
            </w:r>
          </w:p>
        </w:tc>
      </w:tr>
      <w:tr>
        <w:trPr>
          <w:gridAfter w:val="1"/>
          <w:wAfter w:w="7" w:type="dxa"/>
          <w:cantSplit/>
        </w:trPr>
        <w:tc>
          <w:tcPr>
            <w:tcW w:w="7087" w:type="dxa"/>
            <w:gridSpan w:val="4"/>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 xml:space="preserve">(includes amendments listed above except those in the </w:t>
            </w:r>
            <w:r>
              <w:rPr>
                <w:i/>
                <w:iCs/>
                <w:sz w:val="19"/>
              </w:rPr>
              <w:t>Residential Parks (Long-stay Tenants) Act 2006</w:t>
            </w:r>
            <w:r>
              <w:rPr>
                <w:sz w:val="19"/>
              </w:rPr>
              <w:t>)</w:t>
            </w:r>
          </w:p>
        </w:tc>
      </w:tr>
      <w:tr>
        <w:trPr>
          <w:gridAfter w:val="1"/>
          <w:wAfter w:w="5" w:type="dxa"/>
        </w:trPr>
        <w:tc>
          <w:tcPr>
            <w:tcW w:w="2268" w:type="dxa"/>
          </w:tcPr>
          <w:p>
            <w:pPr>
              <w:pStyle w:val="nTable"/>
              <w:spacing w:after="40"/>
              <w:rPr>
                <w:noProof/>
                <w:snapToGrid w:val="0"/>
                <w:sz w:val="19"/>
                <w:vertAlign w:val="superscript"/>
              </w:rPr>
            </w:pPr>
            <w:r>
              <w:rPr>
                <w:i/>
                <w:snapToGrid w:val="0"/>
                <w:sz w:val="19"/>
                <w:lang w:val="en-US"/>
              </w:rPr>
              <w:t xml:space="preserve">Financial Legislation Amendment and Repeal Act 2006 </w:t>
            </w:r>
            <w:r>
              <w:rPr>
                <w:snapToGrid w:val="0"/>
                <w:sz w:val="19"/>
                <w:lang w:val="en-US"/>
              </w:rPr>
              <w:t>s. 8 and Sch. 1 cl. 146</w:t>
            </w:r>
          </w:p>
        </w:tc>
        <w:tc>
          <w:tcPr>
            <w:tcW w:w="1136"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5" w:type="dxa"/>
          <w:cantSplit/>
        </w:trPr>
        <w:tc>
          <w:tcPr>
            <w:tcW w:w="2268"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2 </w:t>
            </w:r>
          </w:p>
        </w:tc>
        <w:tc>
          <w:tcPr>
            <w:tcW w:w="1136" w:type="dxa"/>
          </w:tcPr>
          <w:p>
            <w:pPr>
              <w:pStyle w:val="nTable"/>
              <w:spacing w:after="40"/>
              <w:rPr>
                <w:snapToGrid w:val="0"/>
                <w:sz w:val="19"/>
                <w:lang w:val="en-US"/>
              </w:rPr>
            </w:pPr>
            <w:r>
              <w:rPr>
                <w:snapToGrid w:val="0"/>
                <w:sz w:val="19"/>
                <w:lang w:val="en-US"/>
              </w:rPr>
              <w:t>13 of 2007</w:t>
            </w:r>
          </w:p>
        </w:tc>
        <w:tc>
          <w:tcPr>
            <w:tcW w:w="1134" w:type="dxa"/>
          </w:tcPr>
          <w:p>
            <w:pPr>
              <w:pStyle w:val="nTable"/>
              <w:spacing w:after="40"/>
              <w:rPr>
                <w:snapToGrid w:val="0"/>
                <w:sz w:val="19"/>
                <w:lang w:val="en-US"/>
              </w:rPr>
            </w:pPr>
            <w:r>
              <w:rPr>
                <w:snapToGrid w:val="0"/>
                <w:sz w:val="19"/>
                <w:lang w:val="en-US"/>
              </w:rPr>
              <w:t>29 Jun 2007</w:t>
            </w:r>
          </w:p>
        </w:tc>
        <w:tc>
          <w:tcPr>
            <w:tcW w:w="2551" w:type="dxa"/>
          </w:tcPr>
          <w:p>
            <w:pPr>
              <w:pStyle w:val="nTable"/>
              <w:spacing w:after="40"/>
              <w:rPr>
                <w:snapToGrid w:val="0"/>
                <w:sz w:val="19"/>
                <w:lang w:val="en-US"/>
              </w:rPr>
            </w:pPr>
            <w:r>
              <w:rPr>
                <w:snapToGrid w:val="0"/>
                <w:sz w:val="19"/>
                <w:lang w:val="en-US"/>
              </w:rPr>
              <w:t>Pt. 2 Div. 1 and 2: 30 Jun 2007 (see s. 2(b));</w:t>
            </w:r>
            <w:r>
              <w:rPr>
                <w:snapToGrid w:val="0"/>
                <w:sz w:val="19"/>
                <w:lang w:val="en-US"/>
              </w:rPr>
              <w:br/>
              <w:t>Pt. 2 Div. 3: 1 Jul 2007 (see s. 2(c)(i))</w:t>
            </w:r>
          </w:p>
        </w:tc>
      </w:tr>
      <w:tr>
        <w:trPr>
          <w:gridAfter w:val="1"/>
          <w:wAfter w:w="5" w:type="dxa"/>
          <w:cantSplit/>
        </w:trPr>
        <w:tc>
          <w:tcPr>
            <w:tcW w:w="2268" w:type="dxa"/>
          </w:tcPr>
          <w:p>
            <w:pPr>
              <w:pStyle w:val="nTable"/>
              <w:spacing w:after="40"/>
              <w:rPr>
                <w:i/>
                <w:snapToGrid w:val="0"/>
                <w:sz w:val="19"/>
                <w:lang w:val="en-US"/>
              </w:rPr>
            </w:pPr>
            <w:r>
              <w:rPr>
                <w:i/>
                <w:noProof/>
                <w:snapToGrid w:val="0"/>
                <w:sz w:val="19"/>
              </w:rPr>
              <w:t>Revenue Laws Amendment Act 2008</w:t>
            </w:r>
            <w:r>
              <w:rPr>
                <w:noProof/>
                <w:snapToGrid w:val="0"/>
                <w:sz w:val="19"/>
              </w:rPr>
              <w:t xml:space="preserve"> Pt. 6</w:t>
            </w:r>
          </w:p>
        </w:tc>
        <w:tc>
          <w:tcPr>
            <w:tcW w:w="1136" w:type="dxa"/>
          </w:tcPr>
          <w:p>
            <w:pPr>
              <w:pStyle w:val="nTable"/>
              <w:keepNext/>
              <w:keepLines/>
              <w:spacing w:after="40"/>
              <w:rPr>
                <w:snapToGrid w:val="0"/>
                <w:sz w:val="19"/>
                <w:lang w:val="en-US"/>
              </w:rPr>
            </w:pPr>
            <w:r>
              <w:rPr>
                <w:snapToGrid w:val="0"/>
                <w:sz w:val="19"/>
                <w:lang w:val="en-US"/>
              </w:rPr>
              <w:t>30 of 2008</w:t>
            </w:r>
          </w:p>
        </w:tc>
        <w:tc>
          <w:tcPr>
            <w:tcW w:w="1134" w:type="dxa"/>
          </w:tcPr>
          <w:p>
            <w:pPr>
              <w:pStyle w:val="nTable"/>
              <w:keepNext/>
              <w:keepLines/>
              <w:spacing w:after="40"/>
              <w:rPr>
                <w:snapToGrid w:val="0"/>
                <w:sz w:val="19"/>
                <w:lang w:val="en-US"/>
              </w:rPr>
            </w:pPr>
            <w:r>
              <w:rPr>
                <w:snapToGrid w:val="0"/>
                <w:sz w:val="19"/>
                <w:lang w:val="en-US"/>
              </w:rPr>
              <w:t>27 Jun 2008</w:t>
            </w:r>
          </w:p>
        </w:tc>
        <w:tc>
          <w:tcPr>
            <w:tcW w:w="2551" w:type="dxa"/>
          </w:tcPr>
          <w:p>
            <w:pPr>
              <w:pStyle w:val="nTable"/>
              <w:keepNext/>
              <w:keepLines/>
              <w:spacing w:after="40"/>
              <w:rPr>
                <w:snapToGrid w:val="0"/>
                <w:sz w:val="19"/>
                <w:lang w:val="en-US"/>
              </w:rPr>
            </w:pPr>
            <w:r>
              <w:rPr>
                <w:snapToGrid w:val="0"/>
                <w:sz w:val="19"/>
                <w:lang w:val="en-US"/>
              </w:rPr>
              <w:t>1 Jul 2008 (see s. 2(1)(c)(i))</w:t>
            </w:r>
          </w:p>
        </w:tc>
      </w:tr>
      <w:tr>
        <w:trPr>
          <w:gridAfter w:val="1"/>
          <w:wAfter w:w="5" w:type="dxa"/>
        </w:trPr>
        <w:tc>
          <w:tcPr>
            <w:tcW w:w="2268"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35</w:t>
            </w:r>
          </w:p>
        </w:tc>
        <w:tc>
          <w:tcPr>
            <w:tcW w:w="1136" w:type="dxa"/>
          </w:tcPr>
          <w:p>
            <w:pPr>
              <w:pStyle w:val="nTable"/>
              <w:spacing w:after="40"/>
              <w:rPr>
                <w:snapToGrid w:val="0"/>
                <w:sz w:val="19"/>
                <w:lang w:val="en-US"/>
              </w:rPr>
            </w:pPr>
            <w:r>
              <w:rPr>
                <w:snapToGrid w:val="0"/>
                <w:sz w:val="19"/>
                <w:lang w:val="en-US"/>
              </w:rPr>
              <w:t>31 of 2008</w:t>
            </w:r>
          </w:p>
        </w:tc>
        <w:tc>
          <w:tcPr>
            <w:tcW w:w="1134" w:type="dxa"/>
          </w:tcPr>
          <w:p>
            <w:pPr>
              <w:pStyle w:val="nTable"/>
              <w:spacing w:after="40"/>
              <w:rPr>
                <w:snapToGrid w:val="0"/>
                <w:sz w:val="19"/>
                <w:lang w:val="en-US"/>
              </w:rPr>
            </w:pPr>
            <w:r>
              <w:rPr>
                <w:snapToGrid w:val="0"/>
                <w:sz w:val="19"/>
                <w:lang w:val="en-US"/>
              </w:rPr>
              <w:t>27 Jun 2008</w:t>
            </w:r>
          </w:p>
        </w:tc>
        <w:tc>
          <w:tcPr>
            <w:tcW w:w="2551" w:type="dxa"/>
          </w:tcPr>
          <w:p>
            <w:pPr>
              <w:pStyle w:val="nTable"/>
              <w:spacing w:after="40"/>
              <w:rPr>
                <w:snapToGrid w:val="0"/>
                <w:sz w:val="19"/>
                <w:lang w:val="en-US"/>
              </w:rPr>
            </w:pPr>
            <w:r>
              <w:rPr>
                <w:snapToGrid w:val="0"/>
                <w:sz w:val="19"/>
                <w:lang w:val="en-US"/>
              </w:rPr>
              <w:t>28 Jun 2008 (see s. 2(b))</w:t>
            </w:r>
          </w:p>
        </w:tc>
      </w:tr>
      <w:tr>
        <w:trPr>
          <w:gridAfter w:val="1"/>
          <w:wAfter w:w="7" w:type="dxa"/>
          <w:cantSplit/>
        </w:trPr>
        <w:tc>
          <w:tcPr>
            <w:tcW w:w="7087" w:type="dxa"/>
            <w:gridSpan w:val="4"/>
          </w:tcPr>
          <w:p>
            <w:pPr>
              <w:pStyle w:val="nTable"/>
              <w:spacing w:after="40"/>
              <w:rPr>
                <w:snapToGrid w:val="0"/>
                <w:sz w:val="19"/>
                <w:lang w:val="en-US"/>
              </w:rPr>
            </w:pPr>
            <w:r>
              <w:rPr>
                <w:b/>
                <w:sz w:val="19"/>
              </w:rPr>
              <w:t xml:space="preserve">Reprint 3: The </w:t>
            </w:r>
            <w:r>
              <w:rPr>
                <w:b/>
                <w:i/>
                <w:sz w:val="19"/>
              </w:rPr>
              <w:t>Rates and Charges (Rebates and Deferments) Act 1992</w:t>
            </w:r>
            <w:r>
              <w:rPr>
                <w:b/>
                <w:sz w:val="19"/>
              </w:rPr>
              <w:t xml:space="preserve"> as at 7 Nov 2008 </w:t>
            </w:r>
            <w:r>
              <w:rPr>
                <w:sz w:val="19"/>
              </w:rPr>
              <w:t>(includes amendments listed above)</w:t>
            </w:r>
          </w:p>
        </w:tc>
      </w:tr>
      <w:tr>
        <w:tblPrEx>
          <w:tblBorders>
            <w:top w:val="single" w:sz="8" w:space="0" w:color="auto"/>
            <w:bottom w:val="single" w:sz="8" w:space="0" w:color="auto"/>
            <w:insideH w:val="single" w:sz="8" w:space="0" w:color="auto"/>
          </w:tblBorders>
        </w:tblPrEx>
        <w:trPr>
          <w:gridAfter w:val="1"/>
          <w:wAfter w:w="5" w:type="dxa"/>
        </w:trP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 xml:space="preserve">Residential Tenancies Amendment Act 2011 </w:t>
            </w:r>
            <w:r>
              <w:rPr>
                <w:snapToGrid w:val="0"/>
                <w:sz w:val="19"/>
                <w:lang w:val="en-US"/>
              </w:rPr>
              <w:t>Pt. 5 Div. 4</w:t>
            </w:r>
          </w:p>
        </w:tc>
        <w:tc>
          <w:tcPr>
            <w:tcW w:w="1136" w:type="dxa"/>
            <w:tcBorders>
              <w:top w:val="nil"/>
              <w:bottom w:val="nil"/>
            </w:tcBorders>
          </w:tcPr>
          <w:p>
            <w:pPr>
              <w:pStyle w:val="nTable"/>
              <w:spacing w:after="40"/>
              <w:rPr>
                <w:snapToGrid w:val="0"/>
                <w:sz w:val="19"/>
                <w:lang w:val="en-US"/>
              </w:rPr>
            </w:pPr>
            <w:r>
              <w:rPr>
                <w:snapToGrid w:val="0"/>
                <w:sz w:val="19"/>
                <w:lang w:val="en-US"/>
              </w:rPr>
              <w:t>60 of 2011</w:t>
            </w:r>
          </w:p>
        </w:tc>
        <w:tc>
          <w:tcPr>
            <w:tcW w:w="1134" w:type="dxa"/>
            <w:tcBorders>
              <w:top w:val="nil"/>
              <w:bottom w:val="nil"/>
            </w:tcBorders>
          </w:tcPr>
          <w:p>
            <w:pPr>
              <w:pStyle w:val="nTable"/>
              <w:spacing w:after="40"/>
              <w:rPr>
                <w:sz w:val="19"/>
              </w:rPr>
            </w:pPr>
            <w:r>
              <w:rPr>
                <w:sz w:val="19"/>
              </w:rPr>
              <w:t>14 Dec 2011</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Jul 2013 (see s. 2(b) and </w:t>
            </w:r>
            <w:r>
              <w:rPr>
                <w:i/>
                <w:snapToGrid w:val="0"/>
                <w:sz w:val="19"/>
                <w:lang w:val="en-US"/>
              </w:rPr>
              <w:t>Gazette</w:t>
            </w:r>
            <w:r>
              <w:rPr>
                <w:snapToGrid w:val="0"/>
                <w:sz w:val="19"/>
                <w:lang w:val="en-US"/>
              </w:rPr>
              <w:t xml:space="preserve"> 3 May 2013 p. 1735)  </w:t>
            </w:r>
          </w:p>
        </w:tc>
      </w:tr>
      <w:tr>
        <w:tblPrEx>
          <w:tblBorders>
            <w:top w:val="single" w:sz="8" w:space="0" w:color="auto"/>
            <w:bottom w:val="single" w:sz="8" w:space="0" w:color="auto"/>
            <w:insideH w:val="single" w:sz="8" w:space="0" w:color="auto"/>
          </w:tblBorders>
        </w:tblPrEx>
        <w:trPr>
          <w:gridAfter w:val="1"/>
          <w:wAfter w:w="5" w:type="dxa"/>
        </w:trP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Local Government Amendment Act 2012</w:t>
            </w:r>
            <w:r>
              <w:rPr>
                <w:snapToGrid w:val="0"/>
                <w:sz w:val="19"/>
                <w:lang w:val="en-US"/>
              </w:rPr>
              <w:t xml:space="preserve"> Pt. 3</w:t>
            </w:r>
          </w:p>
        </w:tc>
        <w:tc>
          <w:tcPr>
            <w:tcW w:w="1136" w:type="dxa"/>
            <w:tcBorders>
              <w:top w:val="nil"/>
              <w:bottom w:val="nil"/>
            </w:tcBorders>
          </w:tcPr>
          <w:p>
            <w:pPr>
              <w:pStyle w:val="nTable"/>
              <w:spacing w:after="40"/>
              <w:rPr>
                <w:snapToGrid w:val="0"/>
                <w:sz w:val="19"/>
                <w:lang w:val="en-US"/>
              </w:rPr>
            </w:pPr>
            <w:r>
              <w:rPr>
                <w:snapToGrid w:val="0"/>
                <w:sz w:val="19"/>
                <w:lang w:val="en-US"/>
              </w:rPr>
              <w:t>2 of 2012</w:t>
            </w:r>
          </w:p>
        </w:tc>
        <w:tc>
          <w:tcPr>
            <w:tcW w:w="1134" w:type="dxa"/>
            <w:tcBorders>
              <w:top w:val="nil"/>
              <w:bottom w:val="nil"/>
            </w:tcBorders>
          </w:tcPr>
          <w:p>
            <w:pPr>
              <w:pStyle w:val="nTable"/>
              <w:spacing w:after="40"/>
              <w:rPr>
                <w:sz w:val="19"/>
              </w:rPr>
            </w:pPr>
            <w:r>
              <w:rPr>
                <w:sz w:val="19"/>
              </w:rPr>
              <w:t>4 Apr 2012</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Jul 2012 (see s. 2(b) and </w:t>
            </w:r>
            <w:r>
              <w:rPr>
                <w:i/>
                <w:snapToGrid w:val="0"/>
                <w:sz w:val="19"/>
                <w:lang w:val="en-US"/>
              </w:rPr>
              <w:t>Gazette</w:t>
            </w:r>
            <w:r>
              <w:rPr>
                <w:snapToGrid w:val="0"/>
                <w:sz w:val="19"/>
                <w:lang w:val="en-US"/>
              </w:rPr>
              <w:t xml:space="preserve"> 20 Apr 2012 p. 1695)</w:t>
            </w:r>
          </w:p>
        </w:tc>
      </w:tr>
      <w:tr>
        <w:tblPrEx>
          <w:tblBorders>
            <w:top w:val="single" w:sz="8" w:space="0" w:color="auto"/>
            <w:bottom w:val="single" w:sz="8" w:space="0" w:color="auto"/>
            <w:insideH w:val="single" w:sz="8" w:space="0" w:color="auto"/>
          </w:tblBorders>
        </w:tblPrEx>
        <w:trPr>
          <w:gridAfter w:val="1"/>
          <w:wAfter w:w="5" w:type="dxa"/>
        </w:trPr>
        <w:tc>
          <w:tcPr>
            <w:tcW w:w="2268" w:type="dxa"/>
            <w:tcBorders>
              <w:top w:val="nil"/>
              <w:bottom w:val="nil"/>
            </w:tcBorders>
          </w:tcPr>
          <w:p>
            <w:pPr>
              <w:pStyle w:val="nTable"/>
              <w:spacing w:after="40"/>
              <w:rPr>
                <w:i/>
                <w:snapToGrid w:val="0"/>
                <w:sz w:val="19"/>
                <w:lang w:val="en-US"/>
              </w:rPr>
            </w:pPr>
            <w:r>
              <w:rPr>
                <w:i/>
                <w:snapToGrid w:val="0"/>
                <w:sz w:val="19"/>
                <w:szCs w:val="19"/>
              </w:rPr>
              <w:t xml:space="preserve">Fire and Emergency Services Legislation Amendment Act 2012 </w:t>
            </w:r>
            <w:r>
              <w:rPr>
                <w:snapToGrid w:val="0"/>
                <w:sz w:val="19"/>
                <w:szCs w:val="19"/>
              </w:rPr>
              <w:t>Pt. 7 Div. 12</w:t>
            </w:r>
          </w:p>
        </w:tc>
        <w:tc>
          <w:tcPr>
            <w:tcW w:w="1136" w:type="dxa"/>
            <w:tcBorders>
              <w:top w:val="nil"/>
              <w:bottom w:val="nil"/>
            </w:tcBorders>
          </w:tcPr>
          <w:p>
            <w:pPr>
              <w:pStyle w:val="nTable"/>
              <w:spacing w:after="40"/>
              <w:rPr>
                <w:snapToGrid w:val="0"/>
                <w:sz w:val="19"/>
                <w:lang w:val="en-US"/>
              </w:rPr>
            </w:pPr>
            <w:r>
              <w:rPr>
                <w:snapToGrid w:val="0"/>
                <w:sz w:val="19"/>
                <w:lang w:val="en-US"/>
              </w:rPr>
              <w:t>22 of 2012</w:t>
            </w:r>
          </w:p>
        </w:tc>
        <w:tc>
          <w:tcPr>
            <w:tcW w:w="1134" w:type="dxa"/>
            <w:tcBorders>
              <w:top w:val="nil"/>
              <w:bottom w:val="nil"/>
            </w:tcBorders>
          </w:tcPr>
          <w:p>
            <w:pPr>
              <w:pStyle w:val="nTable"/>
              <w:spacing w:after="40"/>
              <w:rPr>
                <w:sz w:val="19"/>
              </w:rPr>
            </w:pPr>
            <w:r>
              <w:rPr>
                <w:sz w:val="19"/>
              </w:rPr>
              <w:t>29 Aug 2012</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r>
        <w:tblPrEx>
          <w:tblBorders>
            <w:top w:val="single" w:sz="8" w:space="0" w:color="auto"/>
            <w:bottom w:val="single" w:sz="8" w:space="0" w:color="auto"/>
            <w:insideH w:val="single" w:sz="8" w:space="0" w:color="auto"/>
          </w:tblBorders>
        </w:tblPrEx>
        <w:trPr>
          <w:gridAfter w:val="1"/>
          <w:wAfter w:w="5" w:type="dxa"/>
        </w:trPr>
        <w:tc>
          <w:tcPr>
            <w:tcW w:w="2268" w:type="dxa"/>
            <w:tcBorders>
              <w:top w:val="nil"/>
              <w:bottom w:val="nil"/>
            </w:tcBorders>
          </w:tcPr>
          <w:p>
            <w:pPr>
              <w:pStyle w:val="nTable"/>
              <w:spacing w:after="40"/>
              <w:rPr>
                <w:snapToGrid w:val="0"/>
                <w:sz w:val="19"/>
                <w:lang w:val="en-US"/>
              </w:rPr>
            </w:pPr>
            <w:r>
              <w:rPr>
                <w:i/>
                <w:snapToGrid w:val="0"/>
                <w:sz w:val="19"/>
                <w:lang w:val="en-US"/>
              </w:rPr>
              <w:t>Revenue Laws Amendment Act 2012</w:t>
            </w:r>
            <w:r>
              <w:rPr>
                <w:snapToGrid w:val="0"/>
                <w:sz w:val="19"/>
                <w:lang w:val="en-US"/>
              </w:rPr>
              <w:t xml:space="preserve"> Pt. 6</w:t>
            </w:r>
          </w:p>
        </w:tc>
        <w:tc>
          <w:tcPr>
            <w:tcW w:w="1136" w:type="dxa"/>
            <w:tcBorders>
              <w:top w:val="nil"/>
              <w:bottom w:val="nil"/>
            </w:tcBorders>
          </w:tcPr>
          <w:p>
            <w:pPr>
              <w:pStyle w:val="nTable"/>
              <w:spacing w:after="40"/>
              <w:rPr>
                <w:snapToGrid w:val="0"/>
                <w:sz w:val="19"/>
                <w:lang w:val="en-US"/>
              </w:rPr>
            </w:pPr>
            <w:r>
              <w:rPr>
                <w:snapToGrid w:val="0"/>
                <w:sz w:val="19"/>
                <w:lang w:val="en-US"/>
              </w:rPr>
              <w:t>29 of 2012</w:t>
            </w:r>
          </w:p>
        </w:tc>
        <w:tc>
          <w:tcPr>
            <w:tcW w:w="1134" w:type="dxa"/>
            <w:tcBorders>
              <w:top w:val="nil"/>
              <w:bottom w:val="nil"/>
            </w:tcBorders>
          </w:tcPr>
          <w:p>
            <w:pPr>
              <w:pStyle w:val="nTable"/>
              <w:spacing w:after="40"/>
              <w:rPr>
                <w:sz w:val="19"/>
              </w:rPr>
            </w:pPr>
            <w:r>
              <w:rPr>
                <w:sz w:val="19"/>
              </w:rPr>
              <w:t>3 Sep 2012</w:t>
            </w:r>
          </w:p>
        </w:tc>
        <w:tc>
          <w:tcPr>
            <w:tcW w:w="2551" w:type="dxa"/>
            <w:tcBorders>
              <w:top w:val="nil"/>
              <w:bottom w:val="nil"/>
            </w:tcBorders>
          </w:tcPr>
          <w:p>
            <w:pPr>
              <w:pStyle w:val="nTable"/>
              <w:spacing w:after="40"/>
              <w:rPr>
                <w:snapToGrid w:val="0"/>
                <w:sz w:val="19"/>
                <w:lang w:val="en-US"/>
              </w:rPr>
            </w:pPr>
            <w:r>
              <w:rPr>
                <w:snapToGrid w:val="0"/>
                <w:sz w:val="19"/>
                <w:lang w:val="en-US"/>
              </w:rPr>
              <w:t>4 Sep 2012 (see s. 2(e))</w:t>
            </w:r>
          </w:p>
        </w:tc>
      </w:tr>
      <w:tr>
        <w:tblPrEx>
          <w:tblBorders>
            <w:top w:val="single" w:sz="8" w:space="0" w:color="auto"/>
            <w:bottom w:val="single" w:sz="8" w:space="0" w:color="auto"/>
            <w:insideH w:val="single" w:sz="8" w:space="0" w:color="auto"/>
          </w:tblBorders>
        </w:tblPrEx>
        <w:trPr>
          <w:gridAfter w:val="1"/>
          <w:wAfter w:w="5" w:type="dxa"/>
        </w:trPr>
        <w:tc>
          <w:tcPr>
            <w:tcW w:w="2268" w:type="dxa"/>
            <w:tcBorders>
              <w:top w:val="nil"/>
              <w:bottom w:val="nil"/>
            </w:tcBorders>
          </w:tcPr>
          <w:p>
            <w:pPr>
              <w:pStyle w:val="nTable"/>
              <w:spacing w:after="40"/>
              <w:rPr>
                <w:snapToGrid w:val="0"/>
                <w:sz w:val="19"/>
                <w:lang w:val="en-US"/>
              </w:rPr>
            </w:pPr>
            <w:r>
              <w:rPr>
                <w:i/>
                <w:snapToGrid w:val="0"/>
                <w:sz w:val="19"/>
                <w:lang w:val="en-US"/>
              </w:rPr>
              <w:t>Rates and Charges (Rebates and Deferments) Amendment Act 2013</w:t>
            </w:r>
            <w:r>
              <w:rPr>
                <w:snapToGrid w:val="0"/>
                <w:sz w:val="19"/>
                <w:lang w:val="en-US"/>
              </w:rPr>
              <w:t xml:space="preserve"> s. 1, 2, 3, 4(1) and (2), 5-14</w:t>
            </w:r>
            <w:r>
              <w:rPr>
                <w:snapToGrid w:val="0"/>
                <w:sz w:val="19"/>
                <w:vertAlign w:val="superscript"/>
                <w:lang w:val="en-US"/>
              </w:rPr>
              <w:t> 12</w:t>
            </w:r>
          </w:p>
        </w:tc>
        <w:tc>
          <w:tcPr>
            <w:tcW w:w="1136" w:type="dxa"/>
            <w:tcBorders>
              <w:top w:val="nil"/>
              <w:bottom w:val="nil"/>
            </w:tcBorders>
          </w:tcPr>
          <w:p>
            <w:pPr>
              <w:pStyle w:val="nTable"/>
              <w:spacing w:after="40"/>
              <w:rPr>
                <w:snapToGrid w:val="0"/>
                <w:sz w:val="19"/>
                <w:lang w:val="en-US"/>
              </w:rPr>
            </w:pPr>
            <w:r>
              <w:rPr>
                <w:snapToGrid w:val="0"/>
                <w:sz w:val="19"/>
                <w:lang w:val="en-US"/>
              </w:rPr>
              <w:t>4 of 2013</w:t>
            </w:r>
          </w:p>
        </w:tc>
        <w:tc>
          <w:tcPr>
            <w:tcW w:w="1134" w:type="dxa"/>
            <w:tcBorders>
              <w:top w:val="nil"/>
              <w:bottom w:val="nil"/>
            </w:tcBorders>
          </w:tcPr>
          <w:p>
            <w:pPr>
              <w:pStyle w:val="nTable"/>
              <w:spacing w:after="40"/>
              <w:rPr>
                <w:sz w:val="19"/>
              </w:rPr>
            </w:pPr>
            <w:r>
              <w:rPr>
                <w:sz w:val="19"/>
              </w:rPr>
              <w:t>29 Jun 2013</w:t>
            </w:r>
          </w:p>
        </w:tc>
        <w:tc>
          <w:tcPr>
            <w:tcW w:w="2551" w:type="dxa"/>
            <w:tcBorders>
              <w:top w:val="nil"/>
              <w:bottom w:val="nil"/>
            </w:tcBorders>
          </w:tcPr>
          <w:p>
            <w:pPr>
              <w:pStyle w:val="nTable"/>
              <w:spacing w:after="40"/>
              <w:rPr>
                <w:snapToGrid w:val="0"/>
                <w:sz w:val="19"/>
                <w:lang w:val="en-US"/>
              </w:rPr>
            </w:pPr>
            <w:r>
              <w:rPr>
                <w:snapToGrid w:val="0"/>
                <w:sz w:val="19"/>
                <w:lang w:val="en-US"/>
              </w:rPr>
              <w:t>s. 1 and 2: 29 Jun 2013 (see s. 2(a));</w:t>
            </w:r>
            <w:r>
              <w:rPr>
                <w:snapToGrid w:val="0"/>
                <w:sz w:val="19"/>
                <w:lang w:val="en-US"/>
              </w:rPr>
              <w:br/>
              <w:t>Act other than s. 1, 2, 4(3) and (4) and 14: 1 Jul 2013 (see s. 2(b)(i))</w:t>
            </w:r>
          </w:p>
        </w:tc>
      </w:tr>
      <w:tr>
        <w:tblPrEx>
          <w:tblBorders>
            <w:top w:val="single" w:sz="8" w:space="0" w:color="auto"/>
            <w:bottom w:val="single" w:sz="8" w:space="0" w:color="auto"/>
            <w:insideH w:val="single" w:sz="8" w:space="0" w:color="auto"/>
          </w:tblBorders>
        </w:tblPrEx>
        <w:trPr>
          <w:gridAfter w:val="1"/>
          <w:wAfter w:w="7" w:type="dxa"/>
        </w:trPr>
        <w:tc>
          <w:tcPr>
            <w:tcW w:w="7087" w:type="dxa"/>
            <w:gridSpan w:val="4"/>
            <w:tcBorders>
              <w:top w:val="nil"/>
              <w:bottom w:val="single" w:sz="8" w:space="0" w:color="auto"/>
            </w:tcBorders>
            <w:shd w:val="clear" w:color="auto" w:fill="auto"/>
          </w:tcPr>
          <w:p>
            <w:pPr>
              <w:pStyle w:val="nTable"/>
              <w:spacing w:after="40"/>
              <w:rPr>
                <w:snapToGrid w:val="0"/>
                <w:sz w:val="19"/>
                <w:lang w:val="en-US"/>
              </w:rPr>
            </w:pPr>
            <w:r>
              <w:rPr>
                <w:b/>
                <w:sz w:val="19"/>
              </w:rPr>
              <w:t xml:space="preserve">Reprint 4: The </w:t>
            </w:r>
            <w:r>
              <w:rPr>
                <w:b/>
                <w:i/>
                <w:sz w:val="19"/>
              </w:rPr>
              <w:t>Rates and Charges (Rebates and Deferments) Act 1992</w:t>
            </w:r>
            <w:r>
              <w:rPr>
                <w:b/>
                <w:sz w:val="19"/>
              </w:rPr>
              <w:t xml:space="preserve"> as at 4 Oct 2013 </w:t>
            </w:r>
            <w:r>
              <w:rPr>
                <w:sz w:val="19"/>
              </w:rPr>
              <w:t>(includes amendments listed above)</w:t>
            </w:r>
          </w:p>
        </w:tc>
      </w:tr>
    </w:tbl>
    <w:p>
      <w:pPr>
        <w:pStyle w:val="nSubsection"/>
        <w:spacing w:before="160"/>
        <w:ind w:left="482" w:hanging="482"/>
      </w:pPr>
      <w:r>
        <w:rPr>
          <w:vertAlign w:val="superscript"/>
        </w:rPr>
        <w:t>1a</w:t>
      </w:r>
      <w:r>
        <w:tab/>
        <w:t>On the date as at which thi</w:t>
      </w:r>
      <w:bookmarkStart w:id="1356" w:name="_Hlt507390729"/>
      <w:bookmarkEnd w:id="1356"/>
      <w:r>
        <w:t>s reprint was prepared, provisions referred to in the following table had not come into operation and were therefore not included in compiling the reprint.  For the text of the provisions see the endnotes referred to in the table.</w:t>
      </w:r>
    </w:p>
    <w:p>
      <w:pPr>
        <w:pStyle w:val="nHeading3"/>
        <w:keepNext w:val="0"/>
        <w:widowControl w:val="0"/>
        <w:spacing w:before="120" w:after="40"/>
      </w:pPr>
      <w:bookmarkStart w:id="1357" w:name="_Toc7405065"/>
      <w:bookmarkStart w:id="1358" w:name="_Toc368652424"/>
      <w:r>
        <w:t>Provisions that have not come into operation</w:t>
      </w:r>
      <w:bookmarkEnd w:id="1357"/>
      <w:bookmarkEnd w:id="135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rPr>
          <w:tblHeader/>
        </w:trPr>
        <w:tc>
          <w:tcPr>
            <w:tcW w:w="2268"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Number and year</w:t>
            </w:r>
          </w:p>
        </w:tc>
        <w:tc>
          <w:tcPr>
            <w:tcW w:w="1134" w:type="dxa"/>
            <w:tcBorders>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Assent</w:t>
            </w:r>
          </w:p>
        </w:tc>
        <w:tc>
          <w:tcPr>
            <w:tcW w:w="2551" w:type="dxa"/>
            <w:tcBorders>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Commencement</w:t>
            </w:r>
          </w:p>
        </w:tc>
      </w:tr>
      <w:tr>
        <w:trPr>
          <w:cantSplit/>
        </w:trPr>
        <w:tc>
          <w:tcPr>
            <w:tcW w:w="2268" w:type="dxa"/>
            <w:tcBorders>
              <w:top w:val="nil"/>
              <w:bottom w:val="nil"/>
            </w:tcBorders>
          </w:tcPr>
          <w:p>
            <w:pPr>
              <w:pStyle w:val="nTable"/>
              <w:spacing w:after="40"/>
              <w:rPr>
                <w:snapToGrid w:val="0"/>
                <w:sz w:val="19"/>
                <w:szCs w:val="19"/>
              </w:rPr>
            </w:pPr>
            <w:r>
              <w:rPr>
                <w:i/>
                <w:snapToGrid w:val="0"/>
                <w:sz w:val="19"/>
                <w:szCs w:val="19"/>
              </w:rPr>
              <w:t>Water Services Legislation Amendment and Repeal Act 2012</w:t>
            </w:r>
            <w:r>
              <w:rPr>
                <w:snapToGrid w:val="0"/>
                <w:sz w:val="19"/>
                <w:szCs w:val="19"/>
              </w:rPr>
              <w:t xml:space="preserve"> s. 226</w:t>
            </w:r>
            <w:r>
              <w:rPr>
                <w:snapToGrid w:val="0"/>
                <w:sz w:val="19"/>
                <w:szCs w:val="19"/>
                <w:vertAlign w:val="superscript"/>
              </w:rPr>
              <w:t> 13</w:t>
            </w:r>
          </w:p>
        </w:tc>
        <w:tc>
          <w:tcPr>
            <w:tcW w:w="1134" w:type="dxa"/>
            <w:tcBorders>
              <w:top w:val="nil"/>
              <w:bottom w:val="nil"/>
            </w:tcBorders>
          </w:tcPr>
          <w:p>
            <w:pPr>
              <w:pStyle w:val="nTable"/>
              <w:spacing w:after="40"/>
              <w:rPr>
                <w:snapToGrid w:val="0"/>
                <w:sz w:val="19"/>
                <w:szCs w:val="19"/>
              </w:rPr>
            </w:pPr>
            <w:r>
              <w:rPr>
                <w:snapToGrid w:val="0"/>
                <w:sz w:val="19"/>
                <w:szCs w:val="19"/>
              </w:rPr>
              <w:t>25 of 2012</w:t>
            </w:r>
          </w:p>
        </w:tc>
        <w:tc>
          <w:tcPr>
            <w:tcW w:w="1134" w:type="dxa"/>
            <w:tcBorders>
              <w:top w:val="nil"/>
              <w:bottom w:val="nil"/>
            </w:tcBorders>
          </w:tcPr>
          <w:p>
            <w:pPr>
              <w:pStyle w:val="nTable"/>
              <w:spacing w:after="40"/>
              <w:rPr>
                <w:snapToGrid w:val="0"/>
                <w:sz w:val="19"/>
                <w:szCs w:val="19"/>
              </w:rPr>
            </w:pPr>
            <w:r>
              <w:rPr>
                <w:snapToGrid w:val="0"/>
                <w:sz w:val="19"/>
                <w:szCs w:val="19"/>
              </w:rPr>
              <w:t>3 Sep 2012</w:t>
            </w:r>
          </w:p>
        </w:tc>
        <w:tc>
          <w:tcPr>
            <w:tcW w:w="2551" w:type="dxa"/>
            <w:tcBorders>
              <w:top w:val="nil"/>
              <w:bottom w:val="nil"/>
            </w:tcBorders>
          </w:tcPr>
          <w:p>
            <w:pPr>
              <w:pStyle w:val="nTable"/>
              <w:spacing w:after="40"/>
              <w:rPr>
                <w:snapToGrid w:val="0"/>
                <w:sz w:val="19"/>
                <w:szCs w:val="19"/>
              </w:rPr>
            </w:pPr>
            <w:r>
              <w:rPr>
                <w:snapToGrid w:val="0"/>
                <w:sz w:val="19"/>
                <w:szCs w:val="19"/>
              </w:rPr>
              <w:t>To be proclaimed (see s. 2(b))</w:t>
            </w:r>
          </w:p>
        </w:tc>
      </w:tr>
      <w:tr>
        <w:trPr>
          <w:cantSplit/>
        </w:trPr>
        <w:tc>
          <w:tcPr>
            <w:tcW w:w="2268" w:type="dxa"/>
            <w:tcBorders>
              <w:top w:val="nil"/>
              <w:bottom w:val="single" w:sz="8" w:space="0" w:color="auto"/>
              <w:right w:val="nil"/>
            </w:tcBorders>
            <w:shd w:val="clear" w:color="auto" w:fill="auto"/>
          </w:tcPr>
          <w:p>
            <w:pPr>
              <w:pStyle w:val="nTable"/>
              <w:spacing w:after="40"/>
              <w:rPr>
                <w:i/>
                <w:snapToGrid w:val="0"/>
                <w:sz w:val="19"/>
                <w:szCs w:val="19"/>
              </w:rPr>
            </w:pPr>
            <w:r>
              <w:rPr>
                <w:i/>
                <w:snapToGrid w:val="0"/>
                <w:sz w:val="19"/>
                <w:szCs w:val="19"/>
              </w:rPr>
              <w:t>Rates and Charges (Rebates and Deferments) Amendment Act 2013</w:t>
            </w:r>
            <w:r>
              <w:rPr>
                <w:snapToGrid w:val="0"/>
                <w:sz w:val="19"/>
                <w:szCs w:val="19"/>
              </w:rPr>
              <w:t xml:space="preserve"> s. 4(3) and (4)</w:t>
            </w:r>
            <w:r>
              <w:rPr>
                <w:snapToGrid w:val="0"/>
                <w:sz w:val="19"/>
                <w:szCs w:val="19"/>
                <w:vertAlign w:val="superscript"/>
              </w:rPr>
              <w:t> 14</w:t>
            </w:r>
          </w:p>
        </w:tc>
        <w:tc>
          <w:tcPr>
            <w:tcW w:w="1134" w:type="dxa"/>
            <w:tcBorders>
              <w:top w:val="nil"/>
              <w:left w:val="nil"/>
              <w:bottom w:val="single" w:sz="8" w:space="0" w:color="auto"/>
              <w:right w:val="nil"/>
            </w:tcBorders>
            <w:shd w:val="clear" w:color="auto" w:fill="auto"/>
          </w:tcPr>
          <w:p>
            <w:pPr>
              <w:pStyle w:val="nTable"/>
              <w:spacing w:after="40"/>
              <w:rPr>
                <w:snapToGrid w:val="0"/>
                <w:sz w:val="19"/>
                <w:szCs w:val="19"/>
              </w:rPr>
            </w:pPr>
            <w:r>
              <w:rPr>
                <w:snapToGrid w:val="0"/>
                <w:sz w:val="19"/>
                <w:szCs w:val="19"/>
              </w:rPr>
              <w:t>4 of 2013</w:t>
            </w:r>
          </w:p>
        </w:tc>
        <w:tc>
          <w:tcPr>
            <w:tcW w:w="1134" w:type="dxa"/>
            <w:tcBorders>
              <w:top w:val="nil"/>
              <w:left w:val="nil"/>
              <w:bottom w:val="single" w:sz="8" w:space="0" w:color="auto"/>
              <w:right w:val="nil"/>
            </w:tcBorders>
            <w:shd w:val="clear" w:color="auto" w:fill="auto"/>
          </w:tcPr>
          <w:p>
            <w:pPr>
              <w:pStyle w:val="nTable"/>
              <w:spacing w:after="40"/>
              <w:rPr>
                <w:snapToGrid w:val="0"/>
                <w:sz w:val="19"/>
                <w:szCs w:val="19"/>
              </w:rPr>
            </w:pPr>
            <w:r>
              <w:rPr>
                <w:snapToGrid w:val="0"/>
                <w:sz w:val="19"/>
                <w:szCs w:val="19"/>
              </w:rPr>
              <w:t>29 Jun 2013</w:t>
            </w:r>
          </w:p>
        </w:tc>
        <w:tc>
          <w:tcPr>
            <w:tcW w:w="2551" w:type="dxa"/>
            <w:tcBorders>
              <w:top w:val="nil"/>
              <w:left w:val="nil"/>
              <w:bottom w:val="single" w:sz="8" w:space="0" w:color="auto"/>
            </w:tcBorders>
            <w:shd w:val="clear" w:color="auto" w:fill="auto"/>
          </w:tcPr>
          <w:p>
            <w:pPr>
              <w:pStyle w:val="nTable"/>
              <w:spacing w:after="40"/>
              <w:rPr>
                <w:snapToGrid w:val="0"/>
                <w:sz w:val="19"/>
                <w:szCs w:val="19"/>
              </w:rPr>
            </w:pPr>
            <w:r>
              <w:rPr>
                <w:snapToGrid w:val="0"/>
                <w:sz w:val="19"/>
                <w:szCs w:val="19"/>
              </w:rPr>
              <w:t xml:space="preserve">s. 4(3): operative on commencement of the </w:t>
            </w:r>
            <w:r>
              <w:rPr>
                <w:i/>
                <w:snapToGrid w:val="0"/>
                <w:sz w:val="19"/>
                <w:szCs w:val="19"/>
              </w:rPr>
              <w:t>Water Services Legislation Amendment and Repeal Act 2012</w:t>
            </w:r>
            <w:r>
              <w:rPr>
                <w:snapToGrid w:val="0"/>
                <w:sz w:val="19"/>
                <w:szCs w:val="19"/>
              </w:rPr>
              <w:t xml:space="preserve"> s. 112 (see s. 2(c)(ii));</w:t>
            </w:r>
            <w:r>
              <w:rPr>
                <w:snapToGrid w:val="0"/>
                <w:sz w:val="19"/>
                <w:szCs w:val="19"/>
              </w:rPr>
              <w:br/>
              <w:t xml:space="preserve">s. 4(4): operative on commencement of the </w:t>
            </w:r>
            <w:r>
              <w:rPr>
                <w:i/>
                <w:snapToGrid w:val="0"/>
                <w:sz w:val="19"/>
                <w:szCs w:val="19"/>
              </w:rPr>
              <w:t>Water Services Legislation Amendment and Repeal Act 2012</w:t>
            </w:r>
            <w:r>
              <w:rPr>
                <w:snapToGrid w:val="0"/>
                <w:sz w:val="19"/>
                <w:szCs w:val="19"/>
              </w:rPr>
              <w:t xml:space="preserve"> s. 226(3) (see s. 2(d)(ii))</w:t>
            </w:r>
          </w:p>
        </w:tc>
      </w:tr>
    </w:tbl>
    <w:p>
      <w:pPr>
        <w:pStyle w:val="nSubsection"/>
        <w:spacing w:before="160"/>
      </w:pPr>
      <w:r>
        <w:rPr>
          <w:vertAlign w:val="superscript"/>
        </w:rPr>
        <w:t>2</w:t>
      </w:r>
      <w:r>
        <w:tab/>
        <w:t xml:space="preserve">The provision in this Act repealing that Act has been omitted under the </w:t>
      </w:r>
      <w:r>
        <w:rPr>
          <w:i/>
        </w:rPr>
        <w:t>Reprints Act 1984</w:t>
      </w:r>
      <w:r>
        <w:t xml:space="preserve"> s. 7(4)(f).</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The provision in this Act amending that Act has been omitted under the </w:t>
      </w:r>
      <w:r>
        <w:rPr>
          <w:i/>
        </w:rPr>
        <w:t>Reprints Act 1984</w:t>
      </w:r>
      <w:r>
        <w:t xml:space="preserve"> s. 7(4)(e).</w:t>
      </w:r>
    </w:p>
    <w:p>
      <w:pPr>
        <w:pStyle w:val="nSubsection"/>
      </w:pPr>
      <w:r>
        <w:rPr>
          <w:vertAlign w:val="superscript"/>
        </w:rPr>
        <w:t>5</w:t>
      </w:r>
      <w:r>
        <w:tab/>
        <w:t xml:space="preserve">The </w:t>
      </w:r>
      <w:r>
        <w:rPr>
          <w:i/>
        </w:rPr>
        <w:t>Pensioners (Rates Rebates and Deferments) Act 1966</w:t>
      </w:r>
      <w:r>
        <w:t xml:space="preserve"> was repealed by s. 51(1) of this Act. </w:t>
      </w:r>
    </w:p>
    <w:p>
      <w:pPr>
        <w:pStyle w:val="nSubsection"/>
      </w:pPr>
      <w:r>
        <w:rPr>
          <w:vertAlign w:val="superscript"/>
        </w:rPr>
        <w:t>6</w:t>
      </w:r>
      <w:r>
        <w:tab/>
        <w:t xml:space="preserve">The </w:t>
      </w:r>
      <w:r>
        <w:rPr>
          <w:i/>
        </w:rPr>
        <w:t>State Housing Act 1946</w:t>
      </w:r>
      <w:r>
        <w:t xml:space="preserve"> was repealed by the </w:t>
      </w:r>
      <w:r>
        <w:rPr>
          <w:i/>
        </w:rPr>
        <w:t>Housing Act 1980</w:t>
      </w:r>
      <w:r>
        <w:t>.</w:t>
      </w:r>
    </w:p>
    <w:p>
      <w:pPr>
        <w:pStyle w:val="nSubsection"/>
      </w:pPr>
      <w:r>
        <w:rPr>
          <w:vertAlign w:val="superscript"/>
        </w:rPr>
        <w:t>7</w:t>
      </w:r>
      <w:r>
        <w:tab/>
        <w:t xml:space="preserve">The </w:t>
      </w:r>
      <w:r>
        <w:rPr>
          <w:i/>
        </w:rPr>
        <w:t>Revenue Laws Amendment (Assessment) Act 1998</w:t>
      </w:r>
      <w:r>
        <w:t xml:space="preserve"> s. 25 reads as follows:</w:t>
      </w:r>
    </w:p>
    <w:p>
      <w:pPr>
        <w:pStyle w:val="BlankOpen"/>
      </w:pP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BlankClose"/>
      </w:pPr>
    </w:p>
    <w:p>
      <w:pPr>
        <w:pStyle w:val="nSubsection"/>
        <w:keepNext/>
      </w:pPr>
      <w:r>
        <w:rPr>
          <w:vertAlign w:val="superscript"/>
        </w:rPr>
        <w:t>8</w:t>
      </w:r>
      <w:r>
        <w:tab/>
        <w:t xml:space="preserve">The </w:t>
      </w:r>
      <w:r>
        <w:rPr>
          <w:i/>
        </w:rPr>
        <w:t xml:space="preserve">Revenue Laws Amendment (Assessment) Act 2001 </w:t>
      </w:r>
      <w:r>
        <w:t>s. 13(2) reads as follows:</w:t>
      </w:r>
    </w:p>
    <w:p>
      <w:pPr>
        <w:pStyle w:val="BlankOpen"/>
      </w:pP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keepNext/>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BlankClose"/>
      </w:pPr>
    </w:p>
    <w:p>
      <w:pPr>
        <w:pStyle w:val="nSubsection"/>
      </w:pPr>
      <w:bookmarkStart w:id="1359" w:name="_Toc512240185"/>
      <w:bookmarkStart w:id="1360" w:name="_Toc514060607"/>
      <w:bookmarkStart w:id="1361" w:name="_Toc514655691"/>
      <w:r>
        <w:rPr>
          <w:vertAlign w:val="superscript"/>
        </w:rPr>
        <w:t>9</w:t>
      </w:r>
      <w:r>
        <w:tab/>
        <w:t xml:space="preserve">The </w:t>
      </w:r>
      <w:r>
        <w:rPr>
          <w:i/>
        </w:rPr>
        <w:t>Revenue Laws Amendment (Assessment) Act 2001</w:t>
      </w:r>
      <w:r>
        <w:t xml:space="preserve"> s. 16 reads as follows:</w:t>
      </w:r>
    </w:p>
    <w:p>
      <w:pPr>
        <w:pStyle w:val="BlankOpen"/>
      </w:pPr>
    </w:p>
    <w:p>
      <w:pPr>
        <w:pStyle w:val="nzHeading5"/>
      </w:pPr>
      <w:r>
        <w:rPr>
          <w:rStyle w:val="CharSectno"/>
        </w:rPr>
        <w:t>16</w:t>
      </w:r>
      <w:r>
        <w:t>.</w:t>
      </w:r>
      <w:r>
        <w:tab/>
        <w:t>Transitional</w:t>
      </w:r>
      <w:bookmarkEnd w:id="1359"/>
      <w:bookmarkEnd w:id="1360"/>
      <w:bookmarkEnd w:id="1361"/>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1362" w:name="_Hlt514060482"/>
      <w:r>
        <w:t>13</w:t>
      </w:r>
      <w:bookmarkEnd w:id="1362"/>
      <w:r>
        <w:t>) applies to that person as if the person were registered on the day the person became eligible to be registered.</w:t>
      </w:r>
    </w:p>
    <w:p>
      <w:pPr>
        <w:pStyle w:val="BlankClose"/>
      </w:pPr>
    </w:p>
    <w:p>
      <w:pPr>
        <w:pStyle w:val="nSubsection"/>
      </w:pPr>
      <w:r>
        <w:rPr>
          <w:vertAlign w:val="superscript"/>
        </w:rPr>
        <w:t>10</w:t>
      </w:r>
      <w:r>
        <w:tab/>
        <w:t xml:space="preserve">The </w:t>
      </w:r>
      <w:r>
        <w:rPr>
          <w:i/>
        </w:rPr>
        <w:t>Fire and Emergency Services Legislation (Emergency Services Levy) Amendment Act 2002</w:t>
      </w:r>
      <w:r>
        <w:t xml:space="preserve"> s. 33(2)</w:t>
      </w:r>
      <w:r>
        <w:noBreakHyphen/>
        <w:t>(4) read as follows:</w:t>
      </w:r>
    </w:p>
    <w:p>
      <w:pPr>
        <w:pStyle w:val="BlankOpen"/>
      </w:pP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nSubsection"/>
        <w:keepNext/>
        <w:keepLines/>
      </w:pPr>
      <w:r>
        <w:rPr>
          <w:vertAlign w:val="superscript"/>
        </w:rPr>
        <w:t>11</w:t>
      </w:r>
      <w:r>
        <w:tab/>
        <w:t xml:space="preserve">The </w:t>
      </w:r>
      <w:r>
        <w:rPr>
          <w:i/>
        </w:rPr>
        <w:t>Rates and Charges (Rebates and Deferments) Amendment Act 2005</w:t>
      </w:r>
      <w:r>
        <w:t xml:space="preserve"> s. 16 reads as follows:</w:t>
      </w:r>
    </w:p>
    <w:p>
      <w:pPr>
        <w:pStyle w:val="BlankOpen"/>
      </w:pPr>
    </w:p>
    <w:p>
      <w:pPr>
        <w:pStyle w:val="nzHeading5"/>
      </w:pPr>
      <w:bookmarkStart w:id="1363" w:name="_Toc108241664"/>
      <w:r>
        <w:rPr>
          <w:rStyle w:val="CharSectno"/>
        </w:rPr>
        <w:t>16</w:t>
      </w:r>
      <w:r>
        <w:t>.</w:t>
      </w:r>
      <w:r>
        <w:tab/>
        <w:t>Transitional</w:t>
      </w:r>
      <w:bookmarkEnd w:id="1363"/>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BlankClose"/>
      </w:pPr>
    </w:p>
    <w:p>
      <w:pPr>
        <w:pStyle w:val="nSubsection"/>
        <w:keepLines/>
        <w:rPr>
          <w:snapToGrid w:val="0"/>
        </w:rPr>
      </w:pPr>
      <w:r>
        <w:rPr>
          <w:snapToGrid w:val="0"/>
          <w:vertAlign w:val="superscript"/>
        </w:rPr>
        <w:t>12</w:t>
      </w:r>
      <w:r>
        <w:rPr>
          <w:snapToGrid w:val="0"/>
        </w:rPr>
        <w:tab/>
        <w:t xml:space="preserve">The </w:t>
      </w:r>
      <w:r>
        <w:rPr>
          <w:i/>
          <w:snapToGrid w:val="0"/>
        </w:rPr>
        <w:t>Rates and Charges (Rebates and Deferments) Amendment Act 2013</w:t>
      </w:r>
      <w:r>
        <w:rPr>
          <w:snapToGrid w:val="0"/>
        </w:rPr>
        <w:t xml:space="preserve"> s. 14(2) does not have effect because this Act received the Royal Assent before 1 Jul 2013 (see s. 14(1)).</w:t>
      </w:r>
    </w:p>
    <w:p>
      <w:pPr>
        <w:pStyle w:val="nSubsection"/>
        <w:keepNext/>
        <w:spacing w:before="160"/>
        <w:rPr>
          <w:snapToGrid w:val="0"/>
        </w:rPr>
      </w:pPr>
      <w:r>
        <w:rPr>
          <w:snapToGrid w:val="0"/>
          <w:vertAlign w:val="superscript"/>
        </w:rPr>
        <w:t>13</w:t>
      </w:r>
      <w:r>
        <w:rPr>
          <w:snapToGrid w:val="0"/>
        </w:rPr>
        <w:tab/>
      </w:r>
      <w:r>
        <w:t xml:space="preserve">On the date as at which this reprint was prepared, </w:t>
      </w:r>
      <w:r>
        <w:rPr>
          <w:snapToGrid w:val="0"/>
        </w:rPr>
        <w:t xml:space="preserve">the </w:t>
      </w:r>
      <w:r>
        <w:rPr>
          <w:i/>
          <w:snapToGrid w:val="0"/>
          <w:lang w:val="en-US"/>
        </w:rPr>
        <w:t>Water Services Legislation Amendment and Repeal Act 2012</w:t>
      </w:r>
      <w:r>
        <w:rPr>
          <w:snapToGrid w:val="0"/>
          <w:lang w:val="en-US"/>
        </w:rPr>
        <w:t xml:space="preserve"> s. 226</w:t>
      </w:r>
      <w:r>
        <w:rPr>
          <w:snapToGrid w:val="0"/>
        </w:rPr>
        <w:t xml:space="preserve"> had not come into operation.  It reads as follows:</w:t>
      </w:r>
    </w:p>
    <w:p>
      <w:pPr>
        <w:pStyle w:val="BlankOpen"/>
        <w:rPr>
          <w:snapToGrid w:val="0"/>
        </w:rPr>
      </w:pPr>
    </w:p>
    <w:p>
      <w:pPr>
        <w:pStyle w:val="nzHeading5"/>
      </w:pPr>
      <w:bookmarkStart w:id="1364" w:name="_Toc334516037"/>
      <w:bookmarkStart w:id="1365" w:name="_Toc334695034"/>
      <w:r>
        <w:rPr>
          <w:rStyle w:val="CharSectno"/>
        </w:rPr>
        <w:t>226</w:t>
      </w:r>
      <w:r>
        <w:t>.</w:t>
      </w:r>
      <w:r>
        <w:tab/>
      </w:r>
      <w:r>
        <w:rPr>
          <w:i/>
          <w:iCs/>
        </w:rPr>
        <w:t>Rates and Charges (Rebates and Deferments) Act 1992</w:t>
      </w:r>
      <w:r>
        <w:t> amended</w:t>
      </w:r>
      <w:bookmarkEnd w:id="1364"/>
      <w:bookmarkEnd w:id="1365"/>
    </w:p>
    <w:p>
      <w:pPr>
        <w:pStyle w:val="nzSubsection"/>
      </w:pPr>
      <w:r>
        <w:tab/>
        <w:t>(1)</w:t>
      </w:r>
      <w:r>
        <w:tab/>
        <w:t xml:space="preserve">This section amends the </w:t>
      </w:r>
      <w:r>
        <w:rPr>
          <w:i/>
          <w:iCs/>
        </w:rPr>
        <w:t>Rates and Charges (Rebates and Deferments) Act 1992</w:t>
      </w:r>
      <w:r>
        <w:t>.</w:t>
      </w:r>
    </w:p>
    <w:p>
      <w:pPr>
        <w:pStyle w:val="nzSubsection"/>
      </w:pPr>
      <w:r>
        <w:tab/>
        <w:t>(2)</w:t>
      </w:r>
      <w:r>
        <w:tab/>
        <w:t xml:space="preserve">In section 3(1) delete the definition of </w:t>
      </w:r>
      <w:r>
        <w:rPr>
          <w:b/>
          <w:i/>
        </w:rPr>
        <w:t>Water Board</w:t>
      </w:r>
      <w:r>
        <w:t>.</w:t>
      </w:r>
    </w:p>
    <w:p>
      <w:pPr>
        <w:pStyle w:val="nzSubsection"/>
      </w:pPr>
      <w:r>
        <w:tab/>
        <w:t>(3)</w:t>
      </w:r>
      <w:r>
        <w:tab/>
        <w:t xml:space="preserve">In section 3(1) in the definition of </w:t>
      </w:r>
      <w:r>
        <w:rPr>
          <w:b/>
          <w:i/>
        </w:rPr>
        <w:t>prescribed charge</w:t>
      </w:r>
      <w:r>
        <w:t xml:space="preserve"> delete paragraph (b)(i) and (ii) and insert:</w:t>
      </w:r>
    </w:p>
    <w:p>
      <w:pPr>
        <w:pStyle w:val="BlankOpen"/>
      </w:pPr>
    </w:p>
    <w:p>
      <w:pPr>
        <w:pStyle w:val="nzDefsubpara"/>
      </w:pPr>
      <w:r>
        <w:tab/>
        <w:t>(i)</w:t>
      </w:r>
      <w:r>
        <w:tab/>
        <w:t xml:space="preserve">the </w:t>
      </w:r>
      <w:r>
        <w:rPr>
          <w:i/>
          <w:iCs/>
        </w:rPr>
        <w:t>Water Services Act 2012</w:t>
      </w:r>
      <w:r>
        <w:t>; or</w:t>
      </w:r>
    </w:p>
    <w:p>
      <w:pPr>
        <w:pStyle w:val="BlankClose"/>
      </w:pPr>
    </w:p>
    <w:p>
      <w:pPr>
        <w:pStyle w:val="nzSubsection"/>
      </w:pPr>
      <w:r>
        <w:tab/>
        <w:t>(4)</w:t>
      </w:r>
      <w:r>
        <w:tab/>
        <w:t>In section 3(1):</w:t>
      </w:r>
    </w:p>
    <w:p>
      <w:pPr>
        <w:pStyle w:val="nzIndenta"/>
      </w:pPr>
      <w:r>
        <w:tab/>
        <w:t>(a)</w:t>
      </w:r>
      <w:r>
        <w:tab/>
        <w:t xml:space="preserve">in the definition of </w:t>
      </w:r>
      <w:r>
        <w:rPr>
          <w:b/>
          <w:bCs/>
          <w:i/>
          <w:iCs/>
        </w:rPr>
        <w:t>the pension means test</w:t>
      </w:r>
      <w:r>
        <w:t xml:space="preserve"> after paragraph (a)(i) insert:</w:t>
      </w:r>
    </w:p>
    <w:p>
      <w:pPr>
        <w:pStyle w:val="BlankOpen"/>
      </w:pPr>
    </w:p>
    <w:p>
      <w:pPr>
        <w:pStyle w:val="nzIndenta"/>
      </w:pPr>
      <w:r>
        <w:tab/>
      </w:r>
      <w:r>
        <w:tab/>
        <w:t>and</w:t>
      </w:r>
    </w:p>
    <w:p>
      <w:pPr>
        <w:pStyle w:val="BlankClose"/>
      </w:pPr>
    </w:p>
    <w:p>
      <w:pPr>
        <w:pStyle w:val="nzIndenta"/>
        <w:keepNext/>
      </w:pPr>
      <w:r>
        <w:tab/>
        <w:t>(b)</w:t>
      </w:r>
      <w:r>
        <w:tab/>
        <w:t xml:space="preserve">in the definition of </w:t>
      </w:r>
      <w:r>
        <w:rPr>
          <w:b/>
          <w:bCs/>
          <w:i/>
          <w:iCs/>
        </w:rPr>
        <w:t>dependant</w:t>
      </w:r>
      <w:r>
        <w:t xml:space="preserve"> after each of paragraphs (a) and (ab), the definition of </w:t>
      </w:r>
      <w:r>
        <w:rPr>
          <w:b/>
          <w:bCs/>
          <w:i/>
          <w:iCs/>
        </w:rPr>
        <w:t>eligibility</w:t>
      </w:r>
      <w:r>
        <w:t xml:space="preserve"> after each of paragraphs (a) and (a)(i) and (ii) and the definition of </w:t>
      </w:r>
      <w:r>
        <w:rPr>
          <w:b/>
          <w:bCs/>
          <w:i/>
          <w:iCs/>
        </w:rPr>
        <w:t>prescribed charge</w:t>
      </w:r>
      <w:r>
        <w:t xml:space="preserve"> after each of paragraphs (a) and (b) insert:</w:t>
      </w:r>
    </w:p>
    <w:p>
      <w:pPr>
        <w:pStyle w:val="BlankOpen"/>
        <w:rPr>
          <w:sz w:val="16"/>
          <w:szCs w:val="16"/>
        </w:rPr>
      </w:pPr>
    </w:p>
    <w:p>
      <w:pPr>
        <w:pStyle w:val="nzIndenta"/>
      </w:pPr>
      <w:r>
        <w:tab/>
      </w:r>
      <w:r>
        <w:tab/>
        <w:t>or</w:t>
      </w:r>
    </w:p>
    <w:p>
      <w:pPr>
        <w:pStyle w:val="BlankClose"/>
        <w:rPr>
          <w:sz w:val="16"/>
          <w:szCs w:val="16"/>
        </w:rPr>
      </w:pPr>
    </w:p>
    <w:p>
      <w:pPr>
        <w:pStyle w:val="nzSubsection"/>
      </w:pPr>
      <w:r>
        <w:tab/>
        <w:t>(5)</w:t>
      </w:r>
      <w:r>
        <w:tab/>
        <w:t>In section 16(4):</w:t>
      </w:r>
    </w:p>
    <w:p>
      <w:pPr>
        <w:pStyle w:val="nzIndenta"/>
      </w:pPr>
      <w:r>
        <w:tab/>
        <w:t>(a)</w:t>
      </w:r>
      <w:r>
        <w:tab/>
        <w:t>delete “Water Board” (first occurrence) and insert:</w:t>
      </w:r>
    </w:p>
    <w:p>
      <w:pPr>
        <w:pStyle w:val="BlankOpen"/>
        <w:rPr>
          <w:sz w:val="16"/>
          <w:szCs w:val="16"/>
        </w:rPr>
      </w:pPr>
    </w:p>
    <w:p>
      <w:pPr>
        <w:pStyle w:val="nzIndenta"/>
      </w:pPr>
      <w:r>
        <w:tab/>
      </w:r>
      <w:r>
        <w:tab/>
        <w:t>prescribed licensee</w:t>
      </w:r>
    </w:p>
    <w:p>
      <w:pPr>
        <w:pStyle w:val="BlankClose"/>
        <w:rPr>
          <w:sz w:val="16"/>
          <w:szCs w:val="16"/>
        </w:rPr>
      </w:pPr>
    </w:p>
    <w:p>
      <w:pPr>
        <w:pStyle w:val="nzIndenta"/>
      </w:pPr>
      <w:r>
        <w:tab/>
        <w:t>(b)</w:t>
      </w:r>
      <w:r>
        <w:tab/>
        <w:t>delete “Water Board” (second occurrence) and insert:</w:t>
      </w:r>
    </w:p>
    <w:p>
      <w:pPr>
        <w:pStyle w:val="BlankOpen"/>
        <w:rPr>
          <w:sz w:val="16"/>
          <w:szCs w:val="16"/>
        </w:rPr>
      </w:pPr>
    </w:p>
    <w:p>
      <w:pPr>
        <w:pStyle w:val="nzIndenta"/>
      </w:pPr>
      <w:r>
        <w:tab/>
      </w:r>
      <w:r>
        <w:tab/>
        <w:t>licensee</w:t>
      </w:r>
    </w:p>
    <w:p>
      <w:pPr>
        <w:pStyle w:val="BlankClose"/>
        <w:keepLines w:val="0"/>
        <w:rPr>
          <w:sz w:val="16"/>
          <w:szCs w:val="16"/>
        </w:rPr>
      </w:pPr>
    </w:p>
    <w:p>
      <w:pPr>
        <w:pStyle w:val="nzSubsection"/>
      </w:pPr>
      <w:r>
        <w:tab/>
        <w:t>(6)</w:t>
      </w:r>
      <w:r>
        <w:tab/>
        <w:t>After section 16(4) insert:</w:t>
      </w:r>
    </w:p>
    <w:p>
      <w:pPr>
        <w:pStyle w:val="BlankOpen"/>
        <w:rPr>
          <w:sz w:val="16"/>
          <w:szCs w:val="16"/>
        </w:rPr>
      </w:pPr>
    </w:p>
    <w:p>
      <w:pPr>
        <w:pStyle w:val="nzIndenta"/>
      </w:pPr>
      <w:r>
        <w:tab/>
        <w:t>(5)</w:t>
      </w:r>
      <w:r>
        <w:tab/>
        <w:t xml:space="preserve">In subsection (4) — </w:t>
      </w:r>
    </w:p>
    <w:p>
      <w:pPr>
        <w:pStyle w:val="nzIndenta"/>
      </w:pPr>
      <w:r>
        <w:rPr>
          <w:b/>
        </w:rPr>
        <w:tab/>
      </w:r>
      <w:r>
        <w:rPr>
          <w:b/>
        </w:rPr>
        <w:tab/>
      </w:r>
      <w:r>
        <w:rPr>
          <w:rStyle w:val="CharDefText"/>
        </w:rPr>
        <w:t>prescribed licensee</w:t>
      </w:r>
      <w:r>
        <w:t xml:space="preserve"> means a licensee under the </w:t>
      </w:r>
      <w:r>
        <w:rPr>
          <w:i/>
          <w:iCs/>
        </w:rPr>
        <w:t>Water Services Act 2012</w:t>
      </w:r>
      <w:r>
        <w:t xml:space="preserve"> (other than a body established by or under the </w:t>
      </w:r>
      <w:r>
        <w:rPr>
          <w:i/>
          <w:iCs/>
        </w:rPr>
        <w:t>Water Corporations Act 1995</w:t>
      </w:r>
      <w:r>
        <w:t xml:space="preserve"> section 4 or a local government) who is prescribed for the purposes of subsection (4).</w:t>
      </w:r>
    </w:p>
    <w:p>
      <w:pPr>
        <w:pStyle w:val="BlankClose"/>
        <w:rPr>
          <w:sz w:val="16"/>
          <w:szCs w:val="16"/>
        </w:rPr>
      </w:pPr>
    </w:p>
    <w:p>
      <w:pPr>
        <w:pStyle w:val="nSubsection"/>
        <w:keepLines/>
        <w:rPr>
          <w:snapToGrid w:val="0"/>
        </w:rPr>
      </w:pPr>
      <w:r>
        <w:rPr>
          <w:snapToGrid w:val="0"/>
          <w:vertAlign w:val="superscript"/>
        </w:rPr>
        <w:t>14</w:t>
      </w:r>
      <w:r>
        <w:rPr>
          <w:snapToGrid w:val="0"/>
        </w:rPr>
        <w:tab/>
      </w:r>
      <w:r>
        <w:t xml:space="preserve">On the date as at which this reprint was prepared, </w:t>
      </w:r>
      <w:r>
        <w:rPr>
          <w:snapToGrid w:val="0"/>
        </w:rPr>
        <w:t xml:space="preserve">the </w:t>
      </w:r>
      <w:r>
        <w:rPr>
          <w:i/>
          <w:snapToGrid w:val="0"/>
        </w:rPr>
        <w:t xml:space="preserve">Rates and Charges (Rebates and Deferments) Amendment Act 2013 </w:t>
      </w:r>
      <w:r>
        <w:rPr>
          <w:snapToGrid w:val="0"/>
        </w:rPr>
        <w:t>s. 4(3) and (4) had not come into operation.  They read as follows:</w:t>
      </w:r>
    </w:p>
    <w:p>
      <w:pPr>
        <w:pStyle w:val="BlankOpen"/>
        <w:rPr>
          <w:snapToGrid w:val="0"/>
          <w:sz w:val="16"/>
          <w:szCs w:val="16"/>
        </w:rPr>
      </w:pPr>
    </w:p>
    <w:p>
      <w:pPr>
        <w:pStyle w:val="nzHeading5"/>
      </w:pPr>
      <w:r>
        <w:rPr>
          <w:rStyle w:val="CharSectno"/>
        </w:rPr>
        <w:t>4</w:t>
      </w:r>
      <w:r>
        <w:t>.</w:t>
      </w:r>
      <w:r>
        <w:tab/>
        <w:t>Section 3 amended</w:t>
      </w:r>
    </w:p>
    <w:p>
      <w:pPr>
        <w:pStyle w:val="nzSubsection"/>
      </w:pPr>
      <w:r>
        <w:tab/>
        <w:t>(3)</w:t>
      </w:r>
      <w:r>
        <w:tab/>
        <w:t xml:space="preserve">In section 3(1) in the definition of </w:t>
      </w:r>
      <w:r>
        <w:rPr>
          <w:b/>
          <w:i/>
        </w:rPr>
        <w:t>Water Corporation</w:t>
      </w:r>
      <w:r>
        <w:t xml:space="preserve"> delete “</w:t>
      </w:r>
      <w:r>
        <w:rPr>
          <w:i/>
          <w:iCs/>
        </w:rPr>
        <w:t>Water Corporation Act 1995</w:t>
      </w:r>
      <w:r>
        <w:t>” and insert:</w:t>
      </w:r>
    </w:p>
    <w:p>
      <w:pPr>
        <w:pStyle w:val="BlankOpen"/>
      </w:pPr>
    </w:p>
    <w:p>
      <w:pPr>
        <w:pStyle w:val="nzSubsection"/>
      </w:pPr>
      <w:r>
        <w:tab/>
      </w:r>
      <w:r>
        <w:tab/>
      </w:r>
      <w:r>
        <w:rPr>
          <w:i/>
          <w:iCs/>
        </w:rPr>
        <w:t>Water Corporations Act 1995</w:t>
      </w:r>
    </w:p>
    <w:p>
      <w:pPr>
        <w:pStyle w:val="BlankClose"/>
        <w:rPr>
          <w:sz w:val="16"/>
          <w:szCs w:val="16"/>
        </w:rPr>
      </w:pPr>
    </w:p>
    <w:p>
      <w:pPr>
        <w:pStyle w:val="nzSubsection"/>
      </w:pPr>
      <w:r>
        <w:tab/>
        <w:t>(4)</w:t>
      </w:r>
      <w:r>
        <w:tab/>
        <w:t xml:space="preserve">In section 3(1) in the definition of </w:t>
      </w:r>
      <w:r>
        <w:rPr>
          <w:b/>
          <w:i/>
        </w:rPr>
        <w:t>Water Corporation charge</w:t>
      </w:r>
      <w:r>
        <w:t xml:space="preserve"> delete “paragraph (b)(ii)” and insert:</w:t>
      </w:r>
    </w:p>
    <w:p>
      <w:pPr>
        <w:pStyle w:val="BlankOpen"/>
        <w:keepNext w:val="0"/>
        <w:keepLines w:val="0"/>
        <w:rPr>
          <w:sz w:val="16"/>
          <w:szCs w:val="16"/>
        </w:rPr>
      </w:pPr>
    </w:p>
    <w:p>
      <w:pPr>
        <w:pStyle w:val="nzSubsection"/>
      </w:pPr>
      <w:r>
        <w:tab/>
      </w:r>
      <w:r>
        <w:tab/>
        <w:t>paragraph (b)(i)</w:t>
      </w:r>
    </w:p>
    <w:p>
      <w:pPr>
        <w:pStyle w:val="BlankClose"/>
        <w:keepLines w:val="0"/>
        <w:rPr>
          <w:sz w:val="16"/>
          <w:szCs w:val="16"/>
        </w:rPr>
      </w:pP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nHeading2"/>
        <w:rPr>
          <w:sz w:val="28"/>
        </w:rPr>
      </w:pPr>
      <w:bookmarkStart w:id="1366" w:name="_Toc361731428"/>
      <w:bookmarkStart w:id="1367" w:name="_Toc361743188"/>
      <w:bookmarkStart w:id="1368" w:name="_Toc364845217"/>
      <w:bookmarkStart w:id="1369" w:name="_Toc368652425"/>
      <w:r>
        <w:rPr>
          <w:sz w:val="28"/>
        </w:rPr>
        <w:t>Defined terms</w:t>
      </w:r>
      <w:bookmarkEnd w:id="1366"/>
      <w:bookmarkEnd w:id="1367"/>
      <w:bookmarkEnd w:id="1368"/>
      <w:bookmarkEnd w:id="13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70" w:name="DefinedTerms"/>
      <w:bookmarkEnd w:id="1370"/>
      <w:r>
        <w:t>administering body</w:t>
      </w:r>
      <w:r>
        <w:tab/>
        <w:t>29A(1)</w:t>
      </w:r>
    </w:p>
    <w:p>
      <w:pPr>
        <w:pStyle w:val="DefinedTerms"/>
      </w:pPr>
      <w:r>
        <w:t>administrative authority</w:t>
      </w:r>
      <w:r>
        <w:tab/>
        <w:t>3(1)</w:t>
      </w:r>
    </w:p>
    <w:p>
      <w:pPr>
        <w:pStyle w:val="DefinedTerms"/>
      </w:pPr>
      <w:r>
        <w:t>applicant</w:t>
      </w:r>
      <w:r>
        <w:tab/>
        <w:t>3(1)</w:t>
      </w:r>
    </w:p>
    <w:p>
      <w:pPr>
        <w:pStyle w:val="DefinedTerms"/>
      </w:pPr>
      <w:r>
        <w:t>caravan</w:t>
      </w:r>
      <w:r>
        <w:tab/>
        <w:t>29B(1)</w:t>
      </w:r>
    </w:p>
    <w:p>
      <w:pPr>
        <w:pStyle w:val="DefinedTerms"/>
      </w:pPr>
      <w:r>
        <w:t>caravan park</w:t>
      </w:r>
      <w:r>
        <w:tab/>
        <w:t>29B(1)</w:t>
      </w:r>
    </w:p>
    <w:p>
      <w:pPr>
        <w:pStyle w:val="DefinedTerms"/>
      </w:pPr>
      <w:r>
        <w:t>charged period</w:t>
      </w:r>
      <w:r>
        <w:tab/>
        <w:t>3(1)</w:t>
      </w:r>
    </w:p>
    <w:p>
      <w:pPr>
        <w:pStyle w:val="DefinedTerms"/>
      </w:pPr>
      <w:r>
        <w:t>child</w:t>
      </w:r>
      <w:r>
        <w:tab/>
        <w:t>3(1)</w:t>
      </w:r>
    </w:p>
    <w:p>
      <w:pPr>
        <w:pStyle w:val="DefinedTerms"/>
      </w:pPr>
      <w:r>
        <w:t>Commonwealth seniors health card</w:t>
      </w:r>
      <w:r>
        <w:tab/>
        <w:t>3(1)</w:t>
      </w:r>
    </w:p>
    <w:p>
      <w:pPr>
        <w:pStyle w:val="DefinedTerms"/>
      </w:pPr>
      <w:r>
        <w:t>de facto partner</w:t>
      </w:r>
      <w:r>
        <w:tab/>
        <w:t>3(1)</w:t>
      </w:r>
    </w:p>
    <w:p>
      <w:pPr>
        <w:pStyle w:val="DefinedTerms"/>
      </w:pPr>
      <w:r>
        <w:t>deceased partner</w:t>
      </w:r>
      <w:r>
        <w:tab/>
        <w:t>32A(1)</w:t>
      </w:r>
    </w:p>
    <w:p>
      <w:pPr>
        <w:pStyle w:val="DefinedTerms"/>
      </w:pPr>
      <w:r>
        <w:t>deferment</w:t>
      </w:r>
      <w:r>
        <w:tab/>
        <w:t>3(1)</w:t>
      </w:r>
    </w:p>
    <w:p>
      <w:pPr>
        <w:pStyle w:val="DefinedTerms"/>
      </w:pPr>
      <w:r>
        <w:t>dependant</w:t>
      </w:r>
      <w:r>
        <w:tab/>
        <w:t>3(1)</w:t>
      </w:r>
    </w:p>
    <w:p>
      <w:pPr>
        <w:pStyle w:val="DefinedTerms"/>
      </w:pPr>
      <w:r>
        <w:t>disabled person</w:t>
      </w:r>
      <w:r>
        <w:tab/>
        <w:t>23(7)</w:t>
      </w:r>
    </w:p>
    <w:p>
      <w:pPr>
        <w:pStyle w:val="DefinedTerms"/>
      </w:pPr>
      <w:r>
        <w:t>document</w:t>
      </w:r>
      <w:r>
        <w:tab/>
        <w:t>11(4)</w:t>
      </w:r>
    </w:p>
    <w:p>
      <w:pPr>
        <w:pStyle w:val="DefinedTerms"/>
      </w:pPr>
      <w:r>
        <w:t>eligibility</w:t>
      </w:r>
      <w:r>
        <w:tab/>
        <w:t>3(1)</w:t>
      </w:r>
    </w:p>
    <w:p>
      <w:pPr>
        <w:pStyle w:val="DefinedTerms"/>
      </w:pPr>
      <w:r>
        <w:t>eligible pensioner</w:t>
      </w:r>
      <w:r>
        <w:tab/>
        <w:t>3(1)</w:t>
      </w:r>
    </w:p>
    <w:p>
      <w:pPr>
        <w:pStyle w:val="DefinedTerms"/>
      </w:pPr>
      <w:r>
        <w:t>eligible person</w:t>
      </w:r>
      <w:r>
        <w:tab/>
        <w:t>3(1)</w:t>
      </w:r>
    </w:p>
    <w:p>
      <w:pPr>
        <w:pStyle w:val="DefinedTerms"/>
      </w:pPr>
      <w:r>
        <w:t>eligible senior</w:t>
      </w:r>
      <w:r>
        <w:tab/>
        <w:t>3(1)</w:t>
      </w:r>
    </w:p>
    <w:p>
      <w:pPr>
        <w:pStyle w:val="DefinedTerms"/>
      </w:pPr>
      <w:r>
        <w:t>emergency services levy</w:t>
      </w:r>
      <w:r>
        <w:tab/>
        <w:t>3(1)</w:t>
      </w:r>
    </w:p>
    <w:p>
      <w:pPr>
        <w:pStyle w:val="DefinedTerms"/>
      </w:pPr>
      <w:r>
        <w:t>entitlement</w:t>
      </w:r>
      <w:r>
        <w:tab/>
        <w:t>3(1)</w:t>
      </w:r>
    </w:p>
    <w:p>
      <w:pPr>
        <w:pStyle w:val="DefinedTerms"/>
      </w:pPr>
      <w:r>
        <w:t>final payment day</w:t>
      </w:r>
      <w:r>
        <w:tab/>
        <w:t>3(1)</w:t>
      </w:r>
    </w:p>
    <w:p>
      <w:pPr>
        <w:pStyle w:val="DefinedTerms"/>
      </w:pPr>
      <w:r>
        <w:t>final period</w:t>
      </w:r>
      <w:r>
        <w:tab/>
        <w:t>32A(3)(b)(i)</w:t>
      </w:r>
    </w:p>
    <w:p>
      <w:pPr>
        <w:pStyle w:val="DefinedTerms"/>
      </w:pPr>
      <w:r>
        <w:t>first payment</w:t>
      </w:r>
      <w:r>
        <w:tab/>
        <w:t>32A(4A)(c)</w:t>
      </w:r>
    </w:p>
    <w:p>
      <w:pPr>
        <w:pStyle w:val="DefinedTerms"/>
      </w:pPr>
      <w:r>
        <w:t>information</w:t>
      </w:r>
      <w:r>
        <w:tab/>
        <w:t>11(4)</w:t>
      </w:r>
    </w:p>
    <w:p>
      <w:pPr>
        <w:pStyle w:val="DefinedTerms"/>
      </w:pPr>
      <w:r>
        <w:t>land</w:t>
      </w:r>
      <w:r>
        <w:tab/>
        <w:t>3(1)</w:t>
      </w:r>
    </w:p>
    <w:p>
      <w:pPr>
        <w:pStyle w:val="DefinedTerms"/>
      </w:pPr>
      <w:r>
        <w:t>lessor</w:t>
      </w:r>
      <w:r>
        <w:tab/>
        <w:t>29B(1)</w:t>
      </w:r>
    </w:p>
    <w:p>
      <w:pPr>
        <w:pStyle w:val="DefinedTerms"/>
      </w:pPr>
      <w:r>
        <w:t>making</w:t>
      </w:r>
      <w:r>
        <w:tab/>
        <w:t>3(1)</w:t>
      </w:r>
    </w:p>
    <w:p>
      <w:pPr>
        <w:pStyle w:val="DefinedTerms"/>
      </w:pPr>
      <w:r>
        <w:t>park home</w:t>
      </w:r>
      <w:r>
        <w:tab/>
        <w:t>29B(1)</w:t>
      </w:r>
    </w:p>
    <w:p>
      <w:pPr>
        <w:pStyle w:val="DefinedTerms"/>
      </w:pPr>
      <w:r>
        <w:t>park operator</w:t>
      </w:r>
      <w:r>
        <w:tab/>
        <w:t>29C(1)</w:t>
      </w:r>
    </w:p>
    <w:p>
      <w:pPr>
        <w:pStyle w:val="DefinedTerms"/>
      </w:pPr>
      <w:r>
        <w:t>parliamentary purposes</w:t>
      </w:r>
      <w:r>
        <w:tab/>
        <w:t>11(4)</w:t>
      </w:r>
    </w:p>
    <w:p>
      <w:pPr>
        <w:pStyle w:val="DefinedTerms"/>
      </w:pPr>
      <w:r>
        <w:t>pension means test</w:t>
      </w:r>
      <w:r>
        <w:tab/>
        <w:t>3(1)</w:t>
      </w:r>
    </w:p>
    <w:p>
      <w:pPr>
        <w:pStyle w:val="DefinedTerms"/>
      </w:pPr>
      <w:r>
        <w:t>pensioner concession card</w:t>
      </w:r>
      <w:r>
        <w:tab/>
        <w:t>3(1)</w:t>
      </w:r>
    </w:p>
    <w:p>
      <w:pPr>
        <w:pStyle w:val="DefinedTerms"/>
      </w:pPr>
      <w:r>
        <w:t>period 1</w:t>
      </w:r>
      <w:r>
        <w:tab/>
        <w:t>32A(2)(c)(i)</w:t>
      </w:r>
    </w:p>
    <w:p>
      <w:pPr>
        <w:pStyle w:val="DefinedTerms"/>
      </w:pPr>
      <w:r>
        <w:t>period 2</w:t>
      </w:r>
      <w:r>
        <w:tab/>
        <w:t>32A(2)(c)(ii)</w:t>
      </w:r>
    </w:p>
    <w:p>
      <w:pPr>
        <w:pStyle w:val="DefinedTerms"/>
      </w:pPr>
      <w:r>
        <w:t>prescribed charge</w:t>
      </w:r>
      <w:r>
        <w:tab/>
        <w:t>3(1)</w:t>
      </w:r>
    </w:p>
    <w:p>
      <w:pPr>
        <w:pStyle w:val="DefinedTerms"/>
      </w:pPr>
      <w:r>
        <w:t>prescribed means test</w:t>
      </w:r>
      <w:r>
        <w:tab/>
        <w:t>3(1)</w:t>
      </w:r>
    </w:p>
    <w:p>
      <w:pPr>
        <w:pStyle w:val="DefinedTerms"/>
      </w:pPr>
      <w:r>
        <w:t>procedural manual</w:t>
      </w:r>
      <w:r>
        <w:tab/>
        <w:t>3(1)</w:t>
      </w:r>
    </w:p>
    <w:p>
      <w:pPr>
        <w:pStyle w:val="DefinedTerms"/>
      </w:pPr>
      <w:r>
        <w:t>rating year</w:t>
      </w:r>
      <w:r>
        <w:tab/>
        <w:t>3(1)</w:t>
      </w:r>
    </w:p>
    <w:p>
      <w:pPr>
        <w:pStyle w:val="DefinedTerms"/>
      </w:pPr>
      <w:r>
        <w:t>rebate</w:t>
      </w:r>
      <w:r>
        <w:tab/>
        <w:t>3(1)</w:t>
      </w:r>
    </w:p>
    <w:p>
      <w:pPr>
        <w:pStyle w:val="DefinedTerms"/>
      </w:pPr>
      <w:r>
        <w:t>rebated amount</w:t>
      </w:r>
      <w:r>
        <w:tab/>
        <w:t>3(1)</w:t>
      </w:r>
    </w:p>
    <w:p>
      <w:pPr>
        <w:pStyle w:val="DefinedTerms"/>
      </w:pPr>
      <w:r>
        <w:t>registered</w:t>
      </w:r>
      <w:r>
        <w:tab/>
        <w:t>3(1)</w:t>
      </w:r>
    </w:p>
    <w:p>
      <w:pPr>
        <w:pStyle w:val="DefinedTerms"/>
      </w:pPr>
      <w:r>
        <w:t>registered person</w:t>
      </w:r>
      <w:r>
        <w:tab/>
        <w:t>3(1)</w:t>
      </w:r>
    </w:p>
    <w:p>
      <w:pPr>
        <w:pStyle w:val="DefinedTerms"/>
      </w:pPr>
      <w:r>
        <w:t>relevant interest</w:t>
      </w:r>
      <w:r>
        <w:tab/>
        <w:t>3(1)</w:t>
      </w:r>
    </w:p>
    <w:p>
      <w:pPr>
        <w:pStyle w:val="DefinedTerms"/>
      </w:pPr>
      <w:r>
        <w:t>relevant period</w:t>
      </w:r>
      <w:r>
        <w:tab/>
        <w:t>42(2A)(a)</w:t>
      </w:r>
    </w:p>
    <w:p>
      <w:pPr>
        <w:pStyle w:val="DefinedTerms"/>
      </w:pPr>
      <w:r>
        <w:t>relocatable home</w:t>
      </w:r>
      <w:r>
        <w:tab/>
        <w:t>29C(1)</w:t>
      </w:r>
    </w:p>
    <w:p>
      <w:pPr>
        <w:pStyle w:val="DefinedTerms"/>
      </w:pPr>
      <w:r>
        <w:t>residence contract</w:t>
      </w:r>
      <w:r>
        <w:tab/>
        <w:t>29A(1)</w:t>
      </w:r>
    </w:p>
    <w:p>
      <w:pPr>
        <w:pStyle w:val="DefinedTerms"/>
      </w:pPr>
      <w:r>
        <w:t>resident</w:t>
      </w:r>
      <w:r>
        <w:tab/>
        <w:t>29A(1)</w:t>
      </w:r>
    </w:p>
    <w:p>
      <w:pPr>
        <w:pStyle w:val="DefinedTerms"/>
      </w:pPr>
      <w:r>
        <w:t>residential park</w:t>
      </w:r>
      <w:r>
        <w:tab/>
        <w:t>29C(1)</w:t>
      </w:r>
    </w:p>
    <w:p>
      <w:pPr>
        <w:pStyle w:val="DefinedTerms"/>
      </w:pPr>
      <w:r>
        <w:t>residential tenancy agreement</w:t>
      </w:r>
      <w:r>
        <w:tab/>
        <w:t>29B(1)</w:t>
      </w:r>
    </w:p>
    <w:p>
      <w:pPr>
        <w:pStyle w:val="DefinedTerms"/>
      </w:pPr>
      <w:r>
        <w:t>retirement village</w:t>
      </w:r>
      <w:r>
        <w:tab/>
        <w:t>29A(1)</w:t>
      </w:r>
    </w:p>
    <w:p>
      <w:pPr>
        <w:pStyle w:val="DefinedTerms"/>
      </w:pPr>
      <w:r>
        <w:t>senior’s card department</w:t>
      </w:r>
      <w:r>
        <w:tab/>
        <w:t>3(1)</w:t>
      </w:r>
    </w:p>
    <w:p>
      <w:pPr>
        <w:pStyle w:val="DefinedTerms"/>
      </w:pPr>
      <w:r>
        <w:t>seniors’ card</w:t>
      </w:r>
      <w:r>
        <w:tab/>
        <w:t>3(1)</w:t>
      </w:r>
    </w:p>
    <w:p>
      <w:pPr>
        <w:pStyle w:val="DefinedTerms"/>
      </w:pPr>
      <w:r>
        <w:t>site</w:t>
      </w:r>
      <w:r>
        <w:tab/>
        <w:t>29B(1), 29C(1)</w:t>
      </w:r>
    </w:p>
    <w:p>
      <w:pPr>
        <w:pStyle w:val="DefinedTerms"/>
      </w:pPr>
      <w:r>
        <w:t>site</w:t>
      </w:r>
      <w:r>
        <w:noBreakHyphen/>
        <w:t>only agreement</w:t>
      </w:r>
      <w:r>
        <w:tab/>
        <w:t>29C(1)</w:t>
      </w:r>
    </w:p>
    <w:p>
      <w:pPr>
        <w:pStyle w:val="DefinedTerms"/>
      </w:pPr>
      <w:r>
        <w:t>spouse</w:t>
      </w:r>
      <w:r>
        <w:tab/>
        <w:t>3(1)</w:t>
      </w:r>
    </w:p>
    <w:p>
      <w:pPr>
        <w:pStyle w:val="DefinedTerms"/>
      </w:pPr>
      <w:r>
        <w:t>State concession card</w:t>
      </w:r>
      <w:r>
        <w:tab/>
        <w:t>3(1)</w:t>
      </w:r>
    </w:p>
    <w:p>
      <w:pPr>
        <w:pStyle w:val="DefinedTerms"/>
      </w:pPr>
      <w:r>
        <w:t>surviving partner</w:t>
      </w:r>
      <w:r>
        <w:tab/>
        <w:t>32A(1)</w:t>
      </w:r>
    </w:p>
    <w:p>
      <w:pPr>
        <w:pStyle w:val="DefinedTerms"/>
      </w:pPr>
      <w:r>
        <w:t>surviving partner’s land</w:t>
      </w:r>
      <w:r>
        <w:tab/>
        <w:t>32A(1)</w:t>
      </w:r>
    </w:p>
    <w:p>
      <w:pPr>
        <w:pStyle w:val="DefinedTerms"/>
      </w:pPr>
      <w:r>
        <w:t>Water Board</w:t>
      </w:r>
      <w:r>
        <w:tab/>
        <w:t>3(1)</w:t>
      </w:r>
    </w:p>
    <w:p>
      <w:pPr>
        <w:pStyle w:val="DefinedTerms"/>
      </w:pPr>
      <w:r>
        <w:t>Water Corporation</w:t>
      </w:r>
      <w:r>
        <w:tab/>
        <w:t>3(1)</w:t>
      </w:r>
    </w:p>
    <w:p>
      <w:pPr>
        <w:pStyle w:val="DefinedTerms"/>
      </w:pPr>
      <w:r>
        <w:t>Water Corporation charge</w:t>
      </w:r>
      <w:r>
        <w:tab/>
        <w:t>3(1)</w:t>
      </w:r>
    </w:p>
    <w:p>
      <w:pPr>
        <w:pStyle w:val="DefinedTerms"/>
      </w:pPr>
      <w:r>
        <w:t>year</w:t>
      </w:r>
      <w:r>
        <w:tab/>
        <w:t>3(1)</w:t>
      </w:r>
    </w:p>
    <w:p/>
    <w:p>
      <w:pPr>
        <w:sectPr>
          <w:headerReference w:type="even" r:id="rId38"/>
          <w:headerReference w:type="default" r:id="rId39"/>
          <w:pgSz w:w="11906" w:h="16838" w:code="9"/>
          <w:pgMar w:top="2376" w:right="2405" w:bottom="3542" w:left="2405" w:header="706" w:footer="3380" w:gutter="0"/>
          <w:cols w:space="720"/>
          <w:noEndnote/>
          <w:docGrid w:linePitch="326"/>
        </w:sectPr>
      </w:pPr>
    </w:p>
    <w:p/>
    <w:sect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Administration</w:t>
            </w:r>
          </w:fldSimple>
        </w:p>
      </w:tc>
    </w:tr>
    <w:tr>
      <w:tc>
        <w:tcPr>
          <w:tcW w:w="1548" w:type="dxa"/>
        </w:tcPr>
        <w:p>
          <w:pPr>
            <w:pStyle w:val="HeaderNumberLeft"/>
          </w:pPr>
          <w:fldSimple w:instr=" styleref CharDivNo ">
            <w:r>
              <w:rPr>
                <w:noProof/>
              </w:rPr>
              <w:t>Division 2</w:t>
            </w:r>
          </w:fldSimple>
        </w:p>
      </w:tc>
      <w:tc>
        <w:tcPr>
          <w:tcW w:w="5715" w:type="dxa"/>
        </w:tcPr>
        <w:p>
          <w:pPr>
            <w:pStyle w:val="HeaderTextLeft"/>
          </w:pPr>
          <w:fldSimple w:instr=" styleref CharDivText ">
            <w:r>
              <w:rPr>
                <w:noProof/>
              </w:rPr>
              <w:t>Interpretation</w:t>
            </w:r>
          </w:fldSimple>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fldSimple w:instr=" styleref CharPartText ">
            <w:r>
              <w:rPr>
                <w:noProof/>
              </w:rPr>
              <w:t>Administration</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Provision for Revenue Laws Amendment Act 2006</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Provision for Revenue Laws Amendment Act 2006</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rPr>
              <w:rFonts w:ascii="Arial" w:hAnsi="Arial"/>
              <w:b/>
              <w:i/>
              <w:sz w:val="20"/>
            </w:rPr>
          </w:pPr>
          <w:r>
            <w:rPr>
              <w:rFonts w:ascii="Arial" w:hAnsi="Arial"/>
              <w:b/>
              <w:i/>
              <w:sz w:val="20"/>
            </w:rPr>
            <w:fldChar w:fldCharType="begin"/>
          </w:r>
          <w:r>
            <w:rPr>
              <w:rFonts w:ascii="Arial" w:hAnsi="Arial"/>
              <w:b/>
              <w:i/>
              <w:sz w:val="20"/>
            </w:rPr>
            <w:instrText xml:space="preserve"> Styleref "Name of Act/Reg" </w:instrText>
          </w:r>
          <w:r>
            <w:rPr>
              <w:rFonts w:ascii="Arial" w:hAnsi="Arial"/>
              <w:b/>
              <w:i/>
              <w:sz w:val="20"/>
            </w:rPr>
            <w:fldChar w:fldCharType="separate"/>
          </w:r>
          <w:r>
            <w:rPr>
              <w:rFonts w:ascii="Arial" w:hAnsi="Arial"/>
              <w:b/>
              <w:i/>
              <w:noProof/>
              <w:sz w:val="20"/>
            </w:rPr>
            <w:t>Rates and Charges (Rebates and Deferments) Act 1992</w:t>
          </w:r>
          <w:r>
            <w:rPr>
              <w:rFonts w:ascii="Arial" w:hAnsi="Arial"/>
              <w:b/>
              <w:i/>
              <w:sz w:val="20"/>
            </w:rPr>
            <w:fldChar w:fldCharType="end"/>
          </w:r>
        </w:p>
      </w:tc>
    </w:tr>
    <w:tr>
      <w:tc>
        <w:tcPr>
          <w:tcW w:w="1548" w:type="dxa"/>
        </w:tcPr>
        <w:p>
          <w:pPr>
            <w:spacing w:before="40"/>
            <w:rPr>
              <w:rFonts w:ascii="Arial" w:hAnsi="Arial"/>
              <w:b/>
              <w:sz w:val="20"/>
            </w:rPr>
          </w:pPr>
        </w:p>
      </w:tc>
      <w:tc>
        <w:tcPr>
          <w:tcW w:w="5612" w:type="dxa"/>
        </w:tcPr>
        <w:p>
          <w:pPr>
            <w:spacing w:before="40"/>
            <w:rPr>
              <w:rFonts w:ascii="Arial" w:hAnsi="Arial"/>
              <w:sz w:val="20"/>
            </w:rPr>
          </w:pPr>
        </w:p>
      </w:tc>
    </w:tr>
    <w:tr>
      <w:tc>
        <w:tcPr>
          <w:tcW w:w="1548" w:type="dxa"/>
        </w:tcPr>
        <w:p>
          <w:pPr>
            <w:spacing w:before="40"/>
            <w:rPr>
              <w:rFonts w:ascii="Arial" w:hAnsi="Arial"/>
              <w:b/>
              <w:sz w:val="20"/>
            </w:rPr>
          </w:pPr>
        </w:p>
      </w:tc>
      <w:tc>
        <w:tcPr>
          <w:tcW w:w="5612" w:type="dxa"/>
        </w:tcPr>
        <w:p>
          <w:pPr>
            <w:spacing w:before="40"/>
            <w:rPr>
              <w:rFonts w:ascii="Arial" w:hAnsi="Arial"/>
              <w:sz w:val="20"/>
            </w:rPr>
          </w:pPr>
        </w:p>
      </w:tc>
    </w:tr>
    <w:tr>
      <w:trPr>
        <w:cantSplit/>
      </w:trPr>
      <w:tc>
        <w:tcPr>
          <w:tcW w:w="7160" w:type="dxa"/>
          <w:gridSpan w:val="2"/>
          <w:tcBorders>
            <w:bottom w:val="single" w:sz="4" w:space="0" w:color="auto"/>
          </w:tcBorders>
        </w:tcPr>
        <w:p>
          <w:pPr>
            <w:spacing w:before="120"/>
            <w:rPr>
              <w:rFonts w:ascii="Arial" w:hAnsi="Arial"/>
              <w:b/>
              <w:sz w:val="20"/>
            </w:rPr>
          </w:pPr>
          <w:r>
            <w:rPr>
              <w:rFonts w:ascii="Arial" w:hAnsi="Arial"/>
              <w:b/>
              <w:sz w:val="20"/>
            </w:rPr>
            <w:t>Defined terms</w:t>
          </w:r>
        </w:p>
      </w:tc>
    </w:tr>
  </w:tbl>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60"/>
      <w:gridCol w:w="1494"/>
    </w:tblGrid>
    <w:tr>
      <w:trPr>
        <w:cantSplit/>
      </w:trPr>
      <w:tc>
        <w:tcPr>
          <w:tcW w:w="7254"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94" w:type="dxa"/>
        </w:tcPr>
        <w:p>
          <w:pPr>
            <w:pStyle w:val="HeaderNumberRight"/>
          </w:pPr>
        </w:p>
      </w:tc>
    </w:tr>
    <w:tr>
      <w:tc>
        <w:tcPr>
          <w:tcW w:w="5760" w:type="dxa"/>
        </w:tcPr>
        <w:p>
          <w:pPr>
            <w:pStyle w:val="HeaderTextRight"/>
          </w:pPr>
        </w:p>
      </w:tc>
      <w:tc>
        <w:tcPr>
          <w:tcW w:w="1494" w:type="dxa"/>
        </w:tcPr>
        <w:p>
          <w:pPr>
            <w:pStyle w:val="HeaderNumberRight"/>
          </w:pPr>
        </w:p>
      </w:tc>
    </w:tr>
    <w:tr>
      <w:trPr>
        <w:cantSplit/>
      </w:trPr>
      <w:tc>
        <w:tcPr>
          <w:tcW w:w="7254" w:type="dxa"/>
          <w:gridSpan w:val="2"/>
          <w:tcBorders>
            <w:bottom w:val="single" w:sz="4" w:space="0" w:color="auto"/>
          </w:tcBorders>
        </w:tcPr>
        <w:p>
          <w:pPr>
            <w:pStyle w:val="HeaderSectionRight"/>
          </w:pPr>
          <w:r>
            <w:t>Defined terms</w:t>
          </w: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26"/>
  </w:num>
  <w:num w:numId="1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header" Target="header16.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6.xml"/><Relationship Id="rId33" Type="http://schemas.openxmlformats.org/officeDocument/2006/relationships/header" Target="header10.xml"/><Relationship Id="rId38"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8.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5.wmf"/><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4.wmf"/><Relationship Id="rId28" Type="http://schemas.openxmlformats.org/officeDocument/2006/relationships/footer" Target="footer8.xml"/><Relationship Id="rId36"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6.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3.wmf"/><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D80187-4680-4C57-89BA-E63F06DBC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88</Pages>
  <Words>21274</Words>
  <Characters>100840</Characters>
  <Application>Microsoft Office Word</Application>
  <DocSecurity>0</DocSecurity>
  <Lines>2881</Lines>
  <Paragraphs>1526</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120588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1992 - 04-a0-00</dc:title>
  <dc:subject/>
  <dc:creator/>
  <cp:keywords/>
  <dc:description/>
  <cp:lastModifiedBy>svcMRProcess</cp:lastModifiedBy>
  <cp:revision>4</cp:revision>
  <cp:lastPrinted>2013-10-04T05:58:00Z</cp:lastPrinted>
  <dcterms:created xsi:type="dcterms:W3CDTF">2020-02-19T23:39:00Z</dcterms:created>
  <dcterms:modified xsi:type="dcterms:W3CDTF">2020-02-19T23:39:00Z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20131004</vt:lpwstr>
  </property>
  <property fmtid="{D5CDD505-2E9C-101B-9397-08002B2CF9AE}" pid="4" name="DocumentType">
    <vt:lpwstr>Act</vt:lpwstr>
  </property>
  <property fmtid="{D5CDD505-2E9C-101B-9397-08002B2CF9AE}" pid="5" name="OwlsUID">
    <vt:i4>670</vt:i4>
  </property>
  <property fmtid="{D5CDD505-2E9C-101B-9397-08002B2CF9AE}" pid="6" name="AsAtDate">
    <vt:lpwstr>04 Oct 2013</vt:lpwstr>
  </property>
  <property fmtid="{D5CDD505-2E9C-101B-9397-08002B2CF9AE}" pid="7" name="Suffix">
    <vt:lpwstr>04-a0-00</vt:lpwstr>
  </property>
  <property fmtid="{D5CDD505-2E9C-101B-9397-08002B2CF9AE}" pid="8" name="ReprintNo">
    <vt:lpwstr>4</vt:lpwstr>
  </property>
  <property fmtid="{D5CDD505-2E9C-101B-9397-08002B2CF9AE}" pid="9" name="ReprintedAsAt">
    <vt:filetime>2013-10-03T16:00:00Z</vt:filetime>
  </property>
</Properties>
</file>