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Pay</w:t>
      </w:r>
      <w:r>
        <w:noBreakHyphen/>
        <w:t>roll Tax Assessment Act 2002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_Toc377133762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_Toc377133763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(Glossary)</w:t>
      </w:r>
      <w:r>
        <w:tab/>
      </w:r>
      <w:r>
        <w:fldChar w:fldCharType="begin"/>
      </w:r>
      <w:r>
        <w:instrText xml:space="preserve"> PAGEREF _Toc377133764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Various exemptions and inclusions</w:t>
      </w:r>
    </w:p>
    <w:p>
      <w:pPr>
        <w:pStyle w:val="TOC4"/>
        <w:tabs>
          <w:tab w:val="right" w:leader="dot" w:pos="7086"/>
        </w:tabs>
        <w:rPr>
          <w:rFonts w:asciiTheme="minorHAnsi" w:eastAsiaTheme="minorEastAsia" w:hAnsiTheme="minorHAnsi" w:cstheme="minorBidi"/>
          <w:b w:val="0"/>
          <w:szCs w:val="22"/>
        </w:rPr>
      </w:pPr>
      <w:r>
        <w:t>Division 1 — Miscellaneous</w:t>
      </w:r>
    </w:p>
    <w:p>
      <w:pPr>
        <w:pStyle w:val="TOC8"/>
        <w:rPr>
          <w:rFonts w:asciiTheme="minorHAnsi" w:eastAsiaTheme="minorEastAsia" w:hAnsiTheme="minorHAnsi" w:cstheme="minorBidi"/>
          <w:szCs w:val="22"/>
        </w:rPr>
      </w:pPr>
      <w:r>
        <w:t>4.</w:t>
      </w:r>
      <w:r>
        <w:tab/>
        <w:t>Departments etc. prescribed (Act s. 40(2)(q))</w:t>
      </w:r>
      <w:r>
        <w:tab/>
      </w:r>
      <w:r>
        <w:fldChar w:fldCharType="begin"/>
      </w:r>
      <w:r>
        <w:instrText xml:space="preserve"> PAGEREF _Toc377133767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Class of contract prescribed (Act s. 9AA(1) </w:t>
      </w:r>
      <w:r>
        <w:rPr>
          <w:i/>
        </w:rPr>
        <w:t>wages</w:t>
      </w:r>
      <w:r>
        <w:t>)</w:t>
      </w:r>
      <w:r>
        <w:tab/>
      </w:r>
      <w:r>
        <w:fldChar w:fldCharType="begin"/>
      </w:r>
      <w:r>
        <w:instrText xml:space="preserve"> PAGEREF _Toc377133768 \h </w:instrText>
      </w:r>
      <w:r>
        <w:fldChar w:fldCharType="separate"/>
      </w:r>
      <w:r>
        <w:t>2</w:t>
      </w:r>
      <w:r>
        <w:fldChar w:fldCharType="end"/>
      </w:r>
    </w:p>
    <w:p>
      <w:pPr>
        <w:pStyle w:val="TOC8"/>
        <w:rPr>
          <w:rFonts w:asciiTheme="minorHAnsi" w:eastAsiaTheme="minorEastAsia" w:hAnsiTheme="minorHAnsi" w:cstheme="minorBidi"/>
          <w:szCs w:val="22"/>
        </w:rPr>
      </w:pPr>
      <w:r>
        <w:t>6.</w:t>
      </w:r>
      <w:r>
        <w:tab/>
        <w:t>Contracts excluded from r. 5</w:t>
      </w:r>
      <w:r>
        <w:tab/>
      </w:r>
      <w:r>
        <w:fldChar w:fldCharType="begin"/>
      </w:r>
      <w:r>
        <w:instrText xml:space="preserve"> PAGEREF _Toc377133769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rPr>
      </w:pPr>
      <w:r>
        <w:t>Division 2 — Remote location benefits</w:t>
      </w:r>
    </w:p>
    <w:p>
      <w:pPr>
        <w:pStyle w:val="TOC8"/>
        <w:rPr>
          <w:rFonts w:asciiTheme="minorHAnsi" w:eastAsiaTheme="minorEastAsia" w:hAnsiTheme="minorHAnsi" w:cstheme="minorBidi"/>
          <w:szCs w:val="22"/>
        </w:rPr>
      </w:pPr>
      <w:r>
        <w:t>7.</w:t>
      </w:r>
      <w:r>
        <w:tab/>
        <w:t>Kinds of wages prescribed (Act s. 40(2)(r))</w:t>
      </w:r>
      <w:r>
        <w:tab/>
      </w:r>
      <w:r>
        <w:fldChar w:fldCharType="begin"/>
      </w:r>
      <w:r>
        <w:instrText xml:space="preserve"> PAGEREF _Toc377133771 \h </w:instrText>
      </w:r>
      <w:r>
        <w:fldChar w:fldCharType="separate"/>
      </w:r>
      <w:r>
        <w:t>3</w:t>
      </w:r>
      <w:r>
        <w:fldChar w:fldCharType="end"/>
      </w:r>
    </w:p>
    <w:p>
      <w:pPr>
        <w:pStyle w:val="TOC8"/>
        <w:rPr>
          <w:rFonts w:asciiTheme="minorHAnsi" w:eastAsiaTheme="minorEastAsia" w:hAnsiTheme="minorHAnsi" w:cstheme="minorBidi"/>
          <w:szCs w:val="22"/>
        </w:rPr>
      </w:pPr>
      <w:r>
        <w:t>8.</w:t>
      </w:r>
      <w:r>
        <w:tab/>
        <w:t>Fringe benefits etc. relating to certain education costs of employee’s dependant</w:t>
      </w:r>
      <w:r>
        <w:tab/>
      </w:r>
      <w:r>
        <w:fldChar w:fldCharType="begin"/>
      </w:r>
      <w:r>
        <w:instrText xml:space="preserve"> PAGEREF _Toc377133772 \h </w:instrText>
      </w:r>
      <w:r>
        <w:fldChar w:fldCharType="separate"/>
      </w:r>
      <w:r>
        <w:t>3</w:t>
      </w:r>
      <w:r>
        <w:fldChar w:fldCharType="end"/>
      </w:r>
    </w:p>
    <w:p>
      <w:pPr>
        <w:pStyle w:val="TOC8"/>
        <w:rPr>
          <w:rFonts w:asciiTheme="minorHAnsi" w:eastAsiaTheme="minorEastAsia" w:hAnsiTheme="minorHAnsi" w:cstheme="minorBidi"/>
          <w:szCs w:val="22"/>
        </w:rPr>
      </w:pPr>
      <w:r>
        <w:t>9.</w:t>
      </w:r>
      <w:r>
        <w:tab/>
        <w:t>Fringe benefits relating to water and residential fuel</w:t>
      </w:r>
      <w:r>
        <w:tab/>
      </w:r>
      <w:r>
        <w:fldChar w:fldCharType="begin"/>
      </w:r>
      <w:r>
        <w:instrText xml:space="preserve"> PAGEREF _Toc377133773 \h </w:instrText>
      </w:r>
      <w:r>
        <w:fldChar w:fldCharType="separate"/>
      </w:r>
      <w:r>
        <w:t>3</w:t>
      </w:r>
      <w:r>
        <w:fldChar w:fldCharType="end"/>
      </w:r>
    </w:p>
    <w:p>
      <w:pPr>
        <w:pStyle w:val="TOC8"/>
        <w:rPr>
          <w:rFonts w:asciiTheme="minorHAnsi" w:eastAsiaTheme="minorEastAsia" w:hAnsiTheme="minorHAnsi" w:cstheme="minorBidi"/>
          <w:szCs w:val="22"/>
        </w:rPr>
      </w:pPr>
      <w:r>
        <w:t>10.</w:t>
      </w:r>
      <w:r>
        <w:tab/>
        <w:t>Fringe benefits etc. for housing, electricity etc.</w:t>
      </w:r>
      <w:r>
        <w:tab/>
      </w:r>
      <w:r>
        <w:fldChar w:fldCharType="begin"/>
      </w:r>
      <w:r>
        <w:instrText xml:space="preserve"> PAGEREF _Toc377133774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Specified taxable benefits</w:t>
      </w:r>
    </w:p>
    <w:p>
      <w:pPr>
        <w:pStyle w:val="TOC8"/>
        <w:rPr>
          <w:rFonts w:asciiTheme="minorHAnsi" w:eastAsiaTheme="minorEastAsia" w:hAnsiTheme="minorHAnsi" w:cstheme="minorBidi"/>
          <w:szCs w:val="22"/>
        </w:rPr>
      </w:pPr>
      <w:r>
        <w:t>11.</w:t>
      </w:r>
      <w:r>
        <w:tab/>
        <w:t>Contributions to redundancy benefits scheme</w:t>
      </w:r>
      <w:r>
        <w:tab/>
      </w:r>
      <w:r>
        <w:fldChar w:fldCharType="begin"/>
      </w:r>
      <w:r>
        <w:instrText xml:space="preserve"> PAGEREF _Toc377133776 \h </w:instrText>
      </w:r>
      <w:r>
        <w:fldChar w:fldCharType="separate"/>
      </w:r>
      <w:r>
        <w:t>5</w:t>
      </w:r>
      <w:r>
        <w:fldChar w:fldCharType="end"/>
      </w:r>
    </w:p>
    <w:p>
      <w:pPr>
        <w:pStyle w:val="TOC8"/>
        <w:rPr>
          <w:rFonts w:asciiTheme="minorHAnsi" w:eastAsiaTheme="minorEastAsia" w:hAnsiTheme="minorHAnsi" w:cstheme="minorBidi"/>
          <w:szCs w:val="22"/>
        </w:rPr>
      </w:pPr>
      <w:r>
        <w:t>12.</w:t>
      </w:r>
      <w:r>
        <w:tab/>
        <w:t>Value of redundancy benefits scheme contributions (Act s. 9BI)</w:t>
      </w:r>
      <w:r>
        <w:tab/>
      </w:r>
      <w:r>
        <w:fldChar w:fldCharType="begin"/>
      </w:r>
      <w:r>
        <w:instrText xml:space="preserve"> PAGEREF _Toc377133777 \h </w:instrText>
      </w:r>
      <w:r>
        <w:fldChar w:fldCharType="separate"/>
      </w:r>
      <w:r>
        <w:t>5</w:t>
      </w:r>
      <w:r>
        <w:fldChar w:fldCharType="end"/>
      </w:r>
    </w:p>
    <w:p>
      <w:pPr>
        <w:pStyle w:val="TOC8"/>
        <w:rPr>
          <w:rFonts w:asciiTheme="minorHAnsi" w:eastAsiaTheme="minorEastAsia" w:hAnsiTheme="minorHAnsi" w:cstheme="minorBidi"/>
          <w:szCs w:val="22"/>
        </w:rPr>
      </w:pPr>
      <w:r>
        <w:t>13.</w:t>
      </w:r>
      <w:r>
        <w:tab/>
        <w:t>Contributions to portable paid long service leave fund</w:t>
      </w:r>
      <w:r>
        <w:tab/>
      </w:r>
      <w:r>
        <w:fldChar w:fldCharType="begin"/>
      </w:r>
      <w:r>
        <w:instrText xml:space="preserve"> PAGEREF _Toc377133778 \h </w:instrText>
      </w:r>
      <w:r>
        <w:fldChar w:fldCharType="separate"/>
      </w:r>
      <w:r>
        <w:t>5</w:t>
      </w:r>
      <w:r>
        <w:fldChar w:fldCharType="end"/>
      </w:r>
    </w:p>
    <w:p>
      <w:pPr>
        <w:pStyle w:val="TOC8"/>
        <w:rPr>
          <w:rFonts w:asciiTheme="minorHAnsi" w:eastAsiaTheme="minorEastAsia" w:hAnsiTheme="minorHAnsi" w:cstheme="minorBidi"/>
          <w:szCs w:val="22"/>
        </w:rPr>
      </w:pPr>
      <w:r>
        <w:t>14.</w:t>
      </w:r>
      <w:r>
        <w:tab/>
        <w:t>Value of portable long service leave fund contributions (Act s. 9BI)</w:t>
      </w:r>
      <w:r>
        <w:tab/>
      </w:r>
      <w:r>
        <w:fldChar w:fldCharType="begin"/>
      </w:r>
      <w:r>
        <w:instrText xml:space="preserve"> PAGEREF _Toc377133779 \h </w:instrText>
      </w:r>
      <w:r>
        <w:fldChar w:fldCharType="separate"/>
      </w:r>
      <w:r>
        <w:t>5</w:t>
      </w:r>
      <w:r>
        <w:fldChar w:fldCharType="end"/>
      </w:r>
    </w:p>
    <w:p>
      <w:pPr>
        <w:pStyle w:val="TOC8"/>
        <w:rPr>
          <w:rFonts w:asciiTheme="minorHAnsi" w:eastAsiaTheme="minorEastAsia" w:hAnsiTheme="minorHAnsi" w:cstheme="minorBidi"/>
          <w:szCs w:val="22"/>
        </w:rPr>
      </w:pPr>
      <w:r>
        <w:t>15.</w:t>
      </w:r>
      <w:r>
        <w:tab/>
        <w:t>Exempt wages prescribed (Act s. 40(4))</w:t>
      </w:r>
      <w:r>
        <w:tab/>
      </w:r>
      <w:r>
        <w:fldChar w:fldCharType="begin"/>
      </w:r>
      <w:r>
        <w:instrText xml:space="preserve"> PAGEREF _Toc377133780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4A — Disability wages subsidy</w:t>
      </w:r>
    </w:p>
    <w:p>
      <w:pPr>
        <w:pStyle w:val="TOC8"/>
        <w:rPr>
          <w:rFonts w:asciiTheme="minorHAnsi" w:eastAsiaTheme="minorEastAsia" w:hAnsiTheme="minorHAnsi" w:cstheme="minorBidi"/>
          <w:szCs w:val="22"/>
        </w:rPr>
      </w:pPr>
      <w:r>
        <w:t>16.</w:t>
      </w:r>
      <w:r>
        <w:tab/>
        <w:t>Disability wages subsidy prescribed (Act s. 41C)</w:t>
      </w:r>
      <w:r>
        <w:tab/>
      </w:r>
      <w:r>
        <w:fldChar w:fldCharType="begin"/>
      </w:r>
      <w:r>
        <w:instrText xml:space="preserve"> PAGEREF _Toc377133782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4 — Fringe benefits</w:t>
      </w:r>
    </w:p>
    <w:p>
      <w:pPr>
        <w:pStyle w:val="TOC8"/>
        <w:rPr>
          <w:rFonts w:asciiTheme="minorHAnsi" w:eastAsiaTheme="minorEastAsia" w:hAnsiTheme="minorHAnsi" w:cstheme="minorBidi"/>
          <w:szCs w:val="22"/>
        </w:rPr>
      </w:pPr>
      <w:r>
        <w:t>27.</w:t>
      </w:r>
      <w:r>
        <w:tab/>
        <w:t>Amended FBT Act assessment, employer to give copy of to Commissioner</w:t>
      </w:r>
      <w:r>
        <w:tab/>
      </w:r>
      <w:r>
        <w:fldChar w:fldCharType="begin"/>
      </w:r>
      <w:r>
        <w:instrText xml:space="preserve"> PAGEREF _Toc377133784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Allowances</w:t>
      </w:r>
    </w:p>
    <w:p>
      <w:pPr>
        <w:pStyle w:val="TOC4"/>
        <w:tabs>
          <w:tab w:val="right" w:leader="dot" w:pos="7086"/>
        </w:tabs>
        <w:rPr>
          <w:rFonts w:asciiTheme="minorHAnsi" w:eastAsiaTheme="minorEastAsia" w:hAnsiTheme="minorHAnsi" w:cstheme="minorBidi"/>
          <w:b w:val="0"/>
          <w:szCs w:val="22"/>
        </w:rPr>
      </w:pPr>
      <w:r>
        <w:t>Division 1 — Motor vehicle allowances</w:t>
      </w:r>
    </w:p>
    <w:p>
      <w:pPr>
        <w:pStyle w:val="TOC8"/>
        <w:rPr>
          <w:rFonts w:asciiTheme="minorHAnsi" w:eastAsiaTheme="minorEastAsia" w:hAnsiTheme="minorHAnsi" w:cstheme="minorBidi"/>
          <w:szCs w:val="22"/>
        </w:rPr>
      </w:pPr>
      <w:r>
        <w:t>30.</w:t>
      </w:r>
      <w:r>
        <w:tab/>
        <w:t>Business kilometres travelled, determination of (Act s. 9FA(2))</w:t>
      </w:r>
      <w:r>
        <w:tab/>
      </w:r>
      <w:r>
        <w:fldChar w:fldCharType="begin"/>
      </w:r>
      <w:r>
        <w:instrText xml:space="preserve"> PAGEREF _Toc377133787 \h </w:instrText>
      </w:r>
      <w:r>
        <w:fldChar w:fldCharType="separate"/>
      </w:r>
      <w:r>
        <w:t>8</w:t>
      </w:r>
      <w:r>
        <w:fldChar w:fldCharType="end"/>
      </w:r>
    </w:p>
    <w:p>
      <w:pPr>
        <w:pStyle w:val="TOC8"/>
        <w:rPr>
          <w:rFonts w:asciiTheme="minorHAnsi" w:eastAsiaTheme="minorEastAsia" w:hAnsiTheme="minorHAnsi" w:cstheme="minorBidi"/>
          <w:szCs w:val="22"/>
        </w:rPr>
      </w:pPr>
      <w:r>
        <w:t>32.</w:t>
      </w:r>
      <w:r>
        <w:tab/>
        <w:t>Business kilometres, methods for calculating</w:t>
      </w:r>
      <w:r>
        <w:tab/>
      </w:r>
      <w:r>
        <w:fldChar w:fldCharType="begin"/>
      </w:r>
      <w:r>
        <w:instrText xml:space="preserve"> PAGEREF _Toc377133788 \h </w:instrText>
      </w:r>
      <w:r>
        <w:fldChar w:fldCharType="separate"/>
      </w:r>
      <w:r>
        <w:t>8</w:t>
      </w:r>
      <w:r>
        <w:fldChar w:fldCharType="end"/>
      </w:r>
    </w:p>
    <w:p>
      <w:pPr>
        <w:pStyle w:val="TOC8"/>
        <w:rPr>
          <w:rFonts w:asciiTheme="minorHAnsi" w:eastAsiaTheme="minorEastAsia" w:hAnsiTheme="minorHAnsi" w:cstheme="minorBidi"/>
          <w:szCs w:val="22"/>
        </w:rPr>
      </w:pPr>
      <w:r>
        <w:t>33.</w:t>
      </w:r>
      <w:r>
        <w:tab/>
        <w:t>Business kilometres, changing method of calculating</w:t>
      </w:r>
      <w:r>
        <w:tab/>
      </w:r>
      <w:r>
        <w:fldChar w:fldCharType="begin"/>
      </w:r>
      <w:r>
        <w:instrText xml:space="preserve"> PAGEREF _Toc377133789 \h </w:instrText>
      </w:r>
      <w:r>
        <w:fldChar w:fldCharType="separate"/>
      </w:r>
      <w:r>
        <w:t>10</w:t>
      </w:r>
      <w:r>
        <w:fldChar w:fldCharType="end"/>
      </w:r>
    </w:p>
    <w:p>
      <w:pPr>
        <w:pStyle w:val="TOC8"/>
        <w:rPr>
          <w:rFonts w:asciiTheme="minorHAnsi" w:eastAsiaTheme="minorEastAsia" w:hAnsiTheme="minorHAnsi" w:cstheme="minorBidi"/>
          <w:szCs w:val="22"/>
        </w:rPr>
      </w:pPr>
      <w:r>
        <w:t>34.</w:t>
      </w:r>
      <w:r>
        <w:tab/>
        <w:t>Continuous recording method</w:t>
      </w:r>
      <w:r>
        <w:tab/>
      </w:r>
      <w:r>
        <w:fldChar w:fldCharType="begin"/>
      </w:r>
      <w:r>
        <w:instrText xml:space="preserve"> PAGEREF _Toc377133790 \h </w:instrText>
      </w:r>
      <w:r>
        <w:fldChar w:fldCharType="separate"/>
      </w:r>
      <w:r>
        <w:t>10</w:t>
      </w:r>
      <w:r>
        <w:fldChar w:fldCharType="end"/>
      </w:r>
    </w:p>
    <w:p>
      <w:pPr>
        <w:pStyle w:val="TOC8"/>
        <w:rPr>
          <w:rFonts w:asciiTheme="minorHAnsi" w:eastAsiaTheme="minorEastAsia" w:hAnsiTheme="minorHAnsi" w:cstheme="minorBidi"/>
          <w:szCs w:val="22"/>
        </w:rPr>
      </w:pPr>
      <w:r>
        <w:t>35.</w:t>
      </w:r>
      <w:r>
        <w:tab/>
        <w:t>Averaging method</w:t>
      </w:r>
      <w:r>
        <w:tab/>
      </w:r>
      <w:r>
        <w:fldChar w:fldCharType="begin"/>
      </w:r>
      <w:r>
        <w:instrText xml:space="preserve"> PAGEREF _Toc377133791 \h </w:instrText>
      </w:r>
      <w:r>
        <w:fldChar w:fldCharType="separate"/>
      </w:r>
      <w:r>
        <w:t>11</w:t>
      </w:r>
      <w:r>
        <w:fldChar w:fldCharType="end"/>
      </w:r>
    </w:p>
    <w:p>
      <w:pPr>
        <w:pStyle w:val="TOC8"/>
        <w:rPr>
          <w:rFonts w:asciiTheme="minorHAnsi" w:eastAsiaTheme="minorEastAsia" w:hAnsiTheme="minorHAnsi" w:cstheme="minorBidi"/>
          <w:szCs w:val="22"/>
        </w:rPr>
      </w:pPr>
      <w:r>
        <w:t>36.</w:t>
      </w:r>
      <w:r>
        <w:tab/>
        <w:t>Continuous recording period, selecting</w:t>
      </w:r>
      <w:r>
        <w:tab/>
      </w:r>
      <w:r>
        <w:fldChar w:fldCharType="begin"/>
      </w:r>
      <w:r>
        <w:instrText xml:space="preserve"> PAGEREF _Toc377133792 \h </w:instrText>
      </w:r>
      <w:r>
        <w:fldChar w:fldCharType="separate"/>
      </w:r>
      <w:r>
        <w:t>12</w:t>
      </w:r>
      <w:r>
        <w:fldChar w:fldCharType="end"/>
      </w:r>
    </w:p>
    <w:p>
      <w:pPr>
        <w:pStyle w:val="TOC8"/>
        <w:rPr>
          <w:rFonts w:asciiTheme="minorHAnsi" w:eastAsiaTheme="minorEastAsia" w:hAnsiTheme="minorHAnsi" w:cstheme="minorBidi"/>
          <w:szCs w:val="22"/>
        </w:rPr>
      </w:pPr>
      <w:r>
        <w:t>37.</w:t>
      </w:r>
      <w:r>
        <w:tab/>
        <w:t>Replacing one motor vehicle with another</w:t>
      </w:r>
      <w:r>
        <w:tab/>
      </w:r>
      <w:r>
        <w:fldChar w:fldCharType="begin"/>
      </w:r>
      <w:r>
        <w:instrText xml:space="preserve"> PAGEREF _Toc377133793 \h </w:instrText>
      </w:r>
      <w:r>
        <w:fldChar w:fldCharType="separate"/>
      </w:r>
      <w:r>
        <w:t>13</w:t>
      </w:r>
      <w:r>
        <w:fldChar w:fldCharType="end"/>
      </w:r>
    </w:p>
    <w:p>
      <w:pPr>
        <w:pStyle w:val="TOC8"/>
        <w:rPr>
          <w:rFonts w:asciiTheme="minorHAnsi" w:eastAsiaTheme="minorEastAsia" w:hAnsiTheme="minorHAnsi" w:cstheme="minorBidi"/>
          <w:szCs w:val="22"/>
        </w:rPr>
      </w:pPr>
      <w:r>
        <w:t>38.</w:t>
      </w:r>
      <w:r>
        <w:tab/>
        <w:t>Replacement or recalibration of odometer</w:t>
      </w:r>
      <w:r>
        <w:tab/>
      </w:r>
      <w:r>
        <w:fldChar w:fldCharType="begin"/>
      </w:r>
      <w:r>
        <w:instrText xml:space="preserve"> PAGEREF _Toc377133794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4 — Superannuation contributions</w:t>
      </w:r>
    </w:p>
    <w:p>
      <w:pPr>
        <w:pStyle w:val="TOC8"/>
        <w:rPr>
          <w:rFonts w:asciiTheme="minorHAnsi" w:eastAsiaTheme="minorEastAsia" w:hAnsiTheme="minorHAnsi" w:cstheme="minorBidi"/>
          <w:szCs w:val="22"/>
        </w:rPr>
      </w:pPr>
      <w:r>
        <w:t>41.</w:t>
      </w:r>
      <w:r>
        <w:tab/>
        <w:t>Actuarial determinations for some superannuation contributions, employer’s duties as to</w:t>
      </w:r>
      <w:r>
        <w:tab/>
      </w:r>
      <w:r>
        <w:fldChar w:fldCharType="begin"/>
      </w:r>
      <w:r>
        <w:instrText xml:space="preserve"> PAGEREF _Toc377133796 \h </w:instrText>
      </w:r>
      <w:r>
        <w:fldChar w:fldCharType="separate"/>
      </w:r>
      <w:r>
        <w:t>15</w:t>
      </w:r>
      <w:r>
        <w:fldChar w:fldCharType="end"/>
      </w:r>
    </w:p>
    <w:p>
      <w:pPr>
        <w:pStyle w:val="TOC8"/>
        <w:rPr>
          <w:rFonts w:asciiTheme="minorHAnsi" w:eastAsiaTheme="minorEastAsia" w:hAnsiTheme="minorHAnsi" w:cstheme="minorBidi"/>
          <w:szCs w:val="22"/>
        </w:rPr>
      </w:pPr>
      <w:r>
        <w:t>42.</w:t>
      </w:r>
      <w:r>
        <w:tab/>
        <w:t>Actuarial determinations, requirements for</w:t>
      </w:r>
      <w:r>
        <w:tab/>
      </w:r>
      <w:r>
        <w:fldChar w:fldCharType="begin"/>
      </w:r>
      <w:r>
        <w:instrText xml:space="preserve"> PAGEREF _Toc377133797 \h </w:instrText>
      </w:r>
      <w:r>
        <w:fldChar w:fldCharType="separate"/>
      </w:r>
      <w:r>
        <w:t>15</w:t>
      </w:r>
      <w:r>
        <w:fldChar w:fldCharType="end"/>
      </w:r>
    </w:p>
    <w:p>
      <w:pPr>
        <w:pStyle w:val="TOC8"/>
        <w:rPr>
          <w:rFonts w:asciiTheme="minorHAnsi" w:eastAsiaTheme="minorEastAsia" w:hAnsiTheme="minorHAnsi" w:cstheme="minorBidi"/>
          <w:szCs w:val="22"/>
        </w:rPr>
      </w:pPr>
      <w:r>
        <w:t>44.</w:t>
      </w:r>
      <w:r>
        <w:tab/>
        <w:t>Actuarial determinations, content of</w:t>
      </w:r>
      <w:r>
        <w:tab/>
      </w:r>
      <w:r>
        <w:fldChar w:fldCharType="begin"/>
      </w:r>
      <w:r>
        <w:instrText xml:space="preserve"> PAGEREF _Toc377133798 \h </w:instrText>
      </w:r>
      <w:r>
        <w:fldChar w:fldCharType="separate"/>
      </w:r>
      <w:r>
        <w:t>16</w:t>
      </w:r>
      <w:r>
        <w:fldChar w:fldCharType="end"/>
      </w:r>
    </w:p>
    <w:p>
      <w:pPr>
        <w:pStyle w:val="TOC8"/>
        <w:rPr>
          <w:rFonts w:asciiTheme="minorHAnsi" w:eastAsiaTheme="minorEastAsia" w:hAnsiTheme="minorHAnsi" w:cstheme="minorBidi"/>
          <w:szCs w:val="22"/>
        </w:rPr>
      </w:pPr>
      <w:r>
        <w:t>45.</w:t>
      </w:r>
      <w:r>
        <w:tab/>
        <w:t>Actuarial determination, duration of</w:t>
      </w:r>
      <w:r>
        <w:tab/>
      </w:r>
      <w:r>
        <w:fldChar w:fldCharType="begin"/>
      </w:r>
      <w:r>
        <w:instrText xml:space="preserve"> PAGEREF _Toc377133799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5 — Keeping books and accounts</w:t>
      </w:r>
    </w:p>
    <w:p>
      <w:pPr>
        <w:pStyle w:val="TOC8"/>
        <w:rPr>
          <w:rFonts w:asciiTheme="minorHAnsi" w:eastAsiaTheme="minorEastAsia" w:hAnsiTheme="minorHAnsi" w:cstheme="minorBidi"/>
          <w:szCs w:val="22"/>
        </w:rPr>
      </w:pPr>
      <w:r>
        <w:t>46.</w:t>
      </w:r>
      <w:r>
        <w:tab/>
        <w:t>Records prescribed (Act s. 44(1)(a), 41A(2)); record keeping requirements</w:t>
      </w:r>
      <w:r>
        <w:tab/>
      </w:r>
      <w:r>
        <w:fldChar w:fldCharType="begin"/>
      </w:r>
      <w:r>
        <w:instrText xml:space="preserve"> PAGEREF _Toc377133801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Returns</w:t>
      </w:r>
    </w:p>
    <w:p>
      <w:pPr>
        <w:pStyle w:val="TOC8"/>
        <w:rPr>
          <w:rFonts w:asciiTheme="minorHAnsi" w:eastAsiaTheme="minorEastAsia" w:hAnsiTheme="minorHAnsi" w:cstheme="minorBidi"/>
          <w:szCs w:val="22"/>
        </w:rPr>
      </w:pPr>
      <w:r>
        <w:t>47.</w:t>
      </w:r>
      <w:r>
        <w:tab/>
        <w:t>Manner of lodging returns etc. prescribed (Act s. 28A(1))</w:t>
      </w:r>
      <w:r>
        <w:tab/>
      </w:r>
      <w:r>
        <w:fldChar w:fldCharType="begin"/>
      </w:r>
      <w:r>
        <w:instrText xml:space="preserve"> PAGEREF _Toc377133803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Schedule 1 — Exempt departments and other organisations</w:t>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_Toc377133806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_Toc377133808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1" w:name="_Toc377133761"/>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377133762"/>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3" w:name="_Toc377133763"/>
      <w:r>
        <w:rPr>
          <w:rStyle w:val="CharSectno"/>
        </w:rPr>
        <w:t>2</w:t>
      </w:r>
      <w:r>
        <w:rPr>
          <w:spacing w:val="-2"/>
        </w:rPr>
        <w:t>.</w:t>
      </w:r>
      <w:r>
        <w:rPr>
          <w:spacing w:val="-2"/>
        </w:rPr>
        <w:tab/>
        <w:t>Commencement</w:t>
      </w:r>
      <w:bookmarkEnd w:id="3"/>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4" w:name="_Toc377133764"/>
      <w:r>
        <w:rPr>
          <w:rStyle w:val="CharSectno"/>
        </w:rPr>
        <w:t>3</w:t>
      </w:r>
      <w:r>
        <w:t>.</w:t>
      </w:r>
      <w:r>
        <w:tab/>
        <w:t>Terms used (Glossary)</w:t>
      </w:r>
      <w:bookmarkEnd w:id="4"/>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5" w:name="_Toc377133765"/>
      <w:r>
        <w:rPr>
          <w:rStyle w:val="CharPartNo"/>
        </w:rPr>
        <w:t>Part 2</w:t>
      </w:r>
      <w:r>
        <w:t> — </w:t>
      </w:r>
      <w:r>
        <w:rPr>
          <w:rStyle w:val="CharPartText"/>
        </w:rPr>
        <w:t>Various exemptions and inclusions</w:t>
      </w:r>
      <w:bookmarkEnd w:id="5"/>
    </w:p>
    <w:p>
      <w:pPr>
        <w:pStyle w:val="Heading3"/>
      </w:pPr>
      <w:bookmarkStart w:id="6" w:name="_Toc377133766"/>
      <w:r>
        <w:rPr>
          <w:rStyle w:val="CharDivNo"/>
        </w:rPr>
        <w:t>Division 1</w:t>
      </w:r>
      <w:r>
        <w:t> — </w:t>
      </w:r>
      <w:r>
        <w:rPr>
          <w:rStyle w:val="CharDivText"/>
        </w:rPr>
        <w:t>Miscellaneous</w:t>
      </w:r>
      <w:bookmarkEnd w:id="6"/>
    </w:p>
    <w:p>
      <w:pPr>
        <w:pStyle w:val="Heading5"/>
      </w:pPr>
      <w:bookmarkStart w:id="7" w:name="_Toc377133767"/>
      <w:r>
        <w:rPr>
          <w:rStyle w:val="CharSectno"/>
        </w:rPr>
        <w:t>4</w:t>
      </w:r>
      <w:r>
        <w:t>.</w:t>
      </w:r>
      <w:r>
        <w:tab/>
        <w:t>Departments etc. prescribed (Act s. 40(2)(q))</w:t>
      </w:r>
      <w:bookmarkEnd w:id="7"/>
      <w:r>
        <w:t xml:space="preserve"> </w:t>
      </w:r>
    </w:p>
    <w:p>
      <w:pPr>
        <w:pStyle w:val="Subsection"/>
      </w:pPr>
      <w:r>
        <w:tab/>
      </w:r>
      <w:r>
        <w:tab/>
        <w:t>The departments and other organisations listed in Schedule 1 are prescribed for the purposes of section 40(2)(q) of the Act.</w:t>
      </w:r>
    </w:p>
    <w:p>
      <w:pPr>
        <w:pStyle w:val="Heading5"/>
      </w:pPr>
      <w:bookmarkStart w:id="8" w:name="_Toc377133768"/>
      <w:r>
        <w:rPr>
          <w:rStyle w:val="CharSectno"/>
        </w:rPr>
        <w:t>5</w:t>
      </w:r>
      <w:r>
        <w:t>.</w:t>
      </w:r>
      <w:r>
        <w:tab/>
        <w:t xml:space="preserve">Class of contract prescribed (Act s. 9AA(1) </w:t>
      </w:r>
      <w:r>
        <w:rPr>
          <w:i/>
        </w:rPr>
        <w:t>wages</w:t>
      </w:r>
      <w:r>
        <w:t>)</w:t>
      </w:r>
      <w:bookmarkEnd w:id="8"/>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by Act No. 15 of 2010 s. 29.]</w:t>
      </w:r>
    </w:p>
    <w:p>
      <w:pPr>
        <w:pStyle w:val="Heading5"/>
      </w:pPr>
      <w:bookmarkStart w:id="9" w:name="_Toc377133769"/>
      <w:r>
        <w:rPr>
          <w:rStyle w:val="CharSectno"/>
        </w:rPr>
        <w:t>6</w:t>
      </w:r>
      <w:r>
        <w:t>.</w:t>
      </w:r>
      <w:r>
        <w:tab/>
        <w:t>Contracts excluded from r. 5</w:t>
      </w:r>
      <w:bookmarkEnd w:id="9"/>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2</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10" w:name="_Toc377133770"/>
      <w:r>
        <w:rPr>
          <w:rStyle w:val="CharDivNo"/>
        </w:rPr>
        <w:t>Division 2</w:t>
      </w:r>
      <w:r>
        <w:t> — </w:t>
      </w:r>
      <w:r>
        <w:rPr>
          <w:rStyle w:val="CharDivText"/>
        </w:rPr>
        <w:t>Remote location benefits</w:t>
      </w:r>
      <w:bookmarkEnd w:id="10"/>
    </w:p>
    <w:p>
      <w:pPr>
        <w:pStyle w:val="Heading5"/>
      </w:pPr>
      <w:bookmarkStart w:id="11" w:name="_Toc377133771"/>
      <w:r>
        <w:rPr>
          <w:rStyle w:val="CharSectno"/>
        </w:rPr>
        <w:t>7</w:t>
      </w:r>
      <w:r>
        <w:t>.</w:t>
      </w:r>
      <w:r>
        <w:tab/>
        <w:t>Kinds of wages prescribed (Act s. 40(2)(r))</w:t>
      </w:r>
      <w:bookmarkEnd w:id="11"/>
    </w:p>
    <w:p>
      <w:pPr>
        <w:pStyle w:val="Subsection"/>
      </w:pPr>
      <w:r>
        <w:tab/>
      </w:r>
      <w:r>
        <w:tab/>
        <w:t>Wages of a kind referred to in this Division are prescribed for the purposes of section 40(2)(r) of the Act to the extent specified in this Division.</w:t>
      </w:r>
    </w:p>
    <w:p>
      <w:pPr>
        <w:pStyle w:val="Heading5"/>
      </w:pPr>
      <w:bookmarkStart w:id="12" w:name="_Toc377133772"/>
      <w:r>
        <w:rPr>
          <w:rStyle w:val="CharSectno"/>
        </w:rPr>
        <w:t>8</w:t>
      </w:r>
      <w:r>
        <w:t>.</w:t>
      </w:r>
      <w:r>
        <w:tab/>
        <w:t>Fringe benefits etc. relating to certain education costs of employee’s dependant</w:t>
      </w:r>
      <w:bookmarkEnd w:id="12"/>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13" w:name="_Toc377133773"/>
      <w:r>
        <w:rPr>
          <w:rStyle w:val="CharSectno"/>
        </w:rPr>
        <w:t>9</w:t>
      </w:r>
      <w:r>
        <w:t>.</w:t>
      </w:r>
      <w:r>
        <w:tab/>
        <w:t>Fringe benefits relating to water and residential fuel</w:t>
      </w:r>
      <w:bookmarkEnd w:id="13"/>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14" w:name="_Toc377133774"/>
      <w:r>
        <w:rPr>
          <w:rStyle w:val="CharSectno"/>
        </w:rPr>
        <w:t>10</w:t>
      </w:r>
      <w:r>
        <w:t>.</w:t>
      </w:r>
      <w:r>
        <w:tab/>
        <w:t>Fringe benefits etc. for housing, electricity etc.</w:t>
      </w:r>
      <w:bookmarkEnd w:id="14"/>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15" w:name="_Toc377133775"/>
      <w:r>
        <w:rPr>
          <w:rStyle w:val="CharDivNo"/>
        </w:rPr>
        <w:t>Division 3</w:t>
      </w:r>
      <w:r>
        <w:t> — </w:t>
      </w:r>
      <w:r>
        <w:rPr>
          <w:rStyle w:val="CharDivText"/>
        </w:rPr>
        <w:t>Specified taxable benefits</w:t>
      </w:r>
      <w:bookmarkEnd w:id="15"/>
    </w:p>
    <w:p>
      <w:pPr>
        <w:pStyle w:val="Heading5"/>
      </w:pPr>
      <w:bookmarkStart w:id="16" w:name="_Toc377133776"/>
      <w:r>
        <w:rPr>
          <w:rStyle w:val="CharSectno"/>
        </w:rPr>
        <w:t>11</w:t>
      </w:r>
      <w:r>
        <w:t>.</w:t>
      </w:r>
      <w:r>
        <w:tab/>
        <w:t>Contributions to redundancy benefits scheme</w:t>
      </w:r>
      <w:bookmarkEnd w:id="16"/>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17" w:name="_Toc377133777"/>
      <w:r>
        <w:rPr>
          <w:rStyle w:val="CharSectno"/>
        </w:rPr>
        <w:t>12</w:t>
      </w:r>
      <w:r>
        <w:t>.</w:t>
      </w:r>
      <w:r>
        <w:tab/>
        <w:t>Value of redundancy benefits scheme contributions (Act s. 9BI)</w:t>
      </w:r>
      <w:bookmarkEnd w:id="17"/>
    </w:p>
    <w:p>
      <w:pPr>
        <w:pStyle w:val="Subsection"/>
      </w:pPr>
      <w:r>
        <w:tab/>
      </w:r>
      <w:r>
        <w:tab/>
        <w:t>For the purposes of section 9BI of the Act, the value of a contribution to a redundancy benefits scheme is the amount equal to the amount of the contribution.</w:t>
      </w:r>
    </w:p>
    <w:p>
      <w:pPr>
        <w:pStyle w:val="Footnotesection"/>
      </w:pPr>
      <w:r>
        <w:tab/>
        <w:t>[Regulation 12 amended by Act No. 15 of 2010 s. 30.]</w:t>
      </w:r>
    </w:p>
    <w:p>
      <w:pPr>
        <w:pStyle w:val="Heading5"/>
      </w:pPr>
      <w:bookmarkStart w:id="18" w:name="_Toc377133778"/>
      <w:r>
        <w:rPr>
          <w:rStyle w:val="CharSectno"/>
        </w:rPr>
        <w:t>13</w:t>
      </w:r>
      <w:r>
        <w:t>.</w:t>
      </w:r>
      <w:r>
        <w:tab/>
        <w:t>Contributions to portable paid long service leave fund</w:t>
      </w:r>
      <w:bookmarkEnd w:id="18"/>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19" w:name="_Toc377133779"/>
      <w:r>
        <w:rPr>
          <w:rStyle w:val="CharSectno"/>
        </w:rPr>
        <w:t>14</w:t>
      </w:r>
      <w:r>
        <w:t>.</w:t>
      </w:r>
      <w:r>
        <w:tab/>
        <w:t>Value of portable long service leave fund contributions (Act s. 9BI)</w:t>
      </w:r>
      <w:bookmarkEnd w:id="19"/>
    </w:p>
    <w:p>
      <w:pPr>
        <w:pStyle w:val="Subsection"/>
      </w:pPr>
      <w:r>
        <w:tab/>
      </w:r>
      <w:r>
        <w:tab/>
        <w:t>For the purposes of section 9BI of the Act, the value of a contribution to a portable long service leave fund is the amount equal to the amount of the contribution.</w:t>
      </w:r>
    </w:p>
    <w:p>
      <w:pPr>
        <w:pStyle w:val="Footnotesection"/>
      </w:pPr>
      <w:r>
        <w:tab/>
        <w:t>[Regulation 14 amended by Act No. 15 of 2010 s. 31.]</w:t>
      </w:r>
    </w:p>
    <w:p>
      <w:pPr>
        <w:pStyle w:val="Heading5"/>
      </w:pPr>
      <w:bookmarkStart w:id="20" w:name="_Toc377133780"/>
      <w:r>
        <w:rPr>
          <w:rStyle w:val="CharSectno"/>
        </w:rPr>
        <w:t>15</w:t>
      </w:r>
      <w:r>
        <w:t>.</w:t>
      </w:r>
      <w:r>
        <w:tab/>
        <w:t>Exempt wages prescribed (Act s. 40(4))</w:t>
      </w:r>
      <w:bookmarkEnd w:id="20"/>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r>
        <w:t>[</w:t>
      </w:r>
      <w:r>
        <w:rPr>
          <w:b/>
          <w:bCs/>
        </w:rPr>
        <w:t>17, 18.</w:t>
      </w:r>
      <w:r>
        <w:tab/>
        <w:t>Deleted by Act No. 15 of 2010 s. 32.]</w:t>
      </w:r>
    </w:p>
    <w:p>
      <w:pPr>
        <w:pStyle w:val="Heading3"/>
      </w:pPr>
      <w:bookmarkStart w:id="21" w:name="_Toc377133781"/>
      <w:r>
        <w:rPr>
          <w:rStyle w:val="CharDivNo"/>
        </w:rPr>
        <w:t>Division 4A</w:t>
      </w:r>
      <w:r>
        <w:t> — </w:t>
      </w:r>
      <w:r>
        <w:rPr>
          <w:rStyle w:val="CharDivText"/>
        </w:rPr>
        <w:t>Disability wages subsidy</w:t>
      </w:r>
      <w:bookmarkEnd w:id="21"/>
    </w:p>
    <w:p>
      <w:pPr>
        <w:pStyle w:val="Footnoteheading"/>
      </w:pPr>
      <w:r>
        <w:rPr>
          <w:snapToGrid w:val="0"/>
        </w:rPr>
        <w:tab/>
        <w:t>[Heading inserted in Gazette 11 Oct 2013 p. 4624.]</w:t>
      </w:r>
    </w:p>
    <w:p>
      <w:pPr>
        <w:pStyle w:val="Heading5"/>
      </w:pPr>
      <w:bookmarkStart w:id="22" w:name="_Toc377133782"/>
      <w:r>
        <w:rPr>
          <w:rStyle w:val="CharSectno"/>
        </w:rPr>
        <w:t>16</w:t>
      </w:r>
      <w:r>
        <w:t>.</w:t>
      </w:r>
      <w:r>
        <w:tab/>
        <w:t>Disability wages subsidy prescribed (Act s. 41C)</w:t>
      </w:r>
      <w:bookmarkEnd w:id="22"/>
    </w:p>
    <w:p>
      <w:pPr>
        <w:pStyle w:val="Subsection"/>
      </w:pPr>
      <w:r>
        <w:tab/>
        <w:t>(1)</w:t>
      </w:r>
      <w:r>
        <w:tab/>
        <w:t xml:space="preserve">In this regulation — </w:t>
      </w:r>
    </w:p>
    <w:p>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pPr>
        <w:pStyle w:val="Defpara"/>
      </w:pPr>
      <w:r>
        <w:tab/>
        <w:t>(a)</w:t>
      </w:r>
      <w:r>
        <w:tab/>
        <w:t>1 July 2012; or</w:t>
      </w:r>
    </w:p>
    <w:p>
      <w:pPr>
        <w:pStyle w:val="Defpara"/>
      </w:pPr>
      <w:r>
        <w:tab/>
        <w:t>(b)</w:t>
      </w:r>
      <w:r>
        <w:tab/>
        <w:t>the date on which the last party to the Deed signs the Deed.</w:t>
      </w:r>
    </w:p>
    <w:p>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pPr>
        <w:pStyle w:val="Subsection"/>
      </w:pPr>
      <w:r>
        <w:tab/>
        <w:t>(3)</w:t>
      </w:r>
      <w:r>
        <w:tab/>
        <w:t>Subregulation (2) applies to wages paid or payable on or after 4 March 2013.</w:t>
      </w:r>
    </w:p>
    <w:p>
      <w:pPr>
        <w:pStyle w:val="Footnotesection"/>
        <w:spacing w:before="100"/>
        <w:ind w:left="890" w:hanging="890"/>
      </w:pPr>
      <w:r>
        <w:tab/>
        <w:t>[Regulation 16 inserted in Gazette 11 Oct 2013 p. 4624</w:t>
      </w:r>
      <w:r>
        <w:noBreakHyphen/>
        <w:t>5.]</w:t>
      </w:r>
    </w:p>
    <w:p>
      <w:pPr>
        <w:pStyle w:val="Heading3"/>
        <w:spacing w:before="280"/>
      </w:pPr>
      <w:bookmarkStart w:id="23" w:name="_Toc377133783"/>
      <w:r>
        <w:rPr>
          <w:rStyle w:val="CharDivNo"/>
        </w:rPr>
        <w:t>Division 4</w:t>
      </w:r>
      <w:r>
        <w:t> — </w:t>
      </w:r>
      <w:r>
        <w:rPr>
          <w:rStyle w:val="CharDivText"/>
        </w:rPr>
        <w:t>Fringe benefits</w:t>
      </w:r>
      <w:bookmarkEnd w:id="23"/>
    </w:p>
    <w:p>
      <w:pPr>
        <w:pStyle w:val="Ednotesection"/>
      </w:pPr>
      <w:r>
        <w:t>[</w:t>
      </w:r>
      <w:r>
        <w:rPr>
          <w:b/>
          <w:bCs/>
        </w:rPr>
        <w:t>19-26.</w:t>
      </w:r>
      <w:r>
        <w:tab/>
        <w:t>Deleted by Act No. 15 of 2010 s. 33.]</w:t>
      </w:r>
    </w:p>
    <w:p>
      <w:pPr>
        <w:pStyle w:val="Heading5"/>
      </w:pPr>
      <w:bookmarkStart w:id="24" w:name="_Toc377133784"/>
      <w:r>
        <w:rPr>
          <w:rStyle w:val="CharSectno"/>
        </w:rPr>
        <w:t>27</w:t>
      </w:r>
      <w:r>
        <w:t>.</w:t>
      </w:r>
      <w:r>
        <w:tab/>
        <w:t>Amended FBT Act assessment, employer to give copy of to Commissioner</w:t>
      </w:r>
      <w:bookmarkEnd w:id="24"/>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25" w:name="_Toc377133785"/>
      <w:r>
        <w:rPr>
          <w:rStyle w:val="CharPartNo"/>
        </w:rPr>
        <w:t>Part 3</w:t>
      </w:r>
      <w:r>
        <w:rPr>
          <w:b w:val="0"/>
        </w:rPr>
        <w:t> </w:t>
      </w:r>
      <w:r>
        <w:t>—</w:t>
      </w:r>
      <w:r>
        <w:rPr>
          <w:b w:val="0"/>
        </w:rPr>
        <w:t> </w:t>
      </w:r>
      <w:r>
        <w:rPr>
          <w:rStyle w:val="CharPartText"/>
        </w:rPr>
        <w:t>Allowances</w:t>
      </w:r>
      <w:bookmarkEnd w:id="25"/>
    </w:p>
    <w:p>
      <w:pPr>
        <w:pStyle w:val="Footnoteheading"/>
      </w:pPr>
      <w:r>
        <w:tab/>
        <w:t>[Heading inserted by Act No. 15 of 2010 s. 34.]</w:t>
      </w:r>
    </w:p>
    <w:p>
      <w:pPr>
        <w:pStyle w:val="Heading3"/>
      </w:pPr>
      <w:bookmarkStart w:id="26" w:name="_Toc377133786"/>
      <w:r>
        <w:rPr>
          <w:rStyle w:val="CharDivNo"/>
        </w:rPr>
        <w:t>Division 1</w:t>
      </w:r>
      <w:r>
        <w:t> — </w:t>
      </w:r>
      <w:r>
        <w:rPr>
          <w:rStyle w:val="CharDivText"/>
        </w:rPr>
        <w:t>Motor vehicle allowances</w:t>
      </w:r>
      <w:bookmarkEnd w:id="26"/>
    </w:p>
    <w:p>
      <w:pPr>
        <w:pStyle w:val="Ednotesection"/>
      </w:pPr>
      <w:r>
        <w:t>[</w:t>
      </w:r>
      <w:r>
        <w:rPr>
          <w:b/>
          <w:bCs/>
        </w:rPr>
        <w:t>28-29.</w:t>
      </w:r>
      <w:r>
        <w:tab/>
        <w:t>Deleted by Act No. 15 of 2010 s. 35.]</w:t>
      </w:r>
    </w:p>
    <w:p>
      <w:pPr>
        <w:pStyle w:val="Heading5"/>
      </w:pPr>
      <w:bookmarkStart w:id="27" w:name="_Toc377133787"/>
      <w:r>
        <w:rPr>
          <w:rStyle w:val="CharSectno"/>
        </w:rPr>
        <w:t>30</w:t>
      </w:r>
      <w:r>
        <w:t>.</w:t>
      </w:r>
      <w:r>
        <w:tab/>
        <w:t>Business kilometres travelled, determination of (Act s. 9FA(2))</w:t>
      </w:r>
      <w:bookmarkEnd w:id="27"/>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r>
        <w:tab/>
        <w:t>[Regulation 30 amended by Act No. 15 of 2010 s. 36.]</w:t>
      </w:r>
    </w:p>
    <w:p>
      <w:pPr>
        <w:pStyle w:val="Ednotesection"/>
      </w:pPr>
      <w:r>
        <w:t>[</w:t>
      </w:r>
      <w:r>
        <w:rPr>
          <w:b/>
          <w:bCs/>
        </w:rPr>
        <w:t>31.</w:t>
      </w:r>
      <w:r>
        <w:tab/>
        <w:t>Deleted by Act No. 15 of 2010 s. 37.]</w:t>
      </w:r>
    </w:p>
    <w:p>
      <w:pPr>
        <w:pStyle w:val="Heading5"/>
      </w:pPr>
      <w:bookmarkStart w:id="28" w:name="_Toc377133788"/>
      <w:r>
        <w:rPr>
          <w:rStyle w:val="CharSectno"/>
        </w:rPr>
        <w:t>32</w:t>
      </w:r>
      <w:r>
        <w:t>.</w:t>
      </w:r>
      <w:r>
        <w:tab/>
        <w:t>Business kilometres, methods for calculating</w:t>
      </w:r>
      <w:bookmarkEnd w:id="28"/>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29" w:name="_Toc377133789"/>
      <w:r>
        <w:rPr>
          <w:rStyle w:val="CharSectno"/>
        </w:rPr>
        <w:t>33</w:t>
      </w:r>
      <w:r>
        <w:t>.</w:t>
      </w:r>
      <w:r>
        <w:tab/>
        <w:t>Business kilometres, changing method of calculating</w:t>
      </w:r>
      <w:bookmarkEnd w:id="29"/>
      <w:r>
        <w:t xml:space="preserve"> </w:t>
      </w:r>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0" w:name="_Toc377133790"/>
      <w:r>
        <w:rPr>
          <w:rStyle w:val="CharSectno"/>
        </w:rPr>
        <w:t>34</w:t>
      </w:r>
      <w:r>
        <w:t>.</w:t>
      </w:r>
      <w:r>
        <w:tab/>
        <w:t>Continuous recording method</w:t>
      </w:r>
      <w:bookmarkEnd w:id="30"/>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1" w:name="_Toc377133791"/>
      <w:r>
        <w:rPr>
          <w:rStyle w:val="CharSectno"/>
        </w:rPr>
        <w:t>35</w:t>
      </w:r>
      <w:r>
        <w:t>.</w:t>
      </w:r>
      <w:r>
        <w:tab/>
        <w:t>Averaging method</w:t>
      </w:r>
      <w:bookmarkEnd w:id="31"/>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t>(2)</w:t>
      </w:r>
      <w:r>
        <w:tab/>
        <w:t xml:space="preserve">To establish the BK percentage, the employer must — </w:t>
      </w:r>
    </w:p>
    <w:p>
      <w:pPr>
        <w:pStyle w:val="Indenta"/>
      </w:pPr>
      <w:r>
        <w:tab/>
        <w:t>(a)</w:t>
      </w:r>
      <w:r>
        <w:tab/>
        <w:t>select a recording period of at least 12 consecutive weeks under regulation 36;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1.5pt" o:ole="">
            <v:imagedata r:id="rId20" o:title=""/>
          </v:shape>
          <o:OLEObject Type="Embed" ProgID="Equation.3" ShapeID="_x0000_i1025" DrawAspect="Content" ObjectID="_1644224280" r:id="rId21"/>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6" type="#_x0000_t75" style="width:132.75pt;height:31.5pt" o:ole="">
            <v:imagedata r:id="rId22" o:title=""/>
          </v:shape>
          <o:OLEObject Type="Embed" ProgID="Equation.3" ShapeID="_x0000_i1026" DrawAspect="Content" ObjectID="_1644224281" r:id="rId23"/>
        </w:object>
      </w:r>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32" w:name="_Toc377133792"/>
      <w:r>
        <w:rPr>
          <w:rStyle w:val="CharSectno"/>
        </w:rPr>
        <w:t>36</w:t>
      </w:r>
      <w:r>
        <w:t>.</w:t>
      </w:r>
      <w:r>
        <w:tab/>
        <w:t>Continuous recording period, selecting</w:t>
      </w:r>
      <w:bookmarkEnd w:id="32"/>
    </w:p>
    <w:p>
      <w:pPr>
        <w:pStyle w:val="Subsection"/>
      </w:pPr>
      <w:r>
        <w:tab/>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3" w:name="_Toc377133793"/>
      <w:r>
        <w:rPr>
          <w:rStyle w:val="CharSectno"/>
        </w:rPr>
        <w:t>37</w:t>
      </w:r>
      <w:r>
        <w:t>.</w:t>
      </w:r>
      <w:r>
        <w:tab/>
        <w:t>Replacing one motor vehicle with another</w:t>
      </w:r>
      <w:bookmarkEnd w:id="33"/>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4" w:name="_Toc377133794"/>
      <w:r>
        <w:rPr>
          <w:rStyle w:val="CharSectno"/>
        </w:rPr>
        <w:t>38</w:t>
      </w:r>
      <w:r>
        <w:t>.</w:t>
      </w:r>
      <w:r>
        <w:tab/>
        <w:t>Replacement or recalibration of odometer</w:t>
      </w:r>
      <w:bookmarkEnd w:id="34"/>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r>
        <w:t>[Division 2 (r. 39, 40) deleted by Act No. 15 of 2010 s. 38.]</w:t>
      </w:r>
    </w:p>
    <w:p>
      <w:pPr>
        <w:pStyle w:val="Heading2"/>
      </w:pPr>
      <w:bookmarkStart w:id="35" w:name="_Toc377133795"/>
      <w:r>
        <w:rPr>
          <w:rStyle w:val="CharPartNo"/>
        </w:rPr>
        <w:t>Part 4</w:t>
      </w:r>
      <w:r>
        <w:rPr>
          <w:rStyle w:val="CharDivNo"/>
        </w:rPr>
        <w:t> </w:t>
      </w:r>
      <w:r>
        <w:t>—</w:t>
      </w:r>
      <w:r>
        <w:rPr>
          <w:rStyle w:val="CharDivText"/>
        </w:rPr>
        <w:t> </w:t>
      </w:r>
      <w:r>
        <w:rPr>
          <w:rStyle w:val="CharPartText"/>
        </w:rPr>
        <w:t>Superannuation contributions</w:t>
      </w:r>
      <w:bookmarkEnd w:id="35"/>
    </w:p>
    <w:p>
      <w:pPr>
        <w:pStyle w:val="Heading5"/>
      </w:pPr>
      <w:bookmarkStart w:id="36" w:name="_Toc377133796"/>
      <w:r>
        <w:rPr>
          <w:rStyle w:val="CharSectno"/>
        </w:rPr>
        <w:t>41</w:t>
      </w:r>
      <w:r>
        <w:t>.</w:t>
      </w:r>
      <w:r>
        <w:tab/>
        <w:t>Actuarial determinations for some superannuation contributions, employer’s duties as to</w:t>
      </w:r>
      <w:bookmarkEnd w:id="36"/>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r>
        <w:tab/>
        <w:t>[Regulation 41 amended by Act No. 15 of 2010 s. 39.]</w:t>
      </w:r>
    </w:p>
    <w:p>
      <w:pPr>
        <w:pStyle w:val="Heading5"/>
      </w:pPr>
      <w:bookmarkStart w:id="37" w:name="_Toc377133797"/>
      <w:r>
        <w:rPr>
          <w:rStyle w:val="CharSectno"/>
        </w:rPr>
        <w:t>42</w:t>
      </w:r>
      <w:r>
        <w:t>.</w:t>
      </w:r>
      <w:r>
        <w:tab/>
        <w:t>Actuarial determinations, requirements for</w:t>
      </w:r>
      <w:bookmarkEnd w:id="37"/>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r>
        <w:tab/>
        <w:t>[Regulation 42 amended by Act No. 15 of 2010 s. 40.]</w:t>
      </w:r>
    </w:p>
    <w:p>
      <w:pPr>
        <w:pStyle w:val="Ednotesection"/>
      </w:pPr>
      <w:r>
        <w:t>[</w:t>
      </w:r>
      <w:r>
        <w:rPr>
          <w:b/>
          <w:bCs/>
        </w:rPr>
        <w:t>43.</w:t>
      </w:r>
      <w:r>
        <w:tab/>
        <w:t>Deleted by Act No. 15 of 2010 s. 41.]</w:t>
      </w:r>
    </w:p>
    <w:p>
      <w:pPr>
        <w:pStyle w:val="Heading5"/>
      </w:pPr>
      <w:bookmarkStart w:id="38" w:name="_Toc377133798"/>
      <w:r>
        <w:rPr>
          <w:rStyle w:val="CharSectno"/>
        </w:rPr>
        <w:t>44</w:t>
      </w:r>
      <w:r>
        <w:t>.</w:t>
      </w:r>
      <w:r>
        <w:tab/>
        <w:t>Actuarial determinations, content of</w:t>
      </w:r>
      <w:bookmarkEnd w:id="38"/>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r>
        <w:tab/>
        <w:t>[Regulation 44 amended by Act No. 15 of 2010 s. 42.]</w:t>
      </w:r>
    </w:p>
    <w:p>
      <w:pPr>
        <w:pStyle w:val="Heading5"/>
      </w:pPr>
      <w:bookmarkStart w:id="39" w:name="_Toc377133799"/>
      <w:r>
        <w:rPr>
          <w:rStyle w:val="CharSectno"/>
        </w:rPr>
        <w:t>45</w:t>
      </w:r>
      <w:r>
        <w:t>.</w:t>
      </w:r>
      <w:r>
        <w:tab/>
        <w:t>Actuarial determination, duration of</w:t>
      </w:r>
      <w:bookmarkEnd w:id="39"/>
    </w:p>
    <w:p>
      <w:pPr>
        <w:pStyle w:val="Subsection"/>
      </w:pPr>
      <w:r>
        <w:tab/>
      </w:r>
      <w:r>
        <w:tab/>
        <w:t>An actuarial determination remains in force for 3 years from when it is made unless before then another actuarial determination is made to replace it.</w:t>
      </w:r>
    </w:p>
    <w:p>
      <w:pPr>
        <w:pStyle w:val="Heading2"/>
      </w:pPr>
      <w:bookmarkStart w:id="40" w:name="_Toc377133800"/>
      <w:r>
        <w:rPr>
          <w:rStyle w:val="CharPartNo"/>
        </w:rPr>
        <w:t>Part 5</w:t>
      </w:r>
      <w:r>
        <w:rPr>
          <w:rStyle w:val="CharDivNo"/>
        </w:rPr>
        <w:t> </w:t>
      </w:r>
      <w:r>
        <w:t>—</w:t>
      </w:r>
      <w:r>
        <w:rPr>
          <w:rStyle w:val="CharDivText"/>
        </w:rPr>
        <w:t> </w:t>
      </w:r>
      <w:r>
        <w:rPr>
          <w:rStyle w:val="CharPartText"/>
        </w:rPr>
        <w:t>Keeping books and accounts</w:t>
      </w:r>
      <w:bookmarkEnd w:id="40"/>
    </w:p>
    <w:p>
      <w:pPr>
        <w:pStyle w:val="Heading5"/>
        <w:spacing w:before="240"/>
      </w:pPr>
      <w:bookmarkStart w:id="41" w:name="_Toc377133801"/>
      <w:r>
        <w:rPr>
          <w:rStyle w:val="CharSectno"/>
        </w:rPr>
        <w:t>46</w:t>
      </w:r>
      <w:r>
        <w:t>.</w:t>
      </w:r>
      <w:r>
        <w:tab/>
        <w:t>Records prescribed (Act s. 44(1)(a), 41A(2)); record keeping requirements</w:t>
      </w:r>
      <w:bookmarkEnd w:id="41"/>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r>
        <w:tab/>
        <w:t>[Regulation 46 amended by Act No. 15 of 2010 s. 43.]</w:t>
      </w:r>
    </w:p>
    <w:p>
      <w:pPr>
        <w:pStyle w:val="Heading2"/>
      </w:pPr>
      <w:bookmarkStart w:id="42" w:name="_Toc377133802"/>
      <w:r>
        <w:rPr>
          <w:rStyle w:val="CharPartNo"/>
        </w:rPr>
        <w:t>Part 6</w:t>
      </w:r>
      <w:r>
        <w:rPr>
          <w:b w:val="0"/>
        </w:rPr>
        <w:t> </w:t>
      </w:r>
      <w:r>
        <w:t>—</w:t>
      </w:r>
      <w:r>
        <w:rPr>
          <w:b w:val="0"/>
        </w:rPr>
        <w:t> </w:t>
      </w:r>
      <w:r>
        <w:rPr>
          <w:rStyle w:val="CharPartText"/>
        </w:rPr>
        <w:t>Returns</w:t>
      </w:r>
      <w:bookmarkEnd w:id="42"/>
    </w:p>
    <w:p>
      <w:pPr>
        <w:pStyle w:val="Footnoteheading"/>
      </w:pPr>
      <w:r>
        <w:tab/>
        <w:t>[Heading inserted in Gazette 2 May 2006 p. 1711.]</w:t>
      </w:r>
    </w:p>
    <w:p>
      <w:pPr>
        <w:pStyle w:val="Heading5"/>
      </w:pPr>
      <w:bookmarkStart w:id="43" w:name="_Toc377133803"/>
      <w:r>
        <w:rPr>
          <w:rStyle w:val="CharSectno"/>
        </w:rPr>
        <w:t>47</w:t>
      </w:r>
      <w:r>
        <w:t>.</w:t>
      </w:r>
      <w:r>
        <w:tab/>
        <w:t>Manner of lodging returns etc. prescribed (Act s. 28A(1))</w:t>
      </w:r>
      <w:bookmarkEnd w:id="43"/>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4" w:name="_Toc377133804"/>
      <w:r>
        <w:rPr>
          <w:rStyle w:val="CharSchNo"/>
        </w:rPr>
        <w:t>Schedule 1</w:t>
      </w:r>
      <w:r>
        <w:t> — </w:t>
      </w:r>
      <w:r>
        <w:rPr>
          <w:rStyle w:val="CharSchText"/>
        </w:rPr>
        <w:t>Exempt departments and other organisations</w:t>
      </w:r>
      <w:bookmarkEnd w:id="44"/>
    </w:p>
    <w:p>
      <w:pPr>
        <w:pStyle w:val="yShoulderClause"/>
      </w:pPr>
      <w:r>
        <w:t>[r. 4]</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 xml:space="preserve">The Corruption and Crime Commission of </w:t>
      </w:r>
      <w:smartTag w:uri="urn:schemas-microsoft-com:office:smarttags" w:element="place">
        <w:smartTag w:uri="urn:schemas-microsoft-com:office:smarttags" w:element="State">
          <w:r>
            <w:t>Western Australia</w:t>
          </w:r>
        </w:smartTag>
      </w:smartTag>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rPr>
          <w:vertAlign w:val="superscript"/>
        </w:rPr>
      </w:pPr>
      <w:r>
        <w:t>The Department for Planning and Infrastructure</w:t>
      </w:r>
      <w:r>
        <w:rPr>
          <w:vertAlign w:val="superscript"/>
        </w:rPr>
        <w:t> 5</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 xml:space="preserve">The </w:t>
      </w:r>
      <w:smartTag w:uri="urn:schemas-microsoft-com:office:smarttags" w:element="place">
        <w:smartTag w:uri="urn:schemas-microsoft-com:office:smarttags" w:element="City">
          <w:r>
            <w:t>Kimberley</w:t>
          </w:r>
        </w:smartTag>
      </w:smartTag>
      <w:r>
        <w:t xml:space="preserve">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Water Regulation</w:t>
      </w:r>
      <w:r>
        <w:rPr>
          <w:vertAlign w:val="superscript"/>
        </w:rPr>
        <w:t> 6</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Recreation Camps and Reserves Board</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7</w:t>
      </w:r>
    </w:p>
    <w:p>
      <w:pPr>
        <w:pStyle w:val="yMiscellaneousBody"/>
        <w:ind w:left="600"/>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Building</w:t>
          </w:r>
        </w:smartTag>
      </w:smartTag>
      <w:r>
        <w:t xml:space="preserve">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in Gazette 7 Sep 2004 p. 3884; 5 Nov 2004 p. 4987; 2 May 2006 p. 1709</w:t>
      </w:r>
      <w:r>
        <w:noBreakHyphen/>
        <w:t xml:space="preserve">10; 11 Jul 2006 p. 2546; 22 Aug 2006 p. 3469; 22 Dec 2006 p. 5807; </w:t>
      </w:r>
      <w:r>
        <w:rPr>
          <w:szCs w:val="22"/>
        </w:rPr>
        <w:t>11 Feb 2011 p. 504</w:t>
      </w:r>
      <w:r>
        <w:rPr>
          <w:szCs w:val="22"/>
        </w:rPr>
        <w:noBreakHyphen/>
        <w:t>5</w:t>
      </w:r>
      <w:r>
        <w:t>.]</w:t>
      </w:r>
    </w:p>
    <w:p>
      <w:pPr>
        <w:pStyle w:val="yScheduleHeading"/>
      </w:pPr>
      <w:bookmarkStart w:id="45" w:name="_Toc377133805"/>
      <w:r>
        <w:rPr>
          <w:rStyle w:val="CharSchNo"/>
        </w:rPr>
        <w:t>Glossary</w:t>
      </w:r>
      <w:bookmarkEnd w:id="45"/>
      <w:r>
        <w:rPr>
          <w:rStyle w:val="CharSchText"/>
        </w:rPr>
        <w:t xml:space="preserve"> </w:t>
      </w:r>
    </w:p>
    <w:p>
      <w:pPr>
        <w:pStyle w:val="yShoulderClause"/>
      </w:pPr>
      <w:r>
        <w:t>[r. 3]</w:t>
      </w:r>
    </w:p>
    <w:p>
      <w:pPr>
        <w:pStyle w:val="yHeading5"/>
        <w:outlineLvl w:val="9"/>
      </w:pPr>
      <w:bookmarkStart w:id="46" w:name="_Toc377133806"/>
      <w:r>
        <w:t>1.</w:t>
      </w:r>
      <w:r>
        <w:tab/>
        <w:t>Terms used</w:t>
      </w:r>
      <w:bookmarkEnd w:id="46"/>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by Act No. 15 of 2010 s. 44.]</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47" w:name="_Toc377133807"/>
      <w:r>
        <w:t>Notes</w:t>
      </w:r>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 9, 10</w:t>
      </w:r>
      <w:r>
        <w:rPr>
          <w:snapToGrid w:val="0"/>
        </w:rPr>
        <w:t>.  The table also contains information about any reprint.</w:t>
      </w:r>
    </w:p>
    <w:p>
      <w:pPr>
        <w:pStyle w:val="nHeading3"/>
      </w:pPr>
      <w:bookmarkStart w:id="48" w:name="_Toc377133808"/>
      <w:r>
        <w:t>Compilation table</w:t>
      </w:r>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w:t>
            </w:r>
            <w:r>
              <w:rPr>
                <w:sz w:val="19"/>
              </w:rPr>
              <w:noBreakHyphen/>
              <w:t>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w:t>
            </w:r>
            <w:r>
              <w:rPr>
                <w:i/>
                <w:sz w:val="19"/>
              </w:rPr>
              <w:noBreakHyphen/>
              <w:t>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w:t>
            </w:r>
            <w:r>
              <w:rPr>
                <w:i/>
                <w:sz w:val="19"/>
              </w:rPr>
              <w:noBreakHyphen/>
              <w:t>roll Tax Assessment Amendment Regulations 2004</w:t>
            </w:r>
          </w:p>
        </w:tc>
        <w:tc>
          <w:tcPr>
            <w:tcW w:w="1276" w:type="dxa"/>
          </w:tcPr>
          <w:p>
            <w:pPr>
              <w:pStyle w:val="nTable"/>
              <w:spacing w:after="40"/>
              <w:rPr>
                <w:sz w:val="19"/>
              </w:rPr>
            </w:pPr>
            <w:r>
              <w:rPr>
                <w:sz w:val="19"/>
              </w:rPr>
              <w:t>25 Jun 2004 p. 2246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w:t>
            </w:r>
            <w:r>
              <w:rPr>
                <w:i/>
                <w:sz w:val="19"/>
              </w:rPr>
              <w:noBreakHyphen/>
              <w:t>roll Tax Assessment Amendment Regulations (No. 2) 2004</w:t>
            </w:r>
          </w:p>
        </w:tc>
        <w:tc>
          <w:tcPr>
            <w:tcW w:w="1276" w:type="dxa"/>
          </w:tcPr>
          <w:p>
            <w:pPr>
              <w:pStyle w:val="nTable"/>
              <w:spacing w:after="40"/>
              <w:rPr>
                <w:sz w:val="19"/>
              </w:rPr>
            </w:pPr>
            <w:r>
              <w:rPr>
                <w:sz w:val="19"/>
              </w:rPr>
              <w:t>7 Sep 2004 p. 3883</w:t>
            </w:r>
            <w:r>
              <w:rPr>
                <w:sz w:val="19"/>
              </w:rPr>
              <w:noBreakHyphen/>
              <w:t>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w:t>
            </w:r>
            <w:r>
              <w:rPr>
                <w:i/>
                <w:sz w:val="19"/>
              </w:rPr>
              <w:noBreakHyphen/>
              <w:t>roll Tax Assessment Amendment Regulations (No. 3) 2004</w:t>
            </w:r>
          </w:p>
        </w:tc>
        <w:tc>
          <w:tcPr>
            <w:tcW w:w="1276" w:type="dxa"/>
          </w:tcPr>
          <w:p>
            <w:pPr>
              <w:pStyle w:val="nTable"/>
              <w:spacing w:after="40"/>
              <w:rPr>
                <w:sz w:val="19"/>
              </w:rPr>
            </w:pPr>
            <w:r>
              <w:rPr>
                <w:sz w:val="19"/>
              </w:rPr>
              <w:t>5 Nov 2004 p. 4986</w:t>
            </w:r>
            <w:r>
              <w:rPr>
                <w:sz w:val="19"/>
              </w:rPr>
              <w:noBreakHyphen/>
              <w:t>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rPr>
              <w:t>Pay</w:t>
            </w:r>
            <w:r>
              <w:rPr>
                <w:i/>
                <w:iCs/>
                <w:snapToGrid w:val="0"/>
                <w:sz w:val="19"/>
              </w:rPr>
              <w:noBreakHyphen/>
              <w:t>roll Tax Assessment Amendment Regulations 2005</w:t>
            </w:r>
          </w:p>
        </w:tc>
        <w:tc>
          <w:tcPr>
            <w:tcW w:w="1276" w:type="dxa"/>
          </w:tcPr>
          <w:p>
            <w:pPr>
              <w:pStyle w:val="nTable"/>
              <w:spacing w:after="40"/>
              <w:rPr>
                <w:sz w:val="19"/>
              </w:rPr>
            </w:pPr>
            <w:r>
              <w:rPr>
                <w:snapToGrid w:val="0"/>
                <w:sz w:val="19"/>
              </w:rPr>
              <w:t>19 Apr 2005 p. 1303</w:t>
            </w:r>
            <w:r>
              <w:rPr>
                <w:snapToGrid w:val="0"/>
                <w:sz w:val="19"/>
              </w:rPr>
              <w:noBreakHyphen/>
              <w:t>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rPr>
            </w:pPr>
            <w:r>
              <w:rPr>
                <w:i/>
                <w:iCs/>
                <w:snapToGrid w:val="0"/>
                <w:sz w:val="19"/>
              </w:rPr>
              <w:t>Pay</w:t>
            </w:r>
            <w:r>
              <w:rPr>
                <w:i/>
                <w:iCs/>
                <w:snapToGrid w:val="0"/>
                <w:sz w:val="19"/>
              </w:rPr>
              <w:noBreakHyphen/>
              <w:t>roll Tax Assessment Amendment Regulations (No. 2) 2006</w:t>
            </w:r>
          </w:p>
        </w:tc>
        <w:tc>
          <w:tcPr>
            <w:tcW w:w="1276" w:type="dxa"/>
          </w:tcPr>
          <w:p>
            <w:pPr>
              <w:pStyle w:val="nTable"/>
              <w:spacing w:after="40"/>
              <w:rPr>
                <w:snapToGrid w:val="0"/>
                <w:sz w:val="19"/>
              </w:rPr>
            </w:pPr>
            <w:r>
              <w:rPr>
                <w:snapToGrid w:val="0"/>
                <w:sz w:val="19"/>
              </w:rPr>
              <w:t>2 May 2006 p. 1709</w:t>
            </w:r>
            <w:r>
              <w:rPr>
                <w:snapToGrid w:val="0"/>
                <w:sz w:val="19"/>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rPr>
              <w:t>Pay</w:t>
            </w:r>
            <w:r>
              <w:rPr>
                <w:i/>
                <w:iCs/>
                <w:snapToGrid w:val="0"/>
                <w:sz w:val="19"/>
              </w:rPr>
              <w:noBreakHyphen/>
              <w:t>roll Tax Assessment Amendment Regulations (No. 4) 2006</w:t>
            </w:r>
          </w:p>
        </w:tc>
        <w:tc>
          <w:tcPr>
            <w:tcW w:w="1276" w:type="dxa"/>
          </w:tcPr>
          <w:p>
            <w:pPr>
              <w:pStyle w:val="nTable"/>
              <w:spacing w:after="40"/>
              <w:rPr>
                <w:sz w:val="19"/>
              </w:rPr>
            </w:pPr>
            <w:r>
              <w:rPr>
                <w:sz w:val="19"/>
              </w:rPr>
              <w:t>27 Jun 2006 p. 2306</w:t>
            </w:r>
            <w:r>
              <w:rPr>
                <w:sz w:val="19"/>
              </w:rPr>
              <w:noBreakHyphen/>
              <w:t>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rPr>
            </w:pPr>
            <w:r>
              <w:rPr>
                <w:i/>
                <w:iCs/>
                <w:snapToGrid w:val="0"/>
                <w:sz w:val="19"/>
              </w:rPr>
              <w:t>Pay</w:t>
            </w:r>
            <w:r>
              <w:rPr>
                <w:i/>
                <w:iCs/>
                <w:snapToGrid w:val="0"/>
                <w:sz w:val="19"/>
              </w:rPr>
              <w:noBreakHyphen/>
              <w:t>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rPr>
            </w:pPr>
            <w:r>
              <w:rPr>
                <w:i/>
                <w:iCs/>
                <w:snapToGrid w:val="0"/>
                <w:sz w:val="19"/>
              </w:rPr>
              <w:t>Pay</w:t>
            </w:r>
            <w:r>
              <w:rPr>
                <w:i/>
                <w:iCs/>
                <w:snapToGrid w:val="0"/>
                <w:sz w:val="19"/>
              </w:rPr>
              <w:noBreakHyphen/>
              <w:t>roll Tax Assessment Amendment Regulations (No. 5) 2006</w:t>
            </w:r>
          </w:p>
        </w:tc>
        <w:tc>
          <w:tcPr>
            <w:tcW w:w="1276" w:type="dxa"/>
          </w:tcPr>
          <w:p>
            <w:pPr>
              <w:pStyle w:val="nTable"/>
              <w:spacing w:after="40"/>
              <w:rPr>
                <w:sz w:val="19"/>
              </w:rPr>
            </w:pPr>
            <w:r>
              <w:rPr>
                <w:sz w:val="19"/>
              </w:rPr>
              <w:t>22 Aug 2006 p. 3468</w:t>
            </w:r>
            <w:r>
              <w:rPr>
                <w:sz w:val="19"/>
              </w:rPr>
              <w:noBreakHyphen/>
              <w:t>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rPr>
            </w:pPr>
            <w:r>
              <w:rPr>
                <w:i/>
                <w:iCs/>
                <w:snapToGrid w:val="0"/>
                <w:sz w:val="19"/>
              </w:rPr>
              <w:t>Pay</w:t>
            </w:r>
            <w:r>
              <w:rPr>
                <w:i/>
                <w:iCs/>
                <w:snapToGrid w:val="0"/>
                <w:sz w:val="19"/>
              </w:rPr>
              <w:noBreakHyphen/>
              <w:t>roll Tax Assessment Amendment Regulations (No. 6) 2006</w:t>
            </w:r>
          </w:p>
        </w:tc>
        <w:tc>
          <w:tcPr>
            <w:tcW w:w="1276" w:type="dxa"/>
          </w:tcPr>
          <w:p>
            <w:pPr>
              <w:pStyle w:val="nTable"/>
              <w:spacing w:after="40"/>
              <w:rPr>
                <w:sz w:val="19"/>
              </w:rPr>
            </w:pPr>
            <w:r>
              <w:rPr>
                <w:sz w:val="19"/>
              </w:rPr>
              <w:t>22 Dec 2006 p. 5806</w:t>
            </w:r>
            <w:r>
              <w:rPr>
                <w:sz w:val="19"/>
              </w:rPr>
              <w:noBreakHyphen/>
              <w:t>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rPr>
          <w:cantSplit/>
        </w:trPr>
        <w:tc>
          <w:tcPr>
            <w:tcW w:w="3119" w:type="dxa"/>
          </w:tcPr>
          <w:p>
            <w:pPr>
              <w:pStyle w:val="nTable"/>
              <w:spacing w:after="40"/>
              <w:rPr>
                <w:i/>
                <w:iCs/>
                <w:snapToGrid w:val="0"/>
                <w:sz w:val="19"/>
              </w:rPr>
            </w:pPr>
            <w:r>
              <w:rPr>
                <w:i/>
                <w:sz w:val="19"/>
              </w:rPr>
              <w:t>Pay</w:t>
            </w:r>
            <w:r>
              <w:rPr>
                <w:i/>
                <w:sz w:val="19"/>
              </w:rPr>
              <w:noBreakHyphen/>
              <w:t>roll Tax Assessment Amendment Regulations 2007</w:t>
            </w:r>
          </w:p>
        </w:tc>
        <w:tc>
          <w:tcPr>
            <w:tcW w:w="1276" w:type="dxa"/>
          </w:tcPr>
          <w:p>
            <w:pPr>
              <w:pStyle w:val="nTable"/>
              <w:spacing w:after="40"/>
              <w:rPr>
                <w:sz w:val="19"/>
              </w:rPr>
            </w:pPr>
            <w:r>
              <w:rPr>
                <w:sz w:val="19"/>
              </w:rPr>
              <w:t>15 May 2007 p. 2096</w:t>
            </w:r>
          </w:p>
        </w:tc>
        <w:tc>
          <w:tcPr>
            <w:tcW w:w="2693" w:type="dxa"/>
          </w:tcPr>
          <w:p>
            <w:pPr>
              <w:pStyle w:val="nTable"/>
              <w:spacing w:after="40"/>
              <w:rPr>
                <w:iCs/>
                <w:sz w:val="19"/>
              </w:rPr>
            </w:pPr>
            <w:r>
              <w:rPr>
                <w:iCs/>
                <w:sz w:val="19"/>
              </w:rPr>
              <w:t>1 Jul 2007 (see r. 2)</w:t>
            </w:r>
          </w:p>
        </w:tc>
      </w:tr>
      <w:tr>
        <w:trPr>
          <w:cantSplit/>
        </w:trPr>
        <w:tc>
          <w:tcPr>
            <w:tcW w:w="3119" w:type="dxa"/>
          </w:tcPr>
          <w:p>
            <w:pPr>
              <w:pStyle w:val="nTable"/>
              <w:spacing w:after="40"/>
              <w:rPr>
                <w:i/>
                <w:sz w:val="19"/>
              </w:rPr>
            </w:pPr>
            <w:r>
              <w:rPr>
                <w:i/>
                <w:sz w:val="19"/>
              </w:rPr>
              <w:t>Pay</w:t>
            </w:r>
            <w:r>
              <w:rPr>
                <w:i/>
                <w:sz w:val="19"/>
              </w:rPr>
              <w:noBreakHyphen/>
              <w:t>roll Tax Assessment Amendment Regulations 2009</w:t>
            </w:r>
          </w:p>
        </w:tc>
        <w:tc>
          <w:tcPr>
            <w:tcW w:w="1276" w:type="dxa"/>
          </w:tcPr>
          <w:p>
            <w:pPr>
              <w:pStyle w:val="nTable"/>
              <w:spacing w:after="40"/>
              <w:rPr>
                <w:sz w:val="19"/>
              </w:rPr>
            </w:pPr>
            <w:r>
              <w:rPr>
                <w:sz w:val="19"/>
              </w:rPr>
              <w:t>19 Jun 2009 p. 2252</w:t>
            </w:r>
          </w:p>
        </w:tc>
        <w:tc>
          <w:tcPr>
            <w:tcW w:w="2693" w:type="dxa"/>
          </w:tcPr>
          <w:p>
            <w:pPr>
              <w:pStyle w:val="nTable"/>
              <w:spacing w:after="40"/>
              <w:rPr>
                <w:iCs/>
                <w:sz w:val="19"/>
              </w:rPr>
            </w:pPr>
            <w:r>
              <w:rPr>
                <w:iCs/>
                <w:sz w:val="19"/>
              </w:rPr>
              <w:t>r. 1 and 2: 19 Jun 2009 (see r. 2(a));</w:t>
            </w:r>
            <w:r>
              <w:rPr>
                <w:iCs/>
                <w:sz w:val="19"/>
              </w:rPr>
              <w:br/>
              <w:t>Regulations other than r. 1 and 2: 1 Jul 2009 (see r. 2(b))</w:t>
            </w:r>
          </w:p>
        </w:tc>
      </w:tr>
      <w:tr>
        <w:trPr>
          <w:cantSplit/>
        </w:trPr>
        <w:tc>
          <w:tcPr>
            <w:tcW w:w="7088" w:type="dxa"/>
            <w:gridSpan w:val="3"/>
          </w:tcPr>
          <w:p>
            <w:pPr>
              <w:pStyle w:val="nTable"/>
              <w:spacing w:after="40"/>
              <w:rPr>
                <w:iCs/>
                <w:sz w:val="19"/>
              </w:rPr>
            </w:pPr>
            <w:r>
              <w:rPr>
                <w:b/>
                <w:bCs/>
                <w:iCs/>
                <w:sz w:val="19"/>
              </w:rPr>
              <w:t xml:space="preserve">Reprint 2: The </w:t>
            </w:r>
            <w:r>
              <w:rPr>
                <w:b/>
                <w:bCs/>
                <w:i/>
                <w:sz w:val="19"/>
              </w:rPr>
              <w:t>Pay</w:t>
            </w:r>
            <w:r>
              <w:rPr>
                <w:b/>
                <w:bCs/>
                <w:i/>
                <w:sz w:val="19"/>
              </w:rPr>
              <w:noBreakHyphen/>
              <w:t>roll Tax Assessment Regulations 2003</w:t>
            </w:r>
            <w:r>
              <w:rPr>
                <w:b/>
                <w:bCs/>
                <w:iCs/>
                <w:sz w:val="19"/>
              </w:rPr>
              <w:t xml:space="preserve"> as at 14 Aug 2009</w:t>
            </w:r>
            <w:r>
              <w:rPr>
                <w:b/>
                <w:bCs/>
                <w:iCs/>
                <w:sz w:val="19"/>
              </w:rPr>
              <w:br/>
            </w:r>
            <w:r>
              <w:rPr>
                <w:iCs/>
                <w:sz w:val="19"/>
              </w:rPr>
              <w:t>(includes amendments listed above)</w:t>
            </w:r>
          </w:p>
        </w:tc>
      </w:tr>
      <w:tr>
        <w:trPr>
          <w:cantSplit/>
        </w:trPr>
        <w:tc>
          <w:tcPr>
            <w:tcW w:w="4395" w:type="dxa"/>
            <w:gridSpan w:val="2"/>
          </w:tcPr>
          <w:p>
            <w:pPr>
              <w:pStyle w:val="nTable"/>
              <w:spacing w:after="40"/>
              <w:rPr>
                <w:sz w:val="19"/>
              </w:rPr>
            </w:pPr>
            <w:r>
              <w:rPr>
                <w:i/>
                <w:sz w:val="19"/>
              </w:rPr>
              <w:t>Pay</w:t>
            </w:r>
            <w:r>
              <w:rPr>
                <w:i/>
                <w:sz w:val="19"/>
              </w:rPr>
              <w:noBreakHyphen/>
              <w:t>roll Tax Assessment Amendment Act 2010</w:t>
            </w:r>
            <w:r>
              <w:rPr>
                <w:iCs/>
                <w:sz w:val="19"/>
              </w:rPr>
              <w:t xml:space="preserve"> Part 3 assented to 25 Jun 2010</w:t>
            </w:r>
            <w:r>
              <w:rPr>
                <w:iCs/>
                <w:sz w:val="19"/>
                <w:vertAlign w:val="superscript"/>
              </w:rPr>
              <w:t> 11</w:t>
            </w:r>
          </w:p>
        </w:tc>
        <w:tc>
          <w:tcPr>
            <w:tcW w:w="2693" w:type="dxa"/>
          </w:tcPr>
          <w:p>
            <w:pPr>
              <w:pStyle w:val="nTable"/>
              <w:spacing w:after="40"/>
              <w:rPr>
                <w:iCs/>
                <w:sz w:val="19"/>
              </w:rPr>
            </w:pPr>
            <w:r>
              <w:rPr>
                <w:iCs/>
                <w:sz w:val="19"/>
              </w:rPr>
              <w:t>25 Jun 2010 (see s. 2(a))</w:t>
            </w:r>
          </w:p>
        </w:tc>
      </w:tr>
      <w:tr>
        <w:tc>
          <w:tcPr>
            <w:tcW w:w="3119" w:type="dxa"/>
            <w:shd w:val="clear" w:color="auto" w:fill="auto"/>
          </w:tcPr>
          <w:p>
            <w:pPr>
              <w:pStyle w:val="nTable"/>
              <w:spacing w:after="40"/>
              <w:rPr>
                <w:sz w:val="19"/>
              </w:rPr>
            </w:pPr>
            <w:r>
              <w:rPr>
                <w:i/>
                <w:sz w:val="19"/>
              </w:rPr>
              <w:t>Public Sector Reform (Consequential Amendments) Regulations 2011</w:t>
            </w:r>
            <w:r>
              <w:rPr>
                <w:sz w:val="19"/>
              </w:rPr>
              <w:t xml:space="preserve"> Pt. 6</w:t>
            </w:r>
          </w:p>
        </w:tc>
        <w:tc>
          <w:tcPr>
            <w:tcW w:w="1276" w:type="dxa"/>
            <w:shd w:val="clear" w:color="auto" w:fill="auto"/>
          </w:tcPr>
          <w:p>
            <w:pPr>
              <w:pStyle w:val="nTable"/>
              <w:spacing w:after="40"/>
              <w:rPr>
                <w:sz w:val="19"/>
              </w:rPr>
            </w:pPr>
            <w:r>
              <w:rPr>
                <w:sz w:val="19"/>
              </w:rPr>
              <w:t>11 Feb 2011 p. 502</w:t>
            </w:r>
            <w:r>
              <w:rPr>
                <w:sz w:val="19"/>
              </w:rPr>
              <w:noBreakHyphen/>
              <w:t>7</w:t>
            </w:r>
          </w:p>
        </w:tc>
        <w:tc>
          <w:tcPr>
            <w:tcW w:w="2693" w:type="dxa"/>
            <w:shd w:val="clear" w:color="auto" w:fill="auto"/>
          </w:tcPr>
          <w:p>
            <w:pPr>
              <w:pStyle w:val="nTable"/>
              <w:spacing w:after="40"/>
              <w:rPr>
                <w:snapToGrid w:val="0"/>
                <w:spacing w:val="-2"/>
                <w:sz w:val="19"/>
              </w:rPr>
            </w:pPr>
            <w:r>
              <w:rPr>
                <w:snapToGrid w:val="0"/>
                <w:spacing w:val="-2"/>
                <w:sz w:val="19"/>
              </w:rPr>
              <w:t>12 Feb 2011 (see r. 2(d))</w:t>
            </w:r>
          </w:p>
        </w:tc>
      </w:tr>
      <w:tr>
        <w:tc>
          <w:tcPr>
            <w:tcW w:w="7088" w:type="dxa"/>
            <w:gridSpan w:val="3"/>
            <w:shd w:val="clear" w:color="auto" w:fill="auto"/>
          </w:tcPr>
          <w:p>
            <w:pPr>
              <w:pStyle w:val="nTable"/>
              <w:spacing w:after="40"/>
              <w:rPr>
                <w:snapToGrid w:val="0"/>
                <w:spacing w:val="-2"/>
                <w:sz w:val="19"/>
              </w:rPr>
            </w:pPr>
            <w:r>
              <w:rPr>
                <w:b/>
                <w:bCs/>
                <w:iCs/>
                <w:sz w:val="19"/>
              </w:rPr>
              <w:t xml:space="preserve">Reprint 3: The </w:t>
            </w:r>
            <w:r>
              <w:rPr>
                <w:b/>
                <w:bCs/>
                <w:i/>
                <w:sz w:val="19"/>
              </w:rPr>
              <w:t>Pay</w:t>
            </w:r>
            <w:r>
              <w:rPr>
                <w:b/>
                <w:bCs/>
                <w:i/>
                <w:sz w:val="19"/>
              </w:rPr>
              <w:noBreakHyphen/>
              <w:t>roll Tax Assessment Regulations 2003</w:t>
            </w:r>
            <w:r>
              <w:rPr>
                <w:b/>
                <w:bCs/>
                <w:iCs/>
                <w:sz w:val="19"/>
              </w:rPr>
              <w:t xml:space="preserve"> as at 4 May 2012</w:t>
            </w:r>
            <w:r>
              <w:rPr>
                <w:b/>
                <w:bCs/>
                <w:iCs/>
                <w:sz w:val="19"/>
              </w:rPr>
              <w:br/>
            </w:r>
            <w:r>
              <w:rPr>
                <w:iCs/>
                <w:sz w:val="19"/>
              </w:rPr>
              <w:t>(includes amendments listed above)</w:t>
            </w:r>
          </w:p>
        </w:tc>
      </w:tr>
      <w:tr>
        <w:tc>
          <w:tcPr>
            <w:tcW w:w="3119" w:type="dxa"/>
            <w:tcBorders>
              <w:bottom w:val="single" w:sz="4" w:space="0" w:color="auto"/>
            </w:tcBorders>
            <w:shd w:val="clear" w:color="auto" w:fill="auto"/>
          </w:tcPr>
          <w:p>
            <w:pPr>
              <w:pStyle w:val="nTable"/>
              <w:spacing w:after="40"/>
              <w:rPr>
                <w:sz w:val="19"/>
              </w:rPr>
            </w:pPr>
            <w:r>
              <w:rPr>
                <w:i/>
              </w:rPr>
              <w:t>Pay</w:t>
            </w:r>
            <w:r>
              <w:rPr>
                <w:i/>
              </w:rPr>
              <w:noBreakHyphen/>
              <w:t>roll Tax Assessment Amendment Regulations (No. 2) 2013</w:t>
            </w:r>
          </w:p>
        </w:tc>
        <w:tc>
          <w:tcPr>
            <w:tcW w:w="1276" w:type="dxa"/>
            <w:tcBorders>
              <w:bottom w:val="single" w:sz="4" w:space="0" w:color="auto"/>
            </w:tcBorders>
            <w:shd w:val="clear" w:color="auto" w:fill="auto"/>
          </w:tcPr>
          <w:p>
            <w:pPr>
              <w:pStyle w:val="nTable"/>
              <w:spacing w:after="40"/>
              <w:rPr>
                <w:sz w:val="19"/>
              </w:rPr>
            </w:pPr>
            <w:r>
              <w:rPr>
                <w:sz w:val="19"/>
              </w:rPr>
              <w:t>11 Oct 2013 p. 4624</w:t>
            </w:r>
            <w:r>
              <w:rPr>
                <w:sz w:val="19"/>
              </w:rPr>
              <w:noBreakHyphen/>
              <w:t>5</w:t>
            </w:r>
          </w:p>
        </w:tc>
        <w:tc>
          <w:tcPr>
            <w:tcW w:w="2693" w:type="dxa"/>
            <w:tcBorders>
              <w:bottom w:val="single" w:sz="4" w:space="0" w:color="auto"/>
            </w:tcBorders>
            <w:shd w:val="clear" w:color="auto" w:fill="auto"/>
          </w:tcPr>
          <w:p>
            <w:pPr>
              <w:pStyle w:val="nTable"/>
              <w:spacing w:after="40"/>
              <w:rPr>
                <w:snapToGrid w:val="0"/>
                <w:spacing w:val="-2"/>
                <w:sz w:val="19"/>
              </w:rPr>
            </w:pPr>
            <w:r>
              <w:rPr>
                <w:rFonts w:ascii="Times" w:hAnsi="Times"/>
                <w:snapToGrid w:val="0"/>
                <w:spacing w:val="-2"/>
                <w:sz w:val="19"/>
                <w:szCs w:val="19"/>
              </w:rPr>
              <w:t>r. 1 and 2: 11 Oct 2013 (see r. 2(a));</w:t>
            </w:r>
            <w:r>
              <w:rPr>
                <w:rFonts w:ascii="Times" w:hAnsi="Times"/>
                <w:snapToGrid w:val="0"/>
                <w:spacing w:val="-2"/>
                <w:sz w:val="19"/>
                <w:szCs w:val="19"/>
              </w:rPr>
              <w:br/>
              <w:t>Regulations other than r. 1 and 2: 12 Oct 2013 (see r. 2(b))</w:t>
            </w:r>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At the time of this compilation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pStyle w:val="nSubsection"/>
      </w:pPr>
      <w:r>
        <w:rPr>
          <w:vertAlign w:val="superscript"/>
        </w:rPr>
        <w:t>5</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 Department of Planning or  Department of Regional Development and Lands, as the context requires.</w:t>
      </w:r>
    </w:p>
    <w:p>
      <w:pPr>
        <w:pStyle w:val="nSubsection"/>
      </w:pPr>
      <w:r>
        <w:rPr>
          <w:vertAlign w:val="superscript"/>
        </w:rPr>
        <w:t>6</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7</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8</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3 — The </w:t>
      </w:r>
      <w:r>
        <w:rPr>
          <w:i/>
          <w:iCs/>
        </w:rPr>
        <w:t>Pay</w:t>
      </w:r>
      <w:r>
        <w:rPr>
          <w:i/>
          <w:iCs/>
        </w:rPr>
        <w:noBreakHyphen/>
        <w:t>roll Tax Assessment Regulations 2003</w:t>
      </w:r>
    </w:p>
    <w:p>
      <w:pPr>
        <w:pStyle w:val="nzHeading5"/>
        <w:rPr>
          <w:i/>
        </w:rPr>
      </w:pPr>
      <w:r>
        <w:rPr>
          <w:rStyle w:val="CharSectno"/>
        </w:rPr>
        <w:t>35</w:t>
      </w:r>
      <w:r>
        <w:t>.</w:t>
      </w:r>
      <w:r>
        <w:tab/>
        <w:t xml:space="preserve">Modification of the </w:t>
      </w:r>
      <w:r>
        <w:rPr>
          <w:i/>
        </w:rPr>
        <w:t>Pay</w:t>
      </w:r>
      <w:r>
        <w:rPr>
          <w:i/>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r>
        <w:rPr>
          <w:rStyle w:val="CharSectno"/>
        </w:rPr>
        <w:t>36</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r>
        <w:rPr>
          <w:b/>
        </w:rPr>
        <w:tab/>
        <w:t>3A.</w:t>
      </w:r>
      <w:r>
        <w:rPr>
          <w:b/>
        </w:rPr>
        <w:tab/>
        <w:t>Application of regulations in non</w:t>
      </w:r>
      <w:r>
        <w:rPr>
          <w:b/>
        </w:rPr>
        <w:noBreakHyphen/>
        <w:t>Commonwealth places</w:t>
      </w:r>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State">
        <w:smartTag w:uri="urn:schemas-microsoft-com:office:smarttags" w:element="place">
          <w:r>
            <w:t>Western Australia</w:t>
          </w:r>
        </w:smartTag>
      </w:smartTag>
      <w:r>
        <w:t>;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p>
      <w:pPr>
        <w:pStyle w:val="BlankClose"/>
      </w:pPr>
    </w:p>
    <w:p>
      <w:pPr>
        <w:pStyle w:val="nSubsection"/>
      </w:pPr>
      <w:r>
        <w:rPr>
          <w:vertAlign w:val="superscript"/>
        </w:rPr>
        <w:t>9</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keepNext/>
        <w:keepLines/>
      </w:pPr>
      <w:r>
        <w:tab/>
      </w:r>
      <w:r>
        <w:tab/>
        <w:t xml:space="preserve">In this notice — </w:t>
      </w:r>
    </w:p>
    <w:p>
      <w:pPr>
        <w:pStyle w:val="nzDefstart"/>
      </w:pPr>
      <w:r>
        <w:rPr>
          <w:b/>
          <w:bCs/>
          <w:i/>
          <w:iCs/>
        </w:rPr>
        <w:tab/>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w:t>
      </w:r>
      <w:r>
        <w:rPr>
          <w:rStyle w:val="CharPartText"/>
        </w:rPr>
        <w:noBreakHyphen/>
        <w:t>roll tax</w:t>
      </w:r>
    </w:p>
    <w:p>
      <w:pPr>
        <w:pStyle w:val="nzHeading3"/>
      </w:pPr>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p>
    <w:p>
      <w:pPr>
        <w:pStyle w:val="nzHeading5"/>
      </w:pPr>
      <w:r>
        <w:rPr>
          <w:rStyle w:val="CharSectno"/>
        </w:rPr>
        <w:t>36</w:t>
      </w:r>
      <w:r>
        <w:t>.</w:t>
      </w:r>
      <w:r>
        <w:tab/>
        <w:t xml:space="preserve">Modification of the applied </w:t>
      </w:r>
      <w:r>
        <w:rPr>
          <w:i/>
          <w:iCs/>
        </w:rPr>
        <w:t>Pay</w:t>
      </w:r>
      <w:r>
        <w:rPr>
          <w:i/>
          <w:iCs/>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r>
        <w:rPr>
          <w:rStyle w:val="CharSectno"/>
        </w:rPr>
        <w:t>37</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pPr>
      <w:r>
        <w:t>3A.</w:t>
      </w:r>
      <w:r>
        <w:tab/>
        <w:t>Application of regulations in Commonwealth places</w:t>
      </w:r>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State">
        <w:smartTag w:uri="urn:schemas-microsoft-com:office:smarttags" w:element="place">
          <w:r>
            <w:t>Western Australia</w:t>
          </w:r>
        </w:smartTag>
      </w:smartTag>
      <w:r>
        <w:t>.</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r>
        <w:rPr>
          <w:rStyle w:val="CharSectno"/>
        </w:rPr>
        <w:t>38</w:t>
      </w:r>
      <w:r>
        <w:t>.</w:t>
      </w:r>
      <w:r>
        <w:tab/>
        <w:t>Glossary modified</w:t>
      </w:r>
    </w:p>
    <w:p>
      <w:pPr>
        <w:pStyle w:val="nzSubsection"/>
      </w:pPr>
      <w:r>
        <w:tab/>
      </w:r>
      <w:r>
        <w:tab/>
        <w:t xml:space="preserve">The Glossary clause 1 is modified in paragraph (c) of the definition of </w:t>
      </w:r>
      <w:r>
        <w:rPr>
          <w:b/>
          <w:i/>
        </w:rPr>
        <w:t xml:space="preserve">industrial award </w:t>
      </w:r>
      <w:r>
        <w:t xml:space="preserve">by deleting “another State” and inserting instead — </w:t>
      </w:r>
    </w:p>
    <w:p>
      <w:pPr>
        <w:pStyle w:val="nzSubsection"/>
      </w:pPr>
      <w:r>
        <w:tab/>
      </w:r>
      <w:r>
        <w:tab/>
        <w:t xml:space="preserve">“    a State other than </w:t>
      </w:r>
      <w:smartTag w:uri="urn:schemas-microsoft-com:office:smarttags" w:element="State">
        <w:smartTag w:uri="urn:schemas-microsoft-com:office:smarttags" w:element="place">
          <w:r>
            <w:t>Western Australia</w:t>
          </w:r>
        </w:smartTag>
      </w:smartTag>
      <w:r>
        <w:t xml:space="preserve">    ”.</w:t>
      </w:r>
    </w:p>
    <w:p>
      <w:pPr>
        <w:pStyle w:val="BlankClose"/>
      </w:pPr>
    </w:p>
    <w:p>
      <w:pPr>
        <w:pStyle w:val="nSubsection"/>
      </w:pPr>
      <w:r>
        <w:rPr>
          <w:vertAlign w:val="superscript"/>
        </w:rPr>
        <w:t>10</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pPr>
        <w:pStyle w:val="nSubsection"/>
      </w:pPr>
      <w:r>
        <w:rPr>
          <w:vertAlign w:val="superscript"/>
        </w:rPr>
        <w:t>11</w:t>
      </w:r>
      <w:r>
        <w:tab/>
        <w:t xml:space="preserve">The </w:t>
      </w:r>
      <w:r>
        <w:rPr>
          <w:i/>
          <w:iCs/>
        </w:rPr>
        <w:t>Pay-roll Tax Assessment Amendment Act 2010</w:t>
      </w:r>
      <w:r>
        <w:t xml:space="preserve"> s. 45 reads as follows:</w:t>
      </w:r>
    </w:p>
    <w:p>
      <w:pPr>
        <w:pStyle w:val="BlankOpen"/>
      </w:pPr>
    </w:p>
    <w:p>
      <w:pPr>
        <w:pStyle w:val="nzHeading5"/>
      </w:pPr>
      <w:r>
        <w:t>45.</w:t>
      </w:r>
      <w:r>
        <w:tab/>
        <w:t>Power to amend or repeal regulations unaffected</w:t>
      </w:r>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pPr>
    </w:p>
    <w:p>
      <w:pPr>
        <w:sectPr>
          <w:headerReference w:type="even" r:id="rId34"/>
          <w:headerReference w:type="default" r:id="rId35"/>
          <w:headerReference w:type="first" r:id="rId36"/>
          <w:endnotePr>
            <w:numFmt w:val="decimal"/>
          </w:endnotePr>
          <w:pgSz w:w="11906" w:h="16838" w:code="9"/>
          <w:pgMar w:top="2381" w:right="2409" w:bottom="3543" w:left="2409" w:header="720" w:footer="3380" w:gutter="0"/>
          <w:cols w:space="720"/>
          <w:noEndnote/>
          <w:docGrid w:linePitch="326"/>
        </w:sectPr>
      </w:pPr>
    </w:p>
    <w:p>
      <w:pPr>
        <w:pStyle w:val="nHeading2"/>
        <w:outlineLvl w:val="0"/>
        <w:rPr>
          <w:sz w:val="28"/>
        </w:rPr>
      </w:pPr>
      <w:bookmarkStart w:id="49" w:name="_Toc377133809"/>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 w:name="DefinedTerms"/>
      <w:bookmarkEnd w:id="50"/>
      <w:r>
        <w:t xml:space="preserve">actuarial determination </w:t>
      </w:r>
      <w:r>
        <w:tab/>
        <w:t>Gl.</w:t>
      </w:r>
    </w:p>
    <w:p>
      <w:pPr>
        <w:pStyle w:val="DefinedTerms"/>
      </w:pPr>
      <w:r>
        <w:t xml:space="preserve">allowance period </w:t>
      </w:r>
      <w:r>
        <w:tab/>
        <w:t>Gl.</w:t>
      </w:r>
    </w:p>
    <w:p>
      <w:pPr>
        <w:pStyle w:val="DefinedTerms"/>
      </w:pPr>
      <w:r>
        <w:t xml:space="preserve">averaging method </w:t>
      </w:r>
      <w:r>
        <w:tab/>
        <w:t>Gl.</w:t>
      </w:r>
    </w:p>
    <w:p>
      <w:pPr>
        <w:pStyle w:val="DefinedTerms"/>
      </w:pPr>
      <w:r>
        <w:t xml:space="preserve">BK percentage </w:t>
      </w:r>
      <w:r>
        <w:tab/>
        <w:t>Gl.</w:t>
      </w:r>
    </w:p>
    <w:p>
      <w:pPr>
        <w:pStyle w:val="DefinedTerms"/>
      </w:pPr>
      <w:r>
        <w:t xml:space="preserve">business journey </w:t>
      </w:r>
      <w:r>
        <w:tab/>
        <w:t>Gl.</w:t>
      </w:r>
    </w:p>
    <w:p>
      <w:pPr>
        <w:pStyle w:val="DefinedTerms"/>
      </w:pPr>
      <w:r>
        <w:t xml:space="preserve">business kilometre </w:t>
      </w:r>
      <w:r>
        <w:tab/>
        <w:t>Gl.</w:t>
      </w:r>
    </w:p>
    <w:p>
      <w:pPr>
        <w:pStyle w:val="DefinedTerms"/>
      </w:pPr>
      <w:r>
        <w:t xml:space="preserve">business night </w:t>
      </w:r>
      <w:r>
        <w:tab/>
        <w:t>Gl.</w:t>
      </w:r>
    </w:p>
    <w:p>
      <w:pPr>
        <w:pStyle w:val="DefinedTerms"/>
      </w:pPr>
      <w:r>
        <w:t xml:space="preserve">continuous recording method </w:t>
      </w:r>
      <w:r>
        <w:tab/>
        <w:t>Gl.</w:t>
      </w:r>
    </w:p>
    <w:p>
      <w:pPr>
        <w:pStyle w:val="DefinedTerms"/>
      </w:pPr>
      <w:r>
        <w:t xml:space="preserve">continuous recording period </w:t>
      </w:r>
      <w:r>
        <w:tab/>
        <w:t>Gl.</w:t>
      </w:r>
    </w:p>
    <w:p>
      <w:pPr>
        <w:pStyle w:val="DefinedTerms"/>
      </w:pPr>
      <w:r>
        <w:t>Deed</w:t>
      </w:r>
      <w:r>
        <w:tab/>
        <w:t>16(1)</w:t>
      </w:r>
    </w:p>
    <w:p>
      <w:pPr>
        <w:pStyle w:val="DefinedTerms"/>
      </w:pPr>
      <w:r>
        <w:t xml:space="preserve">dependant </w:t>
      </w:r>
      <w:r>
        <w:tab/>
        <w:t>Gl.</w:t>
      </w:r>
    </w:p>
    <w:p>
      <w:pPr>
        <w:pStyle w:val="DefinedTerms"/>
      </w:pPr>
      <w:r>
        <w:t xml:space="preserve">education costs </w:t>
      </w:r>
      <w:r>
        <w:tab/>
        <w:t>Gl.</w:t>
      </w:r>
    </w:p>
    <w:p>
      <w:pPr>
        <w:pStyle w:val="DefinedTerms"/>
      </w:pPr>
      <w:r>
        <w:t xml:space="preserve">employee </w:t>
      </w:r>
      <w:r>
        <w:tab/>
        <w:t>Gl.</w:t>
      </w:r>
    </w:p>
    <w:p>
      <w:pPr>
        <w:pStyle w:val="DefinedTerms"/>
      </w:pPr>
      <w:r>
        <w:t xml:space="preserve">expense payment fringe benefit </w:t>
      </w:r>
      <w:r>
        <w:tab/>
        <w:t>Gl.</w:t>
      </w:r>
    </w:p>
    <w:p>
      <w:pPr>
        <w:pStyle w:val="DefinedTerms"/>
      </w:pPr>
      <w:r>
        <w:t xml:space="preserve">industrial award </w:t>
      </w:r>
      <w:r>
        <w:tab/>
        <w:t>Gl.</w:t>
      </w:r>
    </w:p>
    <w:p>
      <w:pPr>
        <w:pStyle w:val="DefinedTerms"/>
      </w:pPr>
      <w:r>
        <w:t xml:space="preserve">loan fringe benefit </w:t>
      </w:r>
      <w:r>
        <w:tab/>
        <w:t>Gl.</w:t>
      </w:r>
    </w:p>
    <w:p>
      <w:pPr>
        <w:pStyle w:val="DefinedTerms"/>
      </w:pPr>
      <w:r>
        <w:t xml:space="preserve">portable long service leave fund </w:t>
      </w:r>
      <w:r>
        <w:tab/>
        <w:t>Gl.</w:t>
      </w:r>
    </w:p>
    <w:p>
      <w:pPr>
        <w:pStyle w:val="DefinedTerms"/>
      </w:pPr>
      <w:r>
        <w:t xml:space="preserve">property fringe benefit </w:t>
      </w:r>
      <w:r>
        <w:tab/>
        <w:t>Gl.</w:t>
      </w:r>
    </w:p>
    <w:p>
      <w:pPr>
        <w:pStyle w:val="DefinedTerms"/>
      </w:pPr>
      <w:r>
        <w:t xml:space="preserve">redundancy benefits scheme </w:t>
      </w:r>
      <w:r>
        <w:tab/>
        <w:t>Gl.</w:t>
      </w:r>
    </w:p>
    <w:p>
      <w:pPr>
        <w:pStyle w:val="DefinedTerms"/>
      </w:pPr>
      <w:r>
        <w:t xml:space="preserve">remote area holiday transport </w:t>
      </w:r>
      <w:r>
        <w:tab/>
        <w:t>Gl.</w:t>
      </w:r>
    </w:p>
    <w:p>
      <w:pPr>
        <w:pStyle w:val="DefinedTerms"/>
      </w:pPr>
      <w:r>
        <w:t xml:space="preserve">remote area housing fringe benefit </w:t>
      </w:r>
      <w:r>
        <w:tab/>
        <w:t>Gl.</w:t>
      </w:r>
    </w:p>
    <w:p>
      <w:pPr>
        <w:pStyle w:val="DefinedTerms"/>
      </w:pPr>
      <w:r>
        <w:t xml:space="preserve">remote area housing loan </w:t>
      </w:r>
      <w:r>
        <w:tab/>
        <w:t>Gl.</w:t>
      </w:r>
    </w:p>
    <w:p>
      <w:pPr>
        <w:pStyle w:val="DefinedTerms"/>
      </w:pPr>
      <w:r>
        <w:t xml:space="preserve">remote area housing rent </w:t>
      </w:r>
      <w:r>
        <w:tab/>
        <w:t>Gl.</w:t>
      </w:r>
    </w:p>
    <w:p>
      <w:pPr>
        <w:pStyle w:val="DefinedTerms"/>
      </w:pPr>
      <w:r>
        <w:t xml:space="preserve">remote area residential property </w:t>
      </w:r>
      <w:r>
        <w:tab/>
        <w:t>Gl.</w:t>
      </w:r>
    </w:p>
    <w:p>
      <w:pPr>
        <w:pStyle w:val="DefinedTerms"/>
      </w:pPr>
      <w:r>
        <w:t xml:space="preserve">remote area residential property option fee </w:t>
      </w:r>
      <w:r>
        <w:tab/>
        <w:t>Gl.</w:t>
      </w:r>
    </w:p>
    <w:p>
      <w:pPr>
        <w:pStyle w:val="DefinedTerms"/>
      </w:pPr>
      <w:r>
        <w:t xml:space="preserve">remote area residential property repurchase consideration </w:t>
      </w:r>
      <w:r>
        <w:tab/>
        <w:t>Gl.</w:t>
      </w:r>
    </w:p>
    <w:p>
      <w:pPr>
        <w:pStyle w:val="DefinedTerms"/>
      </w:pPr>
      <w:r>
        <w:t xml:space="preserve">residential fuel </w:t>
      </w:r>
      <w:r>
        <w:tab/>
        <w:t>Gl.</w:t>
      </w:r>
    </w:p>
    <w:p>
      <w:pPr>
        <w:pStyle w:val="DefinedTerms"/>
      </w:pPr>
      <w:r>
        <w:t xml:space="preserve">residual fringe benefit </w:t>
      </w:r>
      <w:r>
        <w:tab/>
        <w:t>Gl.</w:t>
      </w:r>
    </w:p>
    <w:p>
      <w:pPr>
        <w:pStyle w:val="DefinedTerms"/>
      </w:pPr>
      <w:r>
        <w:t xml:space="preserve">vehicle </w:t>
      </w:r>
      <w:r>
        <w:tab/>
        <w:t>Gl.</w:t>
      </w:r>
    </w:p>
    <w:p>
      <w:pPr>
        <w:pStyle w:val="DefinedTerms"/>
      </w:pPr>
    </w:p>
    <w:p/>
    <w:p>
      <w:pPr>
        <w:sectPr>
          <w:headerReference w:type="even" r:id="rId37"/>
          <w:headerReference w:type="defaul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89A65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61FA52D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3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0940"/>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footer" Target="foot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8331</Words>
  <Characters>41575</Characters>
  <Application>Microsoft Office Word</Application>
  <DocSecurity>0</DocSecurity>
  <Lines>1187</Lines>
  <Paragraphs>693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2003 - 03-b0-01</dc:title>
  <dc:subject/>
  <dc:creator/>
  <cp:keywords/>
  <dc:description/>
  <cp:lastModifiedBy>svcMRProcess</cp:lastModifiedBy>
  <cp:revision>4</cp:revision>
  <cp:lastPrinted>2012-05-08T03:38:00Z</cp:lastPrinted>
  <dcterms:created xsi:type="dcterms:W3CDTF">2020-02-26T04:11:00Z</dcterms:created>
  <dcterms:modified xsi:type="dcterms:W3CDTF">2020-02-26T04:12:00Z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20131012</vt:lpwstr>
  </property>
  <property fmtid="{D5CDD505-2E9C-101B-9397-08002B2CF9AE}" pid="4" name="DocumentType">
    <vt:lpwstr>Reg</vt:lpwstr>
  </property>
  <property fmtid="{D5CDD505-2E9C-101B-9397-08002B2CF9AE}" pid="5" name="OwlsUID">
    <vt:i4>15941</vt:i4>
  </property>
  <property fmtid="{D5CDD505-2E9C-101B-9397-08002B2CF9AE}" pid="6" name="AsAtDate">
    <vt:lpwstr>12 Oct 2013</vt:lpwstr>
  </property>
  <property fmtid="{D5CDD505-2E9C-101B-9397-08002B2CF9AE}" pid="7" name="Suffix">
    <vt:lpwstr>03-b0-01</vt:lpwstr>
  </property>
  <property fmtid="{D5CDD505-2E9C-101B-9397-08002B2CF9AE}" pid="8" name="ReprintNo">
    <vt:lpwstr>3</vt:lpwstr>
  </property>
  <property fmtid="{D5CDD505-2E9C-101B-9397-08002B2CF9AE}" pid="9" name="ReprintedAsAt">
    <vt:filetime>2012-05-03T16:00:00Z</vt:filetime>
  </property>
</Properties>
</file>