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27" w:right="22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Dangerous Sexual Offenders Act 2006</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October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Dangerous Sexual Offenders Act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_Toc365364397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_Toc365364398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_Toc365364399 \h </w:instrText>
      </w:r>
      <w:r>
        <w:fldChar w:fldCharType="separate"/>
      </w:r>
      <w:r>
        <w:t>2</w:t>
      </w:r>
      <w:r>
        <w:fldChar w:fldCharType="end"/>
      </w:r>
    </w:p>
    <w:p>
      <w:pPr>
        <w:pStyle w:val="TOC8"/>
        <w:rPr>
          <w:rFonts w:asciiTheme="minorHAnsi" w:eastAsiaTheme="minorEastAsia" w:hAnsiTheme="minorHAnsi" w:cstheme="minorBidi"/>
          <w:szCs w:val="22"/>
        </w:rPr>
      </w:pPr>
      <w:r>
        <w:t>4.</w:t>
      </w:r>
      <w:r>
        <w:tab/>
        <w:t>Objects of this Act</w:t>
      </w:r>
      <w:r>
        <w:tab/>
      </w:r>
      <w:r>
        <w:fldChar w:fldCharType="begin"/>
      </w:r>
      <w:r>
        <w:instrText xml:space="preserve"> PAGEREF _Toc365364400 \h </w:instrText>
      </w:r>
      <w:r>
        <w:fldChar w:fldCharType="separate"/>
      </w:r>
      <w:r>
        <w:t>3</w:t>
      </w:r>
      <w:r>
        <w:fldChar w:fldCharType="end"/>
      </w:r>
    </w:p>
    <w:p>
      <w:pPr>
        <w:pStyle w:val="TOC8"/>
        <w:rPr>
          <w:rFonts w:asciiTheme="minorHAnsi" w:eastAsiaTheme="minorEastAsia" w:hAnsiTheme="minorHAnsi" w:cstheme="minorBidi"/>
          <w:szCs w:val="22"/>
        </w:rPr>
      </w:pPr>
      <w:r>
        <w:t>5.</w:t>
      </w:r>
      <w:r>
        <w:tab/>
        <w:t xml:space="preserve">Application of </w:t>
      </w:r>
      <w:r>
        <w:rPr>
          <w:i/>
        </w:rPr>
        <w:t>Bail Act 1982</w:t>
      </w:r>
      <w:r>
        <w:tab/>
      </w:r>
      <w:r>
        <w:fldChar w:fldCharType="begin"/>
      </w:r>
      <w:r>
        <w:instrText xml:space="preserve"> PAGEREF _Toc365364401 \h </w:instrText>
      </w:r>
      <w:r>
        <w:fldChar w:fldCharType="separate"/>
      </w:r>
      <w:r>
        <w:t>4</w:t>
      </w:r>
      <w:r>
        <w:fldChar w:fldCharType="end"/>
      </w:r>
    </w:p>
    <w:p>
      <w:pPr>
        <w:pStyle w:val="TOC8"/>
        <w:rPr>
          <w:rFonts w:asciiTheme="minorHAnsi" w:eastAsiaTheme="minorEastAsia" w:hAnsiTheme="minorHAnsi" w:cstheme="minorBidi"/>
          <w:szCs w:val="22"/>
        </w:rPr>
      </w:pPr>
      <w:r>
        <w:t>6.</w:t>
      </w:r>
      <w:r>
        <w:tab/>
        <w:t>Attorney General may perform functions of DPP</w:t>
      </w:r>
      <w:r>
        <w:tab/>
      </w:r>
      <w:r>
        <w:fldChar w:fldCharType="begin"/>
      </w:r>
      <w:r>
        <w:instrText xml:space="preserve"> PAGEREF _Toc365364402 \h </w:instrText>
      </w:r>
      <w:r>
        <w:fldChar w:fldCharType="separate"/>
      </w:r>
      <w:r>
        <w:t>4</w:t>
      </w:r>
      <w:r>
        <w:fldChar w:fldCharType="end"/>
      </w:r>
    </w:p>
    <w:p>
      <w:pPr>
        <w:pStyle w:val="TOC8"/>
        <w:rPr>
          <w:rFonts w:asciiTheme="minorHAnsi" w:eastAsiaTheme="minorEastAsia" w:hAnsiTheme="minorHAnsi" w:cstheme="minorBidi"/>
          <w:szCs w:val="22"/>
        </w:rPr>
      </w:pPr>
      <w:r>
        <w:t>7.</w:t>
      </w:r>
      <w:r>
        <w:tab/>
        <w:t>Serious danger to community</w:t>
      </w:r>
      <w:r>
        <w:tab/>
      </w:r>
      <w:r>
        <w:fldChar w:fldCharType="begin"/>
      </w:r>
      <w:r>
        <w:instrText xml:space="preserve"> PAGEREF _Toc365364403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Continuing detention or supervision</w:t>
      </w:r>
    </w:p>
    <w:p>
      <w:pPr>
        <w:pStyle w:val="TOC4"/>
        <w:tabs>
          <w:tab w:val="right" w:leader="dot" w:pos="7086"/>
        </w:tabs>
        <w:rPr>
          <w:rFonts w:asciiTheme="minorHAnsi" w:eastAsiaTheme="minorEastAsia" w:hAnsiTheme="minorHAnsi" w:cstheme="minorBidi"/>
          <w:b w:val="0"/>
          <w:szCs w:val="22"/>
        </w:rPr>
      </w:pPr>
      <w:r>
        <w:t>Division 1 — Application for orders</w:t>
      </w:r>
    </w:p>
    <w:p>
      <w:pPr>
        <w:pStyle w:val="TOC8"/>
        <w:rPr>
          <w:rFonts w:asciiTheme="minorHAnsi" w:eastAsiaTheme="minorEastAsia" w:hAnsiTheme="minorHAnsi" w:cstheme="minorBidi"/>
          <w:szCs w:val="22"/>
        </w:rPr>
      </w:pPr>
      <w:r>
        <w:t>8.</w:t>
      </w:r>
      <w:r>
        <w:tab/>
        <w:t>DPP may apply for orders</w:t>
      </w:r>
      <w:r>
        <w:tab/>
      </w:r>
      <w:r>
        <w:fldChar w:fldCharType="begin"/>
      </w:r>
      <w:r>
        <w:instrText xml:space="preserve"> PAGEREF _Toc365364406 \h </w:instrText>
      </w:r>
      <w:r>
        <w:fldChar w:fldCharType="separate"/>
      </w:r>
      <w:r>
        <w:t>6</w:t>
      </w:r>
      <w:r>
        <w:fldChar w:fldCharType="end"/>
      </w:r>
    </w:p>
    <w:p>
      <w:pPr>
        <w:pStyle w:val="TOC8"/>
        <w:rPr>
          <w:rFonts w:asciiTheme="minorHAnsi" w:eastAsiaTheme="minorEastAsia" w:hAnsiTheme="minorHAnsi" w:cstheme="minorBidi"/>
          <w:szCs w:val="22"/>
        </w:rPr>
      </w:pPr>
      <w:r>
        <w:t>9.</w:t>
      </w:r>
      <w:r>
        <w:tab/>
        <w:t>Duty to disclose</w:t>
      </w:r>
      <w:r>
        <w:tab/>
      </w:r>
      <w:r>
        <w:fldChar w:fldCharType="begin"/>
      </w:r>
      <w:r>
        <w:instrText xml:space="preserve"> PAGEREF _Toc365364407 \h </w:instrText>
      </w:r>
      <w:r>
        <w:fldChar w:fldCharType="separate"/>
      </w:r>
      <w:r>
        <w:t>7</w:t>
      </w:r>
      <w:r>
        <w:fldChar w:fldCharType="end"/>
      </w:r>
    </w:p>
    <w:p>
      <w:pPr>
        <w:pStyle w:val="TOC8"/>
        <w:rPr>
          <w:rFonts w:asciiTheme="minorHAnsi" w:eastAsiaTheme="minorEastAsia" w:hAnsiTheme="minorHAnsi" w:cstheme="minorBidi"/>
          <w:szCs w:val="22"/>
        </w:rPr>
      </w:pPr>
      <w:r>
        <w:t>10.</w:t>
      </w:r>
      <w:r>
        <w:tab/>
        <w:t>Application may proceed even if offender discharged</w:t>
      </w:r>
      <w:r>
        <w:tab/>
      </w:r>
      <w:r>
        <w:fldChar w:fldCharType="begin"/>
      </w:r>
      <w:r>
        <w:instrText xml:space="preserve"> PAGEREF _Toc365364408 \h </w:instrText>
      </w:r>
      <w:r>
        <w:fldChar w:fldCharType="separate"/>
      </w:r>
      <w:r>
        <w:t>7</w:t>
      </w:r>
      <w:r>
        <w:fldChar w:fldCharType="end"/>
      </w:r>
    </w:p>
    <w:p>
      <w:pPr>
        <w:pStyle w:val="TOC8"/>
        <w:rPr>
          <w:rFonts w:asciiTheme="minorHAnsi" w:eastAsiaTheme="minorEastAsia" w:hAnsiTheme="minorHAnsi" w:cstheme="minorBidi"/>
          <w:szCs w:val="22"/>
        </w:rPr>
      </w:pPr>
      <w:r>
        <w:t>11.</w:t>
      </w:r>
      <w:r>
        <w:tab/>
        <w:t>Fixing day for preliminary hearing</w:t>
      </w:r>
      <w:r>
        <w:tab/>
      </w:r>
      <w:r>
        <w:fldChar w:fldCharType="begin"/>
      </w:r>
      <w:r>
        <w:instrText xml:space="preserve"> PAGEREF _Toc365364409 \h </w:instrText>
      </w:r>
      <w:r>
        <w:fldChar w:fldCharType="separate"/>
      </w:r>
      <w:r>
        <w:t>7</w:t>
      </w:r>
      <w:r>
        <w:fldChar w:fldCharType="end"/>
      </w:r>
    </w:p>
    <w:p>
      <w:pPr>
        <w:pStyle w:val="TOC8"/>
        <w:rPr>
          <w:rFonts w:asciiTheme="minorHAnsi" w:eastAsiaTheme="minorEastAsia" w:hAnsiTheme="minorHAnsi" w:cstheme="minorBidi"/>
          <w:szCs w:val="22"/>
        </w:rPr>
      </w:pPr>
      <w:r>
        <w:t>12.</w:t>
      </w:r>
      <w:r>
        <w:tab/>
        <w:t>Offender may file affidavits in response</w:t>
      </w:r>
      <w:r>
        <w:tab/>
      </w:r>
      <w:r>
        <w:fldChar w:fldCharType="begin"/>
      </w:r>
      <w:r>
        <w:instrText xml:space="preserve"> PAGEREF _Toc365364410 \h </w:instrText>
      </w:r>
      <w:r>
        <w:fldChar w:fldCharType="separate"/>
      </w:r>
      <w:r>
        <w:t>8</w:t>
      </w:r>
      <w:r>
        <w:fldChar w:fldCharType="end"/>
      </w:r>
    </w:p>
    <w:p>
      <w:pPr>
        <w:pStyle w:val="TOC8"/>
        <w:rPr>
          <w:rFonts w:asciiTheme="minorHAnsi" w:eastAsiaTheme="minorEastAsia" w:hAnsiTheme="minorHAnsi" w:cstheme="minorBidi"/>
          <w:szCs w:val="22"/>
        </w:rPr>
      </w:pPr>
      <w:r>
        <w:t>13.</w:t>
      </w:r>
      <w:r>
        <w:tab/>
        <w:t>Contents of affidavit</w:t>
      </w:r>
      <w:r>
        <w:tab/>
      </w:r>
      <w:r>
        <w:fldChar w:fldCharType="begin"/>
      </w:r>
      <w:r>
        <w:instrText xml:space="preserve"> PAGEREF _Toc365364411 \h </w:instrText>
      </w:r>
      <w:r>
        <w:fldChar w:fldCharType="separate"/>
      </w:r>
      <w:r>
        <w:t>8</w:t>
      </w:r>
      <w:r>
        <w:fldChar w:fldCharType="end"/>
      </w:r>
    </w:p>
    <w:p>
      <w:pPr>
        <w:pStyle w:val="TOC8"/>
        <w:rPr>
          <w:rFonts w:asciiTheme="minorHAnsi" w:eastAsiaTheme="minorEastAsia" w:hAnsiTheme="minorHAnsi" w:cstheme="minorBidi"/>
          <w:szCs w:val="22"/>
        </w:rPr>
      </w:pPr>
      <w:r>
        <w:t>14.</w:t>
      </w:r>
      <w:r>
        <w:tab/>
        <w:t>Preliminary hearing</w:t>
      </w:r>
      <w:r>
        <w:tab/>
      </w:r>
      <w:r>
        <w:fldChar w:fldCharType="begin"/>
      </w:r>
      <w:r>
        <w:instrText xml:space="preserve"> PAGEREF _Toc365364412 \h </w:instrText>
      </w:r>
      <w:r>
        <w:fldChar w:fldCharType="separate"/>
      </w:r>
      <w:r>
        <w:t>8</w:t>
      </w:r>
      <w:r>
        <w:fldChar w:fldCharType="end"/>
      </w:r>
    </w:p>
    <w:p>
      <w:pPr>
        <w:pStyle w:val="TOC8"/>
        <w:rPr>
          <w:rFonts w:asciiTheme="minorHAnsi" w:eastAsiaTheme="minorEastAsia" w:hAnsiTheme="minorHAnsi" w:cstheme="minorBidi"/>
          <w:szCs w:val="22"/>
        </w:rPr>
      </w:pPr>
      <w:r>
        <w:t>15.</w:t>
      </w:r>
      <w:r>
        <w:tab/>
        <w:t>Authority for psychiatrist to examine offender</w:t>
      </w:r>
      <w:r>
        <w:tab/>
      </w:r>
      <w:r>
        <w:fldChar w:fldCharType="begin"/>
      </w:r>
      <w:r>
        <w:instrText xml:space="preserve"> PAGEREF _Toc365364413 \h </w:instrText>
      </w:r>
      <w:r>
        <w:fldChar w:fldCharType="separate"/>
      </w:r>
      <w:r>
        <w:t>9</w:t>
      </w:r>
      <w:r>
        <w:fldChar w:fldCharType="end"/>
      </w:r>
    </w:p>
    <w:p>
      <w:pPr>
        <w:pStyle w:val="TOC8"/>
        <w:rPr>
          <w:rFonts w:asciiTheme="minorHAnsi" w:eastAsiaTheme="minorEastAsia" w:hAnsiTheme="minorHAnsi" w:cstheme="minorBidi"/>
          <w:szCs w:val="22"/>
        </w:rPr>
      </w:pPr>
      <w:r>
        <w:t>16.</w:t>
      </w:r>
      <w:r>
        <w:tab/>
        <w:t>Discontinuing application for Division 2 order</w:t>
      </w:r>
      <w:r>
        <w:tab/>
      </w:r>
      <w:r>
        <w:fldChar w:fldCharType="begin"/>
      </w:r>
      <w:r>
        <w:instrText xml:space="preserve"> PAGEREF _Toc365364414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17.</w:t>
      </w:r>
      <w:r>
        <w:tab/>
        <w:t>Division 2 orders</w:t>
      </w:r>
      <w:r>
        <w:tab/>
      </w:r>
      <w:r>
        <w:fldChar w:fldCharType="begin"/>
      </w:r>
      <w:r>
        <w:instrText xml:space="preserve"> PAGEREF _Toc365364416 \h </w:instrText>
      </w:r>
      <w:r>
        <w:fldChar w:fldCharType="separate"/>
      </w:r>
      <w:r>
        <w:t>9</w:t>
      </w:r>
      <w:r>
        <w:fldChar w:fldCharType="end"/>
      </w:r>
    </w:p>
    <w:p>
      <w:pPr>
        <w:pStyle w:val="TOC8"/>
        <w:rPr>
          <w:rFonts w:asciiTheme="minorHAnsi" w:eastAsiaTheme="minorEastAsia" w:hAnsiTheme="minorHAnsi" w:cstheme="minorBidi"/>
          <w:szCs w:val="22"/>
        </w:rPr>
      </w:pPr>
      <w:r>
        <w:t>18.</w:t>
      </w:r>
      <w:r>
        <w:tab/>
        <w:t>Conditions of supervision order</w:t>
      </w:r>
      <w:r>
        <w:tab/>
      </w:r>
      <w:r>
        <w:fldChar w:fldCharType="begin"/>
      </w:r>
      <w:r>
        <w:instrText xml:space="preserve"> PAGEREF _Toc365364417 \h </w:instrText>
      </w:r>
      <w:r>
        <w:fldChar w:fldCharType="separate"/>
      </w:r>
      <w:r>
        <w:t>10</w:t>
      </w:r>
      <w:r>
        <w:fldChar w:fldCharType="end"/>
      </w:r>
    </w:p>
    <w:p>
      <w:pPr>
        <w:pStyle w:val="TOC8"/>
        <w:rPr>
          <w:rFonts w:asciiTheme="minorHAnsi" w:eastAsiaTheme="minorEastAsia" w:hAnsiTheme="minorHAnsi" w:cstheme="minorBidi"/>
          <w:szCs w:val="22"/>
        </w:rPr>
      </w:pPr>
      <w:r>
        <w:t>19A.</w:t>
      </w:r>
      <w:r>
        <w:tab/>
        <w:t>Electronic monitoring</w:t>
      </w:r>
      <w:r>
        <w:tab/>
      </w:r>
      <w:r>
        <w:fldChar w:fldCharType="begin"/>
      </w:r>
      <w:r>
        <w:instrText xml:space="preserve"> PAGEREF _Toc365364418 \h </w:instrText>
      </w:r>
      <w:r>
        <w:fldChar w:fldCharType="separate"/>
      </w:r>
      <w:r>
        <w:t>11</w:t>
      </w:r>
      <w:r>
        <w:fldChar w:fldCharType="end"/>
      </w:r>
    </w:p>
    <w:p>
      <w:pPr>
        <w:pStyle w:val="TOC8"/>
        <w:rPr>
          <w:rFonts w:asciiTheme="minorHAnsi" w:eastAsiaTheme="minorEastAsia" w:hAnsiTheme="minorHAnsi" w:cstheme="minorBidi"/>
          <w:szCs w:val="22"/>
        </w:rPr>
      </w:pPr>
      <w:r>
        <w:t>19B.</w:t>
      </w:r>
      <w:r>
        <w:tab/>
        <w:t>Curfew</w:t>
      </w:r>
      <w:r>
        <w:tab/>
      </w:r>
      <w:r>
        <w:fldChar w:fldCharType="begin"/>
      </w:r>
      <w:r>
        <w:instrText xml:space="preserve"> PAGEREF _Toc365364419 \h </w:instrText>
      </w:r>
      <w:r>
        <w:fldChar w:fldCharType="separate"/>
      </w:r>
      <w:r>
        <w:t>12</w:t>
      </w:r>
      <w:r>
        <w:fldChar w:fldCharType="end"/>
      </w:r>
    </w:p>
    <w:p>
      <w:pPr>
        <w:pStyle w:val="TOC8"/>
        <w:rPr>
          <w:rFonts w:asciiTheme="minorHAnsi" w:eastAsiaTheme="minorEastAsia" w:hAnsiTheme="minorHAnsi" w:cstheme="minorBidi"/>
          <w:szCs w:val="22"/>
        </w:rPr>
      </w:pPr>
      <w:r>
        <w:t>19C.</w:t>
      </w:r>
      <w:r>
        <w:tab/>
        <w:t>Enforcement of electronic monitoring and curfew requirement</w:t>
      </w:r>
      <w:r>
        <w:tab/>
      </w:r>
      <w:r>
        <w:fldChar w:fldCharType="begin"/>
      </w:r>
      <w:r>
        <w:instrText xml:space="preserve"> PAGEREF _Toc365364420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3 — Amendment of supervision order</w:t>
      </w:r>
    </w:p>
    <w:p>
      <w:pPr>
        <w:pStyle w:val="TOC8"/>
        <w:rPr>
          <w:rFonts w:asciiTheme="minorHAnsi" w:eastAsiaTheme="minorEastAsia" w:hAnsiTheme="minorHAnsi" w:cstheme="minorBidi"/>
          <w:szCs w:val="22"/>
        </w:rPr>
      </w:pPr>
      <w:r>
        <w:t>19.</w:t>
      </w:r>
      <w:r>
        <w:tab/>
        <w:t>Application to amend conditions of supervision order</w:t>
      </w:r>
      <w:r>
        <w:tab/>
      </w:r>
      <w:r>
        <w:fldChar w:fldCharType="begin"/>
      </w:r>
      <w:r>
        <w:instrText xml:space="preserve"> PAGEREF _Toc365364422 \h </w:instrText>
      </w:r>
      <w:r>
        <w:fldChar w:fldCharType="separate"/>
      </w:r>
      <w:r>
        <w:t>15</w:t>
      </w:r>
      <w:r>
        <w:fldChar w:fldCharType="end"/>
      </w:r>
    </w:p>
    <w:p>
      <w:pPr>
        <w:pStyle w:val="TOC8"/>
        <w:rPr>
          <w:rFonts w:asciiTheme="minorHAnsi" w:eastAsiaTheme="minorEastAsia" w:hAnsiTheme="minorHAnsi" w:cstheme="minorBidi"/>
          <w:szCs w:val="22"/>
        </w:rPr>
      </w:pPr>
      <w:r>
        <w:t>20.</w:t>
      </w:r>
      <w:r>
        <w:tab/>
        <w:t>Amendment of conditions of supervision order</w:t>
      </w:r>
      <w:r>
        <w:tab/>
      </w:r>
      <w:r>
        <w:fldChar w:fldCharType="begin"/>
      </w:r>
      <w:r>
        <w:instrText xml:space="preserve"> PAGEREF _Toc365364423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4 — Contravention of supervision order</w:t>
      </w:r>
    </w:p>
    <w:p>
      <w:pPr>
        <w:pStyle w:val="TOC8"/>
        <w:rPr>
          <w:rFonts w:asciiTheme="minorHAnsi" w:eastAsiaTheme="minorEastAsia" w:hAnsiTheme="minorHAnsi" w:cstheme="minorBidi"/>
          <w:szCs w:val="22"/>
        </w:rPr>
      </w:pPr>
      <w:r>
        <w:t>21.</w:t>
      </w:r>
      <w:r>
        <w:tab/>
        <w:t>Summons or warrant because of contravention</w:t>
      </w:r>
      <w:r>
        <w:tab/>
      </w:r>
      <w:r>
        <w:fldChar w:fldCharType="begin"/>
      </w:r>
      <w:r>
        <w:instrText xml:space="preserve"> PAGEREF _Toc365364425 \h </w:instrText>
      </w:r>
      <w:r>
        <w:fldChar w:fldCharType="separate"/>
      </w:r>
      <w:r>
        <w:t>16</w:t>
      </w:r>
      <w:r>
        <w:fldChar w:fldCharType="end"/>
      </w:r>
    </w:p>
    <w:p>
      <w:pPr>
        <w:pStyle w:val="TOC8"/>
        <w:rPr>
          <w:rFonts w:asciiTheme="minorHAnsi" w:eastAsiaTheme="minorEastAsia" w:hAnsiTheme="minorHAnsi" w:cstheme="minorBidi"/>
          <w:szCs w:val="22"/>
        </w:rPr>
      </w:pPr>
      <w:r>
        <w:t>22.</w:t>
      </w:r>
      <w:r>
        <w:tab/>
        <w:t>DPP may seek order</w:t>
      </w:r>
      <w:r>
        <w:tab/>
      </w:r>
      <w:r>
        <w:fldChar w:fldCharType="begin"/>
      </w:r>
      <w:r>
        <w:instrText xml:space="preserve"> PAGEREF _Toc365364426 \h </w:instrText>
      </w:r>
      <w:r>
        <w:fldChar w:fldCharType="separate"/>
      </w:r>
      <w:r>
        <w:t>17</w:t>
      </w:r>
      <w:r>
        <w:fldChar w:fldCharType="end"/>
      </w:r>
    </w:p>
    <w:p>
      <w:pPr>
        <w:pStyle w:val="TOC8"/>
        <w:rPr>
          <w:rFonts w:asciiTheme="minorHAnsi" w:eastAsiaTheme="minorEastAsia" w:hAnsiTheme="minorHAnsi" w:cstheme="minorBidi"/>
          <w:szCs w:val="22"/>
        </w:rPr>
      </w:pPr>
      <w:r>
        <w:t>23A.</w:t>
      </w:r>
      <w:r>
        <w:tab/>
        <w:t>Psychiatric reports</w:t>
      </w:r>
      <w:r>
        <w:tab/>
      </w:r>
      <w:r>
        <w:fldChar w:fldCharType="begin"/>
      </w:r>
      <w:r>
        <w:instrText xml:space="preserve"> PAGEREF _Toc365364427 \h </w:instrText>
      </w:r>
      <w:r>
        <w:fldChar w:fldCharType="separate"/>
      </w:r>
      <w:r>
        <w:t>17</w:t>
      </w:r>
      <w:r>
        <w:fldChar w:fldCharType="end"/>
      </w:r>
    </w:p>
    <w:p>
      <w:pPr>
        <w:pStyle w:val="TOC8"/>
        <w:rPr>
          <w:rFonts w:asciiTheme="minorHAnsi" w:eastAsiaTheme="minorEastAsia" w:hAnsiTheme="minorHAnsi" w:cstheme="minorBidi"/>
          <w:szCs w:val="22"/>
        </w:rPr>
      </w:pPr>
      <w:r>
        <w:t>23.</w:t>
      </w:r>
      <w:r>
        <w:tab/>
        <w:t>Court may make order</w:t>
      </w:r>
      <w:r>
        <w:tab/>
      </w:r>
      <w:r>
        <w:fldChar w:fldCharType="begin"/>
      </w:r>
      <w:r>
        <w:instrText xml:space="preserve"> PAGEREF _Toc365364428 \h </w:instrText>
      </w:r>
      <w:r>
        <w:fldChar w:fldCharType="separate"/>
      </w:r>
      <w:r>
        <w:t>17</w:t>
      </w:r>
      <w:r>
        <w:fldChar w:fldCharType="end"/>
      </w:r>
    </w:p>
    <w:p>
      <w:pPr>
        <w:pStyle w:val="TOC8"/>
        <w:rPr>
          <w:rFonts w:asciiTheme="minorHAnsi" w:eastAsiaTheme="minorEastAsia" w:hAnsiTheme="minorHAnsi" w:cstheme="minorBidi"/>
          <w:szCs w:val="22"/>
        </w:rPr>
      </w:pPr>
      <w:r>
        <w:t>24A.</w:t>
      </w:r>
      <w:r>
        <w:tab/>
        <w:t>Orders made during contravention proceedings</w:t>
      </w:r>
      <w:r>
        <w:tab/>
      </w:r>
      <w:r>
        <w:fldChar w:fldCharType="begin"/>
      </w:r>
      <w:r>
        <w:instrText xml:space="preserve"> PAGEREF _Toc365364429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5 — Supervision order extended due to imprisonment</w:t>
      </w:r>
    </w:p>
    <w:p>
      <w:pPr>
        <w:pStyle w:val="TOC8"/>
        <w:rPr>
          <w:rFonts w:asciiTheme="minorHAnsi" w:eastAsiaTheme="minorEastAsia" w:hAnsiTheme="minorHAnsi" w:cstheme="minorBidi"/>
          <w:szCs w:val="22"/>
        </w:rPr>
      </w:pPr>
      <w:r>
        <w:t>24.</w:t>
      </w:r>
      <w:r>
        <w:tab/>
        <w:t>Extension of supervision order</w:t>
      </w:r>
      <w:r>
        <w:tab/>
      </w:r>
      <w:r>
        <w:fldChar w:fldCharType="begin"/>
      </w:r>
      <w:r>
        <w:instrText xml:space="preserve"> PAGEREF _Toc365364431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6 — General provisions for Part 2</w:t>
      </w:r>
    </w:p>
    <w:p>
      <w:pPr>
        <w:pStyle w:val="TOC8"/>
        <w:rPr>
          <w:rFonts w:asciiTheme="minorHAnsi" w:eastAsiaTheme="minorEastAsia" w:hAnsiTheme="minorHAnsi" w:cstheme="minorBidi"/>
          <w:szCs w:val="22"/>
        </w:rPr>
      </w:pPr>
      <w:r>
        <w:t>25.</w:t>
      </w:r>
      <w:r>
        <w:tab/>
        <w:t>Effect of continuing detention order</w:t>
      </w:r>
      <w:r>
        <w:tab/>
      </w:r>
      <w:r>
        <w:fldChar w:fldCharType="begin"/>
      </w:r>
      <w:r>
        <w:instrText xml:space="preserve"> PAGEREF _Toc365364433 \h </w:instrText>
      </w:r>
      <w:r>
        <w:fldChar w:fldCharType="separate"/>
      </w:r>
      <w:r>
        <w:t>19</w:t>
      </w:r>
      <w:r>
        <w:fldChar w:fldCharType="end"/>
      </w:r>
    </w:p>
    <w:p>
      <w:pPr>
        <w:pStyle w:val="TOC8"/>
        <w:rPr>
          <w:rFonts w:asciiTheme="minorHAnsi" w:eastAsiaTheme="minorEastAsia" w:hAnsiTheme="minorHAnsi" w:cstheme="minorBidi"/>
          <w:szCs w:val="22"/>
        </w:rPr>
      </w:pPr>
      <w:r>
        <w:t>26.</w:t>
      </w:r>
      <w:r>
        <w:tab/>
        <w:t>Effect of supervision order</w:t>
      </w:r>
      <w:r>
        <w:tab/>
      </w:r>
      <w:r>
        <w:fldChar w:fldCharType="begin"/>
      </w:r>
      <w:r>
        <w:instrText xml:space="preserve"> PAGEREF _Toc365364434 \h </w:instrText>
      </w:r>
      <w:r>
        <w:fldChar w:fldCharType="separate"/>
      </w:r>
      <w:r>
        <w:t>19</w:t>
      </w:r>
      <w:r>
        <w:fldChar w:fldCharType="end"/>
      </w:r>
    </w:p>
    <w:p>
      <w:pPr>
        <w:pStyle w:val="TOC8"/>
        <w:rPr>
          <w:rFonts w:asciiTheme="minorHAnsi" w:eastAsiaTheme="minorEastAsia" w:hAnsiTheme="minorHAnsi" w:cstheme="minorBidi"/>
          <w:szCs w:val="22"/>
        </w:rPr>
      </w:pPr>
      <w:r>
        <w:t>27.</w:t>
      </w:r>
      <w:r>
        <w:tab/>
        <w:t>Court to give reasons</w:t>
      </w:r>
      <w:r>
        <w:tab/>
      </w:r>
      <w:r>
        <w:fldChar w:fldCharType="begin"/>
      </w:r>
      <w:r>
        <w:instrText xml:space="preserve"> PAGEREF _Toc365364435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3 — Annual reviews of detention</w:t>
      </w:r>
    </w:p>
    <w:p>
      <w:pPr>
        <w:pStyle w:val="TOC8"/>
        <w:rPr>
          <w:rFonts w:asciiTheme="minorHAnsi" w:eastAsiaTheme="minorEastAsia" w:hAnsiTheme="minorHAnsi" w:cstheme="minorBidi"/>
          <w:szCs w:val="22"/>
        </w:rPr>
      </w:pPr>
      <w:r>
        <w:t>28.</w:t>
      </w:r>
      <w:r>
        <w:tab/>
        <w:t>Purpose of this Part</w:t>
      </w:r>
      <w:r>
        <w:tab/>
      </w:r>
      <w:r>
        <w:fldChar w:fldCharType="begin"/>
      </w:r>
      <w:r>
        <w:instrText xml:space="preserve"> PAGEREF _Toc365364437 \h </w:instrText>
      </w:r>
      <w:r>
        <w:fldChar w:fldCharType="separate"/>
      </w:r>
      <w:r>
        <w:t>21</w:t>
      </w:r>
      <w:r>
        <w:fldChar w:fldCharType="end"/>
      </w:r>
    </w:p>
    <w:p>
      <w:pPr>
        <w:pStyle w:val="TOC8"/>
        <w:rPr>
          <w:rFonts w:asciiTheme="minorHAnsi" w:eastAsiaTheme="minorEastAsia" w:hAnsiTheme="minorHAnsi" w:cstheme="minorBidi"/>
          <w:szCs w:val="22"/>
        </w:rPr>
      </w:pPr>
      <w:r>
        <w:t>29.</w:t>
      </w:r>
      <w:r>
        <w:tab/>
        <w:t>Review — periodic</w:t>
      </w:r>
      <w:r>
        <w:tab/>
      </w:r>
      <w:r>
        <w:fldChar w:fldCharType="begin"/>
      </w:r>
      <w:r>
        <w:instrText xml:space="preserve"> PAGEREF _Toc365364438 \h </w:instrText>
      </w:r>
      <w:r>
        <w:fldChar w:fldCharType="separate"/>
      </w:r>
      <w:r>
        <w:t>21</w:t>
      </w:r>
      <w:r>
        <w:fldChar w:fldCharType="end"/>
      </w:r>
    </w:p>
    <w:p>
      <w:pPr>
        <w:pStyle w:val="TOC8"/>
        <w:rPr>
          <w:rFonts w:asciiTheme="minorHAnsi" w:eastAsiaTheme="minorEastAsia" w:hAnsiTheme="minorHAnsi" w:cstheme="minorBidi"/>
          <w:szCs w:val="22"/>
        </w:rPr>
      </w:pPr>
      <w:r>
        <w:t>30.</w:t>
      </w:r>
      <w:r>
        <w:tab/>
        <w:t>Review — application by person subject to order</w:t>
      </w:r>
      <w:r>
        <w:tab/>
      </w:r>
      <w:r>
        <w:fldChar w:fldCharType="begin"/>
      </w:r>
      <w:r>
        <w:instrText xml:space="preserve"> PAGEREF _Toc365364439 \h </w:instrText>
      </w:r>
      <w:r>
        <w:fldChar w:fldCharType="separate"/>
      </w:r>
      <w:r>
        <w:t>21</w:t>
      </w:r>
      <w:r>
        <w:fldChar w:fldCharType="end"/>
      </w:r>
    </w:p>
    <w:p>
      <w:pPr>
        <w:pStyle w:val="TOC8"/>
        <w:rPr>
          <w:rFonts w:asciiTheme="minorHAnsi" w:eastAsiaTheme="minorEastAsia" w:hAnsiTheme="minorHAnsi" w:cstheme="minorBidi"/>
          <w:szCs w:val="22"/>
        </w:rPr>
      </w:pPr>
      <w:r>
        <w:t>31.</w:t>
      </w:r>
      <w:r>
        <w:tab/>
        <w:t>Dealing with application</w:t>
      </w:r>
      <w:r>
        <w:tab/>
      </w:r>
      <w:r>
        <w:fldChar w:fldCharType="begin"/>
      </w:r>
      <w:r>
        <w:instrText xml:space="preserve"> PAGEREF _Toc365364440 \h </w:instrText>
      </w:r>
      <w:r>
        <w:fldChar w:fldCharType="separate"/>
      </w:r>
      <w:r>
        <w:t>22</w:t>
      </w:r>
      <w:r>
        <w:fldChar w:fldCharType="end"/>
      </w:r>
    </w:p>
    <w:p>
      <w:pPr>
        <w:pStyle w:val="TOC8"/>
        <w:rPr>
          <w:rFonts w:asciiTheme="minorHAnsi" w:eastAsiaTheme="minorEastAsia" w:hAnsiTheme="minorHAnsi" w:cstheme="minorBidi"/>
          <w:szCs w:val="22"/>
        </w:rPr>
      </w:pPr>
      <w:r>
        <w:t>32.</w:t>
      </w:r>
      <w:r>
        <w:tab/>
        <w:t>Psychiatrists’ reports to be prepared for review</w:t>
      </w:r>
      <w:r>
        <w:tab/>
      </w:r>
      <w:r>
        <w:fldChar w:fldCharType="begin"/>
      </w:r>
      <w:r>
        <w:instrText xml:space="preserve"> PAGEREF _Toc365364441 \h </w:instrText>
      </w:r>
      <w:r>
        <w:fldChar w:fldCharType="separate"/>
      </w:r>
      <w:r>
        <w:t>22</w:t>
      </w:r>
      <w:r>
        <w:fldChar w:fldCharType="end"/>
      </w:r>
    </w:p>
    <w:p>
      <w:pPr>
        <w:pStyle w:val="TOC8"/>
        <w:rPr>
          <w:rFonts w:asciiTheme="minorHAnsi" w:eastAsiaTheme="minorEastAsia" w:hAnsiTheme="minorHAnsi" w:cstheme="minorBidi"/>
          <w:szCs w:val="22"/>
        </w:rPr>
      </w:pPr>
      <w:r>
        <w:t>33.</w:t>
      </w:r>
      <w:r>
        <w:tab/>
        <w:t>Review of detention under continuing detention order</w:t>
      </w:r>
      <w:r>
        <w:tab/>
      </w:r>
      <w:r>
        <w:fldChar w:fldCharType="begin"/>
      </w:r>
      <w:r>
        <w:instrText xml:space="preserve"> PAGEREF _Toc365364442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4 — Appeals</w:t>
      </w:r>
    </w:p>
    <w:p>
      <w:pPr>
        <w:pStyle w:val="TOC8"/>
        <w:rPr>
          <w:rFonts w:asciiTheme="minorHAnsi" w:eastAsiaTheme="minorEastAsia" w:hAnsiTheme="minorHAnsi" w:cstheme="minorBidi"/>
          <w:szCs w:val="22"/>
        </w:rPr>
      </w:pPr>
      <w:r>
        <w:t>34.</w:t>
      </w:r>
      <w:r>
        <w:tab/>
        <w:t>Appeals</w:t>
      </w:r>
      <w:r>
        <w:tab/>
      </w:r>
      <w:r>
        <w:fldChar w:fldCharType="begin"/>
      </w:r>
      <w:r>
        <w:instrText xml:space="preserve"> PAGEREF _Toc365364444 \h </w:instrText>
      </w:r>
      <w:r>
        <w:fldChar w:fldCharType="separate"/>
      </w:r>
      <w:r>
        <w:t>23</w:t>
      </w:r>
      <w:r>
        <w:fldChar w:fldCharType="end"/>
      </w:r>
    </w:p>
    <w:p>
      <w:pPr>
        <w:pStyle w:val="TOC8"/>
        <w:rPr>
          <w:rFonts w:asciiTheme="minorHAnsi" w:eastAsiaTheme="minorEastAsia" w:hAnsiTheme="minorHAnsi" w:cstheme="minorBidi"/>
          <w:szCs w:val="22"/>
        </w:rPr>
      </w:pPr>
      <w:r>
        <w:t>35.</w:t>
      </w:r>
      <w:r>
        <w:tab/>
        <w:t>Appeal does not stay decision</w:t>
      </w:r>
      <w:r>
        <w:tab/>
      </w:r>
      <w:r>
        <w:fldChar w:fldCharType="begin"/>
      </w:r>
      <w:r>
        <w:instrText xml:space="preserve"> PAGEREF _Toc365364445 \h </w:instrText>
      </w:r>
      <w:r>
        <w:fldChar w:fldCharType="separate"/>
      </w:r>
      <w:r>
        <w:t>23</w:t>
      </w:r>
      <w:r>
        <w:fldChar w:fldCharType="end"/>
      </w:r>
    </w:p>
    <w:p>
      <w:pPr>
        <w:pStyle w:val="TOC8"/>
        <w:rPr>
          <w:rFonts w:asciiTheme="minorHAnsi" w:eastAsiaTheme="minorEastAsia" w:hAnsiTheme="minorHAnsi" w:cstheme="minorBidi"/>
          <w:szCs w:val="22"/>
        </w:rPr>
      </w:pPr>
      <w:r>
        <w:t>36.</w:t>
      </w:r>
      <w:r>
        <w:tab/>
        <w:t>Dealing with appeal</w:t>
      </w:r>
      <w:r>
        <w:tab/>
      </w:r>
      <w:r>
        <w:fldChar w:fldCharType="begin"/>
      </w:r>
      <w:r>
        <w:instrText xml:space="preserve"> PAGEREF _Toc365364446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5 — Examination by psychiatrist</w:t>
      </w:r>
    </w:p>
    <w:p>
      <w:pPr>
        <w:pStyle w:val="TOC8"/>
        <w:rPr>
          <w:rFonts w:asciiTheme="minorHAnsi" w:eastAsiaTheme="minorEastAsia" w:hAnsiTheme="minorHAnsi" w:cstheme="minorBidi"/>
          <w:szCs w:val="22"/>
        </w:rPr>
      </w:pPr>
      <w:r>
        <w:t>37.</w:t>
      </w:r>
      <w:r>
        <w:tab/>
        <w:t>Preparation of psychiatric report</w:t>
      </w:r>
      <w:r>
        <w:tab/>
      </w:r>
      <w:r>
        <w:fldChar w:fldCharType="begin"/>
      </w:r>
      <w:r>
        <w:instrText xml:space="preserve"> PAGEREF _Toc365364448 \h </w:instrText>
      </w:r>
      <w:r>
        <w:fldChar w:fldCharType="separate"/>
      </w:r>
      <w:r>
        <w:t>24</w:t>
      </w:r>
      <w:r>
        <w:fldChar w:fldCharType="end"/>
      </w:r>
    </w:p>
    <w:p>
      <w:pPr>
        <w:pStyle w:val="TOC8"/>
        <w:rPr>
          <w:rFonts w:asciiTheme="minorHAnsi" w:eastAsiaTheme="minorEastAsia" w:hAnsiTheme="minorHAnsi" w:cstheme="minorBidi"/>
          <w:szCs w:val="22"/>
        </w:rPr>
      </w:pPr>
      <w:r>
        <w:t>38.</w:t>
      </w:r>
      <w:r>
        <w:tab/>
        <w:t>Providing information for psychiatrist</w:t>
      </w:r>
      <w:r>
        <w:tab/>
      </w:r>
      <w:r>
        <w:fldChar w:fldCharType="begin"/>
      </w:r>
      <w:r>
        <w:instrText xml:space="preserve"> PAGEREF _Toc365364449 \h </w:instrText>
      </w:r>
      <w:r>
        <w:fldChar w:fldCharType="separate"/>
      </w:r>
      <w:r>
        <w:t>24</w:t>
      </w:r>
      <w:r>
        <w:fldChar w:fldCharType="end"/>
      </w:r>
    </w:p>
    <w:p>
      <w:pPr>
        <w:pStyle w:val="TOC8"/>
        <w:rPr>
          <w:rFonts w:asciiTheme="minorHAnsi" w:eastAsiaTheme="minorEastAsia" w:hAnsiTheme="minorHAnsi" w:cstheme="minorBidi"/>
          <w:szCs w:val="22"/>
        </w:rPr>
      </w:pPr>
      <w:r>
        <w:t>39.</w:t>
      </w:r>
      <w:r>
        <w:tab/>
        <w:t>Copies of report to DPP and person examined</w:t>
      </w:r>
      <w:r>
        <w:tab/>
      </w:r>
      <w:r>
        <w:fldChar w:fldCharType="begin"/>
      </w:r>
      <w:r>
        <w:instrText xml:space="preserve"> PAGEREF _Toc365364450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40A.</w:t>
      </w:r>
      <w:r>
        <w:tab/>
        <w:t>Offence of contravening supervision order</w:t>
      </w:r>
      <w:r>
        <w:tab/>
      </w:r>
      <w:r>
        <w:fldChar w:fldCharType="begin"/>
      </w:r>
      <w:r>
        <w:instrText xml:space="preserve"> PAGEREF _Toc365364452 \h </w:instrText>
      </w:r>
      <w:r>
        <w:fldChar w:fldCharType="separate"/>
      </w:r>
      <w:r>
        <w:t>26</w:t>
      </w:r>
      <w:r>
        <w:fldChar w:fldCharType="end"/>
      </w:r>
    </w:p>
    <w:p>
      <w:pPr>
        <w:pStyle w:val="TOC8"/>
        <w:rPr>
          <w:rFonts w:asciiTheme="minorHAnsi" w:eastAsiaTheme="minorEastAsia" w:hAnsiTheme="minorHAnsi" w:cstheme="minorBidi"/>
          <w:szCs w:val="22"/>
        </w:rPr>
      </w:pPr>
      <w:r>
        <w:t>40B.</w:t>
      </w:r>
      <w:r>
        <w:tab/>
        <w:t>Procedure on some charges of offences under s. 40A</w:t>
      </w:r>
      <w:r>
        <w:tab/>
      </w:r>
      <w:r>
        <w:fldChar w:fldCharType="begin"/>
      </w:r>
      <w:r>
        <w:instrText xml:space="preserve"> PAGEREF _Toc365364453 \h </w:instrText>
      </w:r>
      <w:r>
        <w:fldChar w:fldCharType="separate"/>
      </w:r>
      <w:r>
        <w:t>26</w:t>
      </w:r>
      <w:r>
        <w:fldChar w:fldCharType="end"/>
      </w:r>
    </w:p>
    <w:p>
      <w:pPr>
        <w:pStyle w:val="TOC8"/>
        <w:rPr>
          <w:rFonts w:asciiTheme="minorHAnsi" w:eastAsiaTheme="minorEastAsia" w:hAnsiTheme="minorHAnsi" w:cstheme="minorBidi"/>
          <w:szCs w:val="22"/>
        </w:rPr>
      </w:pPr>
      <w:r>
        <w:t>40.</w:t>
      </w:r>
      <w:r>
        <w:tab/>
        <w:t>Proceedings to be criminal proceedings</w:t>
      </w:r>
      <w:r>
        <w:tab/>
      </w:r>
      <w:r>
        <w:fldChar w:fldCharType="begin"/>
      </w:r>
      <w:r>
        <w:instrText xml:space="preserve"> PAGEREF _Toc365364454 \h </w:instrText>
      </w:r>
      <w:r>
        <w:fldChar w:fldCharType="separate"/>
      </w:r>
      <w:r>
        <w:t>28</w:t>
      </w:r>
      <w:r>
        <w:fldChar w:fldCharType="end"/>
      </w:r>
    </w:p>
    <w:p>
      <w:pPr>
        <w:pStyle w:val="TOC8"/>
        <w:rPr>
          <w:rFonts w:asciiTheme="minorHAnsi" w:eastAsiaTheme="minorEastAsia" w:hAnsiTheme="minorHAnsi" w:cstheme="minorBidi"/>
          <w:szCs w:val="22"/>
        </w:rPr>
      </w:pPr>
      <w:r>
        <w:t>41.</w:t>
      </w:r>
      <w:r>
        <w:tab/>
        <w:t>Deciding certain matters on the papers</w:t>
      </w:r>
      <w:r>
        <w:tab/>
      </w:r>
      <w:r>
        <w:fldChar w:fldCharType="begin"/>
      </w:r>
      <w:r>
        <w:instrText xml:space="preserve"> PAGEREF _Toc365364455 \h </w:instrText>
      </w:r>
      <w:r>
        <w:fldChar w:fldCharType="separate"/>
      </w:r>
      <w:r>
        <w:t>28</w:t>
      </w:r>
      <w:r>
        <w:fldChar w:fldCharType="end"/>
      </w:r>
    </w:p>
    <w:p>
      <w:pPr>
        <w:pStyle w:val="TOC8"/>
        <w:rPr>
          <w:rFonts w:asciiTheme="minorHAnsi" w:eastAsiaTheme="minorEastAsia" w:hAnsiTheme="minorHAnsi" w:cstheme="minorBidi"/>
          <w:szCs w:val="22"/>
        </w:rPr>
      </w:pPr>
      <w:r>
        <w:t>42.</w:t>
      </w:r>
      <w:r>
        <w:tab/>
        <w:t>Evidence in certain hearings</w:t>
      </w:r>
      <w:r>
        <w:tab/>
      </w:r>
      <w:r>
        <w:fldChar w:fldCharType="begin"/>
      </w:r>
      <w:r>
        <w:instrText xml:space="preserve"> PAGEREF _Toc365364456 \h </w:instrText>
      </w:r>
      <w:r>
        <w:fldChar w:fldCharType="separate"/>
      </w:r>
      <w:r>
        <w:t>29</w:t>
      </w:r>
      <w:r>
        <w:fldChar w:fldCharType="end"/>
      </w:r>
    </w:p>
    <w:p>
      <w:pPr>
        <w:pStyle w:val="TOC8"/>
        <w:rPr>
          <w:rFonts w:asciiTheme="minorHAnsi" w:eastAsiaTheme="minorEastAsia" w:hAnsiTheme="minorHAnsi" w:cstheme="minorBidi"/>
          <w:szCs w:val="22"/>
        </w:rPr>
      </w:pPr>
      <w:r>
        <w:t>43.</w:t>
      </w:r>
      <w:r>
        <w:tab/>
        <w:t>Court may give directions</w:t>
      </w:r>
      <w:r>
        <w:tab/>
      </w:r>
      <w:r>
        <w:fldChar w:fldCharType="begin"/>
      </w:r>
      <w:r>
        <w:instrText xml:space="preserve"> PAGEREF _Toc365364457 \h </w:instrText>
      </w:r>
      <w:r>
        <w:fldChar w:fldCharType="separate"/>
      </w:r>
      <w:r>
        <w:t>30</w:t>
      </w:r>
      <w:r>
        <w:fldChar w:fldCharType="end"/>
      </w:r>
    </w:p>
    <w:p>
      <w:pPr>
        <w:pStyle w:val="TOC8"/>
        <w:rPr>
          <w:rFonts w:asciiTheme="minorHAnsi" w:eastAsiaTheme="minorEastAsia" w:hAnsiTheme="minorHAnsi" w:cstheme="minorBidi"/>
          <w:szCs w:val="22"/>
        </w:rPr>
      </w:pPr>
      <w:r>
        <w:t>44.</w:t>
      </w:r>
      <w:r>
        <w:tab/>
        <w:t>Appearance at hearings</w:t>
      </w:r>
      <w:r>
        <w:tab/>
      </w:r>
      <w:r>
        <w:fldChar w:fldCharType="begin"/>
      </w:r>
      <w:r>
        <w:instrText xml:space="preserve"> PAGEREF _Toc365364458 \h </w:instrText>
      </w:r>
      <w:r>
        <w:fldChar w:fldCharType="separate"/>
      </w:r>
      <w:r>
        <w:t>30</w:t>
      </w:r>
      <w:r>
        <w:fldChar w:fldCharType="end"/>
      </w:r>
    </w:p>
    <w:p>
      <w:pPr>
        <w:pStyle w:val="TOC8"/>
        <w:rPr>
          <w:rFonts w:asciiTheme="minorHAnsi" w:eastAsiaTheme="minorEastAsia" w:hAnsiTheme="minorHAnsi" w:cstheme="minorBidi"/>
          <w:szCs w:val="22"/>
        </w:rPr>
      </w:pPr>
      <w:r>
        <w:t>45.</w:t>
      </w:r>
      <w:r>
        <w:tab/>
        <w:t>Warrant of commitment upon order for detention</w:t>
      </w:r>
      <w:r>
        <w:tab/>
      </w:r>
      <w:r>
        <w:fldChar w:fldCharType="begin"/>
      </w:r>
      <w:r>
        <w:instrText xml:space="preserve"> PAGEREF _Toc365364459 \h </w:instrText>
      </w:r>
      <w:r>
        <w:fldChar w:fldCharType="separate"/>
      </w:r>
      <w:r>
        <w:t>30</w:t>
      </w:r>
      <w:r>
        <w:fldChar w:fldCharType="end"/>
      </w:r>
    </w:p>
    <w:p>
      <w:pPr>
        <w:pStyle w:val="TOC8"/>
        <w:rPr>
          <w:rFonts w:asciiTheme="minorHAnsi" w:eastAsiaTheme="minorEastAsia" w:hAnsiTheme="minorHAnsi" w:cstheme="minorBidi"/>
          <w:szCs w:val="22"/>
        </w:rPr>
      </w:pPr>
      <w:r>
        <w:t>46A.</w:t>
      </w:r>
      <w:r>
        <w:tab/>
        <w:t>Protection from personal liability</w:t>
      </w:r>
      <w:r>
        <w:tab/>
      </w:r>
      <w:r>
        <w:fldChar w:fldCharType="begin"/>
      </w:r>
      <w:r>
        <w:instrText xml:space="preserve"> PAGEREF _Toc365364460 \h </w:instrText>
      </w:r>
      <w:r>
        <w:fldChar w:fldCharType="separate"/>
      </w:r>
      <w:r>
        <w:t>30</w:t>
      </w:r>
      <w:r>
        <w:fldChar w:fldCharType="end"/>
      </w:r>
    </w:p>
    <w:p>
      <w:pPr>
        <w:pStyle w:val="TOC8"/>
        <w:rPr>
          <w:rFonts w:asciiTheme="minorHAnsi" w:eastAsiaTheme="minorEastAsia" w:hAnsiTheme="minorHAnsi" w:cstheme="minorBidi"/>
          <w:szCs w:val="22"/>
        </w:rPr>
      </w:pPr>
      <w:r>
        <w:t>46.</w:t>
      </w:r>
      <w:r>
        <w:tab/>
        <w:t>Approved forms</w:t>
      </w:r>
      <w:r>
        <w:tab/>
      </w:r>
      <w:r>
        <w:fldChar w:fldCharType="begin"/>
      </w:r>
      <w:r>
        <w:instrText xml:space="preserve"> PAGEREF _Toc365364461 \h </w:instrText>
      </w:r>
      <w:r>
        <w:fldChar w:fldCharType="separate"/>
      </w:r>
      <w:r>
        <w:t>31</w:t>
      </w:r>
      <w:r>
        <w:fldChar w:fldCharType="end"/>
      </w:r>
    </w:p>
    <w:p>
      <w:pPr>
        <w:pStyle w:val="TOC8"/>
        <w:rPr>
          <w:rFonts w:asciiTheme="minorHAnsi" w:eastAsiaTheme="minorEastAsia" w:hAnsiTheme="minorHAnsi" w:cstheme="minorBidi"/>
          <w:szCs w:val="22"/>
        </w:rPr>
      </w:pPr>
      <w:r>
        <w:t>47.</w:t>
      </w:r>
      <w:r>
        <w:tab/>
        <w:t>Regulations</w:t>
      </w:r>
      <w:r>
        <w:tab/>
      </w:r>
      <w:r>
        <w:fldChar w:fldCharType="begin"/>
      </w:r>
      <w:r>
        <w:instrText xml:space="preserve"> PAGEREF _Toc365364462 \h </w:instrText>
      </w:r>
      <w:r>
        <w:fldChar w:fldCharType="separate"/>
      </w:r>
      <w:r>
        <w:t>31</w:t>
      </w:r>
      <w:r>
        <w:fldChar w:fldCharType="end"/>
      </w:r>
    </w:p>
    <w:p>
      <w:pPr>
        <w:pStyle w:val="TOC8"/>
        <w:rPr>
          <w:rFonts w:asciiTheme="minorHAnsi" w:eastAsiaTheme="minorEastAsia" w:hAnsiTheme="minorHAnsi" w:cstheme="minorBidi"/>
          <w:szCs w:val="22"/>
        </w:rPr>
      </w:pPr>
      <w:r>
        <w:t>48.</w:t>
      </w:r>
      <w:r>
        <w:tab/>
        <w:t>Transitional provisions (Sch. 1)</w:t>
      </w:r>
      <w:r>
        <w:tab/>
      </w:r>
      <w:r>
        <w:fldChar w:fldCharType="begin"/>
      </w:r>
      <w:r>
        <w:instrText xml:space="preserve"> PAGEREF _Toc365364463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 xml:space="preserve">Provisions for </w:t>
      </w:r>
      <w:r>
        <w:rPr>
          <w:i/>
        </w:rPr>
        <w:t>Dangerous Sexual Offenders Amendment Act 2011</w:t>
      </w:r>
      <w:r>
        <w:tab/>
      </w:r>
      <w:r>
        <w:fldChar w:fldCharType="begin"/>
      </w:r>
      <w:r>
        <w:instrText xml:space="preserve"> PAGEREF _Toc365364465 \h </w:instrText>
      </w:r>
      <w:r>
        <w:fldChar w:fldCharType="separate"/>
      </w:r>
      <w:r>
        <w:t>32</w:t>
      </w:r>
      <w:r>
        <w:fldChar w:fldCharType="end"/>
      </w:r>
    </w:p>
    <w:p>
      <w:pPr>
        <w:pStyle w:val="TOC8"/>
        <w:rPr>
          <w:rFonts w:asciiTheme="minorHAnsi" w:eastAsiaTheme="minorEastAsia" w:hAnsiTheme="minorHAnsi" w:cstheme="minorBidi"/>
          <w:szCs w:val="22"/>
        </w:rPr>
      </w:pPr>
      <w:r>
        <w:t>2.</w:t>
      </w:r>
      <w:r>
        <w:tab/>
        <w:t xml:space="preserve">Provisions for </w:t>
      </w:r>
      <w:r>
        <w:rPr>
          <w:i/>
        </w:rPr>
        <w:t>Dangerous Sexual Offenders Amendment Act 2012</w:t>
      </w:r>
      <w:r>
        <w:tab/>
      </w:r>
      <w:r>
        <w:fldChar w:fldCharType="begin"/>
      </w:r>
      <w:r>
        <w:instrText xml:space="preserve"> PAGEREF _Toc365364466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_Toc365364468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w:t>
            </w:r>
            <w:r>
              <w:rPr>
                <w:b/>
                <w:snapToGrid w:val="0"/>
                <w:sz w:val="22"/>
              </w:rPr>
              <w:t xml:space="preserve"> October 2013</w:t>
            </w:r>
          </w:p>
        </w:tc>
      </w:tr>
    </w:tbl>
    <w:p>
      <w:pPr>
        <w:pStyle w:val="WA"/>
        <w:suppressLineNumbers/>
        <w:spacing w:before="120" w:after="480"/>
      </w:pPr>
      <w:r>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An Act to provide for the detention in custody of persons of a particular class, or for their supervision, and for other purposes</w:t>
      </w:r>
      <w:r>
        <w:rPr>
          <w:rFonts w:ascii="Times" w:hAnsi="Times"/>
        </w:rPr>
        <w:t>.</w:t>
      </w:r>
    </w:p>
    <w:p>
      <w:pPr>
        <w:pStyle w:val="Heading2"/>
      </w:pPr>
      <w:bookmarkStart w:id="1" w:name="_Toc362353006"/>
      <w:bookmarkStart w:id="2" w:name="_Toc362356278"/>
      <w:bookmarkStart w:id="3" w:name="_Toc365364396"/>
      <w:r>
        <w:rPr>
          <w:rStyle w:val="CharPartNo"/>
        </w:rPr>
        <w:t>Part 1</w:t>
      </w:r>
      <w:r>
        <w:rPr>
          <w:rStyle w:val="CharDivNo"/>
        </w:rPr>
        <w:t> </w:t>
      </w:r>
      <w:r>
        <w:t>—</w:t>
      </w:r>
      <w:r>
        <w:rPr>
          <w:rStyle w:val="CharDivText"/>
        </w:rPr>
        <w:t> </w:t>
      </w:r>
      <w:r>
        <w:rPr>
          <w:rStyle w:val="CharPartText"/>
        </w:rPr>
        <w:t>Preliminary</w:t>
      </w:r>
      <w:bookmarkEnd w:id="1"/>
      <w:bookmarkEnd w:id="2"/>
      <w:bookmarkEnd w:id="3"/>
    </w:p>
    <w:p>
      <w:pPr>
        <w:pStyle w:val="Heading5"/>
        <w:spacing w:before="240"/>
      </w:pPr>
      <w:bookmarkStart w:id="4" w:name="_Toc365364397"/>
      <w:r>
        <w:rPr>
          <w:rStyle w:val="CharSectno"/>
        </w:rPr>
        <w:t>1</w:t>
      </w:r>
      <w:r>
        <w:t>.</w:t>
      </w:r>
      <w:r>
        <w:tab/>
      </w:r>
      <w:r>
        <w:rPr>
          <w:snapToGrid w:val="0"/>
        </w:rPr>
        <w:t>Short title</w:t>
      </w:r>
      <w:bookmarkEnd w:id="4"/>
    </w:p>
    <w:p>
      <w:pPr>
        <w:pStyle w:val="Subsection"/>
      </w:pPr>
      <w:r>
        <w:tab/>
      </w:r>
      <w:r>
        <w:tab/>
        <w:t>This</w:t>
      </w:r>
      <w:r>
        <w:rPr>
          <w:snapToGrid w:val="0"/>
        </w:rPr>
        <w:t xml:space="preserve"> is the</w:t>
      </w:r>
      <w:r>
        <w:rPr>
          <w:i/>
          <w:snapToGrid w:val="0"/>
        </w:rPr>
        <w:t xml:space="preserve"> Dangerous Sexual Offenders Act 2006</w:t>
      </w:r>
      <w:r>
        <w:rPr>
          <w:snapToGrid w:val="0"/>
          <w:vertAlign w:val="superscript"/>
        </w:rPr>
        <w:t> 1</w:t>
      </w:r>
      <w:r>
        <w:rPr>
          <w:snapToGrid w:val="0"/>
        </w:rPr>
        <w:t>.</w:t>
      </w:r>
    </w:p>
    <w:p>
      <w:pPr>
        <w:pStyle w:val="Heading5"/>
        <w:spacing w:before="240"/>
        <w:rPr>
          <w:snapToGrid w:val="0"/>
        </w:rPr>
      </w:pPr>
      <w:bookmarkStart w:id="5" w:name="_Toc365364398"/>
      <w:r>
        <w:rPr>
          <w:rStyle w:val="CharSectno"/>
        </w:rPr>
        <w:t>2</w:t>
      </w:r>
      <w:r>
        <w:rPr>
          <w:snapToGrid w:val="0"/>
        </w:rPr>
        <w:t>.</w:t>
      </w:r>
      <w:r>
        <w:rPr>
          <w:snapToGrid w:val="0"/>
        </w:rPr>
        <w:tab/>
      </w:r>
      <w:r>
        <w:t>Commencement</w:t>
      </w:r>
      <w:bookmarkEnd w:id="5"/>
    </w:p>
    <w:p>
      <w:pPr>
        <w:pStyle w:val="Subsection"/>
      </w:pPr>
      <w:r>
        <w:tab/>
      </w:r>
      <w:r>
        <w:tab/>
        <w:t xml:space="preserve">This Act </w:t>
      </w:r>
      <w:r>
        <w:rPr>
          <w:spacing w:val="-2"/>
        </w:rPr>
        <w:t>comes into operation on a day fixed by proclamation</w:t>
      </w:r>
      <w:r>
        <w:rPr>
          <w:snapToGrid w:val="0"/>
          <w:vertAlign w:val="superscript"/>
        </w:rPr>
        <w:t> 1</w:t>
      </w:r>
      <w:r>
        <w:rPr>
          <w:spacing w:val="-2"/>
        </w:rPr>
        <w:t>.</w:t>
      </w:r>
    </w:p>
    <w:p>
      <w:pPr>
        <w:pStyle w:val="Heading5"/>
        <w:spacing w:before="240"/>
        <w:rPr>
          <w:snapToGrid w:val="0"/>
        </w:rPr>
      </w:pPr>
      <w:bookmarkStart w:id="6" w:name="_Toc365364399"/>
      <w:r>
        <w:rPr>
          <w:rStyle w:val="CharSectno"/>
        </w:rPr>
        <w:t>3</w:t>
      </w:r>
      <w:r>
        <w:rPr>
          <w:snapToGrid w:val="0"/>
        </w:rPr>
        <w:t>.</w:t>
      </w:r>
      <w:r>
        <w:rPr>
          <w:snapToGrid w:val="0"/>
        </w:rPr>
        <w:tab/>
        <w:t>Terms used</w:t>
      </w:r>
      <w:bookmarkEnd w:id="6"/>
    </w:p>
    <w:p>
      <w:pPr>
        <w:pStyle w:val="Subsection"/>
      </w:pPr>
      <w:r>
        <w:tab/>
        <w:t>(1)</w:t>
      </w:r>
      <w:r>
        <w:tab/>
        <w:t xml:space="preserve">In this Act, unless the contrary intention appears — </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includes to do an act or make an omission outside this State or outside </w:t>
      </w:r>
      <w:smartTag w:uri="urn:schemas-microsoft-com:office:smarttags" w:element="place">
        <w:smartTag w:uri="urn:schemas-microsoft-com:office:smarttags" w:element="country-region">
          <w:r>
            <w:t>Australia</w:t>
          </w:r>
        </w:smartTag>
      </w:smartTag>
      <w:r>
        <w:t xml:space="preserve"> that, if it were done or made in this State, would constitute a serious sexual offence;</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 Division 2 continuing detention order or a Division 4 continuing detention order;</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continuing detention order</w:t>
      </w:r>
      <w:r>
        <w:t xml:space="preserve"> means an order under section 17(1)(a);</w:t>
      </w:r>
    </w:p>
    <w:p>
      <w:pPr>
        <w:pStyle w:val="Defstart"/>
      </w:pPr>
      <w:r>
        <w:rPr>
          <w:b/>
        </w:rPr>
        <w:tab/>
      </w:r>
      <w:r>
        <w:rPr>
          <w:rStyle w:val="CharDefText"/>
        </w:rPr>
        <w:t>Division 2 order</w:t>
      </w:r>
      <w:r>
        <w:t xml:space="preserve"> means — </w:t>
      </w:r>
    </w:p>
    <w:p>
      <w:pPr>
        <w:pStyle w:val="Defpara"/>
      </w:pPr>
      <w:r>
        <w:tab/>
        <w:t>(a)</w:t>
      </w:r>
      <w:r>
        <w:tab/>
        <w:t>Division 2 continuing detention order; or</w:t>
      </w:r>
    </w:p>
    <w:p>
      <w:pPr>
        <w:pStyle w:val="Defpara"/>
      </w:pPr>
      <w:r>
        <w:tab/>
        <w:t>(b)</w:t>
      </w:r>
      <w:r>
        <w:tab/>
        <w:t>a supervision order under section 17(1)(b);</w:t>
      </w:r>
    </w:p>
    <w:p>
      <w:pPr>
        <w:pStyle w:val="Defstart"/>
        <w:keepNext/>
      </w:pPr>
      <w:r>
        <w:tab/>
      </w:r>
      <w:r>
        <w:rPr>
          <w:rStyle w:val="CharDefText"/>
        </w:rPr>
        <w:t>Division 4 continuing detention order</w:t>
      </w:r>
      <w:r>
        <w:t xml:space="preserve"> means an order under section 23(1)(b);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pStyle w:val="Defstart"/>
      </w:pPr>
      <w:r>
        <w:rPr>
          <w:b/>
        </w:rPr>
        <w:tab/>
      </w:r>
      <w:r>
        <w:rPr>
          <w:rStyle w:val="CharDefText"/>
        </w:rPr>
        <w:t>psychiatrist</w:t>
      </w:r>
      <w:r>
        <w:t xml:space="preserve"> has the meaning given to that term in the </w:t>
      </w:r>
      <w:r>
        <w:rPr>
          <w:i/>
        </w:rPr>
        <w:t>Mental Health Act 1996</w:t>
      </w:r>
      <w:r>
        <w:t xml:space="preserve"> section 3;</w:t>
      </w:r>
    </w:p>
    <w:p>
      <w:pPr>
        <w:pStyle w:val="Defstart"/>
      </w:pPr>
      <w:r>
        <w:rPr>
          <w:b/>
        </w:rPr>
        <w:tab/>
      </w:r>
      <w:r>
        <w:rPr>
          <w:rStyle w:val="CharDefText"/>
        </w:rPr>
        <w:t>serious danger to the community</w:t>
      </w:r>
      <w:r>
        <w:t xml:space="preserve"> has the meaning given to that term in section 7;</w:t>
      </w:r>
    </w:p>
    <w:p>
      <w:pPr>
        <w:pStyle w:val="Defstart"/>
      </w:pPr>
      <w:r>
        <w:rPr>
          <w:b/>
        </w:rPr>
        <w:tab/>
      </w:r>
      <w:r>
        <w:rPr>
          <w:rStyle w:val="CharDefText"/>
        </w:rPr>
        <w:t>serious sexual offence</w:t>
      </w:r>
      <w:r>
        <w:t xml:space="preserve"> has the meaning given to that term in the </w:t>
      </w:r>
      <w:r>
        <w:rPr>
          <w:i/>
        </w:rPr>
        <w:t>Evidence Act 1906</w:t>
      </w:r>
      <w:r>
        <w:t xml:space="preserve"> section 106A;</w:t>
      </w:r>
    </w:p>
    <w:p>
      <w:pPr>
        <w:pStyle w:val="Defstart"/>
      </w:pPr>
      <w:r>
        <w:rPr>
          <w:b/>
        </w:rPr>
        <w:tab/>
      </w:r>
      <w:r>
        <w:rPr>
          <w:rStyle w:val="CharDefText"/>
        </w:rPr>
        <w:t>supervision order</w:t>
      </w:r>
      <w:r>
        <w:t xml:space="preserve"> means an order under section 17(1)(b) or 33(2)(b);</w:t>
      </w:r>
    </w:p>
    <w:p>
      <w:pPr>
        <w:pStyle w:val="Defstart"/>
      </w:pPr>
      <w:r>
        <w:rPr>
          <w:b/>
        </w:rPr>
        <w:tab/>
      </w:r>
      <w:r>
        <w:rPr>
          <w:rStyle w:val="CharDefText"/>
        </w:rPr>
        <w:t>under sentence of imprisonment</w:t>
      </w:r>
      <w:r>
        <w:t xml:space="preserve"> has a meaning that is consistent with the </w:t>
      </w:r>
      <w:r>
        <w:rPr>
          <w:i/>
        </w:rPr>
        <w:t>Sentence Administration Act 2003</w:t>
      </w:r>
      <w:r>
        <w:t xml:space="preserve"> section 66.</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pPr>
      <w:r>
        <w:tab/>
        <w:t>[Section 3 amended by No. 3 of 2011 s. 4.]</w:t>
      </w:r>
    </w:p>
    <w:p>
      <w:pPr>
        <w:pStyle w:val="Heading5"/>
      </w:pPr>
      <w:bookmarkStart w:id="7" w:name="_Toc365364400"/>
      <w:r>
        <w:rPr>
          <w:rStyle w:val="CharSectno"/>
        </w:rPr>
        <w:t>4</w:t>
      </w:r>
      <w:r>
        <w:t>.</w:t>
      </w:r>
      <w:r>
        <w:tab/>
        <w:t>Objects of this Act</w:t>
      </w:r>
      <w:bookmarkEnd w:id="7"/>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w:t>
      </w:r>
    </w:p>
    <w:p>
      <w:pPr>
        <w:pStyle w:val="Indenta"/>
      </w:pPr>
      <w:r>
        <w:tab/>
        <w:t>(b)</w:t>
      </w:r>
      <w:r>
        <w:tab/>
        <w:t>to provide for continuing control, care, or treatment, of persons of a particular class.</w:t>
      </w:r>
    </w:p>
    <w:p>
      <w:pPr>
        <w:pStyle w:val="Heading5"/>
      </w:pPr>
      <w:bookmarkStart w:id="8" w:name="_Toc365364401"/>
      <w:r>
        <w:rPr>
          <w:rStyle w:val="CharSectno"/>
        </w:rPr>
        <w:t>5</w:t>
      </w:r>
      <w:r>
        <w:t>.</w:t>
      </w:r>
      <w:r>
        <w:tab/>
        <w:t xml:space="preserve">Application of </w:t>
      </w:r>
      <w:r>
        <w:rPr>
          <w:i/>
        </w:rPr>
        <w:t>Bail Act 1982</w:t>
      </w:r>
      <w:bookmarkEnd w:id="8"/>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by No. 3 of 2011 s. 5; amended by No. 58 of 2012 s. 4.]</w:t>
      </w:r>
    </w:p>
    <w:p>
      <w:pPr>
        <w:pStyle w:val="Heading5"/>
      </w:pPr>
      <w:bookmarkStart w:id="9" w:name="_Toc365364402"/>
      <w:r>
        <w:rPr>
          <w:rStyle w:val="CharSectno"/>
        </w:rPr>
        <w:t>6</w:t>
      </w:r>
      <w:r>
        <w:t>.</w:t>
      </w:r>
      <w:r>
        <w:tab/>
        <w:t>Attorney General may perform functions of DPP</w:t>
      </w:r>
      <w:bookmarkEnd w:id="9"/>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10" w:name="_Toc365364403"/>
      <w:r>
        <w:rPr>
          <w:rStyle w:val="CharSectno"/>
        </w:rPr>
        <w:t>7</w:t>
      </w:r>
      <w:r>
        <w:t>.</w:t>
      </w:r>
      <w:r>
        <w:tab/>
        <w:t>Serious danger to community</w:t>
      </w:r>
      <w:bookmarkEnd w:id="10"/>
    </w:p>
    <w:p>
      <w:pPr>
        <w:pStyle w:val="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has to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 and</w:t>
      </w:r>
    </w:p>
    <w:p>
      <w:pPr>
        <w:pStyle w:val="Indenta"/>
      </w:pPr>
      <w:r>
        <w:tab/>
        <w:t>(b)</w:t>
      </w:r>
      <w:r>
        <w:tab/>
        <w:t>any other medical, psychiatric, psychological, or other assessment relating to the person; and</w:t>
      </w:r>
    </w:p>
    <w:p>
      <w:pPr>
        <w:pStyle w:val="Indenta"/>
      </w:pPr>
      <w:r>
        <w:tab/>
        <w:t>(c)</w:t>
      </w:r>
      <w:r>
        <w:tab/>
        <w:t>information indicating whether or not the person has a propensity to commit serious sexual offences in the future; and</w:t>
      </w:r>
    </w:p>
    <w:p>
      <w:pPr>
        <w:pStyle w:val="Indenta"/>
      </w:pPr>
      <w:r>
        <w:tab/>
        <w:t>(d)</w:t>
      </w:r>
      <w:r>
        <w:tab/>
        <w:t>whether or not there is any pattern of offending behaviour on the part of the person; and</w:t>
      </w:r>
    </w:p>
    <w:p>
      <w:pPr>
        <w:pStyle w:val="Indenta"/>
      </w:pPr>
      <w:r>
        <w:tab/>
        <w:t>(e)</w:t>
      </w:r>
      <w:r>
        <w:tab/>
        <w:t>any efforts by the person to address the cause or causes of the person’s offending behaviour, including whether the person has participated in any rehabilitation program; and</w:t>
      </w:r>
    </w:p>
    <w:p>
      <w:pPr>
        <w:pStyle w:val="Indenta"/>
      </w:pPr>
      <w:r>
        <w:tab/>
        <w:t>(f)</w:t>
      </w:r>
      <w:r>
        <w:tab/>
        <w:t>whether or not the person’s participation in any rehabilitation program has had a positive effect on the person; and</w:t>
      </w:r>
    </w:p>
    <w:p>
      <w:pPr>
        <w:pStyle w:val="Indenta"/>
      </w:pPr>
      <w:r>
        <w:tab/>
        <w:t>(g)</w:t>
      </w:r>
      <w:r>
        <w:tab/>
        <w:t>the person’s antecedents and criminal record; and</w:t>
      </w:r>
    </w:p>
    <w:p>
      <w:pPr>
        <w:pStyle w:val="Indenta"/>
      </w:pPr>
      <w:r>
        <w:tab/>
        <w:t>(h)</w:t>
      </w:r>
      <w:r>
        <w:tab/>
        <w:t>the risk that, if the person were not subject to a continuing detention order or a supervision order, the person would commit a serious sexual offence; and</w:t>
      </w:r>
    </w:p>
    <w:p>
      <w:pPr>
        <w:pStyle w:val="Indenta"/>
      </w:pPr>
      <w:r>
        <w:tab/>
        <w:t>(i)</w:t>
      </w:r>
      <w:r>
        <w:tab/>
        <w:t>the need to protect members of the community from that risk; and</w:t>
      </w:r>
    </w:p>
    <w:p>
      <w:pPr>
        <w:pStyle w:val="Indenta"/>
      </w:pPr>
      <w:r>
        <w:tab/>
        <w:t>(j)</w:t>
      </w:r>
      <w:r>
        <w:tab/>
        <w:t>any other relevant matter.</w:t>
      </w:r>
    </w:p>
    <w:p>
      <w:pPr>
        <w:pStyle w:val="Heading2"/>
      </w:pPr>
      <w:bookmarkStart w:id="11" w:name="_Toc362353014"/>
      <w:bookmarkStart w:id="12" w:name="_Toc362356286"/>
      <w:bookmarkStart w:id="13" w:name="_Toc365364404"/>
      <w:r>
        <w:rPr>
          <w:rStyle w:val="CharPartNo"/>
        </w:rPr>
        <w:t>Part 2</w:t>
      </w:r>
      <w:r>
        <w:t> — </w:t>
      </w:r>
      <w:r>
        <w:rPr>
          <w:rStyle w:val="CharPartText"/>
        </w:rPr>
        <w:t>Continuing detention or supervision</w:t>
      </w:r>
      <w:bookmarkEnd w:id="11"/>
      <w:bookmarkEnd w:id="12"/>
      <w:bookmarkEnd w:id="13"/>
    </w:p>
    <w:p>
      <w:pPr>
        <w:pStyle w:val="Heading3"/>
      </w:pPr>
      <w:bookmarkStart w:id="14" w:name="_Toc362353015"/>
      <w:bookmarkStart w:id="15" w:name="_Toc362356287"/>
      <w:bookmarkStart w:id="16" w:name="_Toc365364405"/>
      <w:r>
        <w:rPr>
          <w:rStyle w:val="CharDivNo"/>
        </w:rPr>
        <w:t>Division 1</w:t>
      </w:r>
      <w:r>
        <w:t> — </w:t>
      </w:r>
      <w:r>
        <w:rPr>
          <w:rStyle w:val="CharDivText"/>
        </w:rPr>
        <w:t>Application for orders</w:t>
      </w:r>
      <w:bookmarkEnd w:id="14"/>
      <w:bookmarkEnd w:id="15"/>
      <w:bookmarkEnd w:id="16"/>
    </w:p>
    <w:p>
      <w:pPr>
        <w:pStyle w:val="Heading5"/>
      </w:pPr>
      <w:bookmarkStart w:id="17" w:name="_Toc365364406"/>
      <w:r>
        <w:rPr>
          <w:rStyle w:val="CharSectno"/>
        </w:rPr>
        <w:t>8</w:t>
      </w:r>
      <w:r>
        <w:t>.</w:t>
      </w:r>
      <w:r>
        <w:tab/>
        <w:t>DPP may apply for orders</w:t>
      </w:r>
      <w:bookmarkEnd w:id="17"/>
    </w:p>
    <w:p>
      <w:pPr>
        <w:pStyle w:val="Subsection"/>
      </w:pPr>
      <w:r>
        <w:tab/>
        <w:t>(1)</w:t>
      </w:r>
      <w:r>
        <w:tab/>
        <w:t xml:space="preserve">The DPP may file with the Supreme Court an application for orders under section 14 and section 17(1) in relation to a person (the </w:t>
      </w:r>
      <w:r>
        <w:rPr>
          <w:rStyle w:val="CharDefText"/>
        </w:rPr>
        <w:t>offender</w:t>
      </w:r>
      <w:r>
        <w:t>) who is under sentence of imprisonment wholly or in part for a serious sexual offence.</w:t>
      </w:r>
    </w:p>
    <w:p>
      <w:pPr>
        <w:pStyle w:val="Subsection"/>
      </w:pPr>
      <w:r>
        <w:tab/>
        <w:t>(2)</w:t>
      </w:r>
      <w:r>
        <w:tab/>
        <w:t>Subsection (1) applies whether the sentence was imposed before or after the commencement of this Act and whether or not the person under sentence of imprisonment is in custody.</w:t>
      </w:r>
    </w:p>
    <w:p>
      <w:pPr>
        <w:pStyle w:val="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Subsection"/>
      </w:pPr>
      <w:r>
        <w:tab/>
        <w:t>(4)</w:t>
      </w:r>
      <w:r>
        <w:tab/>
        <w:t xml:space="preserve">The application filed with the court must — </w:t>
      </w:r>
    </w:p>
    <w:p>
      <w:pPr>
        <w:pStyle w:val="Indenta"/>
      </w:pPr>
      <w:r>
        <w:tab/>
        <w:t>(a)</w:t>
      </w:r>
      <w:r>
        <w:tab/>
        <w:t>state the orders sought; and</w:t>
      </w:r>
    </w:p>
    <w:p>
      <w:pPr>
        <w:pStyle w:val="Indenta"/>
      </w:pPr>
      <w:r>
        <w:tab/>
        <w:t>(b)</w:t>
      </w:r>
      <w:r>
        <w:tab/>
        <w:t>be accompanied by any affidavits to be relied on by the DPP for the purpose of seeking an order or orders under section 14.</w:t>
      </w:r>
    </w:p>
    <w:p>
      <w:pPr>
        <w:pStyle w:val="Subsection"/>
      </w:pPr>
      <w:r>
        <w:tab/>
        <w:t>(5)</w:t>
      </w:r>
      <w:r>
        <w:tab/>
        <w:t>The DPP has to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subsection (1),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w:t>
      </w:r>
    </w:p>
    <w:p>
      <w:pPr>
        <w:pStyle w:val="Heading5"/>
      </w:pPr>
      <w:bookmarkStart w:id="18" w:name="_Toc365364407"/>
      <w:r>
        <w:rPr>
          <w:rStyle w:val="CharSectno"/>
        </w:rPr>
        <w:t>9</w:t>
      </w:r>
      <w:r>
        <w:t>.</w:t>
      </w:r>
      <w:r>
        <w:tab/>
        <w:t>Duty to disclose</w:t>
      </w:r>
      <w:bookmarkEnd w:id="18"/>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19" w:name="_Toc365364408"/>
      <w:r>
        <w:rPr>
          <w:rStyle w:val="CharSectno"/>
        </w:rPr>
        <w:t>10</w:t>
      </w:r>
      <w:r>
        <w:t>.</w:t>
      </w:r>
      <w:r>
        <w:tab/>
        <w:t>Application may proceed even if offender discharged</w:t>
      </w:r>
      <w:bookmarkEnd w:id="19"/>
    </w:p>
    <w:p>
      <w:pPr>
        <w:pStyle w:val="Subsection"/>
      </w:pPr>
      <w:r>
        <w:tab/>
      </w:r>
      <w:r>
        <w:tab/>
        <w:t>Even if, after an application is filed under section 8, the offender is discharged from the sentence of imprisonment, the application may proceed and the offender may be dealt with in accordance with this Act.</w:t>
      </w:r>
    </w:p>
    <w:p>
      <w:pPr>
        <w:pStyle w:val="Heading5"/>
      </w:pPr>
      <w:bookmarkStart w:id="20" w:name="_Toc365364409"/>
      <w:r>
        <w:rPr>
          <w:rStyle w:val="CharSectno"/>
        </w:rPr>
        <w:t>11</w:t>
      </w:r>
      <w:r>
        <w:t>.</w:t>
      </w:r>
      <w:r>
        <w:tab/>
        <w:t>Fixing day for preliminary hearing</w:t>
      </w:r>
      <w:bookmarkEnd w:id="20"/>
    </w:p>
    <w:p>
      <w:pPr>
        <w:pStyle w:val="Subsection"/>
      </w:pPr>
      <w:r>
        <w:tab/>
        <w:t>(1)</w:t>
      </w:r>
      <w:r>
        <w:tab/>
        <w:t>After an application is filed under section 8, the proper officer of the court must fix a day for the matter to come before the court for a preliminary hearing.</w:t>
      </w:r>
    </w:p>
    <w:p>
      <w:pPr>
        <w:pStyle w:val="Subsection"/>
      </w:pPr>
      <w:r>
        <w:tab/>
        <w:t>(2)</w:t>
      </w:r>
      <w:r>
        <w:tab/>
        <w:t>The day fixed has to be within 14 days after the application is filed.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Heading5"/>
      </w:pPr>
      <w:bookmarkStart w:id="21" w:name="_Toc365364410"/>
      <w:r>
        <w:rPr>
          <w:rStyle w:val="CharSectno"/>
        </w:rPr>
        <w:t>12</w:t>
      </w:r>
      <w:r>
        <w:t>.</w:t>
      </w:r>
      <w:r>
        <w:tab/>
        <w:t>Offender may file affidavits in response</w:t>
      </w:r>
      <w:bookmarkEnd w:id="21"/>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22" w:name="_Toc365364411"/>
      <w:r>
        <w:rPr>
          <w:rStyle w:val="CharSectno"/>
        </w:rPr>
        <w:t>13</w:t>
      </w:r>
      <w:r>
        <w:t>.</w:t>
      </w:r>
      <w:r>
        <w:tab/>
        <w:t>Contents of affidavit</w:t>
      </w:r>
      <w:bookmarkEnd w:id="22"/>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23" w:name="_Toc365364412"/>
      <w:r>
        <w:rPr>
          <w:rStyle w:val="CharSectno"/>
        </w:rPr>
        <w:t>14</w:t>
      </w:r>
      <w:r>
        <w:t>.</w:t>
      </w:r>
      <w:r>
        <w:tab/>
        <w:t>Preliminary hearing</w:t>
      </w:r>
      <w:bookmarkEnd w:id="23"/>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Subsection"/>
      </w:pPr>
      <w:r>
        <w:tab/>
        <w:t>(2)</w:t>
      </w:r>
      <w:r>
        <w:tab/>
        <w:t xml:space="preserve">If the court is satisfied as described in subsection (1) — </w:t>
      </w:r>
    </w:p>
    <w:p>
      <w:pPr>
        <w:pStyle w:val="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pPr>
      <w:bookmarkStart w:id="24" w:name="_Toc365364413"/>
      <w:r>
        <w:rPr>
          <w:rStyle w:val="CharSectno"/>
        </w:rPr>
        <w:t>15</w:t>
      </w:r>
      <w:r>
        <w:t>.</w:t>
      </w:r>
      <w:r>
        <w:tab/>
        <w:t>Authority for psychiatrist to examine offender</w:t>
      </w:r>
      <w:bookmarkEnd w:id="24"/>
    </w:p>
    <w:p>
      <w:pPr>
        <w:pStyle w:val="Subsection"/>
      </w:pPr>
      <w:r>
        <w:tab/>
      </w:r>
      <w:r>
        <w:tab/>
        <w:t>An order under section 14(2)(a) authorises each of the 2 psychiatrists named in the order to examine the offender and report in accordance with Part 5.</w:t>
      </w:r>
    </w:p>
    <w:p>
      <w:pPr>
        <w:pStyle w:val="Heading5"/>
      </w:pPr>
      <w:bookmarkStart w:id="25" w:name="_Toc365364414"/>
      <w:r>
        <w:rPr>
          <w:rStyle w:val="CharSectno"/>
        </w:rPr>
        <w:t>16</w:t>
      </w:r>
      <w:r>
        <w:t>.</w:t>
      </w:r>
      <w:r>
        <w:tab/>
        <w:t>Discontinuing application for Division 2 order</w:t>
      </w:r>
      <w:bookmarkEnd w:id="25"/>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If the offender is subject to an order under section 14(2) to be detained in custody, the DPP must apply immediately to the court for rescission of the order.</w:t>
      </w:r>
    </w:p>
    <w:p>
      <w:pPr>
        <w:pStyle w:val="Heading3"/>
      </w:pPr>
      <w:bookmarkStart w:id="26" w:name="_Toc362353025"/>
      <w:bookmarkStart w:id="27" w:name="_Toc362356297"/>
      <w:bookmarkStart w:id="28" w:name="_Toc365364415"/>
      <w:r>
        <w:rPr>
          <w:rStyle w:val="CharDivNo"/>
        </w:rPr>
        <w:t>Division 2</w:t>
      </w:r>
      <w:r>
        <w:t> — </w:t>
      </w:r>
      <w:r>
        <w:rPr>
          <w:rStyle w:val="CharDivText"/>
        </w:rPr>
        <w:t>Orders</w:t>
      </w:r>
      <w:bookmarkEnd w:id="26"/>
      <w:bookmarkEnd w:id="27"/>
      <w:bookmarkEnd w:id="28"/>
    </w:p>
    <w:p>
      <w:pPr>
        <w:pStyle w:val="Heading5"/>
      </w:pPr>
      <w:bookmarkStart w:id="29" w:name="_Toc365364416"/>
      <w:r>
        <w:rPr>
          <w:rStyle w:val="CharSectno"/>
        </w:rPr>
        <w:t>17</w:t>
      </w:r>
      <w:r>
        <w:t>.</w:t>
      </w:r>
      <w:r>
        <w:tab/>
        <w:t>Division 2 orders</w:t>
      </w:r>
      <w:bookmarkEnd w:id="29"/>
    </w:p>
    <w:p>
      <w:pPr>
        <w:pStyle w:val="Subsection"/>
      </w:pPr>
      <w:r>
        <w:tab/>
        <w:t>(1)</w:t>
      </w:r>
      <w:r>
        <w:tab/>
        <w:t xml:space="preserve">If the court hearing an application for a Division 2 order finds that the offender is a serious danger to the community, the court may — </w:t>
      </w:r>
    </w:p>
    <w:p>
      <w:pPr>
        <w:pStyle w:val="Indenta"/>
      </w:pPr>
      <w:r>
        <w:tab/>
        <w:t>(a)</w:t>
      </w:r>
      <w:r>
        <w:tab/>
        <w:t>order that the offender be detained in custody for an indefinite term for control, care, or treatment; or</w:t>
      </w:r>
    </w:p>
    <w:p>
      <w:pPr>
        <w:pStyle w:val="Indenta"/>
      </w:pPr>
      <w:r>
        <w:tab/>
        <w:t>(b)</w:t>
      </w:r>
      <w:r>
        <w:tab/>
        <w:t>order that at all times during the period stated in the order when the offender is not in custody the offender be subject to conditions that the court considers appropriate and states in the order.</w:t>
      </w:r>
    </w:p>
    <w:p>
      <w:pPr>
        <w:pStyle w:val="Subsection"/>
      </w:pPr>
      <w:r>
        <w:tab/>
        <w:t>(2)</w:t>
      </w:r>
      <w:r>
        <w:tab/>
        <w:t>In deciding whether to make an order under subsection (1)(a) or (b), the paramount consideration is to be the need to ensure adequate protection of the community.</w:t>
      </w:r>
    </w:p>
    <w:p>
      <w:pPr>
        <w:pStyle w:val="Heading5"/>
      </w:pPr>
      <w:bookmarkStart w:id="30" w:name="_Toc365364417"/>
      <w:r>
        <w:rPr>
          <w:rStyle w:val="CharSectno"/>
        </w:rPr>
        <w:t>18</w:t>
      </w:r>
      <w:r>
        <w:t>.</w:t>
      </w:r>
      <w:r>
        <w:tab/>
        <w:t>Conditions of supervision order</w:t>
      </w:r>
      <w:bookmarkEnd w:id="30"/>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w:t>
      </w:r>
      <w:r>
        <w:tab/>
        <w:t xml:space="preserve">The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p>
    <w:p>
      <w:pPr>
        <w:pStyle w:val="Subsection"/>
      </w:pPr>
      <w:r>
        <w:tab/>
        <w:t>(3)</w:t>
      </w:r>
      <w:r>
        <w:tab/>
        <w:t xml:space="preserve">Without limiting subsection (2), the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by No. 1 of 2012 s. 10; No. 58 of 2012 s. 5.]</w:t>
      </w:r>
    </w:p>
    <w:p>
      <w:pPr>
        <w:pStyle w:val="Heading5"/>
      </w:pPr>
      <w:bookmarkStart w:id="31" w:name="_Toc365364418"/>
      <w:r>
        <w:rPr>
          <w:rStyle w:val="CharSectno"/>
        </w:rPr>
        <w:t>19A</w:t>
      </w:r>
      <w:r>
        <w:t>.</w:t>
      </w:r>
      <w:r>
        <w:tab/>
        <w:t>Electronic monitoring</w:t>
      </w:r>
      <w:bookmarkEnd w:id="31"/>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by No. 58 of 2012 s. 6.]</w:t>
      </w:r>
    </w:p>
    <w:p>
      <w:pPr>
        <w:pStyle w:val="Heading5"/>
      </w:pPr>
      <w:bookmarkStart w:id="32" w:name="_Toc365364419"/>
      <w:r>
        <w:rPr>
          <w:rStyle w:val="CharSectno"/>
        </w:rPr>
        <w:t>19B</w:t>
      </w:r>
      <w:r>
        <w:t>.</w:t>
      </w:r>
      <w:r>
        <w:tab/>
        <w:t>Curfew</w:t>
      </w:r>
      <w:bookmarkEnd w:id="32"/>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by No. 58 of 2012 s. 6.]</w:t>
      </w:r>
    </w:p>
    <w:p>
      <w:pPr>
        <w:pStyle w:val="Heading5"/>
        <w:spacing w:before="240"/>
      </w:pPr>
      <w:bookmarkStart w:id="33" w:name="_Toc365364420"/>
      <w:r>
        <w:rPr>
          <w:rStyle w:val="CharSectno"/>
        </w:rPr>
        <w:t>19C</w:t>
      </w:r>
      <w:r>
        <w:t>.</w:t>
      </w:r>
      <w:r>
        <w:tab/>
        <w:t>Enforcement of electronic monitoring and curfew requirement</w:t>
      </w:r>
      <w:bookmarkEnd w:id="33"/>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by No. 58 of 2012 s. 6.]</w:t>
      </w:r>
    </w:p>
    <w:p>
      <w:pPr>
        <w:pStyle w:val="Heading3"/>
      </w:pPr>
      <w:bookmarkStart w:id="34" w:name="_Toc362353031"/>
      <w:bookmarkStart w:id="35" w:name="_Toc362356303"/>
      <w:bookmarkStart w:id="36" w:name="_Toc365364421"/>
      <w:r>
        <w:rPr>
          <w:rStyle w:val="CharDivNo"/>
        </w:rPr>
        <w:t>Division 3</w:t>
      </w:r>
      <w:r>
        <w:t> — </w:t>
      </w:r>
      <w:r>
        <w:rPr>
          <w:rStyle w:val="CharDivText"/>
        </w:rPr>
        <w:t>Amendment of supervision order</w:t>
      </w:r>
      <w:bookmarkEnd w:id="34"/>
      <w:bookmarkEnd w:id="35"/>
      <w:bookmarkEnd w:id="36"/>
    </w:p>
    <w:p>
      <w:pPr>
        <w:pStyle w:val="Heading5"/>
      </w:pPr>
      <w:bookmarkStart w:id="37" w:name="_Toc365364422"/>
      <w:r>
        <w:rPr>
          <w:rStyle w:val="CharSectno"/>
        </w:rPr>
        <w:t>19</w:t>
      </w:r>
      <w:r>
        <w:t>.</w:t>
      </w:r>
      <w:r>
        <w:tab/>
        <w:t>Application to amend conditions of supervision order</w:t>
      </w:r>
      <w:bookmarkEnd w:id="37"/>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has to give notice of the application to the DPP and to the chief executive officer.</w:t>
      </w:r>
    </w:p>
    <w:p>
      <w:pPr>
        <w:pStyle w:val="Subsection"/>
      </w:pPr>
      <w:r>
        <w:tab/>
        <w:t>(3)</w:t>
      </w:r>
      <w:r>
        <w:tab/>
        <w:t>If the chief executive officer makes the application, the chief executive officer has to give notice of the application to the person who is subject to the order.</w:t>
      </w:r>
    </w:p>
    <w:p>
      <w:pPr>
        <w:pStyle w:val="Heading5"/>
      </w:pPr>
      <w:bookmarkStart w:id="38" w:name="_Toc365364423"/>
      <w:r>
        <w:rPr>
          <w:rStyle w:val="CharSectno"/>
        </w:rPr>
        <w:t>20</w:t>
      </w:r>
      <w:r>
        <w:t>.</w:t>
      </w:r>
      <w:r>
        <w:tab/>
        <w:t>Amendment of conditions of supervision order</w:t>
      </w:r>
      <w:bookmarkEnd w:id="38"/>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has to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Heading3"/>
      </w:pPr>
      <w:bookmarkStart w:id="39" w:name="_Toc362353034"/>
      <w:bookmarkStart w:id="40" w:name="_Toc362356306"/>
      <w:bookmarkStart w:id="41" w:name="_Toc365364424"/>
      <w:r>
        <w:rPr>
          <w:rStyle w:val="CharDivNo"/>
        </w:rPr>
        <w:t>Division 4</w:t>
      </w:r>
      <w:r>
        <w:t> — </w:t>
      </w:r>
      <w:r>
        <w:rPr>
          <w:rStyle w:val="CharDivText"/>
        </w:rPr>
        <w:t>Contravention of supervision order</w:t>
      </w:r>
      <w:bookmarkEnd w:id="39"/>
      <w:bookmarkEnd w:id="40"/>
      <w:bookmarkEnd w:id="41"/>
    </w:p>
    <w:p>
      <w:pPr>
        <w:pStyle w:val="Heading5"/>
      </w:pPr>
      <w:bookmarkStart w:id="42" w:name="_Toc365364425"/>
      <w:r>
        <w:rPr>
          <w:rStyle w:val="CharSectno"/>
        </w:rPr>
        <w:t>21</w:t>
      </w:r>
      <w:r>
        <w:t>.</w:t>
      </w:r>
      <w:r>
        <w:tab/>
        <w:t>Summons or warrant because of contravention</w:t>
      </w:r>
      <w:bookmarkEnd w:id="42"/>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has to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w:t>
      </w:r>
    </w:p>
    <w:p>
      <w:pPr>
        <w:pStyle w:val="Heading5"/>
      </w:pPr>
      <w:bookmarkStart w:id="43" w:name="_Toc365364426"/>
      <w:r>
        <w:rPr>
          <w:rStyle w:val="CharSectno"/>
        </w:rPr>
        <w:t>22</w:t>
      </w:r>
      <w:r>
        <w:t>.</w:t>
      </w:r>
      <w:r>
        <w:tab/>
        <w:t>DPP may seek order</w:t>
      </w:r>
      <w:bookmarkEnd w:id="43"/>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44" w:name="_Toc365364427"/>
      <w:r>
        <w:rPr>
          <w:rStyle w:val="CharSectno"/>
        </w:rPr>
        <w:t>23A</w:t>
      </w:r>
      <w:r>
        <w:t>.</w:t>
      </w:r>
      <w:r>
        <w:tab/>
        <w:t>Psychiatric reports</w:t>
      </w:r>
      <w:bookmarkEnd w:id="44"/>
    </w:p>
    <w:p>
      <w:pPr>
        <w:pStyle w:val="Subsection"/>
      </w:pPr>
      <w:r>
        <w:tab/>
        <w:t>(1)</w:t>
      </w:r>
      <w:r>
        <w:tab/>
        <w:t>After an application is made under section 22 in relation to a person, the Supreme Court may order that the person undergo examination by one or more psychiatrists named by the court for the purposes of preparing the report required by section 37.</w:t>
      </w:r>
    </w:p>
    <w:p>
      <w:pPr>
        <w:pStyle w:val="Subsection"/>
      </w:pPr>
      <w:r>
        <w:tab/>
        <w:t>(2)</w:t>
      </w:r>
      <w:r>
        <w:tab/>
        <w:t>An order made under subsection (1) authorises the named psychiatrist to examine the person and report in accordance with Part 5.</w:t>
      </w:r>
    </w:p>
    <w:p>
      <w:pPr>
        <w:pStyle w:val="Footnotesection"/>
      </w:pPr>
      <w:r>
        <w:tab/>
        <w:t>[Section 23A inserted by No. 3 of 2011 s. 9.]</w:t>
      </w:r>
    </w:p>
    <w:p>
      <w:pPr>
        <w:pStyle w:val="Heading5"/>
      </w:pPr>
      <w:bookmarkStart w:id="45" w:name="_Toc365364428"/>
      <w:r>
        <w:rPr>
          <w:rStyle w:val="CharSectno"/>
        </w:rPr>
        <w:t>23</w:t>
      </w:r>
      <w:r>
        <w:t>.</w:t>
      </w:r>
      <w:r>
        <w:tab/>
        <w:t>Court may make order</w:t>
      </w:r>
      <w:bookmarkEnd w:id="45"/>
    </w:p>
    <w:p>
      <w:pPr>
        <w:pStyle w:val="Subsection"/>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Subsection"/>
      </w:pPr>
      <w:r>
        <w:tab/>
        <w:t>(2)</w:t>
      </w:r>
      <w:r>
        <w:tab/>
        <w:t>In deciding whether to make an order under subsection (1)(a) or (b), the paramount consideration is to be the need to ensure adequate protection of the community.</w:t>
      </w:r>
    </w:p>
    <w:p>
      <w:pPr>
        <w:pStyle w:val="Footnotesection"/>
      </w:pPr>
      <w:r>
        <w:tab/>
        <w:t>[Section 23 amended by No. 3 of 2011 s. 10.]</w:t>
      </w:r>
    </w:p>
    <w:p>
      <w:pPr>
        <w:pStyle w:val="Heading5"/>
      </w:pPr>
      <w:bookmarkStart w:id="46" w:name="_Toc365364429"/>
      <w:r>
        <w:rPr>
          <w:rStyle w:val="CharSectno"/>
        </w:rPr>
        <w:t>24A</w:t>
      </w:r>
      <w:r>
        <w:t>.</w:t>
      </w:r>
      <w:r>
        <w:tab/>
        <w:t>Orders made during contravention proceedings</w:t>
      </w:r>
      <w:bookmarkEnd w:id="46"/>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w:t>
      </w:r>
    </w:p>
    <w:p>
      <w:pPr>
        <w:pStyle w:val="Heading3"/>
      </w:pPr>
      <w:bookmarkStart w:id="47" w:name="_Toc362353040"/>
      <w:bookmarkStart w:id="48" w:name="_Toc362356312"/>
      <w:bookmarkStart w:id="49" w:name="_Toc365364430"/>
      <w:r>
        <w:rPr>
          <w:rStyle w:val="CharDivNo"/>
        </w:rPr>
        <w:t>Division 5</w:t>
      </w:r>
      <w:r>
        <w:t> — </w:t>
      </w:r>
      <w:r>
        <w:rPr>
          <w:rStyle w:val="CharDivText"/>
        </w:rPr>
        <w:t>Supervision order extended due to imprisonment</w:t>
      </w:r>
      <w:bookmarkEnd w:id="47"/>
      <w:bookmarkEnd w:id="48"/>
      <w:bookmarkEnd w:id="49"/>
    </w:p>
    <w:p>
      <w:pPr>
        <w:pStyle w:val="Heading5"/>
      </w:pPr>
      <w:bookmarkStart w:id="50" w:name="_Toc365364431"/>
      <w:r>
        <w:rPr>
          <w:rStyle w:val="CharSectno"/>
        </w:rPr>
        <w:t>24</w:t>
      </w:r>
      <w:r>
        <w:t>.</w:t>
      </w:r>
      <w:r>
        <w:tab/>
        <w:t>Extension of supervision order</w:t>
      </w:r>
      <w:bookmarkEnd w:id="50"/>
    </w:p>
    <w:p>
      <w:pPr>
        <w:pStyle w:val="Subsection"/>
      </w:pPr>
      <w:r>
        <w:tab/>
        <w:t>(1)</w:t>
      </w:r>
      <w:r>
        <w:tab/>
        <w:t xml:space="preserve">This section applies if a person who is subject to a supervision order is sentenced to a term or period of imprisonment for any offence, other than a sexual offence as defined in the </w:t>
      </w:r>
      <w:r>
        <w:rPr>
          <w:i/>
          <w:iCs/>
        </w:rPr>
        <w:t>Evidence Act 1906</w:t>
      </w:r>
      <w:r>
        <w:t xml:space="preserve"> section 36A,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Heading3"/>
        <w:rPr>
          <w:rStyle w:val="CharDivText"/>
        </w:rPr>
      </w:pPr>
      <w:bookmarkStart w:id="51" w:name="_Toc362353042"/>
      <w:bookmarkStart w:id="52" w:name="_Toc362356314"/>
      <w:bookmarkStart w:id="53" w:name="_Toc365364432"/>
      <w:r>
        <w:rPr>
          <w:rStyle w:val="CharDivNo"/>
        </w:rPr>
        <w:t>Division 6</w:t>
      </w:r>
      <w:r>
        <w:t> — </w:t>
      </w:r>
      <w:r>
        <w:rPr>
          <w:rStyle w:val="CharDivText"/>
        </w:rPr>
        <w:t>General provisions for Part 2</w:t>
      </w:r>
      <w:bookmarkEnd w:id="51"/>
      <w:bookmarkEnd w:id="52"/>
      <w:bookmarkEnd w:id="53"/>
    </w:p>
    <w:p>
      <w:pPr>
        <w:pStyle w:val="Heading5"/>
      </w:pPr>
      <w:bookmarkStart w:id="54" w:name="_Toc365364433"/>
      <w:r>
        <w:rPr>
          <w:rStyle w:val="CharSectno"/>
        </w:rPr>
        <w:t>25</w:t>
      </w:r>
      <w:r>
        <w:t>.</w:t>
      </w:r>
      <w:r>
        <w:tab/>
        <w:t>Effect of continuing detention order</w:t>
      </w:r>
      <w:bookmarkEnd w:id="54"/>
    </w:p>
    <w:p>
      <w:pPr>
        <w:pStyle w:val="Subsection"/>
      </w:pPr>
      <w:r>
        <w:tab/>
      </w:r>
      <w:r>
        <w:tab/>
        <w:t>A continuing detention order has effect in accordance with its terms from the time the order is made until rescinded by a further order of the Supreme Court.</w:t>
      </w:r>
    </w:p>
    <w:p>
      <w:pPr>
        <w:pStyle w:val="Heading5"/>
      </w:pPr>
      <w:bookmarkStart w:id="55" w:name="_Toc365364434"/>
      <w:r>
        <w:rPr>
          <w:rStyle w:val="CharSectno"/>
        </w:rPr>
        <w:t>26</w:t>
      </w:r>
      <w:r>
        <w:t>.</w:t>
      </w:r>
      <w:r>
        <w:tab/>
        <w:t>Effect of supervision order</w:t>
      </w:r>
      <w:bookmarkEnd w:id="55"/>
    </w:p>
    <w:p>
      <w:pPr>
        <w:pStyle w:val="Subsection"/>
      </w:pPr>
      <w:r>
        <w:tab/>
      </w:r>
      <w:r>
        <w:tab/>
        <w:t>A supervision order has effect in accordance with its terms.</w:t>
      </w:r>
    </w:p>
    <w:p>
      <w:pPr>
        <w:pStyle w:val="Heading5"/>
      </w:pPr>
      <w:bookmarkStart w:id="56" w:name="_Toc365364435"/>
      <w:r>
        <w:rPr>
          <w:rStyle w:val="CharSectno"/>
        </w:rPr>
        <w:t>27</w:t>
      </w:r>
      <w:r>
        <w:t>.</w:t>
      </w:r>
      <w:r>
        <w:tab/>
        <w:t>Court to give reasons</w:t>
      </w:r>
      <w:bookmarkEnd w:id="56"/>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57" w:name="_Toc362353046"/>
      <w:bookmarkStart w:id="58" w:name="_Toc362356318"/>
      <w:bookmarkStart w:id="59" w:name="_Toc365364436"/>
      <w:r>
        <w:rPr>
          <w:rStyle w:val="CharPartNo"/>
        </w:rPr>
        <w:t>Part 3</w:t>
      </w:r>
      <w:r>
        <w:rPr>
          <w:rStyle w:val="CharDivNo"/>
        </w:rPr>
        <w:t> </w:t>
      </w:r>
      <w:r>
        <w:t>—</w:t>
      </w:r>
      <w:r>
        <w:rPr>
          <w:rStyle w:val="CharDivText"/>
        </w:rPr>
        <w:t> </w:t>
      </w:r>
      <w:r>
        <w:rPr>
          <w:rStyle w:val="CharPartText"/>
        </w:rPr>
        <w:t>Annual reviews of detention</w:t>
      </w:r>
      <w:bookmarkEnd w:id="57"/>
      <w:bookmarkEnd w:id="58"/>
      <w:bookmarkEnd w:id="59"/>
    </w:p>
    <w:p>
      <w:pPr>
        <w:pStyle w:val="Heading5"/>
      </w:pPr>
      <w:bookmarkStart w:id="60" w:name="_Toc365364437"/>
      <w:r>
        <w:rPr>
          <w:rStyle w:val="CharSectno"/>
        </w:rPr>
        <w:t>28</w:t>
      </w:r>
      <w:r>
        <w:t>.</w:t>
      </w:r>
      <w:r>
        <w:tab/>
        <w:t>Purpose of this Part</w:t>
      </w:r>
      <w:bookmarkEnd w:id="60"/>
    </w:p>
    <w:p>
      <w:pPr>
        <w:pStyle w:val="Subsection"/>
      </w:pPr>
      <w:r>
        <w:tab/>
      </w:r>
      <w:r>
        <w:tab/>
        <w:t>The purpose of this Part is to ensure that a person’s detention under a continuing detention order is regularly reviewed.</w:t>
      </w:r>
    </w:p>
    <w:p>
      <w:pPr>
        <w:pStyle w:val="Heading5"/>
      </w:pPr>
      <w:bookmarkStart w:id="61" w:name="_Toc365364438"/>
      <w:r>
        <w:rPr>
          <w:rStyle w:val="CharSectno"/>
        </w:rPr>
        <w:t>29</w:t>
      </w:r>
      <w:r>
        <w:t>.</w:t>
      </w:r>
      <w:r>
        <w:tab/>
        <w:t>Review — periodic</w:t>
      </w:r>
      <w:bookmarkEnd w:id="61"/>
    </w:p>
    <w:p>
      <w:pPr>
        <w:pStyle w:val="Subsection"/>
      </w:pPr>
      <w:r>
        <w:tab/>
        <w:t>(1)</w:t>
      </w:r>
      <w:r>
        <w:tab/>
        <w:t>While a person is subject to a continuing detention order, the DPP must apply to the Supreme Court for the person’s detention under the order to be reviewed as specified in subsection (2).</w:t>
      </w:r>
    </w:p>
    <w:p>
      <w:pPr>
        <w:pStyle w:val="Subsection"/>
      </w:pPr>
      <w:r>
        <w:tab/>
        <w:t>(2)</w:t>
      </w:r>
      <w:r>
        <w:tab/>
        <w:t xml:space="preserve">Reviews have to be carried out — </w:t>
      </w:r>
    </w:p>
    <w:p>
      <w:pPr>
        <w:pStyle w:val="Indenta"/>
      </w:pPr>
      <w:r>
        <w:tab/>
        <w:t>(a)</w:t>
      </w:r>
      <w:r>
        <w:tab/>
        <w:t>as soon as practicable after the end of a period of 1 year commencing when the person is first in custody on a day on which the person would not have been in custody had the order not been made; and</w:t>
      </w:r>
    </w:p>
    <w:p>
      <w:pPr>
        <w:pStyle w:val="Indenta"/>
      </w:pPr>
      <w:r>
        <w:tab/>
        <w:t>(b)</w:t>
      </w:r>
      <w:r>
        <w:tab/>
        <w:t>as soon as practicable after the end of the period of 1 year commencing when the detention was most recently reviewed under this section or section 30.</w:t>
      </w:r>
    </w:p>
    <w:p>
      <w:pPr>
        <w:pStyle w:val="Heading5"/>
      </w:pPr>
      <w:bookmarkStart w:id="62" w:name="_Toc365364439"/>
      <w:r>
        <w:rPr>
          <w:rStyle w:val="CharSectno"/>
        </w:rPr>
        <w:t>30</w:t>
      </w:r>
      <w:r>
        <w:t>.</w:t>
      </w:r>
      <w:r>
        <w:tab/>
        <w:t>Review — application by person subject to order</w:t>
      </w:r>
      <w:bookmarkEnd w:id="62"/>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after the detention has been reviewed under section 29(2)(a).</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Heading5"/>
      </w:pPr>
      <w:bookmarkStart w:id="63" w:name="_Toc365364440"/>
      <w:r>
        <w:rPr>
          <w:rStyle w:val="CharSectno"/>
        </w:rPr>
        <w:t>31</w:t>
      </w:r>
      <w:r>
        <w:t>.</w:t>
      </w:r>
      <w:r>
        <w:tab/>
        <w:t>Dealing with application</w:t>
      </w:r>
      <w:bookmarkEnd w:id="63"/>
    </w:p>
    <w:p>
      <w:pPr>
        <w:pStyle w:val="Subsection"/>
      </w:pPr>
      <w:r>
        <w:tab/>
        <w:t>(1)</w:t>
      </w:r>
      <w:r>
        <w:tab/>
        <w:t>As soon as practicable after an application is made under section 29 or 30, the court has to give directions for the hearing of the application.</w:t>
      </w:r>
    </w:p>
    <w:p>
      <w:pPr>
        <w:pStyle w:val="Subsection"/>
      </w:pPr>
      <w:r>
        <w:tab/>
        <w:t>(2)</w:t>
      </w:r>
      <w:r>
        <w:tab/>
        <w:t>The application must be heard, and the review must be carried out, as soon as it is practicable to do so in accordance with any directions given by the court.</w:t>
      </w:r>
    </w:p>
    <w:p>
      <w:pPr>
        <w:pStyle w:val="Heading5"/>
      </w:pPr>
      <w:bookmarkStart w:id="64" w:name="_Toc365364441"/>
      <w:r>
        <w:rPr>
          <w:rStyle w:val="CharSectno"/>
        </w:rPr>
        <w:t>32</w:t>
      </w:r>
      <w:r>
        <w:t>.</w:t>
      </w:r>
      <w:r>
        <w:tab/>
        <w:t>Psychiatrists’ reports to be prepared for review</w:t>
      </w:r>
      <w:bookmarkEnd w:id="64"/>
    </w:p>
    <w:p>
      <w:pPr>
        <w:pStyle w:val="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Subsection"/>
      </w:pPr>
      <w:r>
        <w:tab/>
        <w:t>(2)</w:t>
      </w:r>
      <w:r>
        <w:tab/>
        <w:t>This section authorises each of the 2 psychiatrists to examine the person and report in accordance with Part 5.</w:t>
      </w:r>
    </w:p>
    <w:p>
      <w:pPr>
        <w:pStyle w:val="Heading5"/>
      </w:pPr>
      <w:bookmarkStart w:id="65" w:name="_Toc365364442"/>
      <w:r>
        <w:rPr>
          <w:rStyle w:val="CharSectno"/>
        </w:rPr>
        <w:t>33</w:t>
      </w:r>
      <w:r>
        <w:t>.</w:t>
      </w:r>
      <w:r>
        <w:tab/>
        <w:t>Review of detention under continuing detention order</w:t>
      </w:r>
      <w:bookmarkEnd w:id="65"/>
    </w:p>
    <w:p>
      <w:pPr>
        <w:pStyle w:val="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Subsection"/>
      </w:pPr>
      <w:r>
        <w:tab/>
        <w:t>(2)</w:t>
      </w:r>
      <w:r>
        <w:tab/>
        <w:t xml:space="preserve">The court may, if it finds that the person subject to the order remains a serious danger to the community, either — </w:t>
      </w:r>
    </w:p>
    <w:p>
      <w:pPr>
        <w:pStyle w:val="Indenta"/>
      </w:pPr>
      <w:r>
        <w:tab/>
        <w:t>(a)</w:t>
      </w:r>
      <w:r>
        <w:tab/>
        <w:t>expressly decline to rescind the order; or</w:t>
      </w:r>
    </w:p>
    <w:p>
      <w:pPr>
        <w:pStyle w:val="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Subsection"/>
      </w:pPr>
      <w:r>
        <w:tab/>
        <w:t>(3)</w:t>
      </w:r>
      <w:r>
        <w:tab/>
        <w:t>In making a decision under subsection (2), the paramount consideration is to be the need to ensure adequate protection of the community.</w:t>
      </w:r>
    </w:p>
    <w:p>
      <w:pPr>
        <w:pStyle w:val="Heading2"/>
      </w:pPr>
      <w:bookmarkStart w:id="66" w:name="_Toc362353053"/>
      <w:bookmarkStart w:id="67" w:name="_Toc362356325"/>
      <w:bookmarkStart w:id="68" w:name="_Toc365364443"/>
      <w:r>
        <w:rPr>
          <w:rStyle w:val="CharPartNo"/>
        </w:rPr>
        <w:t>Part 4</w:t>
      </w:r>
      <w:r>
        <w:rPr>
          <w:rStyle w:val="CharDivNo"/>
        </w:rPr>
        <w:t> </w:t>
      </w:r>
      <w:r>
        <w:t>—</w:t>
      </w:r>
      <w:r>
        <w:rPr>
          <w:rStyle w:val="CharDivText"/>
        </w:rPr>
        <w:t> </w:t>
      </w:r>
      <w:r>
        <w:rPr>
          <w:rStyle w:val="CharPartText"/>
        </w:rPr>
        <w:t>Appeals</w:t>
      </w:r>
      <w:bookmarkEnd w:id="66"/>
      <w:bookmarkEnd w:id="67"/>
      <w:bookmarkEnd w:id="68"/>
    </w:p>
    <w:p>
      <w:pPr>
        <w:pStyle w:val="Heading5"/>
      </w:pPr>
      <w:bookmarkStart w:id="69" w:name="_Toc365364444"/>
      <w:r>
        <w:rPr>
          <w:rStyle w:val="CharSectno"/>
        </w:rPr>
        <w:t>34</w:t>
      </w:r>
      <w:r>
        <w:t>.</w:t>
      </w:r>
      <w:r>
        <w:tab/>
        <w:t>Appeals</w:t>
      </w:r>
      <w:bookmarkEnd w:id="69"/>
    </w:p>
    <w:p>
      <w:pPr>
        <w:pStyle w:val="Subsection"/>
      </w:pPr>
      <w:r>
        <w:tab/>
      </w:r>
      <w:r>
        <w:tab/>
        <w:t>The DPP or a person in relation to whom the court makes a decision under this Act, other than this Part, may appeal to the Court of Appeal against the decision.</w:t>
      </w:r>
    </w:p>
    <w:p>
      <w:pPr>
        <w:pStyle w:val="Heading5"/>
      </w:pPr>
      <w:bookmarkStart w:id="70" w:name="_Toc365364445"/>
      <w:r>
        <w:rPr>
          <w:rStyle w:val="CharSectno"/>
        </w:rPr>
        <w:t>35</w:t>
      </w:r>
      <w:r>
        <w:t>.</w:t>
      </w:r>
      <w:r>
        <w:tab/>
        <w:t>Appeal does not stay decision</w:t>
      </w:r>
      <w:bookmarkEnd w:id="70"/>
    </w:p>
    <w:p>
      <w:pPr>
        <w:pStyle w:val="Subsection"/>
      </w:pPr>
      <w:r>
        <w:tab/>
        <w:t>(1)</w:t>
      </w:r>
      <w:r>
        <w:tab/>
        <w:t>An appeal against a decision does not stay the operation of the decision unless the Court of Appeal orders otherwise.</w:t>
      </w:r>
    </w:p>
    <w:p>
      <w:pPr>
        <w:pStyle w:val="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Heading5"/>
      </w:pPr>
      <w:bookmarkStart w:id="71" w:name="_Toc365364446"/>
      <w:r>
        <w:rPr>
          <w:rStyle w:val="CharSectno"/>
        </w:rPr>
        <w:t>36</w:t>
      </w:r>
      <w:r>
        <w:t>.</w:t>
      </w:r>
      <w:r>
        <w:tab/>
        <w:t>Dealing with appeal</w:t>
      </w:r>
      <w:bookmarkEnd w:id="71"/>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72" w:name="_Toc362353057"/>
      <w:bookmarkStart w:id="73" w:name="_Toc362356329"/>
      <w:bookmarkStart w:id="74" w:name="_Toc365364447"/>
      <w:r>
        <w:rPr>
          <w:rStyle w:val="CharPartNo"/>
        </w:rPr>
        <w:t>Part 5</w:t>
      </w:r>
      <w:r>
        <w:rPr>
          <w:rStyle w:val="CharDivNo"/>
        </w:rPr>
        <w:t> </w:t>
      </w:r>
      <w:r>
        <w:t>—</w:t>
      </w:r>
      <w:r>
        <w:rPr>
          <w:rStyle w:val="CharDivText"/>
        </w:rPr>
        <w:t> </w:t>
      </w:r>
      <w:r>
        <w:rPr>
          <w:rStyle w:val="CharPartText"/>
        </w:rPr>
        <w:t>Examination by psychiatrist</w:t>
      </w:r>
      <w:bookmarkEnd w:id="72"/>
      <w:bookmarkEnd w:id="73"/>
      <w:bookmarkEnd w:id="74"/>
    </w:p>
    <w:p>
      <w:pPr>
        <w:pStyle w:val="Heading5"/>
      </w:pPr>
      <w:bookmarkStart w:id="75" w:name="_Toc365364448"/>
      <w:r>
        <w:rPr>
          <w:rStyle w:val="CharSectno"/>
        </w:rPr>
        <w:t>37</w:t>
      </w:r>
      <w:r>
        <w:t>.</w:t>
      </w:r>
      <w:r>
        <w:tab/>
        <w:t>Preparation of psychiatric report</w:t>
      </w:r>
      <w:bookmarkEnd w:id="75"/>
    </w:p>
    <w:p>
      <w:pPr>
        <w:pStyle w:val="Subsection"/>
      </w:pPr>
      <w:r>
        <w:tab/>
        <w:t>(1)</w:t>
      </w:r>
      <w:r>
        <w:tab/>
        <w:t>Each psychiatrist named in an order under section 14(2)(a) or 23A(1) or with whom the chief executive officer makes an arrangement under section 32(1) must examine the person to whom the order or arrangement relates and prepare an independent report.</w:t>
      </w:r>
    </w:p>
    <w:p>
      <w:pPr>
        <w:pStyle w:val="Subsection"/>
      </w:pPr>
      <w:r>
        <w:tab/>
        <w:t>(2)</w:t>
      </w:r>
      <w:r>
        <w:tab/>
        <w:t xml:space="preserve">The report has to indicate — </w:t>
      </w:r>
    </w:p>
    <w:p>
      <w:pPr>
        <w:pStyle w:val="Indenta"/>
      </w:pPr>
      <w:r>
        <w:tab/>
        <w:t>(a)</w:t>
      </w:r>
      <w:r>
        <w:tab/>
        <w:t>the psychiatrist’s assessment of the level of risk that, if the person were not subject to a continuing detention order or a supervision order, the person would commit a serious sexual offence; and</w:t>
      </w:r>
    </w:p>
    <w:p>
      <w:pPr>
        <w:pStyle w:val="Indenta"/>
      </w:pPr>
      <w:r>
        <w:tab/>
        <w:t>(b)</w:t>
      </w:r>
      <w:r>
        <w:tab/>
        <w:t>the reasons for the psychiatrist’s assessment.</w:t>
      </w:r>
    </w:p>
    <w:p>
      <w:pPr>
        <w:pStyle w:val="Subsection"/>
      </w:pPr>
      <w:r>
        <w:tab/>
        <w:t>(3)</w:t>
      </w:r>
      <w:r>
        <w:tab/>
        <w:t>The psychiatrist must have regard to any report or information that the chief executive officer gives to the psychiatrist under section 38(1).</w:t>
      </w:r>
    </w:p>
    <w:p>
      <w:pPr>
        <w:pStyle w:val="Subsection"/>
      </w:pPr>
      <w:r>
        <w:tab/>
        <w:t>(4)</w:t>
      </w:r>
      <w:r>
        <w:tab/>
        <w:t>The obligation under subsection (1) to prepare a report applies even if the person to be examined does not cooperate, or does not cooperate fully, in the examination.</w:t>
      </w:r>
    </w:p>
    <w:p>
      <w:pPr>
        <w:pStyle w:val="Footnotesection"/>
      </w:pPr>
      <w:r>
        <w:tab/>
        <w:t>[Section 37 amended by No. 3 of 2011 s. 12.]</w:t>
      </w:r>
    </w:p>
    <w:p>
      <w:pPr>
        <w:pStyle w:val="Heading5"/>
      </w:pPr>
      <w:bookmarkStart w:id="76" w:name="_Toc365364449"/>
      <w:r>
        <w:rPr>
          <w:rStyle w:val="CharSectno"/>
        </w:rPr>
        <w:t>38</w:t>
      </w:r>
      <w:r>
        <w:t>.</w:t>
      </w:r>
      <w:r>
        <w:tab/>
        <w:t>Providing information for psychiatrist</w:t>
      </w:r>
      <w:bookmarkEnd w:id="76"/>
    </w:p>
    <w:p>
      <w:pPr>
        <w:pStyle w:val="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Subsection"/>
      </w:pPr>
      <w:r>
        <w:tab/>
        <w:t>(2)</w:t>
      </w:r>
      <w:r>
        <w:tab/>
        <w:t>The chief executive officer must give to the DPP a copy of anything that the chief executive officer gives to a psychiatrist under subsection (1).</w:t>
      </w:r>
    </w:p>
    <w:p>
      <w:pPr>
        <w:pStyle w:val="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Heading5"/>
      </w:pPr>
      <w:bookmarkStart w:id="77" w:name="_Toc365364450"/>
      <w:r>
        <w:rPr>
          <w:rStyle w:val="CharSectno"/>
        </w:rPr>
        <w:t>39</w:t>
      </w:r>
      <w:r>
        <w:t>.</w:t>
      </w:r>
      <w:r>
        <w:tab/>
        <w:t>Copies of report to DPP and person examined</w:t>
      </w:r>
      <w:bookmarkEnd w:id="77"/>
    </w:p>
    <w:p>
      <w:pPr>
        <w:pStyle w:val="Subsection"/>
      </w:pPr>
      <w:r>
        <w:tab/>
        <w:t>(1)</w:t>
      </w:r>
      <w:r>
        <w:tab/>
        <w:t>A psychiatrist who prepares a report as required by section 37(1) must give a copy of the report to the DPP within 7 days after finalising the report.</w:t>
      </w:r>
    </w:p>
    <w:p>
      <w:pPr>
        <w:pStyle w:val="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Heading2"/>
      </w:pPr>
      <w:bookmarkStart w:id="78" w:name="_Toc362353061"/>
      <w:bookmarkStart w:id="79" w:name="_Toc362356333"/>
      <w:bookmarkStart w:id="80" w:name="_Toc365364451"/>
      <w:r>
        <w:rPr>
          <w:rStyle w:val="CharPartNo"/>
        </w:rPr>
        <w:t>Part 6</w:t>
      </w:r>
      <w:r>
        <w:rPr>
          <w:rStyle w:val="CharDivNo"/>
        </w:rPr>
        <w:t> </w:t>
      </w:r>
      <w:r>
        <w:t>—</w:t>
      </w:r>
      <w:r>
        <w:rPr>
          <w:rStyle w:val="CharDivText"/>
        </w:rPr>
        <w:t> </w:t>
      </w:r>
      <w:r>
        <w:rPr>
          <w:rStyle w:val="CharPartText"/>
        </w:rPr>
        <w:t>General</w:t>
      </w:r>
      <w:bookmarkEnd w:id="78"/>
      <w:bookmarkEnd w:id="79"/>
      <w:bookmarkEnd w:id="80"/>
    </w:p>
    <w:p>
      <w:pPr>
        <w:pStyle w:val="Heading5"/>
      </w:pPr>
      <w:bookmarkStart w:id="81" w:name="_Toc365364452"/>
      <w:r>
        <w:rPr>
          <w:rStyle w:val="CharSectno"/>
        </w:rPr>
        <w:t>40A</w:t>
      </w:r>
      <w:r>
        <w:t>.</w:t>
      </w:r>
      <w:r>
        <w:tab/>
        <w:t>Offence of contravening supervision order</w:t>
      </w:r>
      <w:bookmarkEnd w:id="81"/>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pPr>
      <w:r>
        <w:tab/>
        <w:t>(3)</w:t>
      </w:r>
      <w:r>
        <w:tab/>
        <w:t>A police officer who charges a person with an offence under this section must inform the DPP as soon as practicable.</w:t>
      </w:r>
    </w:p>
    <w:p>
      <w:pPr>
        <w:pStyle w:val="Footnotesection"/>
      </w:pPr>
      <w:r>
        <w:tab/>
        <w:t>[Section 40A inserted by No. 3 of 2011 s. 13; amended by No. 58 of 2012 s. 7.]</w:t>
      </w:r>
    </w:p>
    <w:p>
      <w:pPr>
        <w:pStyle w:val="Heading5"/>
      </w:pPr>
      <w:bookmarkStart w:id="82" w:name="_Toc365364453"/>
      <w:r>
        <w:rPr>
          <w:rStyle w:val="CharSectno"/>
        </w:rPr>
        <w:t>40B</w:t>
      </w:r>
      <w:r>
        <w:t>.</w:t>
      </w:r>
      <w:r>
        <w:tab/>
        <w:t>Procedure on some charges of offences under s. 40A</w:t>
      </w:r>
      <w:bookmarkEnd w:id="82"/>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83" w:name="_Toc365364454"/>
      <w:r>
        <w:rPr>
          <w:rStyle w:val="CharSectno"/>
        </w:rPr>
        <w:t>40</w:t>
      </w:r>
      <w:r>
        <w:t>.</w:t>
      </w:r>
      <w:r>
        <w:tab/>
        <w:t>Proceedings to be criminal proceedings</w:t>
      </w:r>
      <w:bookmarkEnd w:id="83"/>
    </w:p>
    <w:p>
      <w:pPr>
        <w:pStyle w:val="Subsection"/>
      </w:pPr>
      <w:r>
        <w:tab/>
      </w:r>
      <w:r>
        <w:tab/>
        <w:t>Proceedings under this Act or on an appeal under this Act, are to be taken to be criminal proceedings for all purposes.</w:t>
      </w:r>
    </w:p>
    <w:p>
      <w:pPr>
        <w:pStyle w:val="Heading5"/>
      </w:pPr>
      <w:bookmarkStart w:id="84" w:name="_Toc365364455"/>
      <w:r>
        <w:rPr>
          <w:rStyle w:val="CharSectno"/>
        </w:rPr>
        <w:t>41</w:t>
      </w:r>
      <w:r>
        <w:t>.</w:t>
      </w:r>
      <w:r>
        <w:tab/>
        <w:t>Deciding certain matters on the papers</w:t>
      </w:r>
      <w:bookmarkEnd w:id="84"/>
      <w:r>
        <w:t xml:space="preserve"> </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Heading5"/>
      </w:pPr>
      <w:bookmarkStart w:id="85" w:name="_Toc365364456"/>
      <w:r>
        <w:rPr>
          <w:rStyle w:val="CharSectno"/>
        </w:rPr>
        <w:t>42</w:t>
      </w:r>
      <w:r>
        <w:t>.</w:t>
      </w:r>
      <w:r>
        <w:tab/>
        <w:t>Evidence in certain hearings</w:t>
      </w:r>
      <w:bookmarkEnd w:id="85"/>
    </w:p>
    <w:p>
      <w:pPr>
        <w:pStyle w:val="Subsection"/>
      </w:pPr>
      <w:r>
        <w:tab/>
        <w:t>(1)</w:t>
      </w:r>
      <w:r>
        <w:tab/>
        <w:t xml:space="preserve">This section applies to — </w:t>
      </w:r>
    </w:p>
    <w:p>
      <w:pPr>
        <w:pStyle w:val="Indenta"/>
      </w:pPr>
      <w:r>
        <w:tab/>
        <w:t>(a)</w:t>
      </w:r>
      <w:r>
        <w:tab/>
        <w:t>an application for a Division 2 order; and</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Heading5"/>
      </w:pPr>
      <w:bookmarkStart w:id="86" w:name="_Toc365364457"/>
      <w:r>
        <w:rPr>
          <w:rStyle w:val="CharSectno"/>
        </w:rPr>
        <w:t>43</w:t>
      </w:r>
      <w:r>
        <w:t>.</w:t>
      </w:r>
      <w:r>
        <w:tab/>
        <w:t>Court may give directions</w:t>
      </w:r>
      <w:bookmarkEnd w:id="86"/>
    </w:p>
    <w:p>
      <w:pPr>
        <w:pStyle w:val="Subsection"/>
      </w:pPr>
      <w:r>
        <w:tab/>
      </w:r>
      <w:r>
        <w:tab/>
        <w:t>The court may, on its own initiative or on the application of a party, give directions in relation to the conduct of a proceeding under this Act.</w:t>
      </w:r>
    </w:p>
    <w:p>
      <w:pPr>
        <w:pStyle w:val="Heading5"/>
      </w:pPr>
      <w:bookmarkStart w:id="87" w:name="_Toc365364458"/>
      <w:r>
        <w:rPr>
          <w:rStyle w:val="CharSectno"/>
        </w:rPr>
        <w:t>44</w:t>
      </w:r>
      <w:r>
        <w:t>.</w:t>
      </w:r>
      <w:r>
        <w:tab/>
        <w:t>Appearance at hearings</w:t>
      </w:r>
      <w:bookmarkEnd w:id="87"/>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Heading5"/>
      </w:pPr>
      <w:bookmarkStart w:id="88" w:name="_Toc365364459"/>
      <w:r>
        <w:rPr>
          <w:rStyle w:val="CharSectno"/>
        </w:rPr>
        <w:t>45</w:t>
      </w:r>
      <w:r>
        <w:t>.</w:t>
      </w:r>
      <w:r>
        <w:tab/>
        <w:t>Warrant of commitment upon order for detention</w:t>
      </w:r>
      <w:bookmarkEnd w:id="88"/>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89" w:name="_Toc365364460"/>
      <w:r>
        <w:rPr>
          <w:rStyle w:val="CharSectno"/>
        </w:rPr>
        <w:t>46A</w:t>
      </w:r>
      <w:r>
        <w:t>.</w:t>
      </w:r>
      <w:r>
        <w:tab/>
        <w:t>Protection from personal liability</w:t>
      </w:r>
      <w:bookmarkEnd w:id="89"/>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psychiatrist.</w:t>
      </w:r>
    </w:p>
    <w:p>
      <w:pPr>
        <w:pStyle w:val="Subsection"/>
      </w:pPr>
      <w:r>
        <w:tab/>
        <w:t>(2)</w:t>
      </w:r>
      <w:r>
        <w:tab/>
        <w:t>In this section, a reference to the doing of anything includes a reference to the omission to do anything.</w:t>
      </w:r>
    </w:p>
    <w:p>
      <w:pPr>
        <w:pStyle w:val="Subsection"/>
      </w:pPr>
      <w:r>
        <w:tab/>
        <w:t>(3)</w:t>
      </w:r>
      <w:r>
        <w:tab/>
        <w:t>An action in tort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w:t>
      </w:r>
    </w:p>
    <w:p>
      <w:pPr>
        <w:pStyle w:val="Heading5"/>
      </w:pPr>
      <w:bookmarkStart w:id="90" w:name="_Toc365364461"/>
      <w:r>
        <w:rPr>
          <w:rStyle w:val="CharSectno"/>
        </w:rPr>
        <w:t>46</w:t>
      </w:r>
      <w:r>
        <w:t>.</w:t>
      </w:r>
      <w:r>
        <w:tab/>
        <w:t>Approved forms</w:t>
      </w:r>
      <w:bookmarkEnd w:id="90"/>
    </w:p>
    <w:p>
      <w:pPr>
        <w:pStyle w:val="Subsection"/>
      </w:pPr>
      <w:r>
        <w:tab/>
      </w:r>
      <w:r>
        <w:tab/>
        <w:t>The chief executive officer may approve forms for use under this Act.</w:t>
      </w:r>
    </w:p>
    <w:p>
      <w:pPr>
        <w:pStyle w:val="Heading5"/>
      </w:pPr>
      <w:bookmarkStart w:id="91" w:name="_Toc365364462"/>
      <w:r>
        <w:rPr>
          <w:rStyle w:val="CharSectno"/>
        </w:rPr>
        <w:t>47</w:t>
      </w:r>
      <w:r>
        <w:t>.</w:t>
      </w:r>
      <w:r>
        <w:tab/>
        <w:t>Regulations</w:t>
      </w:r>
      <w:bookmarkEnd w:id="9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92" w:name="_Toc365364463"/>
      <w:r>
        <w:rPr>
          <w:rStyle w:val="CharSectno"/>
        </w:rPr>
        <w:t>48</w:t>
      </w:r>
      <w:r>
        <w:t>.</w:t>
      </w:r>
      <w:r>
        <w:tab/>
        <w:t>Transitional provisions (Sch. 1)</w:t>
      </w:r>
      <w:bookmarkEnd w:id="92"/>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3" w:name="_Toc362353074"/>
      <w:bookmarkStart w:id="94" w:name="_Toc362356346"/>
      <w:bookmarkStart w:id="95" w:name="_Toc365364464"/>
      <w:r>
        <w:rPr>
          <w:rStyle w:val="CharSchNo"/>
        </w:rPr>
        <w:t>Schedule 1</w:t>
      </w:r>
      <w:r>
        <w:t> — </w:t>
      </w:r>
      <w:r>
        <w:rPr>
          <w:rStyle w:val="CharSchText"/>
        </w:rPr>
        <w:t>Transitional provisions</w:t>
      </w:r>
      <w:bookmarkEnd w:id="93"/>
      <w:bookmarkEnd w:id="94"/>
      <w:bookmarkEnd w:id="95"/>
    </w:p>
    <w:p>
      <w:pPr>
        <w:pStyle w:val="yShoulderClause"/>
      </w:pPr>
      <w:r>
        <w:t>[s. 48]</w:t>
      </w:r>
    </w:p>
    <w:p>
      <w:pPr>
        <w:pStyle w:val="yFootnoteheading"/>
      </w:pPr>
      <w:r>
        <w:tab/>
        <w:t>[Heading inserted by No. 3 of 2011 s. 16.]</w:t>
      </w:r>
    </w:p>
    <w:p>
      <w:pPr>
        <w:pStyle w:val="yHeading5"/>
        <w:spacing w:before="180"/>
      </w:pPr>
      <w:bookmarkStart w:id="96" w:name="_Toc365364465"/>
      <w:r>
        <w:rPr>
          <w:rStyle w:val="CharSClsNo"/>
        </w:rPr>
        <w:t>1</w:t>
      </w:r>
      <w:r>
        <w:t>.</w:t>
      </w:r>
      <w:r>
        <w:rPr>
          <w:b w:val="0"/>
        </w:rPr>
        <w:tab/>
      </w:r>
      <w:r>
        <w:t xml:space="preserve">Provisions for </w:t>
      </w:r>
      <w:r>
        <w:rPr>
          <w:i/>
        </w:rPr>
        <w:t>Dangerous Sexual Offenders Amendment Act 2011</w:t>
      </w:r>
      <w:bookmarkEnd w:id="96"/>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r>
        <w:rPr>
          <w:vertAlign w:val="superscript"/>
        </w:rPr>
        <w:t> 1</w:t>
      </w:r>
      <w:r>
        <w:t>.</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pStyle w:val="yHeading5"/>
        <w:spacing w:before="180"/>
      </w:pPr>
      <w:bookmarkStart w:id="97" w:name="_Toc365364466"/>
      <w:r>
        <w:rPr>
          <w:rStyle w:val="CharSClsNo"/>
        </w:rPr>
        <w:t>2</w:t>
      </w:r>
      <w:r>
        <w:t>.</w:t>
      </w:r>
      <w:r>
        <w:tab/>
        <w:t xml:space="preserve">Provisions for </w:t>
      </w:r>
      <w:r>
        <w:rPr>
          <w:i/>
        </w:rPr>
        <w:t>Dangerous Sexual Offenders Amendment Act 2012</w:t>
      </w:r>
      <w:bookmarkEnd w:id="97"/>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r>
        <w:rPr>
          <w:vertAlign w:val="superscript"/>
        </w:rPr>
        <w:t> 1</w:t>
      </w:r>
      <w:r>
        <w:t>.</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by No. 58 of 2012 s. 8.]</w:t>
      </w:r>
    </w:p>
    <w:p>
      <w:pPr>
        <w:pStyle w:val="CentredBaseLine"/>
        <w:spacing w:before="8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sz w:val="16"/>
          <w:szCs w:val="16"/>
        </w:rPr>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98" w:name="_Toc362353077"/>
      <w:bookmarkStart w:id="99" w:name="_Toc362356349"/>
      <w:bookmarkStart w:id="100" w:name="_Toc365364467"/>
      <w:r>
        <w:t>Notes</w:t>
      </w:r>
      <w:bookmarkEnd w:id="98"/>
      <w:bookmarkEnd w:id="99"/>
      <w:bookmarkEnd w:id="100"/>
    </w:p>
    <w:p>
      <w:pPr>
        <w:pStyle w:val="nSubsection"/>
        <w:rPr>
          <w:snapToGrid w:val="0"/>
        </w:rPr>
      </w:pPr>
      <w:r>
        <w:rPr>
          <w:snapToGrid w:val="0"/>
          <w:vertAlign w:val="superscript"/>
        </w:rPr>
        <w:t>1</w:t>
      </w:r>
      <w:r>
        <w:rPr>
          <w:snapToGrid w:val="0"/>
        </w:rPr>
        <w:tab/>
        <w:t xml:space="preserve">This reprint is a compilation as at 18 October 2013 of the </w:t>
      </w:r>
      <w:r>
        <w:rPr>
          <w:i/>
          <w:noProof/>
          <w:snapToGrid w:val="0"/>
        </w:rPr>
        <w:t>Dangerous Sexual Offenders Act 2006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1" w:name="_Toc365364468"/>
      <w:r>
        <w:t>Compilation table</w:t>
      </w:r>
      <w:bookmarkEnd w:id="1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shd w:val="clear" w:color="auto" w:fill="auto"/>
          </w:tcPr>
          <w:p>
            <w:pPr>
              <w:pStyle w:val="nTable"/>
              <w:spacing w:after="40"/>
              <w:rPr>
                <w:sz w:val="19"/>
              </w:rPr>
            </w:pPr>
            <w:r>
              <w:rPr>
                <w:i/>
                <w:sz w:val="19"/>
              </w:rPr>
              <w:t>Dangerous Sexual Offenders Act 2006</w:t>
            </w:r>
            <w:r>
              <w:rPr>
                <w:sz w:val="19"/>
              </w:rPr>
              <w:t xml:space="preserve"> </w:t>
            </w:r>
          </w:p>
        </w:tc>
        <w:tc>
          <w:tcPr>
            <w:tcW w:w="1134" w:type="dxa"/>
            <w:tcBorders>
              <w:top w:val="single" w:sz="8" w:space="0" w:color="auto"/>
            </w:tcBorders>
            <w:shd w:val="clear" w:color="auto" w:fill="auto"/>
          </w:tcPr>
          <w:p>
            <w:pPr>
              <w:pStyle w:val="nTable"/>
              <w:spacing w:after="40"/>
              <w:rPr>
                <w:sz w:val="19"/>
              </w:rPr>
            </w:pPr>
            <w:r>
              <w:rPr>
                <w:sz w:val="19"/>
              </w:rPr>
              <w:t>1 of 2006</w:t>
            </w:r>
          </w:p>
        </w:tc>
        <w:tc>
          <w:tcPr>
            <w:tcW w:w="1134" w:type="dxa"/>
            <w:tcBorders>
              <w:top w:val="single" w:sz="8" w:space="0" w:color="auto"/>
            </w:tcBorders>
            <w:shd w:val="clear" w:color="auto" w:fill="auto"/>
          </w:tcPr>
          <w:p>
            <w:pPr>
              <w:pStyle w:val="nTable"/>
              <w:spacing w:after="40"/>
              <w:rPr>
                <w:sz w:val="19"/>
              </w:rPr>
            </w:pPr>
            <w:r>
              <w:rPr>
                <w:sz w:val="19"/>
              </w:rPr>
              <w:t>30 Mar 2006</w:t>
            </w:r>
          </w:p>
        </w:tc>
        <w:tc>
          <w:tcPr>
            <w:tcW w:w="2552" w:type="dxa"/>
            <w:tcBorders>
              <w:top w:val="single" w:sz="8" w:space="0" w:color="auto"/>
            </w:tcBorders>
            <w:shd w:val="clear" w:color="auto" w:fill="auto"/>
          </w:tcPr>
          <w:p>
            <w:pPr>
              <w:pStyle w:val="nTable"/>
              <w:spacing w:after="40"/>
              <w:rPr>
                <w:sz w:val="19"/>
              </w:rPr>
            </w:pPr>
            <w:r>
              <w:rPr>
                <w:snapToGrid w:val="0"/>
                <w:sz w:val="19"/>
              </w:rPr>
              <w:t xml:space="preserve">s. 1 and 2: 30 Mar 2006; </w:t>
            </w:r>
            <w:r>
              <w:rPr>
                <w:snapToGrid w:val="0"/>
                <w:sz w:val="19"/>
              </w:rPr>
              <w:br/>
              <w:t xml:space="preserve">Act other than s. 1 and 2: </w:t>
            </w:r>
            <w:r>
              <w:rPr>
                <w:sz w:val="19"/>
              </w:rPr>
              <w:t xml:space="preserve">13 May 2006 (see s. 2 and </w:t>
            </w:r>
            <w:r>
              <w:rPr>
                <w:i/>
                <w:iCs/>
                <w:sz w:val="19"/>
              </w:rPr>
              <w:t>Gazette</w:t>
            </w:r>
            <w:r>
              <w:rPr>
                <w:sz w:val="19"/>
              </w:rPr>
              <w:t xml:space="preserve"> 12 May 2006 p. 1781)</w:t>
            </w:r>
          </w:p>
        </w:tc>
      </w:tr>
      <w:tr>
        <w:tc>
          <w:tcPr>
            <w:tcW w:w="2268" w:type="dxa"/>
            <w:shd w:val="clear" w:color="auto" w:fill="auto"/>
          </w:tcPr>
          <w:p>
            <w:pPr>
              <w:pStyle w:val="nTable"/>
              <w:spacing w:after="40"/>
              <w:rPr>
                <w:i/>
                <w:sz w:val="19"/>
              </w:rPr>
            </w:pPr>
            <w:r>
              <w:rPr>
                <w:i/>
                <w:sz w:val="19"/>
              </w:rPr>
              <w:t>Dangerous Sexual Offenders Amendment Act 2011</w:t>
            </w:r>
          </w:p>
        </w:tc>
        <w:tc>
          <w:tcPr>
            <w:tcW w:w="1134" w:type="dxa"/>
            <w:shd w:val="clear" w:color="auto" w:fill="auto"/>
          </w:tcPr>
          <w:p>
            <w:pPr>
              <w:pStyle w:val="nTable"/>
              <w:spacing w:after="40"/>
              <w:rPr>
                <w:sz w:val="19"/>
              </w:rPr>
            </w:pPr>
            <w:r>
              <w:rPr>
                <w:sz w:val="19"/>
              </w:rPr>
              <w:t>3 of 2011</w:t>
            </w:r>
          </w:p>
        </w:tc>
        <w:tc>
          <w:tcPr>
            <w:tcW w:w="1134" w:type="dxa"/>
            <w:shd w:val="clear" w:color="auto" w:fill="auto"/>
          </w:tcPr>
          <w:p>
            <w:pPr>
              <w:pStyle w:val="nTable"/>
              <w:spacing w:after="40"/>
              <w:rPr>
                <w:sz w:val="19"/>
              </w:rPr>
            </w:pPr>
            <w:r>
              <w:rPr>
                <w:sz w:val="19"/>
              </w:rPr>
              <w:t>1 Mar 2011</w:t>
            </w:r>
          </w:p>
        </w:tc>
        <w:tc>
          <w:tcPr>
            <w:tcW w:w="2552" w:type="dxa"/>
            <w:shd w:val="clear" w:color="auto" w:fill="auto"/>
          </w:tcPr>
          <w:p>
            <w:pPr>
              <w:pStyle w:val="nTable"/>
              <w:spacing w:after="40"/>
              <w:rPr>
                <w:sz w:val="19"/>
              </w:rPr>
            </w:pPr>
            <w:r>
              <w:rPr>
                <w:snapToGrid w:val="0"/>
                <w:sz w:val="19"/>
              </w:rPr>
              <w:t>s. 1 and 2: 1 Mar 2011 (see s. 2(a));</w:t>
            </w:r>
            <w:r>
              <w:rPr>
                <w:snapToGrid w:val="0"/>
                <w:sz w:val="19"/>
              </w:rPr>
              <w:br/>
              <w:t>Act other than s. 1 and 2: 2 Mar 2011 (see s. 2(b))</w:t>
            </w:r>
          </w:p>
        </w:tc>
      </w:tr>
      <w:tr>
        <w:tc>
          <w:tcPr>
            <w:tcW w:w="2268" w:type="dxa"/>
            <w:shd w:val="clear" w:color="auto" w:fill="auto"/>
          </w:tcPr>
          <w:p>
            <w:pPr>
              <w:pStyle w:val="nTable"/>
              <w:spacing w:after="40"/>
              <w:rPr>
                <w:i/>
                <w:sz w:val="19"/>
              </w:rPr>
            </w:pPr>
            <w:r>
              <w:rPr>
                <w:i/>
                <w:snapToGrid w:val="0"/>
                <w:sz w:val="19"/>
              </w:rPr>
              <w:t xml:space="preserve">Community Protection (Offender Reporting) Amendment Act 2012 </w:t>
            </w:r>
            <w:r>
              <w:rPr>
                <w:snapToGrid w:val="0"/>
                <w:sz w:val="19"/>
              </w:rPr>
              <w:t>Pt. 3 Div. 2</w:t>
            </w:r>
          </w:p>
        </w:tc>
        <w:tc>
          <w:tcPr>
            <w:tcW w:w="1134" w:type="dxa"/>
            <w:shd w:val="clear" w:color="auto" w:fill="auto"/>
          </w:tcPr>
          <w:p>
            <w:pPr>
              <w:pStyle w:val="nTable"/>
              <w:spacing w:after="40"/>
              <w:rPr>
                <w:sz w:val="19"/>
              </w:rPr>
            </w:pPr>
            <w:r>
              <w:rPr>
                <w:snapToGrid w:val="0"/>
                <w:sz w:val="19"/>
              </w:rPr>
              <w:t>1 of 2012</w:t>
            </w:r>
          </w:p>
        </w:tc>
        <w:tc>
          <w:tcPr>
            <w:tcW w:w="1134" w:type="dxa"/>
            <w:shd w:val="clear" w:color="auto" w:fill="auto"/>
          </w:tcPr>
          <w:p>
            <w:pPr>
              <w:pStyle w:val="nTable"/>
              <w:spacing w:after="40"/>
              <w:rPr>
                <w:sz w:val="19"/>
              </w:rPr>
            </w:pPr>
            <w:r>
              <w:rPr>
                <w:sz w:val="19"/>
              </w:rPr>
              <w:t>15 Mar 2012</w:t>
            </w:r>
          </w:p>
        </w:tc>
        <w:tc>
          <w:tcPr>
            <w:tcW w:w="2552" w:type="dxa"/>
            <w:shd w:val="clear" w:color="auto" w:fill="auto"/>
          </w:tcPr>
          <w:p>
            <w:pPr>
              <w:pStyle w:val="nTable"/>
              <w:spacing w:after="40"/>
              <w:rPr>
                <w:snapToGrid w:val="0"/>
                <w:sz w:val="19"/>
              </w:rPr>
            </w:pPr>
            <w:r>
              <w:rPr>
                <w:snapToGrid w:val="0"/>
                <w:sz w:val="19"/>
              </w:rPr>
              <w:t xml:space="preserve">1 Jul 2012 (see s. 2(b) and </w:t>
            </w:r>
            <w:r>
              <w:rPr>
                <w:i/>
                <w:snapToGrid w:val="0"/>
                <w:sz w:val="19"/>
              </w:rPr>
              <w:t>Gazette</w:t>
            </w:r>
            <w:r>
              <w:rPr>
                <w:snapToGrid w:val="0"/>
                <w:sz w:val="19"/>
              </w:rPr>
              <w:t xml:space="preserve"> 22 Jun 2012 p. 2777)</w:t>
            </w:r>
          </w:p>
        </w:tc>
      </w:tr>
      <w:tr>
        <w:tc>
          <w:tcPr>
            <w:tcW w:w="2268" w:type="dxa"/>
            <w:shd w:val="clear" w:color="auto" w:fill="auto"/>
          </w:tcPr>
          <w:p>
            <w:pPr>
              <w:pStyle w:val="nTable"/>
              <w:spacing w:after="40"/>
              <w:rPr>
                <w:i/>
                <w:snapToGrid w:val="0"/>
                <w:sz w:val="19"/>
              </w:rPr>
            </w:pPr>
            <w:r>
              <w:rPr>
                <w:i/>
                <w:snapToGrid w:val="0"/>
                <w:sz w:val="19"/>
              </w:rPr>
              <w:t>Dangerous Sexual Offenders Amendment Act 2012</w:t>
            </w:r>
            <w:r>
              <w:rPr>
                <w:snapToGrid w:val="0"/>
                <w:sz w:val="19"/>
              </w:rPr>
              <w:t xml:space="preserve"> </w:t>
            </w:r>
          </w:p>
        </w:tc>
        <w:tc>
          <w:tcPr>
            <w:tcW w:w="1134" w:type="dxa"/>
            <w:shd w:val="clear" w:color="auto" w:fill="auto"/>
          </w:tcPr>
          <w:p>
            <w:pPr>
              <w:pStyle w:val="nTable"/>
              <w:spacing w:after="40"/>
              <w:rPr>
                <w:snapToGrid w:val="0"/>
                <w:sz w:val="19"/>
              </w:rPr>
            </w:pPr>
            <w:r>
              <w:rPr>
                <w:snapToGrid w:val="0"/>
                <w:sz w:val="19"/>
              </w:rPr>
              <w:t>58 of 2012</w:t>
            </w:r>
          </w:p>
        </w:tc>
        <w:tc>
          <w:tcPr>
            <w:tcW w:w="1134" w:type="dxa"/>
            <w:shd w:val="clear" w:color="auto" w:fill="auto"/>
          </w:tcPr>
          <w:p>
            <w:pPr>
              <w:pStyle w:val="nTable"/>
              <w:spacing w:after="40"/>
              <w:rPr>
                <w:sz w:val="19"/>
              </w:rPr>
            </w:pPr>
            <w:r>
              <w:rPr>
                <w:sz w:val="19"/>
              </w:rPr>
              <w:t>11 Dec 2012</w:t>
            </w:r>
          </w:p>
        </w:tc>
        <w:tc>
          <w:tcPr>
            <w:tcW w:w="2552" w:type="dxa"/>
            <w:shd w:val="clear" w:color="auto" w:fill="auto"/>
          </w:tcPr>
          <w:p>
            <w:pPr>
              <w:pStyle w:val="nTable"/>
              <w:spacing w:after="40"/>
              <w:rPr>
                <w:snapToGrid w:val="0"/>
                <w:sz w:val="19"/>
              </w:rPr>
            </w:pPr>
            <w:r>
              <w:rPr>
                <w:snapToGrid w:val="0"/>
                <w:spacing w:val="-2"/>
                <w:sz w:val="19"/>
              </w:rPr>
              <w:t>s. 1 and 2: 11 Dec 2012 (see s. 2(a));</w:t>
            </w:r>
            <w:r>
              <w:rPr>
                <w:snapToGrid w:val="0"/>
                <w:spacing w:val="-2"/>
                <w:sz w:val="19"/>
              </w:rPr>
              <w:br/>
              <w:t xml:space="preserve">Act other than s. 1 and 2: </w:t>
            </w:r>
            <w:r>
              <w:rPr>
                <w:snapToGrid w:val="0"/>
                <w:sz w:val="19"/>
              </w:rPr>
              <w:t xml:space="preserve">1 Feb 2013 (see s. 2(b) and </w:t>
            </w:r>
            <w:r>
              <w:rPr>
                <w:i/>
                <w:snapToGrid w:val="0"/>
                <w:sz w:val="19"/>
              </w:rPr>
              <w:t>Gazette</w:t>
            </w:r>
            <w:r>
              <w:rPr>
                <w:snapToGrid w:val="0"/>
                <w:sz w:val="19"/>
              </w:rPr>
              <w:t xml:space="preserve"> 4 Jan 2013 p. 3)</w:t>
            </w:r>
          </w:p>
        </w:tc>
      </w:tr>
      <w:tr>
        <w:tc>
          <w:tcPr>
            <w:tcW w:w="7088" w:type="dxa"/>
            <w:gridSpan w:val="4"/>
            <w:tcBorders>
              <w:bottom w:val="single" w:sz="8" w:space="0" w:color="auto"/>
            </w:tcBorders>
            <w:shd w:val="clear" w:color="auto" w:fill="auto"/>
          </w:tcPr>
          <w:p>
            <w:pPr>
              <w:pStyle w:val="nTable"/>
              <w:spacing w:after="40"/>
              <w:rPr>
                <w:snapToGrid w:val="0"/>
                <w:spacing w:val="-2"/>
                <w:sz w:val="19"/>
              </w:rPr>
            </w:pPr>
            <w:r>
              <w:rPr>
                <w:b/>
                <w:snapToGrid w:val="0"/>
                <w:spacing w:val="-2"/>
                <w:sz w:val="19"/>
              </w:rPr>
              <w:t xml:space="preserve">Reprint 1: The </w:t>
            </w:r>
            <w:r>
              <w:rPr>
                <w:b/>
                <w:i/>
                <w:snapToGrid w:val="0"/>
                <w:spacing w:val="-2"/>
                <w:sz w:val="19"/>
              </w:rPr>
              <w:t>Dangerous Sexual Offenders Act 2006</w:t>
            </w:r>
            <w:r>
              <w:rPr>
                <w:b/>
                <w:snapToGrid w:val="0"/>
                <w:spacing w:val="-2"/>
                <w:sz w:val="19"/>
              </w:rPr>
              <w:t xml:space="preserve"> as at 18 Oct 2013</w:t>
            </w:r>
            <w:r>
              <w:rPr>
                <w:snapToGrid w:val="0"/>
                <w:spacing w:val="-2"/>
                <w:sz w:val="19"/>
              </w:rPr>
              <w:t xml:space="preserve"> (includes amendments listed above)</w:t>
            </w:r>
          </w:p>
        </w:tc>
      </w:tr>
    </w:tbl>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02" w:name="_Toc362353079"/>
      <w:bookmarkStart w:id="103" w:name="_Toc362356351"/>
      <w:bookmarkStart w:id="104" w:name="_Toc365364469"/>
      <w:r>
        <w:rPr>
          <w:sz w:val="28"/>
        </w:rPr>
        <w:t>Defined terms</w:t>
      </w:r>
      <w:bookmarkEnd w:id="102"/>
      <w:bookmarkEnd w:id="103"/>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5" w:name="DefinedTerms"/>
      <w:bookmarkEnd w:id="105"/>
      <w:r>
        <w:t>approved</w:t>
      </w:r>
      <w:r>
        <w:tab/>
        <w:t>19A(3)</w:t>
      </w:r>
    </w:p>
    <w:p>
      <w:pPr>
        <w:pStyle w:val="DefinedTerms"/>
      </w:pPr>
      <w:r>
        <w:t>chief executive officer</w:t>
      </w:r>
      <w:r>
        <w:tab/>
        <w:t>3(1)</w:t>
      </w:r>
    </w:p>
    <w:p>
      <w:pPr>
        <w:pStyle w:val="DefinedTerms"/>
      </w:pPr>
      <w:r>
        <w:t>commencement day</w:t>
      </w:r>
      <w:r>
        <w:tab/>
        <w:t>Sch. 1 cl. 1(1) and 2(1)</w:t>
      </w:r>
    </w:p>
    <w:p>
      <w:pPr>
        <w:pStyle w:val="DefinedTerms"/>
      </w:pPr>
      <w:r>
        <w:t>commit a serious sexual offence</w:t>
      </w:r>
      <w:r>
        <w:tab/>
        <w:t>3(1)</w:t>
      </w:r>
    </w:p>
    <w:p>
      <w:pPr>
        <w:pStyle w:val="DefinedTerms"/>
      </w:pPr>
      <w:r>
        <w:t>community</w:t>
      </w:r>
      <w:r>
        <w:tab/>
        <w:t>3(1)</w:t>
      </w:r>
    </w:p>
    <w:p>
      <w:pPr>
        <w:pStyle w:val="DefinedTerms"/>
      </w:pPr>
      <w:r>
        <w:t>community corrections officer</w:t>
      </w:r>
      <w:r>
        <w:tab/>
        <w:t>3(1)</w:t>
      </w:r>
    </w:p>
    <w:p>
      <w:pPr>
        <w:pStyle w:val="DefinedTerms"/>
      </w:pPr>
      <w:r>
        <w:t>continuing detention order</w:t>
      </w:r>
      <w:r>
        <w:tab/>
        <w:t>3(1)</w:t>
      </w:r>
    </w:p>
    <w:p>
      <w:pPr>
        <w:pStyle w:val="DefinedTerms"/>
      </w:pPr>
      <w:r>
        <w:t>criminal record</w:t>
      </w:r>
      <w:r>
        <w:tab/>
        <w:t>3(1)</w:t>
      </w:r>
    </w:p>
    <w:p>
      <w:pPr>
        <w:pStyle w:val="DefinedTerms"/>
      </w:pPr>
      <w:r>
        <w:t>Division 2 continuing detention order</w:t>
      </w:r>
      <w:r>
        <w:tab/>
        <w:t>3(1)</w:t>
      </w:r>
    </w:p>
    <w:p>
      <w:pPr>
        <w:pStyle w:val="DefinedTerms"/>
      </w:pPr>
      <w:r>
        <w:t>Division 2 order</w:t>
      </w:r>
      <w:r>
        <w:tab/>
        <w:t>3(1)</w:t>
      </w:r>
    </w:p>
    <w:p>
      <w:pPr>
        <w:pStyle w:val="DefinedTerms"/>
      </w:pPr>
      <w:r>
        <w:t>Division 4 continuing detention order</w:t>
      </w:r>
      <w:r>
        <w:tab/>
        <w:t>3(1)</w:t>
      </w:r>
    </w:p>
    <w:p>
      <w:pPr>
        <w:pStyle w:val="DefinedTerms"/>
      </w:pPr>
      <w:r>
        <w:t>DPP</w:t>
      </w:r>
      <w:r>
        <w:tab/>
        <w:t>3(1)</w:t>
      </w:r>
    </w:p>
    <w:p>
      <w:pPr>
        <w:pStyle w:val="DefinedTerms"/>
      </w:pPr>
      <w:r>
        <w:t>offender</w:t>
      </w:r>
      <w:r>
        <w:tab/>
        <w:t>3(1), 8(1)</w:t>
      </w:r>
    </w:p>
    <w:p>
      <w:pPr>
        <w:pStyle w:val="DefinedTerms"/>
      </w:pPr>
      <w:r>
        <w:t>pending proceedings</w:t>
      </w:r>
      <w:r>
        <w:tab/>
        <w:t>24A(1)</w:t>
      </w:r>
    </w:p>
    <w:p>
      <w:pPr>
        <w:pStyle w:val="DefinedTerms"/>
      </w:pPr>
      <w:r>
        <w:t>preliminary hearing</w:t>
      </w:r>
      <w:r>
        <w:tab/>
        <w:t>3(1)</w:t>
      </w:r>
    </w:p>
    <w:p>
      <w:pPr>
        <w:pStyle w:val="DefinedTerms"/>
      </w:pPr>
      <w:r>
        <w:t>protected person</w:t>
      </w:r>
      <w:r>
        <w:tab/>
        <w:t>46A(1)</w:t>
      </w:r>
    </w:p>
    <w:p>
      <w:pPr>
        <w:pStyle w:val="DefinedTerms"/>
      </w:pPr>
      <w:r>
        <w:t>psychiatrist</w:t>
      </w:r>
      <w:r>
        <w:tab/>
        <w:t>3(1)</w:t>
      </w:r>
    </w:p>
    <w:p>
      <w:pPr>
        <w:pStyle w:val="DefinedTerms"/>
      </w:pPr>
      <w:r>
        <w:t>serious danger to the community</w:t>
      </w:r>
      <w:r>
        <w:tab/>
        <w:t>3(1)</w:t>
      </w:r>
    </w:p>
    <w:p>
      <w:pPr>
        <w:pStyle w:val="DefinedTerms"/>
      </w:pPr>
      <w:r>
        <w:t>serious sexual offence</w:t>
      </w:r>
      <w:r>
        <w:tab/>
        <w:t>3(1)</w:t>
      </w:r>
    </w:p>
    <w:p>
      <w:pPr>
        <w:pStyle w:val="DefinedTerms"/>
      </w:pPr>
      <w:r>
        <w:t>specified</w:t>
      </w:r>
      <w:r>
        <w:tab/>
        <w:t>19B(3)</w:t>
      </w:r>
    </w:p>
    <w:p>
      <w:pPr>
        <w:pStyle w:val="DefinedTerms"/>
      </w:pPr>
      <w:r>
        <w:t>supervision order</w:t>
      </w:r>
      <w:r>
        <w:tab/>
        <w:t>3(1)</w:t>
      </w:r>
    </w:p>
    <w:p>
      <w:pPr>
        <w:pStyle w:val="DefinedTerms"/>
      </w:pPr>
      <w:r>
        <w:t>under sentence of imprisonment</w:t>
      </w:r>
      <w:r>
        <w:tab/>
        <w:t>3(1)</w:t>
      </w:r>
    </w:p>
    <w:p/>
    <w:p>
      <w:p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p/>
    <w:p/>
    <w:p/>
    <w:p/>
    <w:p/>
    <w:p/>
    <w:p/>
    <w:p/>
    <w:p/>
    <w:p/>
    <w:sectPr>
      <w:headerReference w:type="even" r:id="rId38"/>
      <w:headerReference w:type="defaul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Sexual Offenders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681D6-33AC-46AA-8F2D-610E09752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8630</Words>
  <Characters>41256</Characters>
  <Application>Microsoft Office Word</Application>
  <DocSecurity>0</DocSecurity>
  <Lines>1146</Lines>
  <Paragraphs>674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49212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2006 - 01-a0-00</dc:title>
  <dc:subject/>
  <dc:creator/>
  <cp:keywords/>
  <dc:description/>
  <cp:lastModifiedBy>svcMRProcess</cp:lastModifiedBy>
  <cp:revision>4</cp:revision>
  <cp:lastPrinted>2013-10-30T02:58:00Z</cp:lastPrinted>
  <dcterms:created xsi:type="dcterms:W3CDTF">2018-08-27T09:58:00Z</dcterms:created>
  <dcterms:modified xsi:type="dcterms:W3CDTF">2018-08-27T09:58:00Z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CommencementDate">
    <vt:lpwstr>20131018</vt:lpwstr>
  </property>
  <property fmtid="{D5CDD505-2E9C-101B-9397-08002B2CF9AE}" pid="4" name="OwlsUID">
    <vt:i4>143203</vt:i4>
  </property>
  <property fmtid="{D5CDD505-2E9C-101B-9397-08002B2CF9AE}" pid="5" name="AsAtDate">
    <vt:lpwstr>18 Oct 2013</vt:lpwstr>
  </property>
  <property fmtid="{D5CDD505-2E9C-101B-9397-08002B2CF9AE}" pid="6" name="Suffix">
    <vt:lpwstr>01-a0-00</vt:lpwstr>
  </property>
  <property fmtid="{D5CDD505-2E9C-101B-9397-08002B2CF9AE}" pid="7" name="DocumentType">
    <vt:lpwstr>Act</vt:lpwstr>
  </property>
  <property fmtid="{D5CDD505-2E9C-101B-9397-08002B2CF9AE}" pid="8" name="ReprintNo">
    <vt:lpwstr>1</vt:lpwstr>
  </property>
  <property fmtid="{D5CDD505-2E9C-101B-9397-08002B2CF9AE}" pid="9" name="ReprintedAsAt">
    <vt:filetime>2013-10-17T16:00:00Z</vt:filetime>
  </property>
</Properties>
</file>